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38735</wp:posOffset>
            </wp:positionV>
            <wp:extent cx="1174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65405</wp:posOffset>
            </wp:positionV>
            <wp:extent cx="1174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1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4240" w:right="3340" w:hanging="4232"/>
        <w:spacing w:after="0" w:line="278" w:lineRule="auto"/>
        <w:tabs>
          <w:tab w:leader="none" w:pos="514"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March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3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78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Arial" w:cs="Arial" w:eastAsia="Arial" w:hAnsi="Arial"/>
                <w:sz w:val="15"/>
                <w:szCs w:val="15"/>
                <w:b w:val="1"/>
                <w:bCs w:val="1"/>
                <w:color w:val="auto"/>
              </w:rPr>
              <w:t>For the transition period from</w:t>
            </w:r>
          </w:p>
        </w:tc>
        <w:tc>
          <w:tcPr>
            <w:tcW w:w="6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96"/>
        </w:trPr>
        <w:tc>
          <w:tcPr>
            <w:tcW w:w="2880" w:type="dxa"/>
            <w:vAlign w:val="bottom"/>
            <w:gridSpan w:val="2"/>
          </w:tcPr>
          <w:p>
            <w:pPr>
              <w:ind w:left="600"/>
              <w:spacing w:after="0"/>
              <w:rPr>
                <w:sz w:val="20"/>
                <w:szCs w:val="20"/>
                <w:color w:val="auto"/>
              </w:rPr>
            </w:pPr>
            <w:r>
              <w:rPr>
                <w:rFonts w:ascii="Arial" w:cs="Arial" w:eastAsia="Arial" w:hAnsi="Arial"/>
                <w:sz w:val="15"/>
                <w:szCs w:val="15"/>
                <w:b w:val="1"/>
                <w:bCs w:val="1"/>
                <w:color w:val="auto"/>
              </w:rPr>
              <w:t>Commission file number (000-</w:t>
            </w:r>
          </w:p>
        </w:tc>
        <w:tc>
          <w:tcPr>
            <w:tcW w:w="9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w w:val="76"/>
              </w:rPr>
              <w:t>21767)</w:t>
            </w:r>
          </w:p>
        </w:tc>
        <w:tc>
          <w:tcPr>
            <w:tcW w:w="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74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45"/>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gridSpan w:val="5"/>
          </w:tcPr>
          <w:p>
            <w:pPr>
              <w:jc w:val="center"/>
              <w:ind w:right="440"/>
              <w:spacing w:after="0"/>
              <w:rPr>
                <w:sz w:val="20"/>
                <w:szCs w:val="20"/>
                <w:color w:val="auto"/>
              </w:rPr>
            </w:pPr>
            <w:r>
              <w:rPr>
                <w:rFonts w:ascii="Arial" w:cs="Arial" w:eastAsia="Arial" w:hAnsi="Arial"/>
                <w:sz w:val="36"/>
                <w:szCs w:val="36"/>
                <w:b w:val="1"/>
                <w:bCs w:val="1"/>
                <w:color w:val="auto"/>
                <w:w w:val="97"/>
              </w:rPr>
              <w:t>VIASAT,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0" w:type="dxa"/>
            <w:vAlign w:val="bottom"/>
            <w:gridSpan w:val="6"/>
          </w:tcPr>
          <w:p>
            <w:pPr>
              <w:jc w:val="center"/>
              <w:ind w:right="24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3540" w:type="dxa"/>
            <w:vAlign w:val="bottom"/>
            <w:vMerge w:val="restart"/>
          </w:tcPr>
          <w:p>
            <w:pPr>
              <w:jc w:val="center"/>
              <w:ind w:left="2009"/>
              <w:spacing w:after="0"/>
              <w:rPr>
                <w:sz w:val="20"/>
                <w:szCs w:val="20"/>
                <w:color w:val="auto"/>
              </w:rPr>
            </w:pPr>
            <w:r>
              <w:rPr>
                <w:rFonts w:ascii="Arial" w:cs="Arial" w:eastAsia="Arial" w:hAnsi="Arial"/>
                <w:sz w:val="15"/>
                <w:szCs w:val="15"/>
                <w:b w:val="1"/>
                <w:bCs w:val="1"/>
                <w:color w:val="auto"/>
              </w:rPr>
              <w:t>Delaware</w:t>
            </w: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80" w:type="dxa"/>
            <w:vAlign w:val="bottom"/>
            <w:vMerge w:val="restart"/>
          </w:tcPr>
          <w:p>
            <w:pPr>
              <w:jc w:val="center"/>
              <w:ind w:right="2029"/>
              <w:spacing w:after="0"/>
              <w:rPr>
                <w:sz w:val="20"/>
                <w:szCs w:val="20"/>
                <w:color w:val="auto"/>
              </w:rPr>
            </w:pPr>
            <w:r>
              <w:rPr>
                <w:rFonts w:ascii="Arial" w:cs="Arial" w:eastAsia="Arial" w:hAnsi="Arial"/>
                <w:sz w:val="15"/>
                <w:szCs w:val="15"/>
                <w:b w:val="1"/>
                <w:bCs w:val="1"/>
                <w:color w:val="auto"/>
              </w:rPr>
              <w:t>33-0174996</w:t>
            </w:r>
          </w:p>
        </w:tc>
        <w:tc>
          <w:tcPr>
            <w:tcW w:w="0" w:type="dxa"/>
            <w:vAlign w:val="bottom"/>
          </w:tcPr>
          <w:p>
            <w:pPr>
              <w:spacing w:after="0"/>
              <w:rPr>
                <w:sz w:val="1"/>
                <w:szCs w:val="1"/>
                <w:color w:val="auto"/>
              </w:rPr>
            </w:pPr>
          </w:p>
        </w:tc>
      </w:tr>
      <w:tr>
        <w:trPr>
          <w:trHeight w:val="206"/>
        </w:trPr>
        <w:tc>
          <w:tcPr>
            <w:tcW w:w="3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940" w:type="dxa"/>
            <w:vAlign w:val="bottom"/>
            <w:gridSpan w:val="8"/>
          </w:tcPr>
          <w:p>
            <w:pPr>
              <w:jc w:val="center"/>
              <w:ind w:right="2320"/>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480" w:type="dxa"/>
            <w:vAlign w:val="bottom"/>
          </w:tcPr>
          <w:p>
            <w:pPr>
              <w:jc w:val="center"/>
              <w:ind w:right="204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71"/>
        </w:trPr>
        <w:tc>
          <w:tcPr>
            <w:tcW w:w="7940" w:type="dxa"/>
            <w:vAlign w:val="bottom"/>
            <w:gridSpan w:val="8"/>
          </w:tcPr>
          <w:p>
            <w:pPr>
              <w:jc w:val="center"/>
              <w:ind w:right="2320"/>
              <w:spacing w:after="0"/>
              <w:rPr>
                <w:sz w:val="20"/>
                <w:szCs w:val="20"/>
                <w:color w:val="auto"/>
              </w:rPr>
            </w:pPr>
            <w:r>
              <w:rPr>
                <w:rFonts w:ascii="Arial" w:cs="Arial" w:eastAsia="Arial" w:hAnsi="Arial"/>
                <w:sz w:val="14"/>
                <w:szCs w:val="14"/>
                <w:b w:val="1"/>
                <w:bCs w:val="1"/>
                <w:color w:val="auto"/>
                <w:w w:val="97"/>
              </w:rPr>
              <w:t>incorporation or organization)</w:t>
            </w:r>
          </w:p>
        </w:tc>
        <w:tc>
          <w:tcPr>
            <w:tcW w:w="3480" w:type="dxa"/>
            <w:vAlign w:val="bottom"/>
          </w:tcPr>
          <w:p>
            <w:pPr>
              <w:jc w:val="center"/>
              <w:ind w:right="202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60" w:type="dxa"/>
            <w:vAlign w:val="bottom"/>
            <w:gridSpan w:val="4"/>
          </w:tcPr>
          <w:p>
            <w:pPr>
              <w:jc w:val="center"/>
              <w:ind w:right="1300"/>
              <w:spacing w:after="0" w:line="162" w:lineRule="exact"/>
              <w:rPr>
                <w:sz w:val="20"/>
                <w:szCs w:val="20"/>
                <w:color w:val="auto"/>
              </w:rPr>
            </w:pPr>
            <w:r>
              <w:rPr>
                <w:rFonts w:ascii="Arial" w:cs="Arial" w:eastAsia="Arial" w:hAnsi="Arial"/>
                <w:sz w:val="15"/>
                <w:szCs w:val="15"/>
                <w:b w:val="1"/>
                <w:bCs w:val="1"/>
                <w:color w:val="auto"/>
              </w:rPr>
              <w:t>6155 El Camino Real</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gridSpan w:val="5"/>
          </w:tcPr>
          <w:p>
            <w:pPr>
              <w:jc w:val="center"/>
              <w:ind w:right="420"/>
              <w:spacing w:after="0" w:line="162" w:lineRule="exact"/>
              <w:rPr>
                <w:sz w:val="20"/>
                <w:szCs w:val="20"/>
                <w:color w:val="auto"/>
              </w:rPr>
            </w:pPr>
            <w:r>
              <w:rPr>
                <w:rFonts w:ascii="Arial" w:cs="Arial" w:eastAsia="Arial" w:hAnsi="Arial"/>
                <w:sz w:val="15"/>
                <w:szCs w:val="15"/>
                <w:b w:val="1"/>
                <w:bCs w:val="1"/>
                <w:color w:val="auto"/>
              </w:rPr>
              <w:t>Carlsbad, California 92009</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3100" w:type="dxa"/>
            <w:vAlign w:val="bottom"/>
            <w:gridSpan w:val="4"/>
          </w:tcPr>
          <w:p>
            <w:pPr>
              <w:jc w:val="center"/>
              <w:ind w:left="1166"/>
              <w:spacing w:after="0" w:line="167" w:lineRule="exact"/>
              <w:rPr>
                <w:sz w:val="20"/>
                <w:szCs w:val="20"/>
                <w:color w:val="auto"/>
              </w:rPr>
            </w:pPr>
            <w:r>
              <w:rPr>
                <w:rFonts w:ascii="Arial" w:cs="Arial" w:eastAsia="Arial" w:hAnsi="Arial"/>
                <w:sz w:val="15"/>
                <w:szCs w:val="15"/>
                <w:b w:val="1"/>
                <w:bCs w:val="1"/>
                <w:color w:val="auto"/>
              </w:rPr>
              <w:t>(760) 476-2200</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44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6"/>
              </w:rPr>
              <w:t>(Address of principal executive offices and telephone number)</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4400" w:type="dxa"/>
            <w:vAlign w:val="bottom"/>
            <w:gridSpan w:val="7"/>
          </w:tcPr>
          <w:p>
            <w:pPr>
              <w:jc w:val="center"/>
              <w:ind w:right="4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540" w:type="dxa"/>
            <w:vAlign w:val="bottom"/>
          </w:tcPr>
          <w:p>
            <w:pPr>
              <w:jc w:val="center"/>
              <w:ind w:left="149"/>
              <w:spacing w:after="0"/>
              <w:rPr>
                <w:sz w:val="20"/>
                <w:szCs w:val="20"/>
                <w:color w:val="auto"/>
              </w:rPr>
            </w:pPr>
            <w:r>
              <w:rPr>
                <w:rFonts w:ascii="Arial" w:cs="Arial" w:eastAsia="Arial" w:hAnsi="Arial"/>
                <w:sz w:val="14"/>
                <w:szCs w:val="14"/>
                <w:b w:val="1"/>
                <w:bCs w:val="1"/>
                <w:color w:val="auto"/>
                <w:w w:val="95"/>
              </w:rPr>
              <w:t>(Title of Each Class)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6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5"/>
              </w:rPr>
              <w:t>(Trading Symbol)</w:t>
            </w:r>
          </w:p>
        </w:tc>
        <w:tc>
          <w:tcPr>
            <w:tcW w:w="3480" w:type="dxa"/>
            <w:vAlign w:val="bottom"/>
          </w:tcPr>
          <w:p>
            <w:pPr>
              <w:jc w:val="center"/>
              <w:ind w:right="189"/>
              <w:spacing w:after="0"/>
              <w:rPr>
                <w:sz w:val="20"/>
                <w:szCs w:val="20"/>
                <w:color w:val="auto"/>
              </w:rPr>
            </w:pPr>
            <w:r>
              <w:rPr>
                <w:rFonts w:ascii="Arial" w:cs="Arial" w:eastAsia="Arial" w:hAnsi="Arial"/>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tcPr>
          <w:p>
            <w:pPr>
              <w:jc w:val="center"/>
              <w:ind w:left="149"/>
              <w:spacing w:after="0"/>
              <w:rPr>
                <w:sz w:val="20"/>
                <w:szCs w:val="20"/>
                <w:color w:val="auto"/>
              </w:rPr>
            </w:pPr>
            <w:r>
              <w:rPr>
                <w:rFonts w:ascii="Arial" w:cs="Arial" w:eastAsia="Arial" w:hAnsi="Arial"/>
                <w:sz w:val="15"/>
                <w:szCs w:val="15"/>
                <w:b w:val="1"/>
                <w:bCs w:val="1"/>
                <w:color w:val="auto"/>
              </w:rPr>
              <w:t>Common Stock, par value $0.0001 per share</w:t>
            </w: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2"/>
          </w:tcPr>
          <w:p>
            <w:pPr>
              <w:jc w:val="center"/>
              <w:ind w:right="880"/>
              <w:spacing w:after="0"/>
              <w:rPr>
                <w:sz w:val="20"/>
                <w:szCs w:val="20"/>
                <w:color w:val="auto"/>
              </w:rPr>
            </w:pPr>
            <w:r>
              <w:rPr>
                <w:rFonts w:ascii="Arial" w:cs="Arial" w:eastAsia="Arial" w:hAnsi="Arial"/>
                <w:sz w:val="15"/>
                <w:szCs w:val="15"/>
                <w:b w:val="1"/>
                <w:bCs w:val="1"/>
                <w:color w:val="auto"/>
                <w:w w:val="99"/>
              </w:rPr>
              <w:t>VSAT</w:t>
            </w: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169"/>
              <w:spacing w:after="0"/>
              <w:rPr>
                <w:sz w:val="20"/>
                <w:szCs w:val="20"/>
                <w:color w:val="auto"/>
              </w:rPr>
            </w:pPr>
            <w:r>
              <w:rPr>
                <w:rFonts w:ascii="Arial" w:cs="Arial" w:eastAsia="Arial" w:hAnsi="Arial"/>
                <w:sz w:val="15"/>
                <w:szCs w:val="15"/>
                <w:b w:val="1"/>
                <w:bCs w:val="1"/>
                <w:color w:val="auto"/>
              </w:rPr>
              <w:t>The Nasdaq Stock Market LLC</w:t>
            </w:r>
          </w:p>
        </w:tc>
        <w:tc>
          <w:tcPr>
            <w:tcW w:w="0" w:type="dxa"/>
            <w:vAlign w:val="bottom"/>
          </w:tcPr>
          <w:p>
            <w:pPr>
              <w:spacing w:after="0"/>
              <w:rPr>
                <w:sz w:val="1"/>
                <w:szCs w:val="1"/>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8" w:lineRule="exact"/>
        <w:rPr>
          <w:sz w:val="24"/>
          <w:szCs w:val="24"/>
          <w:color w:val="auto"/>
        </w:rPr>
      </w:pPr>
    </w:p>
    <w:p>
      <w:pPr>
        <w:ind w:left="552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38735</wp:posOffset>
            </wp:positionV>
            <wp:extent cx="1174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52" w:lineRule="exact"/>
        <w:rPr>
          <w:sz w:val="24"/>
          <w:szCs w:val="24"/>
          <w:color w:val="auto"/>
        </w:rPr>
      </w:pPr>
    </w:p>
    <w:p>
      <w:pPr>
        <w:ind w:left="380"/>
        <w:spacing w:after="0" w:line="173" w:lineRule="exact"/>
        <w:tabs>
          <w:tab w:leader="none" w:pos="900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68" w:lineRule="exact"/>
        <w:rPr>
          <w:sz w:val="24"/>
          <w:szCs w:val="24"/>
          <w:color w:val="auto"/>
        </w:rPr>
      </w:pPr>
    </w:p>
    <w:p>
      <w:pPr>
        <w:ind w:left="380"/>
        <w:spacing w:after="0" w:line="173" w:lineRule="exact"/>
        <w:tabs>
          <w:tab w:leader="none" w:pos="996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73" w:lineRule="exact"/>
        <w:rPr>
          <w:sz w:val="24"/>
          <w:szCs w:val="24"/>
          <w:color w:val="auto"/>
        </w:rPr>
      </w:pPr>
    </w:p>
    <w:p>
      <w:pPr>
        <w:ind w:right="120" w:firstLine="380"/>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s>
        <w:rPr>
          <w:sz w:val="20"/>
          <w:szCs w:val="20"/>
          <w:color w:val="auto"/>
        </w:rPr>
      </w:pPr>
      <w:r>
        <w:rPr>
          <w:rFonts w:ascii="Arial" w:cs="Arial" w:eastAsia="Arial" w:hAnsi="Arial"/>
          <w:sz w:val="15"/>
          <w:szCs w:val="15"/>
          <w:color w:val="auto"/>
        </w:rPr>
        <w:t>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4" w:lineRule="exact"/>
        <w:rPr>
          <w:sz w:val="24"/>
          <w:szCs w:val="24"/>
          <w:color w:val="auto"/>
        </w:rPr>
      </w:pPr>
    </w:p>
    <w:p>
      <w:pPr>
        <w:ind w:right="880" w:firstLine="380"/>
        <w:spacing w:after="0" w:line="23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520" w:val="left"/>
        </w:tabs>
        <w:rPr>
          <w:sz w:val="20"/>
          <w:szCs w:val="20"/>
          <w:color w:val="auto"/>
        </w:rPr>
      </w:pPr>
      <w:r>
        <w:rPr>
          <w:rFonts w:ascii="Arial" w:cs="Arial" w:eastAsia="Arial" w:hAnsi="Arial"/>
          <w:sz w:val="15"/>
          <w:szCs w:val="15"/>
          <w:color w:val="auto"/>
        </w:rPr>
        <w:t>files).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47" w:lineRule="exact"/>
        <w:rPr>
          <w:sz w:val="24"/>
          <w:szCs w:val="24"/>
          <w:color w:val="auto"/>
        </w:rPr>
      </w:pPr>
    </w:p>
    <w:p>
      <w:pPr>
        <w:jc w:val="both"/>
        <w:ind w:right="220" w:firstLine="380"/>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0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tcPr>
          <w:p>
            <w:pPr>
              <w:ind w:left="2500"/>
              <w:spacing w:after="0"/>
              <w:rPr>
                <w:sz w:val="20"/>
                <w:szCs w:val="20"/>
                <w:color w:val="auto"/>
              </w:rPr>
            </w:pPr>
            <w:r>
              <w:rPr>
                <w:rFonts w:ascii="Arial" w:cs="Arial" w:eastAsia="Arial" w:hAnsi="Arial"/>
                <w:sz w:val="15"/>
                <w:szCs w:val="15"/>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480" w:type="dxa"/>
            <w:vAlign w:val="bottom"/>
          </w:tcPr>
          <w:p>
            <w:pPr>
              <w:spacing w:after="0"/>
              <w:rPr>
                <w:sz w:val="20"/>
                <w:szCs w:val="20"/>
                <w:color w:val="auto"/>
              </w:rPr>
            </w:pPr>
            <w:r>
              <w:rPr>
                <w:rFonts w:ascii="Arial" w:cs="Arial" w:eastAsia="Arial" w:hAnsi="Arial"/>
                <w:sz w:val="15"/>
                <w:szCs w:val="15"/>
                <w:color w:val="auto"/>
              </w:rPr>
              <w:t>Non-accelerated filer</w:t>
            </w:r>
          </w:p>
        </w:tc>
        <w:tc>
          <w:tcPr>
            <w:tcW w:w="360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tcPr>
          <w:p>
            <w:pPr>
              <w:ind w:left="2500"/>
              <w:spacing w:after="0"/>
              <w:rPr>
                <w:sz w:val="20"/>
                <w:szCs w:val="20"/>
                <w:color w:val="auto"/>
              </w:rPr>
            </w:pPr>
            <w:r>
              <w:rPr>
                <w:rFonts w:ascii="Arial" w:cs="Arial" w:eastAsia="Arial" w:hAnsi="Arial"/>
                <w:sz w:val="15"/>
                <w:szCs w:val="15"/>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2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540" w:type="dxa"/>
            <w:vAlign w:val="bottom"/>
          </w:tcPr>
          <w:p>
            <w:pPr>
              <w:ind w:left="2500"/>
              <w:spacing w:after="0"/>
              <w:rPr>
                <w:sz w:val="20"/>
                <w:szCs w:val="20"/>
                <w:color w:val="auto"/>
              </w:rPr>
            </w:pPr>
            <w:r>
              <w:rPr>
                <w:rFonts w:ascii="Arial" w:cs="Arial" w:eastAsia="Arial" w:hAnsi="Arial"/>
                <w:sz w:val="15"/>
                <w:szCs w:val="15"/>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 w:lineRule="exact"/>
        <w:rPr>
          <w:sz w:val="24"/>
          <w:szCs w:val="24"/>
          <w:color w:val="auto"/>
        </w:rPr>
      </w:pPr>
    </w:p>
    <w:p>
      <w:pPr>
        <w:ind w:right="20" w:firstLine="380"/>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80"/>
        <w:spacing w:after="0" w:line="173" w:lineRule="exact"/>
        <w:tabs>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59" w:lineRule="exact"/>
        <w:rPr>
          <w:sz w:val="24"/>
          <w:szCs w:val="24"/>
          <w:color w:val="auto"/>
        </w:rPr>
      </w:pPr>
    </w:p>
    <w:p>
      <w:pPr>
        <w:ind w:right="180" w:firstLine="380"/>
        <w:spacing w:after="0" w:line="242"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2018 was approximately $3,576,870,841 (based on the closing price on that date for shares of the registrant’s common stock as reported by the Nasdaq Global Select Market).</w:t>
      </w:r>
    </w:p>
    <w:p>
      <w:pPr>
        <w:spacing w:after="0" w:line="17" w:lineRule="exact"/>
        <w:rPr>
          <w:sz w:val="24"/>
          <w:szCs w:val="24"/>
          <w:color w:val="auto"/>
        </w:rPr>
      </w:pPr>
    </w:p>
    <w:p>
      <w:pPr>
        <w:ind w:left="380"/>
        <w:spacing w:after="0"/>
        <w:rPr>
          <w:sz w:val="20"/>
          <w:szCs w:val="20"/>
          <w:color w:val="auto"/>
        </w:rPr>
      </w:pPr>
      <w:r>
        <w:rPr>
          <w:rFonts w:ascii="Arial" w:cs="Arial" w:eastAsia="Arial" w:hAnsi="Arial"/>
          <w:sz w:val="15"/>
          <w:szCs w:val="15"/>
          <w:color w:val="auto"/>
        </w:rPr>
        <w:t>The number of shares outstanding of the registrant’s common stock, $0.0001 par value, as of May 10, 2019 was 60,597,718.</w:t>
      </w:r>
    </w:p>
    <w:p>
      <w:pPr>
        <w:spacing w:after="0" w:line="12"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41275</wp:posOffset>
            </wp:positionV>
            <wp:extent cx="1174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96" w:lineRule="exact"/>
        <w:rPr>
          <w:sz w:val="24"/>
          <w:szCs w:val="24"/>
          <w:color w:val="auto"/>
        </w:rPr>
      </w:pPr>
    </w:p>
    <w:p>
      <w:pPr>
        <w:ind w:right="20" w:firstLine="380"/>
        <w:spacing w:after="0" w:line="235"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 2019 Annual Meeting of Stockholders are incorporated by reference into Part III of this Form 10-K where indicated. Such Proxy Statement will be filed with the Securities and Exchange Commission not later than 120 days after the registrant’s fiscal year ended March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 w:name="page2"/>
    <w:bookmarkEnd w:id="1"/>
    <w:p>
      <w:pPr>
        <w:jc w:val="center"/>
        <w:ind w:left="1240"/>
        <w:spacing w:after="0"/>
        <w:rPr>
          <w:sz w:val="20"/>
          <w:szCs w:val="20"/>
          <w:color w:val="auto"/>
        </w:rPr>
      </w:pPr>
      <w:r>
        <w:rPr>
          <w:rFonts w:ascii="Arial" w:cs="Arial" w:eastAsia="Arial" w:hAnsi="Arial"/>
          <w:sz w:val="18"/>
          <w:szCs w:val="18"/>
          <w:b w:val="1"/>
          <w:bCs w:val="1"/>
          <w:color w:val="auto"/>
        </w:rPr>
        <w:t>VIASAT, INC.</w:t>
      </w:r>
    </w:p>
    <w:p>
      <w:pPr>
        <w:spacing w:after="0" w:line="49" w:lineRule="exact"/>
        <w:rPr>
          <w:sz w:val="20"/>
          <w:szCs w:val="20"/>
          <w:color w:val="auto"/>
        </w:rPr>
      </w:pPr>
    </w:p>
    <w:p>
      <w:pPr>
        <w:jc w:val="center"/>
        <w:ind w:left="12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4960" w:type="dxa"/>
            <w:vAlign w:val="bottom"/>
            <w:gridSpan w:val="8"/>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r>
      <w:tr>
        <w:trPr>
          <w:trHeight w:val="20"/>
        </w:trPr>
        <w:tc>
          <w:tcPr>
            <w:tcW w:w="1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Risk Factors</w:t>
              </w:r>
            </w:hyperlink>
          </w:p>
        </w:tc>
        <w:tc>
          <w:tcPr>
            <w:tcW w:w="3960" w:type="dxa"/>
            <w:vAlign w:val="bottom"/>
            <w:gridSpan w:val="5"/>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496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Properties</w:t>
              </w:r>
            </w:hyperlink>
          </w:p>
        </w:tc>
        <w:tc>
          <w:tcPr>
            <w:tcW w:w="1420" w:type="dxa"/>
            <w:vAlign w:val="bottom"/>
            <w:tcBorders>
              <w:top w:val="single" w:sz="8" w:color="0000EE"/>
            </w:tcBorders>
            <w:gridSpan w:val="4"/>
          </w:tcPr>
          <w:p>
            <w:pPr>
              <w:spacing w:after="0"/>
              <w:rPr>
                <w:sz w:val="17"/>
                <w:szCs w:val="17"/>
                <w:color w:val="auto"/>
              </w:rPr>
            </w:pPr>
          </w:p>
        </w:tc>
        <w:tc>
          <w:tcPr>
            <w:tcW w:w="2720" w:type="dxa"/>
            <w:vAlign w:val="bottom"/>
            <w:gridSpan w:val="2"/>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96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r>
      <w:tr>
        <w:trPr>
          <w:trHeight w:val="20"/>
        </w:trPr>
        <w:tc>
          <w:tcPr>
            <w:tcW w:w="128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96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r>
      <w:tr>
        <w:trPr>
          <w:trHeight w:val="20"/>
        </w:trPr>
        <w:tc>
          <w:tcPr>
            <w:tcW w:w="1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26" w:lineRule="exact"/>
        <w:rPr>
          <w:sz w:val="20"/>
          <w:szCs w:val="20"/>
          <w:color w:val="auto"/>
        </w:rPr>
      </w:pPr>
    </w:p>
    <w:p>
      <w:pPr>
        <w:ind w:left="564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w:t>
        </w:r>
      </w:hyperlink>
    </w:p>
    <w:p>
      <w:pPr>
        <w:spacing w:after="0" w:line="18"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40">
        <w:r>
          <w:rPr>
            <w:rFonts w:ascii="Arial" w:cs="Arial" w:eastAsia="Arial" w:hAnsi="Arial"/>
            <w:sz w:val="17"/>
            <w:szCs w:val="17"/>
            <w:u w:val="single" w:color="auto"/>
            <w:color w:val="0000EE"/>
          </w:rPr>
          <w:t>Market for Registrant’s Common Equity, Related Stockholder Matters and Issuer Purchases of Equity Securities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41">
        <w:r>
          <w:rPr>
            <w:rFonts w:ascii="Arial" w:cs="Arial" w:eastAsia="Arial" w:hAnsi="Arial"/>
            <w:sz w:val="17"/>
            <w:szCs w:val="17"/>
            <w:u w:val="single" w:color="auto"/>
            <w:color w:val="0000EE"/>
          </w:rPr>
          <w:t>Selected Financial Data</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43">
        <w:r>
          <w:rPr>
            <w:rFonts w:ascii="Arial" w:cs="Arial" w:eastAsia="Arial" w:hAnsi="Arial"/>
            <w:sz w:val="17"/>
            <w:szCs w:val="17"/>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7A.</w:t>
      </w:r>
      <w:r>
        <w:rPr>
          <w:sz w:val="20"/>
          <w:szCs w:val="20"/>
          <w:color w:val="auto"/>
        </w:rPr>
        <w:tab/>
      </w:r>
      <w:hyperlink w:anchor="page64">
        <w:r>
          <w:rPr>
            <w:rFonts w:ascii="Arial" w:cs="Arial" w:eastAsia="Arial" w:hAnsi="Arial"/>
            <w:sz w:val="17"/>
            <w:szCs w:val="17"/>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8.</w:t>
      </w:r>
      <w:r>
        <w:rPr>
          <w:sz w:val="20"/>
          <w:szCs w:val="20"/>
          <w:color w:val="auto"/>
        </w:rPr>
        <w:tab/>
      </w:r>
      <w:hyperlink w:anchor="page65">
        <w:r>
          <w:rPr>
            <w:rFonts w:ascii="Arial" w:cs="Arial" w:eastAsia="Arial" w:hAnsi="Arial"/>
            <w:sz w:val="17"/>
            <w:szCs w:val="17"/>
            <w:u w:val="single" w:color="auto"/>
            <w:color w:val="0000EE"/>
          </w:rPr>
          <w:t>Financial Statements and Supplementary Data</w:t>
        </w:r>
      </w:hyperlink>
    </w:p>
    <w:p>
      <w:pPr>
        <w:spacing w:after="0" w:line="9" w:lineRule="exact"/>
        <w:rPr>
          <w:sz w:val="20"/>
          <w:szCs w:val="20"/>
          <w:color w:val="auto"/>
        </w:rPr>
      </w:pPr>
    </w:p>
    <w:p>
      <w:pPr>
        <w:spacing w:after="0"/>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66">
        <w:r>
          <w:rPr>
            <w:rFonts w:ascii="Arial" w:cs="Arial" w:eastAsia="Arial" w:hAnsi="Arial"/>
            <w:sz w:val="18"/>
            <w:szCs w:val="18"/>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9A.</w:t>
      </w:r>
      <w:r>
        <w:rPr>
          <w:sz w:val="20"/>
          <w:szCs w:val="20"/>
          <w:color w:val="auto"/>
        </w:rPr>
        <w:tab/>
      </w:r>
      <w:hyperlink w:anchor="page66">
        <w:r>
          <w:rPr>
            <w:rFonts w:ascii="Arial" w:cs="Arial" w:eastAsia="Arial" w:hAnsi="Arial"/>
            <w:sz w:val="17"/>
            <w:szCs w:val="17"/>
            <w:u w:val="single" w:color="auto"/>
            <w:color w:val="0000EE"/>
          </w:rPr>
          <w:t>Controls and Procedures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66">
        <w:r>
          <w:rPr>
            <w:rFonts w:ascii="Arial" w:cs="Arial" w:eastAsia="Arial" w:hAnsi="Arial"/>
            <w:sz w:val="17"/>
            <w:szCs w:val="17"/>
            <w:u w:val="single" w:color="auto"/>
            <w:color w:val="0000EE"/>
          </w:rPr>
          <w:t>Other Information</w:t>
        </w:r>
      </w:hyperlink>
    </w:p>
    <w:p>
      <w:pPr>
        <w:spacing w:after="0" w:line="109" w:lineRule="exact"/>
        <w:rPr>
          <w:sz w:val="20"/>
          <w:szCs w:val="20"/>
          <w:color w:val="auto"/>
        </w:rPr>
      </w:pPr>
    </w:p>
    <w:p>
      <w:pPr>
        <w:ind w:left="5620"/>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PART III</w:t>
        </w:r>
      </w:hyperlink>
    </w:p>
    <w:p>
      <w:pPr>
        <w:spacing w:after="0" w:line="18"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10.</w:t>
      </w:r>
      <w:r>
        <w:rPr>
          <w:sz w:val="20"/>
          <w:szCs w:val="20"/>
          <w:color w:val="auto"/>
        </w:rPr>
        <w:tab/>
      </w:r>
      <w:hyperlink w:anchor="page67">
        <w:r>
          <w:rPr>
            <w:rFonts w:ascii="Arial" w:cs="Arial" w:eastAsia="Arial" w:hAnsi="Arial"/>
            <w:sz w:val="17"/>
            <w:szCs w:val="17"/>
            <w:u w:val="single" w:color="auto"/>
            <w:color w:val="0000EE"/>
          </w:rPr>
          <w:t>Directors, Executive Officers and Corporate Governance</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11.</w:t>
      </w:r>
      <w:r>
        <w:rPr>
          <w:sz w:val="20"/>
          <w:szCs w:val="20"/>
          <w:color w:val="auto"/>
        </w:rPr>
        <w:tab/>
      </w:r>
      <w:hyperlink w:anchor="page67">
        <w:r>
          <w:rPr>
            <w:rFonts w:ascii="Arial" w:cs="Arial" w:eastAsia="Arial" w:hAnsi="Arial"/>
            <w:sz w:val="17"/>
            <w:szCs w:val="17"/>
            <w:u w:val="single" w:color="auto"/>
            <w:color w:val="0000EE"/>
          </w:rPr>
          <w:t>Executive Compensation</w:t>
        </w:r>
      </w:hyperlink>
    </w:p>
    <w:p>
      <w:pPr>
        <w:spacing w:after="0" w:line="9" w:lineRule="exact"/>
        <w:rPr>
          <w:sz w:val="20"/>
          <w:szCs w:val="20"/>
          <w:color w:val="auto"/>
        </w:rPr>
      </w:pPr>
    </w:p>
    <w:p>
      <w:pPr>
        <w:spacing w:after="0"/>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Item 12.</w:t>
      </w:r>
      <w:r>
        <w:rPr>
          <w:sz w:val="20"/>
          <w:szCs w:val="20"/>
          <w:color w:val="auto"/>
        </w:rPr>
        <w:tab/>
      </w:r>
      <w:hyperlink w:anchor="page67">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13.</w:t>
      </w:r>
      <w:r>
        <w:rPr>
          <w:sz w:val="20"/>
          <w:szCs w:val="20"/>
          <w:color w:val="auto"/>
        </w:rPr>
        <w:tab/>
      </w:r>
      <w:hyperlink w:anchor="page67">
        <w:r>
          <w:rPr>
            <w:rFonts w:ascii="Arial" w:cs="Arial" w:eastAsia="Arial" w:hAnsi="Arial"/>
            <w:sz w:val="17"/>
            <w:szCs w:val="17"/>
            <w:u w:val="single" w:color="auto"/>
            <w:color w:val="0000EE"/>
          </w:rPr>
          <w:t>Certain Relationships and Related Transactions, and Director Independence</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14.</w:t>
      </w:r>
      <w:r>
        <w:rPr>
          <w:sz w:val="20"/>
          <w:szCs w:val="20"/>
          <w:color w:val="auto"/>
        </w:rPr>
        <w:tab/>
      </w:r>
      <w:hyperlink w:anchor="page67">
        <w:r>
          <w:rPr>
            <w:rFonts w:ascii="Arial" w:cs="Arial" w:eastAsia="Arial" w:hAnsi="Arial"/>
            <w:sz w:val="17"/>
            <w:szCs w:val="17"/>
            <w:u w:val="single" w:color="auto"/>
            <w:color w:val="0000EE"/>
          </w:rPr>
          <w:t>Principal Accounting Fees and Services</w:t>
        </w:r>
      </w:hyperlink>
    </w:p>
    <w:p>
      <w:pPr>
        <w:spacing w:after="0" w:line="109" w:lineRule="exact"/>
        <w:rPr>
          <w:sz w:val="20"/>
          <w:szCs w:val="20"/>
          <w:color w:val="auto"/>
        </w:rPr>
      </w:pPr>
    </w:p>
    <w:p>
      <w:pPr>
        <w:ind w:left="5600"/>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PART IV</w:t>
        </w:r>
      </w:hyperlink>
    </w:p>
    <w:p>
      <w:pPr>
        <w:spacing w:after="0" w:line="18"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15.</w:t>
      </w:r>
      <w:r>
        <w:rPr>
          <w:sz w:val="20"/>
          <w:szCs w:val="20"/>
          <w:color w:val="auto"/>
        </w:rPr>
        <w:tab/>
      </w:r>
      <w:hyperlink w:anchor="page68">
        <w:r>
          <w:rPr>
            <w:rFonts w:ascii="Arial" w:cs="Arial" w:eastAsia="Arial" w:hAnsi="Arial"/>
            <w:sz w:val="17"/>
            <w:szCs w:val="17"/>
            <w:u w:val="single" w:color="auto"/>
            <w:color w:val="0000EE"/>
          </w:rPr>
          <w:t>Exhibits, Financial Statement Schedules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16.</w:t>
      </w:r>
      <w:r>
        <w:rPr>
          <w:sz w:val="20"/>
          <w:szCs w:val="20"/>
          <w:color w:val="auto"/>
        </w:rPr>
        <w:tab/>
      </w:r>
      <w:hyperlink w:anchor="page70">
        <w:r>
          <w:rPr>
            <w:rFonts w:ascii="Arial" w:cs="Arial" w:eastAsia="Arial" w:hAnsi="Arial"/>
            <w:sz w:val="17"/>
            <w:szCs w:val="17"/>
            <w:u w:val="single" w:color="auto"/>
            <w:color w:val="0000EE"/>
          </w:rPr>
          <w:t>Form 10-K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68"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8890</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ectPr>
          <w:pgSz w:w="11900" w:h="16838" w:orient="portrait"/>
          <w:cols w:equalWidth="0" w:num="2">
            <w:col w:w="10200" w:space="720"/>
            <w:col w:w="500"/>
          </w:cols>
          <w:pgMar w:left="240" w:top="11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and the entry into a construction contract for our third ViaSat-3 class satellite to replace and supersede our existing limited agreement to proceed for the satellite;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The information on our website does not constitute part of this report.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are an innovator in communications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military tactical data link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54" w:lineRule="exact"/>
        <w:rPr>
          <w:sz w:val="20"/>
          <w:szCs w:val="20"/>
          <w:color w:val="auto"/>
        </w:rPr>
      </w:pPr>
    </w:p>
    <w:p>
      <w:pPr>
        <w:ind w:right="640" w:firstLine="518"/>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 Financial information regarding our reporting segments and the geographic areas in which we deliver our services and products is included in the consolidated financial statements and notes thereto.</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and mobile broadband customers (including commercial airlines and maritime vessels) both in the United States and abroad. Our Viasat Internet and Viasat Business Internet fixed broadband services offer high-speed, high-quality broadband internet access. For commercial aircraft, we offer high-speed internet and other in-flight services, including our wireless in-flight entertainment (W-IFE) platform. Our Community and Urban Wi-Fi hotspot services provide satellite-powered Wi-Fi to rural, suburban and urban areas in a number of countries in the Americas. Our satellite services business also provides a platform for the provision of network management services to satellite service providers.</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Our proprietary Ka-band satellites are at the core of our technology platform. We own three Ka-band satellites in service: ViaSat-2 (our second-generation high-capacity Ka-band spot beam satellite, which was placed into service in the fourth quarter of fiscal year 2018), ViaSat-1 (our first-generation high-capacity Ka-band spot-beam satellite, which was placed into service in January 2012), and WildBlue-1 (which was placed into service in March 2007). We also have two third-generation ViaSat-3 class satellites that have entered the phase of full construction, and in January 2019 we signed an agreement to proceed for a third ViaSat-3 class satellite.</w:t>
      </w:r>
    </w:p>
    <w:p>
      <w:pPr>
        <w:spacing w:after="0" w:line="14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we recorded a reduction to the carrying value of the ViaSat-2 satellite of $177.4 million, with a corresponding insurance receivable of $177.4 million, based on our estimated ViaSat-2 output capabilities as compared to the anticipated, potential and configured capacity of the ViaSat-2 satellite. During fiscal year 2019, we received $185.7 million in insurance recovery proceeds related to such claims. We recorded an insurance receivable of $2.3 million as of March 31, 2019 with respect to probable remaining ViaSat-2 related insurance claims. As a result, during fiscal year 2019, we recorded a $7.5 million gain related to ViaSat-2 insurance claims in selling, general and administrative (SG&amp;A) expenses in the consolidated statements of operations and comprehensive incomes (loss). The ViaSat-2 satellite was primarily financed by our direct loan facility with the Export-Import Bank of the United States for ViaSat-2 (the Ex-Im Credit Facility) (see “Liquidity and Capital Resources—Ex-Im Credit Facility” below). Pursuant to the terms of the Ex-Im Credit Facility, insurance proceeds received from such claims were used to pay down outstanding borrowings under the Ex-Im Credit Facility. Our ViaSat-2 satellite, despite this anomaly, significantly expanded our data throughput capacity and supports the flexible allocation of capacity, enabling us to improve the speed, availability and geographic coverage area of our broadband services and dynamically respond to changing capacity demands across different geographic areas and service offerings.</w:t>
      </w:r>
    </w:p>
    <w:p>
      <w:pPr>
        <w:spacing w:after="0" w:line="14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ViaSat-3 class satellites are our third-generation high-capacity Ka-band satellite design and are designed to further expand our data throughput capacity and geographic coverage area and enhance our ability to flexibly allocate capacity, thereby improving the speed, availability and cost-efficiency of our proprietary Ka-band satellite network. The first ViaSat-3 class satellite is expected to provide broadband services over the Americas, the second is expected to provide broadband services over the Europe, Middle East and Africa (EMEA) region, and the third is expected to provide broadband services over the Asia and Pacific (APAC) region, enabling us to deliver affordable connectivity worldwide. The first ViaSat-3 class satellite is currently targeted to launch in early calendar 2021, although the actual launch date will be dependent on the completion of deliverables by our contract manufacturers, subcontractors and other third-party service providers, available launch windows and other variables.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4" w:name="page5"/>
    <w:bookmarkEnd w:id="4"/>
    <w:p>
      <w:pPr>
        <w:ind w:right="20" w:firstLine="518"/>
        <w:spacing w:after="0" w:line="237" w:lineRule="auto"/>
        <w:rPr>
          <w:sz w:val="20"/>
          <w:szCs w:val="20"/>
          <w:color w:val="auto"/>
        </w:rPr>
      </w:pPr>
      <w:r>
        <w:rPr>
          <w:rFonts w:ascii="Arial" w:cs="Arial" w:eastAsia="Arial" w:hAnsi="Arial"/>
          <w:sz w:val="18"/>
          <w:szCs w:val="18"/>
          <w:color w:val="auto"/>
        </w:rPr>
        <w:t>We believe that growth in our satellite services segment will be driven in the coming years by continued rapid growth in demand for high-speed broadband services across the globe, driven both by continued increases in the number of internet users and connected devices and by increasing data usage, including for video streaming and mobile and in-flight connectivity (IFC). Growth in our in-flight services business in the coming years is also expected to be driven by the installation of our IFC systems on additional commercial aircraft, with installations anticipated on approximately 490 additional aircraft under our existing customer agreements with commercial airlines as of March 31, 2019. The primary services offered by our satellite services segment are comprised of:</w:t>
      </w:r>
    </w:p>
    <w:p>
      <w:pPr>
        <w:spacing w:after="0" w:line="39" w:lineRule="exact"/>
        <w:rPr>
          <w:sz w:val="20"/>
          <w:szCs w:val="20"/>
          <w:color w:val="auto"/>
        </w:rPr>
      </w:pPr>
    </w:p>
    <w:p>
      <w:pPr>
        <w:ind w:left="1040" w:right="40" w:hanging="519"/>
        <w:spacing w:after="0" w:line="23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Fixed Broadband Services. </w:t>
      </w:r>
      <w:r>
        <w:rPr>
          <w:rFonts w:ascii="Arial" w:cs="Arial" w:eastAsia="Arial" w:hAnsi="Arial"/>
          <w:sz w:val="18"/>
          <w:szCs w:val="18"/>
          <w:color w:val="auto"/>
        </w:rPr>
        <w:t>Our satellite-based fixed broadband services provide consumers and businesses with high-speed</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internet access and Voice over Internet Protocol (VoIP) services. We provide fixed broadband services primarily in the United States, as well as in other markets such as Europe and Latin America. We offer a range of service plans, including unlimited data plans and plans with up to 100 Mbps download speeds, with pricing and available service offerings based on a number of different factors, including available capacity, bandwidth limits, service quality levels, bundled offerings, terms of distribution and geographic location. We also offer wholesale and retail fixed broadband services to our national, regional and foreign distribution partners, including direct-to-home satellite video providers, retail service providers and communications companies. As of March 31, 2019, we provided fixed broadband services to approximately 586,000 subscribers. In addition, our satellite-powered Community and Urban Wi-Fi hotspot services are now available within walking distance to more than one million people living and working in thousands of rural, suburban and urban Mexican communities.</w:t>
      </w:r>
    </w:p>
    <w:p>
      <w:pPr>
        <w:spacing w:after="0" w:line="40" w:lineRule="exact"/>
        <w:rPr>
          <w:rFonts w:ascii="Arial" w:cs="Arial" w:eastAsia="Arial" w:hAnsi="Arial"/>
          <w:sz w:val="18"/>
          <w:szCs w:val="18"/>
          <w:color w:val="auto"/>
        </w:rPr>
      </w:pPr>
    </w:p>
    <w:p>
      <w:pPr>
        <w:ind w:left="1040" w:right="160" w:hanging="519"/>
        <w:spacing w:after="0" w:line="24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In-Flight Services. </w:t>
      </w:r>
      <w:r>
        <w:rPr>
          <w:rFonts w:ascii="Arial" w:cs="Arial" w:eastAsia="Arial" w:hAnsi="Arial"/>
          <w:sz w:val="18"/>
          <w:szCs w:val="18"/>
          <w:color w:val="auto"/>
        </w:rPr>
        <w:t>Our award-winning in-flight services provide industry-leading in-flight internet, W-IFE and aviation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to commercial airlines. The data throughput capacity of our IFC systems enables more passengers and crew on more flights, across commercial and business aircraft, the ability to leverage high-speed internet services such as streaming video. In addition to IFC services, we also offer W-IFE </w:t>
      </w:r>
      <w:r>
        <w:rPr>
          <w:rFonts w:ascii="Arial" w:cs="Arial" w:eastAsia="Arial" w:hAnsi="Arial"/>
          <w:sz w:val="18"/>
          <w:szCs w:val="18"/>
          <w:color w:val="333333"/>
        </w:rPr>
        <w:t>services, which provide passengers with access to hundreds of entertainment titles</w:t>
      </w:r>
      <w:r>
        <w:rPr>
          <w:rFonts w:ascii="Arial" w:cs="Arial" w:eastAsia="Arial" w:hAnsi="Arial"/>
          <w:sz w:val="18"/>
          <w:szCs w:val="18"/>
          <w:color w:val="auto"/>
        </w:rPr>
        <w:t xml:space="preserve"> </w:t>
      </w:r>
      <w:r>
        <w:rPr>
          <w:rFonts w:ascii="Arial" w:cs="Arial" w:eastAsia="Arial" w:hAnsi="Arial"/>
          <w:sz w:val="18"/>
          <w:szCs w:val="18"/>
          <w:color w:val="333333"/>
        </w:rPr>
        <w:t xml:space="preserve">direct to their own devices. </w:t>
      </w:r>
      <w:r>
        <w:rPr>
          <w:rFonts w:ascii="Arial" w:cs="Arial" w:eastAsia="Arial" w:hAnsi="Arial"/>
          <w:sz w:val="18"/>
          <w:szCs w:val="18"/>
          <w:color w:val="000000"/>
        </w:rPr>
        <w:t>As of March 31, 2019, 1,312 commercial aircraft were in service across the United States, Europe,</w:t>
      </w:r>
      <w:r>
        <w:rPr>
          <w:rFonts w:ascii="Arial" w:cs="Arial" w:eastAsia="Arial" w:hAnsi="Arial"/>
          <w:sz w:val="18"/>
          <w:szCs w:val="18"/>
          <w:color w:val="333333"/>
        </w:rPr>
        <w:t xml:space="preserve"> </w:t>
      </w:r>
      <w:r>
        <w:rPr>
          <w:rFonts w:ascii="Arial" w:cs="Arial" w:eastAsia="Arial" w:hAnsi="Arial"/>
          <w:sz w:val="18"/>
          <w:szCs w:val="18"/>
          <w:color w:val="000000"/>
        </w:rPr>
        <w:t>Middle East and Australia receiving our in-flight internet services through our IFC systems.</w:t>
      </w:r>
    </w:p>
    <w:p>
      <w:pPr>
        <w:spacing w:after="0" w:line="35" w:lineRule="exact"/>
        <w:rPr>
          <w:rFonts w:ascii="Arial" w:cs="Arial" w:eastAsia="Arial" w:hAnsi="Arial"/>
          <w:sz w:val="18"/>
          <w:szCs w:val="18"/>
          <w:color w:val="auto"/>
        </w:rPr>
      </w:pPr>
    </w:p>
    <w:p>
      <w:pPr>
        <w:ind w:left="1040" w:right="660" w:hanging="519"/>
        <w:spacing w:after="0" w:line="26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mobile broadband services provide global network management and high-speed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services for customers using airborne, maritime and ground-mobile satellite systems.</w:t>
      </w:r>
    </w:p>
    <w:p>
      <w:pPr>
        <w:spacing w:after="0" w:line="125"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We also offer a variety of other broadband services and capabilities, including, live on-line event streaming and oil and natural gas data gathering services.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are generally developed through a combination of customer and discretionary internal research and development (R&amp;D) funding, are utilized to provide services through our satellite services segment and are also sold to commercial networks customers (with sales of complementary products, systems and solutions to government customers included in our government systems segment).</w:t>
      </w:r>
    </w:p>
    <w:p>
      <w:pPr>
        <w:spacing w:after="0" w:line="60"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believe growth in our commercial networks segment will be driven in the coming years by continued growth in worldwide demand for mobile and fixed connectivity, ground networking equipment and products that enable or support access to high-speed broadband services, and by the increasing cost-effectiveness of satellite technologies to rapidly deploy broadband services across wide geographic areas and to large numbers of people within the satellite footprint. Our commercial networks segment also leverages the deployment of our own proprietary high-capacity Ka-band satellites, as well as Ka-band satellites operated or being built for third parties around the world, by providing the ground infrastructure and user terminals that access the satellites. The primary products, systems, solutions and services offered by our commercial networks segment are comprised of:</w:t>
      </w:r>
    </w:p>
    <w:p>
      <w:pPr>
        <w:spacing w:after="0" w:line="37" w:lineRule="exact"/>
        <w:rPr>
          <w:sz w:val="20"/>
          <w:szCs w:val="20"/>
          <w:color w:val="auto"/>
        </w:rPr>
      </w:pPr>
    </w:p>
    <w:p>
      <w:pPr>
        <w:ind w:left="1040" w:right="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Satellite Communication Systems. </w:t>
      </w:r>
      <w:r>
        <w:rPr>
          <w:rFonts w:ascii="Arial" w:cs="Arial" w:eastAsia="Arial" w:hAnsi="Arial"/>
          <w:sz w:val="18"/>
          <w:szCs w:val="18"/>
          <w:color w:val="auto"/>
        </w:rPr>
        <w:t>Our mobile satellite communication systems and related products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high-speed, cost-efficient broadband access while on the move via small transceivers, and are designed for use in aircraft and seagoing vessels. As of March 31, 2019, we expected to install IFC systems on approximately 490 additional aircraft under our existing customer agreements with commercial airlines, approximately 260 of which related to accepted purchase orders (which are included in firm backlog in our commercial networks segment) and approximately 230 of which related to anticipated purchase orders and requests under existing customer agreements. There can be no assurance that all anticipated purchase orders and requests will be placed.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5" w:name="page6"/>
    <w:bookmarkEnd w:id="5"/>
    <w:p>
      <w:pPr>
        <w:ind w:left="1040" w:right="80" w:hanging="519"/>
        <w:spacing w:after="0" w:line="24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Fixed Satellite Networks. </w:t>
      </w:r>
      <w:r>
        <w:rPr>
          <w:rFonts w:ascii="Arial" w:cs="Arial" w:eastAsia="Arial" w:hAnsi="Arial"/>
          <w:sz w:val="18"/>
          <w:szCs w:val="18"/>
          <w:color w:val="auto"/>
        </w:rPr>
        <w:t>We are a leading end-to-end network technology supplier for the fixed satellite consumer and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Our next-generation satellite network infrastructure and ground terminals are designed to access Ka-band broadband services on high-capacity satellites. Our network systems and modems enable satellite broadband access for residential or home office customers as well as Community and Urban Wi-Fi hotspot users. We also offer related products and services to enterprise customers to address bandwidth constraints, latency and other issues.</w:t>
      </w:r>
    </w:p>
    <w:p>
      <w:pPr>
        <w:spacing w:after="0" w:line="33" w:lineRule="exact"/>
        <w:rPr>
          <w:rFonts w:ascii="Arial" w:cs="Arial" w:eastAsia="Arial" w:hAnsi="Arial"/>
          <w:sz w:val="18"/>
          <w:szCs w:val="18"/>
          <w:color w:val="auto"/>
        </w:rPr>
      </w:pPr>
    </w:p>
    <w:p>
      <w:pPr>
        <w:ind w:left="1040" w:right="460" w:hanging="519"/>
        <w:spacing w:after="0" w:line="25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Antenna Systems</w:t>
      </w:r>
      <w:r>
        <w:rPr>
          <w:rFonts w:ascii="Arial" w:cs="Arial" w:eastAsia="Arial" w:hAnsi="Arial"/>
          <w:sz w:val="18"/>
          <w:szCs w:val="18"/>
          <w:color w:val="auto"/>
        </w:rPr>
        <w:t>. We develop, design, produce, test and install ground terminals and antennas for terrestrial and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specializing in earth imaging, remote sensing, mobile satellite communication, Ka-band earth stations and other multi-band antennas.</w:t>
      </w:r>
    </w:p>
    <w:p>
      <w:pPr>
        <w:spacing w:after="0" w:line="25" w:lineRule="exact"/>
        <w:rPr>
          <w:rFonts w:ascii="Arial" w:cs="Arial" w:eastAsia="Arial" w:hAnsi="Arial"/>
          <w:sz w:val="18"/>
          <w:szCs w:val="18"/>
          <w:color w:val="auto"/>
        </w:rPr>
      </w:pPr>
    </w:p>
    <w:p>
      <w:pPr>
        <w:ind w:left="1040" w:right="120" w:hanging="519"/>
        <w:spacing w:after="0" w:line="242"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Satellite Networking Development. </w:t>
      </w:r>
      <w:r>
        <w:rPr>
          <w:rFonts w:ascii="Arial" w:cs="Arial" w:eastAsia="Arial" w:hAnsi="Arial"/>
          <w:sz w:val="18"/>
          <w:szCs w:val="18"/>
          <w:color w:val="auto"/>
        </w:rPr>
        <w:t>We offer specialized design and technology services covering all aspects of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system architecture and technology, including the analysis, design, development and specification of satellite and ground systems, fabless semiconductor design for ASIC and Monolithic Microwave Integrated Circuit (MMIC) chips, and network function virtualization, as well as a wide range of modules and subsystems for various commercial, military and space uses, and radio frequency and advanced microwave solutions.</w:t>
      </w:r>
    </w:p>
    <w:p>
      <w:pPr>
        <w:spacing w:after="0" w:line="36" w:lineRule="exact"/>
        <w:rPr>
          <w:rFonts w:ascii="Arial" w:cs="Arial" w:eastAsia="Arial" w:hAnsi="Arial"/>
          <w:sz w:val="18"/>
          <w:szCs w:val="18"/>
          <w:color w:val="auto"/>
        </w:rPr>
      </w:pPr>
    </w:p>
    <w:p>
      <w:pPr>
        <w:ind w:left="1040" w:right="140" w:hanging="519"/>
        <w:spacing w:after="0" w:line="26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Space Systems. </w:t>
      </w:r>
      <w:r>
        <w:rPr>
          <w:rFonts w:ascii="Arial" w:cs="Arial" w:eastAsia="Arial" w:hAnsi="Arial"/>
          <w:sz w:val="18"/>
          <w:szCs w:val="18"/>
          <w:color w:val="auto"/>
        </w:rPr>
        <w:t>We design and develop high-capacity Ka-band satellites for our own satellite fleet and for third parties,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production of the associated satellite payload technologies.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Our government systems products and solutions are designed to enable the collection and dissemination of secure real-time digital information and intelligence between individuals on the tactical edge, in command centers, leveraging strategic communications nodes, and those individuals on the ground, in the air or on a maritime platform. Customers of our government systems segment include the U.S. Department of Defense (the DoD), those serving the Five Eye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believe growth in our government systems segment in the coming years will be driven by continued demand for secure, higher-capacity, higher-quality broadband services, associated ground systems and advanced cybersecurity protections. This continued demand reflects the U.S. military’s emphasis on “network-centric” highly mobile warfare over geographically dispersed areas (which requires the development and deployment of secure, IP-based communications networks, products and services capable of supporting real-time dissemination of data and intelligence using multiple transmission media) and increased use of IP-based network-centric and bandwidth-intensive applications at all organizational levels. Satellite-based systems are increasingly seen as the most reliable method of connecting rapidly moving armed forces that may out-run the range of terrestrial line-of-sight (LOS) radio links. High-speed broadband beyond-line-of-sight (BLOS) connectivity is increasingly required to support real-time command and control decision-making and enhanced situational awareness.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45" w:lineRule="exact"/>
        <w:rPr>
          <w:sz w:val="20"/>
          <w:szCs w:val="20"/>
          <w:color w:val="auto"/>
        </w:rPr>
      </w:pPr>
    </w:p>
    <w:p>
      <w:pPr>
        <w:ind w:left="1040" w:right="8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Government Mobile Broadband. </w:t>
      </w:r>
      <w:r>
        <w:rPr>
          <w:rFonts w:ascii="Arial" w:cs="Arial" w:eastAsia="Arial" w:hAnsi="Arial"/>
          <w:sz w:val="18"/>
          <w:szCs w:val="18"/>
          <w:color w:val="auto"/>
        </w:rPr>
        <w:t>Our government mobile broadband products and services provide military and government users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high-speed, real-time broadband and multimedia connectivity in key regions of the world. Our government mobile broadband services include high-bandwidth global communications services in support of very important person and senior level airborne operations and emergency response, as well as LOS and BLOS Intelligence, Surveillance, and Reconnaissance (ISR) missions. Our government mobile broadband products include mobile broadband modems, terminals, network access control systems and antenna systems using a range of satellite frequency bands capable of being installed and operated on a wide variety of fixed wing, rotary wing, manned and unmanned aircraft.</w:t>
      </w:r>
    </w:p>
    <w:p>
      <w:pPr>
        <w:spacing w:after="0" w:line="36"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Government Satellite Communication Systems. </w:t>
      </w:r>
      <w:r>
        <w:rPr>
          <w:rFonts w:ascii="Arial" w:cs="Arial" w:eastAsia="Arial" w:hAnsi="Arial"/>
          <w:sz w:val="17"/>
          <w:szCs w:val="17"/>
          <w:color w:val="auto"/>
        </w:rPr>
        <w:t>Our government satellite communication systems offer an array of portable,</w:t>
      </w:r>
      <w:r>
        <w:rPr>
          <w:rFonts w:ascii="Arial" w:cs="Arial" w:eastAsia="Arial" w:hAnsi="Arial"/>
          <w:sz w:val="17"/>
          <w:szCs w:val="17"/>
          <w:i w:val="1"/>
          <w:iCs w:val="1"/>
          <w:color w:val="auto"/>
        </w:rPr>
        <w:t xml:space="preserve"> </w:t>
      </w:r>
      <w:r>
        <w:rPr>
          <w:rFonts w:ascii="Arial" w:cs="Arial" w:eastAsia="Arial" w:hAnsi="Arial"/>
          <w:sz w:val="17"/>
          <w:szCs w:val="17"/>
          <w:color w:val="auto"/>
        </w:rPr>
        <w:t>mobile and fixed broadband modems, terminals, network access control systems and antenna systems using a range of satellite frequency bands for Command and Control (C2) missions, satellite networking services and network management systems for Wi-Fi and other internet access networks. Our systems, products and services are designed to support high-throughput broadband data links, to increase available bandwidth using existing satellite capacity, and to be resilient in order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 w:name="page7"/>
    <w:bookmarkEnd w:id="6"/>
    <w:p>
      <w:pPr>
        <w:ind w:left="1040" w:right="8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Cybersecurity and Information Assurance. </w:t>
      </w:r>
      <w:r>
        <w:rPr>
          <w:rFonts w:ascii="Arial" w:cs="Arial" w:eastAsia="Arial" w:hAnsi="Arial"/>
          <w:sz w:val="18"/>
          <w:szCs w:val="18"/>
          <w:color w:val="auto"/>
        </w:rPr>
        <w:t>Our cybersecurity and information assurance products and services provide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37" w:lineRule="exact"/>
        <w:rPr>
          <w:rFonts w:ascii="Arial" w:cs="Arial" w:eastAsia="Arial" w:hAnsi="Arial"/>
          <w:sz w:val="18"/>
          <w:szCs w:val="18"/>
          <w:color w:val="auto"/>
        </w:rPr>
      </w:pPr>
    </w:p>
    <w:p>
      <w:pPr>
        <w:ind w:left="1040" w:hanging="519"/>
        <w:spacing w:after="0" w:line="232"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 xml:space="preserve">Tactical Data Links. </w:t>
      </w:r>
      <w:r>
        <w:rPr>
          <w:rFonts w:ascii="Arial" w:cs="Arial" w:eastAsia="Arial" w:hAnsi="Arial"/>
          <w:sz w:val="18"/>
          <w:szCs w:val="18"/>
          <w:color w:val="auto"/>
        </w:rPr>
        <w:t>We develop and produce advanced tactical radio and information distribution systems that enable secure</w:t>
      </w:r>
      <w:r>
        <w:rPr>
          <w:rFonts w:ascii="Arial" w:cs="Arial" w:eastAsia="Arial" w:hAnsi="Arial"/>
          <w:sz w:val="18"/>
          <w:szCs w:val="18"/>
          <w:i w:val="1"/>
          <w:iCs w:val="1"/>
          <w:color w:val="auto"/>
        </w:rPr>
        <w:t xml:space="preserve"> </w:t>
      </w:r>
      <w:r>
        <w:rPr>
          <w:rFonts w:ascii="Arial" w:cs="Arial" w:eastAsia="Arial" w:hAnsi="Arial"/>
          <w:sz w:val="18"/>
          <w:szCs w:val="18"/>
          <w:color w:val="auto"/>
        </w:rPr>
        <w:t>voice and real-time collection and dissemination of video and data using secure, jam-resistant transmission links from manned and unmanned aircraft, ground mobile vehicles, individual warfighters and other remote platforms to networked communication and command centers. Key products in this category include our Battlefield Awareness and Targeting System — Dismounted (BATS-D) AN/PRC-161 handheld Link 16 radio, our Small Tactical Terminal (STT) KOR-24A 2-channel radios for manned and unmanned applications, “disposable” defense data links, our Multifunctional Information Distribution System (MIDS) terminals for military fighter jets and their successor, MIDS Joint Tactical Radio System (MIDS-JTRS) terminals.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9"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We believe the following strengths position our business to capitalize on the attractive growth opportunities presented in our business segments:</w:t>
      </w:r>
    </w:p>
    <w:p>
      <w:pPr>
        <w:spacing w:after="0" w:line="30" w:lineRule="exact"/>
        <w:rPr>
          <w:sz w:val="20"/>
          <w:szCs w:val="20"/>
          <w:color w:val="auto"/>
        </w:rPr>
      </w:pPr>
    </w:p>
    <w:p>
      <w:pPr>
        <w:ind w:left="1040" w:right="80" w:hanging="519"/>
        <w:spacing w:after="0" w:line="23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Innovation of Next-Generation Satellite and Space Technologies. </w:t>
      </w:r>
      <w:r>
        <w:rPr>
          <w:rFonts w:ascii="Arial" w:cs="Arial" w:eastAsia="Arial" w:hAnsi="Arial"/>
          <w:sz w:val="18"/>
          <w:szCs w:val="18"/>
          <w:color w:val="auto"/>
        </w:rPr>
        <w:t>We have a long history of innovation in next-generation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and space technologies. Our award-winning first-generation high-capacity Ka-band spot-beam satellite, ViaSat-1, earned a Guinness World Records</w:t>
      </w:r>
      <w:r>
        <w:rPr>
          <w:rFonts w:ascii="Arial" w:cs="Arial" w:eastAsia="Arial" w:hAnsi="Arial"/>
          <w:sz w:val="15"/>
          <w:szCs w:val="15"/>
          <w:color w:val="auto"/>
        </w:rPr>
        <w:t>®</w:t>
      </w:r>
      <w:r>
        <w:rPr>
          <w:rFonts w:ascii="Arial" w:cs="Arial" w:eastAsia="Arial" w:hAnsi="Arial"/>
          <w:sz w:val="18"/>
          <w:szCs w:val="18"/>
          <w:color w:val="auto"/>
        </w:rPr>
        <w:t xml:space="preserve"> title in 2013 as the highest-capacity communications satellite in the world at that time. Our second-generation ViaSat-2 satellite (launched in 2017) and its advanced ground network infrastructure significantly expanded our data throughput capacity and enabled the flexible allocation of capacity. ViaSat-2 enabled us to improve the speed, availability and geographic coverage area of our broadband services, to dynamically respond to changing capacity demands across different geographic areas and service offerings, and to offer compelling retail service plans that enable us to better compete against traditional telecom, wireless and low-end cable companies. In March 2018, ViaSat-2 was selected as a winner in the ‘Space, Platforms’ category of Aviation Week’s 61</w:t>
      </w:r>
      <w:r>
        <w:rPr>
          <w:rFonts w:ascii="Arial" w:cs="Arial" w:eastAsia="Arial" w:hAnsi="Arial"/>
          <w:sz w:val="15"/>
          <w:szCs w:val="15"/>
          <w:color w:val="auto"/>
        </w:rPr>
        <w:t>st</w:t>
      </w:r>
      <w:r>
        <w:rPr>
          <w:rFonts w:ascii="Arial" w:cs="Arial" w:eastAsia="Arial" w:hAnsi="Arial"/>
          <w:sz w:val="18"/>
          <w:szCs w:val="18"/>
          <w:color w:val="auto"/>
        </w:rPr>
        <w:t xml:space="preserve"> Annual Laureate Awards, honoring extraordinary achievements in the global aerospace arena. Our third-generation ViaSat-3 class satellites under construction offer a new satellite architecture with miniaturized electronics and more productive and efficient antenna designs. This new satellite design is expected to further expand each satellite’s geographic coverage area and data throughput capacity and to enhance our ability to dynamically allocate capacity to match geographic demand, thereby improving the speed, availability and cost-efficiency of our proprietary Ka-band satellite network.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38" w:lineRule="exact"/>
        <w:rPr>
          <w:rFonts w:ascii="Arial" w:cs="Arial" w:eastAsia="Arial" w:hAnsi="Arial"/>
          <w:sz w:val="18"/>
          <w:szCs w:val="18"/>
          <w:color w:val="auto"/>
        </w:rPr>
      </w:pPr>
    </w:p>
    <w:p>
      <w:pPr>
        <w:ind w:left="1040" w:right="100" w:hanging="519"/>
        <w:spacing w:after="0" w:line="23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Vertically Integrated End-to-End Platform of Leading Broadband Technologies</w:t>
      </w:r>
      <w:r>
        <w:rPr>
          <w:rFonts w:ascii="Arial" w:cs="Arial" w:eastAsia="Arial" w:hAnsi="Arial"/>
          <w:sz w:val="18"/>
          <w:szCs w:val="18"/>
          <w:color w:val="auto"/>
        </w:rPr>
        <w:t>. We believe our innovative ecosystem of high-capacity Ka-band satellites, ground infrastructure and user terminals provides a vertically integrated end-to-end platform that uniquely positions us to drive operational efficiencies and cost-effectively deliver a diverse portfolio of high-speed, high-quality broadband solutions and applications to enterprises, consumers, military and government users. Our product, system and service offerings are often linked through common underlying technologies, customer applications and market relationships. Many of the market segments in which we compete have significant barriers to entry due to the complexity of technology and the amount of investment required.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40" w:lineRule="exact"/>
        <w:rPr>
          <w:rFonts w:ascii="Arial" w:cs="Arial" w:eastAsia="Arial" w:hAnsi="Arial"/>
          <w:sz w:val="18"/>
          <w:szCs w:val="18"/>
          <w:color w:val="auto"/>
        </w:rPr>
      </w:pPr>
    </w:p>
    <w:p>
      <w:pPr>
        <w:ind w:left="1040" w:right="20" w:hanging="519"/>
        <w:spacing w:after="0" w:line="23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Broad Array of Broadband Service Offerings Addressing Multiple Markets</w:t>
      </w:r>
      <w:r>
        <w:rPr>
          <w:rFonts w:ascii="Arial" w:cs="Arial" w:eastAsia="Arial" w:hAnsi="Arial"/>
          <w:sz w:val="18"/>
          <w:szCs w:val="18"/>
          <w:color w:val="auto"/>
        </w:rPr>
        <w:t>. Our proprietary Ka-band satellite network provides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us to provide a broad array of satellite-based high-quality, high-speed broadband services with multiple applications. Our offerings include fixed broadband services to residential and enterprise customers, market-leading in-flight internet and entertainment services to commercial aircraft utilizing our IFC systems, and satellite-powered Community and Urban Wi-Fi hotspot services that provide affordable and reliable high-speed internet connectivity in rural, suburban and urban areas. In the U.S. residential broadband market, our ViaSat-2 satellite supports retail service plans offering data throughput capacity in select markets of up to 100 Mbps, allowing us to compete more effectively with traditional terrestrial service providers, wireless and low-end cable companies. As the speed of our broadband offerings increases,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ind w:left="520"/>
        <w:spacing w:after="0" w:line="236" w:lineRule="auto"/>
        <w:rPr>
          <w:sz w:val="20"/>
          <w:szCs w:val="20"/>
          <w:color w:val="auto"/>
        </w:rPr>
      </w:pPr>
      <w:r>
        <w:rPr>
          <w:rFonts w:ascii="Arial" w:cs="Arial" w:eastAsia="Arial" w:hAnsi="Arial"/>
          <w:sz w:val="18"/>
          <w:szCs w:val="18"/>
          <w:color w:val="auto"/>
        </w:rPr>
        <w:t>we expect the number of companies able to provide competing broadband offerings at equivalent speeds to decrease. Our in-flight internet service has received numerous awards and accolades, including the Crystal Cabin Award for the best Passenger Comfort System in April 2015 and the Excellence in Avionics Award for In-Flight Connectivity Innovation in July 2015. JetBlue’s Fly-Fi® in-flight Wi-Fi service, which is powered by Viasat’s IFC system, won the 2017 APEX Passenger Choice Award for ‘Best Wi-Fi.’ This particular award was tallied from passenger-submitted data, showcasing the power of the Viasat platform to deliver an exceptional in-flight internet service. The high data throughput and broad geographic coverage area of ViaSat-2 (and our even more powerful third-generation ViaSat-3 class satellites under construction), combined with our ability to allocate capacity based on demand, enable us to support a wide range of high-speed broadband services addressing multiple markets, provide innovative new services creating new market opportunities, tailor our service offerings to market needs, and compete more effectively in the markets we serve.</w:t>
      </w:r>
    </w:p>
    <w:p>
      <w:pPr>
        <w:spacing w:after="0" w:line="39" w:lineRule="exact"/>
        <w:rPr>
          <w:sz w:val="20"/>
          <w:szCs w:val="20"/>
          <w:color w:val="auto"/>
        </w:rPr>
      </w:pPr>
    </w:p>
    <w:p>
      <w:pPr>
        <w:ind w:left="520" w:hanging="519"/>
        <w:spacing w:after="0" w:line="236"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Diverse Portfolio of Market-Leading Military and Government Offerings. </w:t>
      </w:r>
      <w:r>
        <w:rPr>
          <w:rFonts w:ascii="Arial" w:cs="Arial" w:eastAsia="Arial" w:hAnsi="Arial"/>
          <w:sz w:val="18"/>
          <w:szCs w:val="18"/>
          <w:color w:val="auto"/>
        </w:rPr>
        <w:t>We are a leading provider to the U.S. Government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military and government users around the world for innovative communications products and solutions designed to enable the transmission of secure real-time digital information and communications between command centers, intelligence and defense platforms and individuals in the field. Our portfolio of government and military offerings leverages our technological investments in our commercial business, and includes tactical data link, mobile satellite broadband, cybersecurity and information assurance products and services. Total new awards in our government systems segment grew from $460.9 million in fiscal year 2011 to $1.2 billion in fiscal year 2019, despite the constrained defense spending environment, reflecting the demand for our diverse portfolio of products and services for military and government users. Our tactical data link products include our market-leading BATS-D AN/PRC-161 handheld Link 16 radios and STT KOR-24A 2-channel radios, which bridge the gap between air and ground forces by providing secure, reliable access to integrated air and ground data for improved situational awareness capabilities and support communications. In March 2019, we surpassed a key milestone of 1,000 BATS-D AN/PRC-161 handheld Link 16 radios shipped, reflecting growing demand in the U.S. and international defense markets for the product. As of April 2019, we had also shipped over 1,400 STT KOR24/KOR-24A 2-channel radios. Both KOR-24A and BATS-D are now capable of advanced concurrent multiple reception capabilities to enhance communications and reduce network congestion on Link 16 networks. Our mobile satellite broadband offerings leverage our innovative satellite technologies and proprietary Ka-band satellite platform, allowing us to provide high-speed, high-quality in-flight internet services to government and military aircraft. In September 2018, we were awarded an eight-year, firm-fixed price contract to provide in-flight broadband and connectivity services to U.S. Government Senior Leader and VIP aircraft. Our secure networking products and services include a broad portfolio of advanced, high-speed Type 1 encryption solutions, including encryptors capable of operating at speeds of up to 100 Gbps and advanced cybersecurity products to secure information transmitted via the cloud. In November 2018, we received a 2018 Platinum 'ASTORS' Homeland Security Award from American Security Today magazine for “Best Cybersecurity Program for Government and Military Organizations.”</w:t>
      </w:r>
    </w:p>
    <w:p>
      <w:pPr>
        <w:spacing w:after="0" w:line="46" w:lineRule="exact"/>
        <w:rPr>
          <w:rFonts w:ascii="Arial" w:cs="Arial" w:eastAsia="Arial" w:hAnsi="Arial"/>
          <w:sz w:val="18"/>
          <w:szCs w:val="18"/>
          <w:color w:val="auto"/>
        </w:rPr>
      </w:pPr>
    </w:p>
    <w:p>
      <w:pPr>
        <w:ind w:left="520" w:hanging="519"/>
        <w:spacing w:after="0" w:line="23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including the provision of fixed broadband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and enterprises, the provision of in-flight internet and entertainment services and the sale of IFC systems to commercial airlines, the sale of complex satellite communication systems and products to communications service providers and enterprises, and the sale of advanced mobile satellite and wireless communications systems, secure networking systems and cybersecurity and information assurance products and other communications services to government users and defense contractors. This diversification in product and service offerings, customer base and market segment helps to reduce our exposure to fluctuations in any of the individual markets we serve. In addition, the flexibility in our business model allows us to allocate our satellite capacity to markets where bandwidth usage demands and returns are highest. During fiscal year 2019, our satellite services segment generated 33% of total revenues, our commercial networks segment generated 21% of total revenues, and our government systems segment generated 46% of total revenues.</w:t>
      </w:r>
    </w:p>
    <w:p>
      <w:pPr>
        <w:spacing w:after="0" w:line="40" w:lineRule="exact"/>
        <w:rPr>
          <w:rFonts w:ascii="Arial" w:cs="Arial" w:eastAsia="Arial" w:hAnsi="Arial"/>
          <w:sz w:val="18"/>
          <w:szCs w:val="18"/>
          <w:color w:val="auto"/>
        </w:rPr>
      </w:pPr>
    </w:p>
    <w:p>
      <w:pPr>
        <w:ind w:left="520" w:right="20" w:hanging="519"/>
        <w:spacing w:after="0" w:line="25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Blue-Chip Customer Base. </w:t>
      </w:r>
      <w:r>
        <w:rPr>
          <w:rFonts w:ascii="Arial" w:cs="Arial" w:eastAsia="Arial" w:hAnsi="Arial"/>
          <w:sz w:val="17"/>
          <w:szCs w:val="17"/>
          <w:color w:val="auto"/>
        </w:rPr>
        <w:t>Our blue-chip customer base includes customers such as the DoD, large defense contractors, allied</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governments, civil agencies, satellite network integrators, large communications service providers, commercial airlines and enterprises requiring complex communications and networking solutions and services. We believe that the credit strength of these key customers, including the U.S. government, leading aerospace and defense prime contractors and commercial airlines help support more consistent financial performance. Moreover, our direct relationships with key customers such as commercial airlines and U.S. DoD customers allow us to adapt our satellite designs and product and service offerings to better meet their needs.</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80"/>
          </w:cols>
          <w:pgMar w:left="760" w:top="140" w:right="259" w:bottom="1440" w:gutter="0" w:footer="0" w:header="0"/>
        </w:sectPr>
      </w:pPr>
    </w:p>
    <w:bookmarkStart w:id="8" w:name="page9"/>
    <w:bookmarkEnd w:id="8"/>
    <w:p>
      <w:pPr>
        <w:ind w:left="1040" w:right="60" w:hanging="519"/>
        <w:spacing w:after="0" w:line="23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core management team is comprised of seasoned executives with significant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defense and aerospace experience. For example, our Chief Executive Officer has been with the company since its inception in 1986. Mr. Dankberg is considered to be a leading expert in the field of satellite and wireless communications. In 2008, Mr. Dankberg received the prestigious AIAA Aerospace International Communication award, which recognized him for “shepherding Viasat into a leading satellite communications company through outstanding leadership and technical expertise.” In 2013, Mr. Dankberg received the Innovator Award from the Arthur C. Clarke Foundation. In 2015, Mr. Dankberg was inducted into the Society of Satellite Professionals Hall of Fame for his leadership and visionary role in satellite communications, and in 2017, Mr. Dankberg became an elected member of the National Academy of Engineering.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Our business strategy is to be a leading provider of high-speed, high-value and cost-effective broadband and advanced communications products and services, utilizing our leading space, wireless and ground networking technologies and capabilities. The principal elements of our strategy include:</w:t>
      </w:r>
    </w:p>
    <w:p>
      <w:pPr>
        <w:spacing w:after="0" w:line="36" w:lineRule="exact"/>
        <w:rPr>
          <w:sz w:val="20"/>
          <w:szCs w:val="20"/>
          <w:color w:val="auto"/>
        </w:rPr>
      </w:pPr>
    </w:p>
    <w:p>
      <w:pPr>
        <w:ind w:left="1040" w:right="60" w:hanging="519"/>
        <w:spacing w:after="0" w:line="242"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continue to focus on R&amp;D to bring high-capacity, high-speed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global market. Our innovation in satellite system product development has been one of our hallmarks, and we intend to focus on maintaining our leadership position in satellite systems, technologies and services, while continuing to expand our efforts in wireless communications, cloud networking and security. Our R&amp;D efforts are supported by a global employee base that includes over 2,800 engineers and a culture that deeply values and supports innovation.</w:t>
      </w:r>
    </w:p>
    <w:p>
      <w:pPr>
        <w:spacing w:after="0" w:line="36" w:lineRule="exact"/>
        <w:rPr>
          <w:rFonts w:ascii="Arial" w:cs="Arial" w:eastAsia="Arial" w:hAnsi="Arial"/>
          <w:sz w:val="18"/>
          <w:szCs w:val="18"/>
          <w:color w:val="auto"/>
        </w:rPr>
      </w:pPr>
    </w:p>
    <w:p>
      <w:pPr>
        <w:ind w:left="1040" w:right="60" w:hanging="519"/>
        <w:spacing w:after="0" w:line="23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Continue to Expand into New and Adjacent Markets. </w:t>
      </w:r>
      <w:r>
        <w:rPr>
          <w:rFonts w:ascii="Arial" w:cs="Arial" w:eastAsia="Arial" w:hAnsi="Arial"/>
          <w:sz w:val="18"/>
          <w:szCs w:val="18"/>
          <w:color w:val="auto"/>
        </w:rPr>
        <w:t>We continue to seek to leverage opportunities to create or address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adjacent markets as technological advancements disrupt existing business models and drive shifts in target markets or user demand. The technological innovations and power of our proprietary Ka-band satellite network enabled us to disrupt the in-flight internet service business model and expand our broadband service offerings into the commercial air market. Similarly, as the capacity, data throughput speeds and geographic coverage areas of our satellite systems continue to increase (with each generation of our high-capacity Ka-band satellite designs), we expect the addressable markets for our broadband technologies, products and services (whether for consumer, enterprise, commercial airline, maritime or government users) to continue to expand. Higher capacity, more flexible satellites allow us to offer cost-effective broadband services that allow greater data usage at faster speeds, thereby enabling us to better compete against other broadband technologies (including terrestrial technologies) over large geographic areas. In our government business, we also actively seek to identify market needs that are not currently served by existing communications and encryption products and services, with a view to developing unique or disruptive products and services and creating new addressable markets.</w:t>
      </w:r>
    </w:p>
    <w:p>
      <w:pPr>
        <w:spacing w:after="0" w:line="35" w:lineRule="exact"/>
        <w:rPr>
          <w:rFonts w:ascii="Arial" w:cs="Arial" w:eastAsia="Arial" w:hAnsi="Arial"/>
          <w:sz w:val="18"/>
          <w:szCs w:val="18"/>
          <w:color w:val="auto"/>
        </w:rPr>
      </w:pPr>
    </w:p>
    <w:p>
      <w:pPr>
        <w:ind w:left="1040" w:right="26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Drive Efficiencies of Scale and Operations. </w:t>
      </w:r>
      <w:r>
        <w:rPr>
          <w:rFonts w:ascii="Arial" w:cs="Arial" w:eastAsia="Arial" w:hAnsi="Arial"/>
          <w:sz w:val="18"/>
          <w:szCs w:val="18"/>
          <w:color w:val="auto"/>
        </w:rPr>
        <w:t>We continue to drive efficiencies in our businesses through our strategy of vertical</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and increasing scale, as we move into new and adjacent geographic, product and service markets. We optimize our satellite systems through our development of an end-to-end platform of next-generation Ka-band satellites, ground networking equipment and user terminals that enable the provision of high-speed broadband services. Our ViaSat-3 class satellites are expected to further drive scale and operational efficiencies through their enhanced ability to efficiently and dynamically match supply and demand through the flexible allocation of capacity within the satellite footprint, as well as their expected global geographic reach.</w:t>
      </w:r>
    </w:p>
    <w:p>
      <w:pPr>
        <w:spacing w:after="0" w:line="36" w:lineRule="exact"/>
        <w:rPr>
          <w:rFonts w:ascii="Arial" w:cs="Arial" w:eastAsia="Arial" w:hAnsi="Arial"/>
          <w:sz w:val="18"/>
          <w:szCs w:val="18"/>
          <w:color w:val="auto"/>
        </w:rPr>
      </w:pPr>
    </w:p>
    <w:p>
      <w:pPr>
        <w:ind w:left="1040" w:hanging="519"/>
        <w:spacing w:after="0" w:line="23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Continue International Expansion. </w:t>
      </w:r>
      <w:r>
        <w:rPr>
          <w:rFonts w:ascii="Arial" w:cs="Arial" w:eastAsia="Arial" w:hAnsi="Arial"/>
          <w:sz w:val="18"/>
          <w:szCs w:val="18"/>
          <w:color w:val="auto"/>
        </w:rPr>
        <w:t>We continue to believe that international markets provide attractive opportunities for the long-term growth of our business. As worldwide demand for broadband connectivity, video and other IP-based services continues to grow, we expect that our comprehensive offering of next-generation Ka-band satellites, advanced end-to-end communication systems and ground networking equipment and products, and their ability to enable a wide range of cost-effective, high-speed, high-quality broadband services, will be increasingly attractive internationally. Our ViaSat-2 satellite significantly improved the geographic coverage area of our broadband services over North and Central America and the primary aeronautical and maritime routes across the Atlantic Ocean bridging North America and Europe, and allowed us to launch new and innovative services in parts of Latin America (such as our Community and Urban Wi-Fi hotspot services) and bring high-value IFC services to commercial, business and government aircraft. Of our three ViaSat-3 class satellites under construction, the first is expected to provide broadband services over the Americas, the second is expected to provide broadband services over the EMEA region, and the third is expected to provide broadband services over the APAC region. We expect this global constellation to be an enabler for the scalable, long-term global expansion of our business, providing the platform for us to deliver affordable broadband connectivity worldwide.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9" w:name="page10"/>
    <w:bookmarkEnd w:id="9"/>
    <w:p>
      <w:pPr>
        <w:ind w:left="1040" w:right="80" w:hanging="519"/>
        <w:spacing w:after="0" w:line="239"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Pursue Growth Through Strategic Alliances, Partnering Arrangements and Relationships. </w:t>
      </w:r>
      <w:r>
        <w:rPr>
          <w:rFonts w:ascii="Arial" w:cs="Arial" w:eastAsia="Arial" w:hAnsi="Arial"/>
          <w:sz w:val="18"/>
          <w:szCs w:val="18"/>
          <w:color w:val="auto"/>
        </w:rPr>
        <w:t>We actively seek strategic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and joint ventures with companies whose financial, marketing, operational or technological resources can accelerate the introduction of new technologies, service offerings and/or the penetration of new markets. In our government systems segment, we also regularly enter into teaming arrangements with other government contractors to more effectively capture complex government programs.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Our customer base is highly diversified. Customers in our satellite services segment include those customers leveraging our broadband internet and Wi-Fi services—obtained through either our direct or U.S. or international partner distribution channels—and include: residential customers, customers accessing our services via our Community or Urban Wi-Fi hotspots, small and medium-sized businesses, enterprise customers and commercial airlines, among others sectors. The customers of our government systems and commercial networks segments include the DoD, U.S. National Security Agency, the U.S. Department of Homeland Security, FVEY and other allied foreign governments and militaries, select other U.S. federal, state and local government agencies,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53"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Revenues from the U.S. government as an individual customer comprised approximately 26%, 31% and 29% of total revenues for fiscal years 2019, 2018 and 2017, respectively. None of our other customers comprised 10% or more of total revenues in fiscal years 2019, 2018 and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85"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54"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2019, approximately 11% of our total government revenues was generated from cost-reimbursement contracts with the federal government or our prime contractors, less than 1% from time-and-materials contracts and approximately 89% from fixed-price contracts.</w:t>
      </w:r>
    </w:p>
    <w:p>
      <w:pPr>
        <w:spacing w:after="0" w:line="154"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0" w:name="page11"/>
    <w:bookmarkEnd w:id="10"/>
    <w:p>
      <w:pPr>
        <w:ind w:right="60" w:firstLine="518"/>
        <w:spacing w:after="0" w:line="238" w:lineRule="auto"/>
        <w:rPr>
          <w:sz w:val="20"/>
          <w:szCs w:val="20"/>
          <w:color w:val="auto"/>
        </w:rPr>
      </w:pPr>
      <w:r>
        <w:rPr>
          <w:rFonts w:ascii="Arial" w:cs="Arial" w:eastAsia="Arial" w:hAnsi="Arial"/>
          <w:sz w:val="18"/>
          <w:szCs w:val="18"/>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149"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spacing w:after="0" w:line="149" w:lineRule="exact"/>
        <w:rPr>
          <w:sz w:val="20"/>
          <w:szCs w:val="20"/>
          <w:color w:val="auto"/>
        </w:rPr>
      </w:pPr>
    </w:p>
    <w:p>
      <w:pPr>
        <w:ind w:right="780" w:firstLine="518"/>
        <w:spacing w:after="0" w:line="246"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development.</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conduct the majority of our R&amp;D activities in-house and have R&amp;D and engineering staff, which includes over 2,800 engineers worldwide. Our product development activities focus on products that we consider viable revenue opportunities to support all of our business segments. We incurred $123.0 million, $168.3 million and $129.6 million during fiscal years 2019, 2018 and 2017, respectively, on independent research and development (IR&amp;D) expenses, which comprise R&amp;D not directly funded by a third party. Funded R&amp;D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R&amp;D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52" w:lineRule="exact"/>
        <w:rPr>
          <w:sz w:val="20"/>
          <w:szCs w:val="20"/>
          <w:color w:val="auto"/>
        </w:rPr>
      </w:pPr>
    </w:p>
    <w:p>
      <w:pPr>
        <w:jc w:val="both"/>
        <w:ind w:firstLine="518"/>
        <w:spacing w:after="0" w:line="237" w:lineRule="auto"/>
        <w:rPr>
          <w:sz w:val="20"/>
          <w:szCs w:val="20"/>
          <w:color w:val="auto"/>
        </w:rPr>
      </w:pPr>
      <w:r>
        <w:rPr>
          <w:rFonts w:ascii="Arial" w:cs="Arial" w:eastAsia="Arial" w:hAnsi="Arial"/>
          <w:sz w:val="18"/>
          <w:szCs w:val="18"/>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51" w:lineRule="exact"/>
        <w:rPr>
          <w:sz w:val="20"/>
          <w:szCs w:val="20"/>
          <w:color w:val="auto"/>
        </w:rPr>
      </w:pPr>
    </w:p>
    <w:p>
      <w:pPr>
        <w:jc w:val="both"/>
        <w:ind w:right="100" w:firstLine="518"/>
        <w:spacing w:after="0" w:line="238"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500" w:firstLine="518"/>
        <w:spacing w:after="0" w:line="246" w:lineRule="auto"/>
        <w:rPr>
          <w:sz w:val="20"/>
          <w:szCs w:val="20"/>
          <w:color w:val="auto"/>
        </w:rPr>
      </w:pPr>
      <w:r>
        <w:rPr>
          <w:rFonts w:ascii="Arial" w:cs="Arial" w:eastAsia="Arial" w:hAnsi="Arial"/>
          <w:sz w:val="18"/>
          <w:szCs w:val="18"/>
          <w:color w:val="auto"/>
        </w:rPr>
        <w:t>We have a sales presence in various domestic and international locations, and we sell our products and services both directly and indirectly through channel partners, as described below:</w:t>
      </w:r>
    </w:p>
    <w:p>
      <w:pPr>
        <w:spacing w:after="0" w:line="30" w:lineRule="exact"/>
        <w:rPr>
          <w:sz w:val="20"/>
          <w:szCs w:val="20"/>
          <w:color w:val="auto"/>
        </w:rPr>
      </w:pPr>
    </w:p>
    <w:p>
      <w:pPr>
        <w:ind w:left="1040" w:right="40" w:hanging="519"/>
        <w:spacing w:after="0" w:line="232" w:lineRule="auto"/>
        <w:tabs>
          <w:tab w:leader="none" w:pos="104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for our broadband internet services sells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customers in our retail channel through our Viasat Internet website, sales call centers and through over 1,000 active retail dealers (including DirecTV). Our satellite services sales organization also includes direct sales and business development personnel who work with enterprises, enterprise-focused master agents and commercial airlines to identify business opportunities and develop solutions for customers’ needs.</w:t>
      </w:r>
    </w:p>
    <w:p>
      <w:pPr>
        <w:spacing w:after="0" w:line="35" w:lineRule="exact"/>
        <w:rPr>
          <w:rFonts w:ascii="Arial" w:cs="Arial" w:eastAsia="Arial" w:hAnsi="Arial"/>
          <w:sz w:val="22"/>
          <w:szCs w:val="22"/>
          <w:color w:val="auto"/>
        </w:rPr>
      </w:pPr>
    </w:p>
    <w:p>
      <w:pPr>
        <w:ind w:left="1040" w:right="40" w:hanging="519"/>
        <w:spacing w:after="0" w:line="232" w:lineRule="auto"/>
        <w:tabs>
          <w:tab w:leader="none" w:pos="104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sales managers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who act as 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38" w:lineRule="exact"/>
        <w:rPr>
          <w:rFonts w:ascii="Arial" w:cs="Arial" w:eastAsia="Arial" w:hAnsi="Arial"/>
          <w:sz w:val="22"/>
          <w:szCs w:val="22"/>
          <w:color w:val="auto"/>
        </w:rPr>
      </w:pPr>
    </w:p>
    <w:p>
      <w:pPr>
        <w:ind w:left="1040" w:right="120" w:hanging="519"/>
        <w:spacing w:after="0" w:line="232" w:lineRule="auto"/>
        <w:tabs>
          <w:tab w:leader="none" w:pos="104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Government Systems Sales Organization. </w:t>
      </w:r>
      <w:r>
        <w:rPr>
          <w:rFonts w:ascii="Arial" w:cs="Arial" w:eastAsia="Arial" w:hAnsi="Arial"/>
          <w:sz w:val="18"/>
          <w:szCs w:val="18"/>
          <w:color w:val="auto"/>
        </w:rPr>
        <w:t>Our government systems sales organization consists of both direct sales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who sell our standard products,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38" w:lineRule="exact"/>
        <w:rPr>
          <w:rFonts w:ascii="Arial" w:cs="Arial" w:eastAsia="Arial" w:hAnsi="Arial"/>
          <w:sz w:val="22"/>
          <w:szCs w:val="22"/>
          <w:color w:val="auto"/>
        </w:rPr>
      </w:pPr>
    </w:p>
    <w:p>
      <w:pPr>
        <w:ind w:left="1040" w:hanging="519"/>
        <w:spacing w:after="0" w:line="232" w:lineRule="auto"/>
        <w:tabs>
          <w:tab w:leader="none" w:pos="104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5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corporate and marketing communications, public relations, advertising, trade show participation and conference speaking engagements by providing communications that keep the market current on our products and features. During fiscal year 2018, we undertook a major rebranding effort to introduce “Viasat” as a unified master global brand under a new logo and visual identity system, while phasing out legacy sub-brand names. Our new unified brand is intended to grow market and consumer awareness of our company and our product and service offerings both domestically and internationally across all of our markets, as well as attract the best talent around the world. Our marketing team also identifies and sizes new target markets for our products and services, creates awareness of our company and our portfolio of offerings, and generates contacts and leads within these targeted markets.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compete, we emphasize:</w:t>
      </w:r>
    </w:p>
    <w:p>
      <w:pPr>
        <w:spacing w:after="0" w:line="41"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high-speed, high-quality and broad geographic availability of our broadband services;</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proven designs and network integration services for complex, customized network needs;</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increased bandwidth efficiency offered by our networks, products and services;</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advanced security and information assurance capabilities;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12" w:name="page13"/>
    <w:bookmarkEnd w:id="12"/>
    <w:p>
      <w:pPr>
        <w:ind w:left="1040" w:hanging="519"/>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innovative and flexible features integrated into our products and services;</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network management experience;</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end-to-end network implementation capabilities;</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distinct advantages of satellite data networks;</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57" w:lineRule="exact"/>
        <w:rPr>
          <w:rFonts w:ascii="Arial" w:cs="Arial" w:eastAsia="Arial" w:hAnsi="Arial"/>
          <w:sz w:val="22"/>
          <w:szCs w:val="22"/>
          <w:color w:val="auto"/>
        </w:rPr>
      </w:pPr>
    </w:p>
    <w:p>
      <w:pPr>
        <w:ind w:left="1040" w:hanging="519"/>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overall cost-effectiveness of our communications systems, products and services.</w:t>
      </w:r>
    </w:p>
    <w:p>
      <w:pPr>
        <w:spacing w:after="0" w:line="188"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4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our satellite services segment, we face competition for fixed broadband services both from existing competitors and emerging technologies. Our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may compete with our broadband service offerings. Additionally, wireless telecommunications carriers such as AT&amp;T, Sprint, T-Mobile and Verizon are currently offering unlimited data plans that could attract our existing and future subscribers. Our in-flight internet and entertainment service offerings compete against air-to-ground mobile services and other satellite-based services, such as the services offered by Global Eagle, Gogo, Inmarsat and Panasonic Avionics Corporation. We believe that our Ka-band satellite-based IFC systems offer a competitive combination of high-speed and data throughput capacity, that enable more passengers and crew on more flights, across commercial and business aircraft, the ability to leverage high-speed internet services such as streaming video.</w:t>
      </w:r>
    </w:p>
    <w:p>
      <w:pPr>
        <w:spacing w:after="0" w:line="150"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Airbus, CPI Antenna Systems Division, Comtech, EchoStar (Hughes Network Systems), General Dynamics, Gilat, iDirect Technologies, L-3 Communications, Newtec, Panasonic, Space Systems/Loral (SS/L) (MAXAR), Thales and Safran Aerosystems. In addition, some of our customers continuously evaluate whether to develop and manufacture their own products and could elect to compete with us at any time.</w:t>
      </w:r>
    </w:p>
    <w:p>
      <w:pPr>
        <w:spacing w:after="0" w:line="149"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 General Dynamics, Harris, Inmarsat, Intelsat, Collins Aerospace and similar companies. We may also compete directly with the largest defense prime contractors, including The Boeing Company (Boeing), Lockheed Martin, Northrop Grumman and Raytheon Systems. In many cases we partner with our competitors, and therefore maintaining an open and cooperative relationship is important.</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3" w:right="279" w:bottom="1440" w:gutter="0" w:footer="0" w:header="0"/>
        </w:sectPr>
      </w:pPr>
    </w:p>
    <w:bookmarkStart w:id="13" w:name="page14"/>
    <w:bookmarkEnd w:id="13"/>
    <w:p>
      <w:pPr>
        <w:ind w:right="20" w:firstLine="518"/>
        <w:spacing w:after="0" w:line="238" w:lineRule="auto"/>
        <w:rPr>
          <w:sz w:val="20"/>
          <w:szCs w:val="20"/>
          <w:color w:val="auto"/>
        </w:rPr>
      </w:pPr>
      <w:r>
        <w:rPr>
          <w:rFonts w:ascii="Arial" w:cs="Arial" w:eastAsia="Arial" w:hAnsi="Arial"/>
          <w:sz w:val="18"/>
          <w:szCs w:val="18"/>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CyberTAN, Harris, IEC Electronics Corporation, Microelectronics Technology, Plexus, Regal Technology Partners and Sanmina.</w:t>
      </w:r>
    </w:p>
    <w:p>
      <w:pPr>
        <w:spacing w:after="0" w:line="149"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p>
    <w:p>
      <w:pPr>
        <w:spacing w:after="0" w:line="151"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 (ITU)</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spacing w:after="0" w:line="151"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The ITU regulations provide allocations or designations for how spectrum can be used for various purposes, and whether such uses operate on a primary or secondary basis with one another. Secondary uses may not cause harmful interference to primary uses, and may not claim interference protection from primary uses.</w:t>
      </w:r>
    </w:p>
    <w:p>
      <w:pPr>
        <w:spacing w:after="0" w:line="149"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4" w:name="page15"/>
    <w:bookmarkEnd w:id="14"/>
    <w:p>
      <w:pPr>
        <w:ind w:right="80" w:firstLine="518"/>
        <w:spacing w:after="0" w:line="239" w:lineRule="auto"/>
        <w:rPr>
          <w:sz w:val="20"/>
          <w:szCs w:val="20"/>
          <w:color w:val="auto"/>
        </w:rPr>
      </w:pPr>
      <w:r>
        <w:rPr>
          <w:rFonts w:ascii="Arial" w:cs="Arial" w:eastAsia="Arial" w:hAnsi="Arial"/>
          <w:sz w:val="18"/>
          <w:szCs w:val="18"/>
          <w:color w:val="auto"/>
        </w:rPr>
        <w:t>In addition, the ITU’s Radio Regulations are subject to change at periodic ITU World Radio-communication Conferences (WRCs), and their application is determined by various governing bodies within the ITU. WRCs typically are convened approximately every four years, with the next one occurring at the end of 2019. The next WRC is considering various changes to the Radio Regulations that address the terms and conditions under which spectrum is used for satellite and terrestrial and purposes, and future WRCs are likely to do the same.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Spectrum</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space stations and ground networks we use to provide our broadband services rely on access to spectrum within each country in which we do business. Use of such spectrum is authorized by regulatory authorities within each country (or a regional authority whose jurisdiction over spectrum rights encompasses that country), which determines the terms and conditions for access to and use of that spectrum in that particular country. The terms and conditions for access can and do vary by country, may differ from the ITU’s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spacing w:after="0" w:line="153" w:lineRule="exact"/>
        <w:rPr>
          <w:sz w:val="20"/>
          <w:szCs w:val="20"/>
          <w:color w:val="auto"/>
        </w:rPr>
      </w:pPr>
    </w:p>
    <w:p>
      <w:pPr>
        <w:ind w:right="240" w:firstLine="518"/>
        <w:spacing w:after="0" w:line="239" w:lineRule="auto"/>
        <w:rPr>
          <w:sz w:val="20"/>
          <w:szCs w:val="20"/>
          <w:color w:val="auto"/>
        </w:rPr>
      </w:pPr>
      <w:r>
        <w:rPr>
          <w:rFonts w:ascii="Arial" w:cs="Arial" w:eastAsia="Arial" w:hAnsi="Arial"/>
          <w:sz w:val="18"/>
          <w:szCs w:val="18"/>
          <w:color w:val="auto"/>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Broadband Services</w:t>
      </w:r>
    </w:p>
    <w:p>
      <w:pPr>
        <w:spacing w:after="0" w:line="85" w:lineRule="exact"/>
        <w:rPr>
          <w:sz w:val="20"/>
          <w:szCs w:val="20"/>
          <w:color w:val="auto"/>
        </w:rPr>
      </w:pPr>
    </w:p>
    <w:p>
      <w:pPr>
        <w:ind w:firstLine="518"/>
        <w:spacing w:after="0" w:line="253" w:lineRule="auto"/>
        <w:rPr>
          <w:sz w:val="20"/>
          <w:szCs w:val="20"/>
          <w:color w:val="auto"/>
        </w:rPr>
      </w:pPr>
      <w:r>
        <w:rPr>
          <w:rFonts w:ascii="Arial" w:cs="Arial" w:eastAsia="Arial" w:hAnsi="Arial"/>
          <w:sz w:val="17"/>
          <w:szCs w:val="17"/>
          <w:color w:val="auto"/>
        </w:rPr>
        <w:t>We provide high-speed broadband internet access and VoIP services to customers in the United States, as well as in Europe, Latin America, and on commercial aircraft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8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130"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 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130" w:lineRule="exact"/>
        <w:rPr>
          <w:sz w:val="20"/>
          <w:szCs w:val="20"/>
          <w:color w:val="auto"/>
        </w:rPr>
      </w:pPr>
    </w:p>
    <w:p>
      <w:pPr>
        <w:ind w:right="20" w:firstLine="518"/>
        <w:spacing w:after="0" w:line="242"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 spacecraft to be used to serve the United States. The FCC has authorized the use of the ViaSat-1, ViaSat-2, WildBlue-1 and Anik F2 spacecraft to serve the United States. The FCC also has granted us the right to use certain future spacecraft to serve the United States, as long as we implement those spacecraft by certain deadlines. The use of these spacecraft in our business is subject to various conditions in the underlying authorizations, as well as the technical and operational requirements of the FCC’s rules and regulations.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5" w:name="page16"/>
    <w:bookmarkEnd w:id="15"/>
    <w:p>
      <w:pPr>
        <w:ind w:right="40" w:firstLine="518"/>
        <w:spacing w:after="0" w:line="239"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Certain of our services may constitute the provision of telecommunications to, from or within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require us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18.8%. Current FCC rules permit us to pass this universal service contribution through to our customers. The FCC has established a universal service funding mechanism to support the provision of voice and broadband services in certain high-cost areas of the United States, known as the Connect America Fund (the CAF). Among other things, the CAF mechanism provides, or will likely provide, support to terrestrial service providers under terms and conditions that are not available to satellite-based service providers. The CAF could provide other service providers a competitive advantage in providing broadband services in supported areas, which could have a material adverse effect on our business, financial condition and results of operations.</w:t>
      </w:r>
    </w:p>
    <w:p>
      <w:pPr>
        <w:spacing w:after="0" w:line="130" w:lineRule="exact"/>
        <w:rPr>
          <w:sz w:val="20"/>
          <w:szCs w:val="20"/>
          <w:color w:val="auto"/>
        </w:rPr>
      </w:pPr>
    </w:p>
    <w:p>
      <w:pPr>
        <w:jc w:val="both"/>
        <w:ind w:right="80" w:firstLine="518"/>
        <w:spacing w:after="0" w:line="251"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telecommunications providers and broadband internet access providers to ensure that law enforcement agencies are able to conduct lawfully-authorized surveillance of users of their services.</w:t>
      </w:r>
    </w:p>
    <w:p>
      <w:pPr>
        <w:spacing w:after="0" w:line="120" w:lineRule="exact"/>
        <w:rPr>
          <w:sz w:val="20"/>
          <w:szCs w:val="20"/>
          <w:color w:val="auto"/>
        </w:rPr>
      </w:pPr>
    </w:p>
    <w:p>
      <w:pPr>
        <w:ind w:right="20" w:firstLine="518"/>
        <w:spacing w:after="0"/>
        <w:rPr>
          <w:sz w:val="20"/>
          <w:szCs w:val="20"/>
          <w:color w:val="auto"/>
        </w:rPr>
      </w:pPr>
      <w:r>
        <w:rPr>
          <w:rFonts w:ascii="Arial" w:cs="Arial" w:eastAsia="Arial" w:hAnsi="Arial"/>
          <w:sz w:val="18"/>
          <w:szCs w:val="18"/>
          <w:i w:val="1"/>
          <w:iCs w:val="1"/>
          <w:color w:val="auto"/>
        </w:rPr>
        <w:t xml:space="preserve">Net Neutrality. </w:t>
      </w:r>
      <w:r>
        <w:rPr>
          <w:rFonts w:ascii="Arial" w:cs="Arial" w:eastAsia="Arial" w:hAnsi="Arial"/>
          <w:sz w:val="18"/>
          <w:szCs w:val="18"/>
          <w:color w:val="auto"/>
        </w:rPr>
        <w:t>In February 2015, the FCC adopted new rules intended to preserve the openness of the internet, a concept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“net neutrality” or “open internet.” The FCC’s “net neutrality” rules, among other things, prohibit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w:t>
      </w:r>
    </w:p>
    <w:p>
      <w:pPr>
        <w:ind w:right="20" w:firstLine="8"/>
        <w:spacing w:after="0" w:line="239" w:lineRule="auto"/>
        <w:tabs>
          <w:tab w:leader="none" w:pos="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p>
    <w:p>
      <w:pPr>
        <w:spacing w:after="0" w:line="148"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is currently under review in the D.C. Circuit. In addition, legislative proposals that would restore net neutrality requirements are being considered in Congress, and some states have recently adopted portions of the net neutrality requirements. Some legislative actions at the state level are being challenged in courts on federal preemption and other grounds, and in some cases, the requirements currently are not being enforced. We cannot predict the outcome of these pending appeals and legislative efforts, or any resulting impact on ISPs.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and the spectrum service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6" w:name="page17"/>
    <w:bookmarkEnd w:id="16"/>
    <w:p>
      <w:pPr>
        <w:ind w:right="20" w:firstLine="518"/>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operates under the authority of the United Kingdom. We also use Ka -band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9"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31" w:lineRule="exact"/>
        <w:rPr>
          <w:sz w:val="20"/>
          <w:szCs w:val="20"/>
          <w:color w:val="auto"/>
        </w:rPr>
      </w:pPr>
    </w:p>
    <w:p>
      <w:pPr>
        <w:ind w:right="80" w:firstLine="518"/>
        <w:spacing w:after="0"/>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p>
    <w:p>
      <w:pPr>
        <w:spacing w:after="0" w:line="131"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Aviation-Related Regulation</w:t>
      </w:r>
    </w:p>
    <w:p>
      <w:pPr>
        <w:spacing w:after="0" w:line="67"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i w:val="1"/>
          <w:iCs w:val="1"/>
          <w:color w:val="auto"/>
        </w:rPr>
        <w:t>Aircraft Modification</w:t>
      </w:r>
      <w:r>
        <w:rPr>
          <w:rFonts w:ascii="Arial" w:cs="Arial" w:eastAsia="Arial" w:hAnsi="Arial"/>
          <w:sz w:val="18"/>
          <w:szCs w:val="18"/>
          <w:color w:val="auto"/>
        </w:rPr>
        <w:t>. The Federal Aviation Administration (FAA) is responsible for the regulation and oversight of civil aviation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certification of our IFC and W-IFE equipment and (2) obtaining a Supplemental Type Certificate (STC) to enable the retrofit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Our commercial air business depends on our ability to interact with the FAA and ODAs, as well as FAA-certified engineering professionals, in order to access data and obtain authorizations and approvals.</w:t>
      </w:r>
    </w:p>
    <w:p>
      <w:pPr>
        <w:spacing w:after="0" w:line="135" w:lineRule="exact"/>
        <w:rPr>
          <w:sz w:val="20"/>
          <w:szCs w:val="20"/>
          <w:color w:val="auto"/>
        </w:rPr>
      </w:pPr>
    </w:p>
    <w:p>
      <w:pPr>
        <w:ind w:right="200" w:firstLine="518"/>
        <w:spacing w:after="0" w:line="242" w:lineRule="auto"/>
        <w:rPr>
          <w:sz w:val="20"/>
          <w:szCs w:val="20"/>
          <w:color w:val="auto"/>
        </w:rPr>
      </w:pPr>
      <w:r>
        <w:rPr>
          <w:rFonts w:ascii="Arial" w:cs="Arial" w:eastAsia="Arial" w:hAnsi="Arial"/>
          <w:sz w:val="18"/>
          <w:szCs w:val="18"/>
          <w:i w:val="1"/>
          <w:iCs w:val="1"/>
          <w:color w:val="auto"/>
        </w:rPr>
        <w:t>Parts Manufacturing Approval</w:t>
      </w:r>
      <w:r>
        <w:rPr>
          <w:rFonts w:ascii="Arial" w:cs="Arial" w:eastAsia="Arial" w:hAnsi="Arial"/>
          <w:sz w:val="18"/>
          <w:szCs w:val="18"/>
          <w:color w:val="auto"/>
        </w:rPr>
        <w:t>. We have a wide range of products supporting both commercial and business aviation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our entire fleet of current IFC and W-IFE product offerings due to multiple licensing agreements with both OEMs for linefit installations and ODAs for retrofit installations.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7" w:name="page18"/>
    <w:bookmarkEnd w:id="17"/>
    <w:p>
      <w:pPr>
        <w:ind w:right="120" w:firstLine="518"/>
        <w:spacing w:after="0" w:line="242" w:lineRule="auto"/>
        <w:rPr>
          <w:sz w:val="20"/>
          <w:szCs w:val="20"/>
          <w:color w:val="auto"/>
        </w:rPr>
      </w:pPr>
      <w:r>
        <w:rPr>
          <w:rFonts w:ascii="Arial" w:cs="Arial" w:eastAsia="Arial" w:hAnsi="Arial"/>
          <w:sz w:val="18"/>
          <w:szCs w:val="18"/>
          <w:i w:val="1"/>
          <w:iCs w:val="1"/>
          <w:color w:val="auto"/>
        </w:rPr>
        <w:t>FAA Part 145 Repair Stations</w:t>
      </w:r>
      <w:r>
        <w:rPr>
          <w:rFonts w:ascii="Arial" w:cs="Arial" w:eastAsia="Arial" w:hAnsi="Arial"/>
          <w:sz w:val="18"/>
          <w:szCs w:val="18"/>
          <w:color w:val="auto"/>
        </w:rPr>
        <w:t>. The FAA has approved several of our locations as 14 CFR Part 145 repair stations, which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9"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51"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5"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In our satellite services segment, historically subscriber activity for our consumer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changes in credit check and subscriber approval processes and satellite beam congestion.</w:t>
      </w:r>
    </w:p>
    <w:p>
      <w:pPr>
        <w:spacing w:after="0" w:line="151" w:lineRule="exact"/>
        <w:rPr>
          <w:sz w:val="20"/>
          <w:szCs w:val="20"/>
          <w:color w:val="auto"/>
        </w:rPr>
      </w:pPr>
    </w:p>
    <w:p>
      <w:pPr>
        <w:jc w:val="both"/>
        <w:ind w:right="220" w:firstLine="518"/>
        <w:spacing w:after="0"/>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67" w:lineRule="exact"/>
        <w:rPr>
          <w:sz w:val="20"/>
          <w:szCs w:val="20"/>
          <w:color w:val="auto"/>
        </w:rPr>
      </w:pPr>
    </w:p>
    <w:p>
      <w:pPr>
        <w:ind w:right="260" w:firstLine="518"/>
        <w:spacing w:after="0" w:line="242"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The information on our website is not part of this report or any other report that we furnish to or file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As of March 31, 2019, we employed approximately 5,600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169" w:lineRule="exact"/>
        <w:rPr>
          <w:sz w:val="20"/>
          <w:szCs w:val="20"/>
          <w:color w:val="auto"/>
        </w:rPr>
      </w:pPr>
    </w:p>
    <w:tbl>
      <w:tblPr>
        <w:tblLayout w:type="fixed"/>
        <w:tblInd w:w="720" w:type="dxa"/>
        <w:tblCellMar>
          <w:top w:w="0" w:type="dxa"/>
          <w:left w:w="0" w:type="dxa"/>
          <w:bottom w:w="0" w:type="dxa"/>
          <w:right w:w="0" w:type="dxa"/>
        </w:tblCellMar>
      </w:tblPr>
      <w:tr>
        <w:trPr>
          <w:trHeight w:val="165"/>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Age</w:t>
            </w:r>
          </w:p>
        </w:tc>
        <w:tc>
          <w:tcPr>
            <w:tcW w:w="59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64</w:t>
            </w:r>
          </w:p>
        </w:tc>
        <w:tc>
          <w:tcPr>
            <w:tcW w:w="320" w:type="dxa"/>
            <w:vAlign w:val="bottom"/>
          </w:tcPr>
          <w:p>
            <w:pPr>
              <w:spacing w:after="0"/>
              <w:rPr>
                <w:sz w:val="16"/>
                <w:szCs w:val="16"/>
                <w:color w:val="auto"/>
              </w:rPr>
            </w:pPr>
          </w:p>
        </w:tc>
        <w:tc>
          <w:tcPr>
            <w:tcW w:w="5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Richard Baldridge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Director, President and Chief Operating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Doug Abts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Global Mobility</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Marc Agnew</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Commercial Networks</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Robert Blair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Girish Chandran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Melinda Del Toro</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People and Culture and Chief People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Bruce Dirks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Treasury and Corporate Development</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Shawn Duffy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Kevin Harkenrider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and President, Broadband Systems</w:t>
            </w:r>
          </w:p>
        </w:tc>
      </w:tr>
      <w:tr>
        <w:trPr>
          <w:trHeight w:val="203"/>
        </w:trPr>
        <w:tc>
          <w:tcPr>
            <w:tcW w:w="2940" w:type="dxa"/>
            <w:vAlign w:val="bottom"/>
            <w:gridSpan w:val="3"/>
          </w:tcPr>
          <w:p>
            <w:pPr>
              <w:spacing w:after="0" w:line="202" w:lineRule="exact"/>
              <w:rPr>
                <w:sz w:val="20"/>
                <w:szCs w:val="20"/>
                <w:color w:val="auto"/>
              </w:rPr>
            </w:pPr>
            <w:r>
              <w:rPr>
                <w:rFonts w:ascii="Arial" w:cs="Arial" w:eastAsia="Arial" w:hAnsi="Arial"/>
                <w:sz w:val="18"/>
                <w:szCs w:val="18"/>
                <w:color w:val="auto"/>
              </w:rPr>
              <w:t>Keven Lippert</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47</w:t>
            </w:r>
          </w:p>
        </w:tc>
        <w:tc>
          <w:tcPr>
            <w:tcW w:w="3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Executive Vice President, Strategic Initiatives and Chief Commercial</w:t>
            </w: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00" w:type="dxa"/>
            <w:vAlign w:val="bottom"/>
          </w:tcPr>
          <w:p>
            <w:pPr>
              <w:ind w:left="220"/>
              <w:spacing w:after="0" w:line="202" w:lineRule="exact"/>
              <w:rPr>
                <w:sz w:val="20"/>
                <w:szCs w:val="20"/>
                <w:color w:val="auto"/>
              </w:rPr>
            </w:pPr>
            <w:r>
              <w:rPr>
                <w:rFonts w:ascii="Arial" w:cs="Arial" w:eastAsia="Arial" w:hAnsi="Arial"/>
                <w:sz w:val="18"/>
                <w:szCs w:val="18"/>
                <w:color w:val="auto"/>
              </w:rPr>
              <w:t>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Mark Miller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Executive Vice President and Chief Technical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Ken Peterman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and President, Government Systems</w:t>
            </w:r>
          </w:p>
        </w:tc>
      </w:tr>
      <w:tr>
        <w:trPr>
          <w:trHeight w:val="230"/>
        </w:trPr>
        <w:tc>
          <w:tcPr>
            <w:tcW w:w="2940" w:type="dxa"/>
            <w:vAlign w:val="bottom"/>
            <w:gridSpan w:val="3"/>
          </w:tcPr>
          <w:p>
            <w:pPr>
              <w:spacing w:after="0"/>
              <w:rPr>
                <w:sz w:val="20"/>
                <w:szCs w:val="20"/>
                <w:color w:val="auto"/>
              </w:rPr>
            </w:pPr>
            <w:r>
              <w:rPr>
                <w:rFonts w:ascii="Arial" w:cs="Arial" w:eastAsia="Arial" w:hAnsi="Arial"/>
                <w:sz w:val="18"/>
                <w:szCs w:val="18"/>
                <w:color w:val="auto"/>
              </w:rPr>
              <w:t>David Ryan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3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and President, Viasat Commercial Networks</w:t>
            </w:r>
          </w:p>
        </w:tc>
      </w:tr>
    </w:tbl>
    <w:p>
      <w:pPr>
        <w:spacing w:after="0" w:line="130"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i w:val="1"/>
          <w:iCs w:val="1"/>
          <w:color w:val="auto"/>
        </w:rPr>
        <w:t xml:space="preserve">Mark Dankberg </w:t>
      </w:r>
      <w:r>
        <w:rPr>
          <w:rFonts w:ascii="Arial" w:cs="Arial" w:eastAsia="Arial" w:hAnsi="Arial"/>
          <w:sz w:val="18"/>
          <w:szCs w:val="18"/>
          <w:color w:val="auto"/>
        </w:rPr>
        <w:t>is a founder of Viasat and has served as Chairman of the Board and Chief Executive Officer of Viasat since its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May 1986. 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majority-owned subsidiary of Viasat that develops advanced signal processing technologies for communication applications. He also currently serves on the boards of Minnetronix, Inc., a privately-held medical device and design company, and Lytx, Inc., a privately-held company that provides fleet safety management solutions.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3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i w:val="1"/>
          <w:iCs w:val="1"/>
          <w:color w:val="auto"/>
        </w:rPr>
        <w:t xml:space="preserve">Richard Baldridge </w:t>
      </w:r>
      <w:r>
        <w:rPr>
          <w:rFonts w:ascii="Arial" w:cs="Arial" w:eastAsia="Arial" w:hAnsi="Arial"/>
          <w:sz w:val="18"/>
          <w:szCs w:val="18"/>
          <w:color w:val="auto"/>
        </w:rPr>
        <w:t>joined Viasat in April 1999, serving as our Executive Vice President, Chief Financial Officer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2000 and as our Executive Vice President and Chief Operating Officer from 2002. Mr. Baldridge assumed his current role as President and Chief Operating Officer in 2003. Mr. Baldridge was elected to the Board of Directors of Viasat in 2016. In addition, Mr. Baldridge serves as a director of Ducommun Incorporated,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30" w:lineRule="exact"/>
        <w:rPr>
          <w:sz w:val="20"/>
          <w:szCs w:val="20"/>
          <w:color w:val="auto"/>
        </w:rPr>
      </w:pPr>
    </w:p>
    <w:p>
      <w:pPr>
        <w:ind w:right="100" w:firstLine="518"/>
        <w:spacing w:after="0"/>
        <w:rPr>
          <w:sz w:val="20"/>
          <w:szCs w:val="20"/>
          <w:color w:val="auto"/>
        </w:rPr>
      </w:pPr>
      <w:r>
        <w:rPr>
          <w:rFonts w:ascii="Arial" w:cs="Arial" w:eastAsia="Arial" w:hAnsi="Arial"/>
          <w:sz w:val="18"/>
          <w:szCs w:val="18"/>
          <w:i w:val="1"/>
          <w:iCs w:val="1"/>
          <w:color w:val="auto"/>
        </w:rPr>
        <w:t xml:space="preserve">Doug Abts </w:t>
      </w:r>
      <w:r>
        <w:rPr>
          <w:rFonts w:ascii="Arial" w:cs="Arial" w:eastAsia="Arial" w:hAnsi="Arial"/>
          <w:sz w:val="18"/>
          <w:szCs w:val="18"/>
          <w:color w:val="auto"/>
        </w:rPr>
        <w:t>joined Viasat in September 2015 as Vice President, Strategy Development, Broadband Services, and in May 2017, he</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his current role as Vice President, Global Mobility. Mr. Abts has over 20 years of experience in the areas of general management, business development, mergers and acquisitions, and strategic planning. From July 2010 to August 2015, Mr. Abts served as Executive Vice President, Strategy and Corporate Development of Bridgepoint Education. From August 2003 to June 2010, Mr. Abts operated in key management and business development roles at Science Applications International Corporation. Early in his career, he served with distinction as an officer in the United States Navy SEALs. Mr. Abts earned a B.A. degree from Stanford University and an M.B.A. degree from Harvard Business School.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9" w:name="page20"/>
    <w:bookmarkEnd w:id="19"/>
    <w:p>
      <w:pPr>
        <w:ind w:firstLine="518"/>
        <w:spacing w:after="0" w:line="239" w:lineRule="auto"/>
        <w:rPr>
          <w:sz w:val="20"/>
          <w:szCs w:val="20"/>
          <w:color w:val="auto"/>
        </w:rPr>
      </w:pPr>
      <w:r>
        <w:rPr>
          <w:rFonts w:ascii="Arial" w:cs="Arial" w:eastAsia="Arial" w:hAnsi="Arial"/>
          <w:sz w:val="18"/>
          <w:szCs w:val="18"/>
          <w:i w:val="1"/>
          <w:iCs w:val="1"/>
          <w:color w:val="auto"/>
        </w:rPr>
        <w:t xml:space="preserve">Marc Agnew </w:t>
      </w:r>
      <w:r>
        <w:rPr>
          <w:rFonts w:ascii="Arial" w:cs="Arial" w:eastAsia="Arial" w:hAnsi="Arial"/>
          <w:sz w:val="18"/>
          <w:szCs w:val="18"/>
          <w:color w:val="auto"/>
        </w:rPr>
        <w:t>joined Viasat in 1988 and has held various technical, management and business positions with Viasat over the past 30</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2003 to 2004, Mr. Agnew served as Vice President, Government Broadband, from 2005 to 2012, he served as Vice President and General Manager, Broadband Systems, and from February 2012 to October 2014, he served as Vice President and Chief Technology Officer, Broadband Services. From November 2014 to January 2017, Mr. Agnew worked to create Viasat’s European broadband joint venture, where he then served as Chief Technology Officer until May 2018, while also leading Viasat’s office in the United Kingdom from September 2016 to September 2017. Mr. Agnew was appointed to his current position of Vice President, Commercial Networks in May 2018. Prior to joining Viasat, Mr. Agnew worked at Comsat Telesystems and M/A-Com Linkabit. Mr. Agnew earned a B.S.E.E degree from The George Washington University and an M.S.E.E. degree from The University of California, Berkeley.</w:t>
      </w:r>
    </w:p>
    <w:p>
      <w:pPr>
        <w:spacing w:after="0" w:line="134" w:lineRule="exact"/>
        <w:rPr>
          <w:sz w:val="20"/>
          <w:szCs w:val="20"/>
          <w:color w:val="auto"/>
        </w:rPr>
      </w:pPr>
    </w:p>
    <w:p>
      <w:pPr>
        <w:ind w:right="80" w:firstLine="518"/>
        <w:spacing w:after="0" w:line="242" w:lineRule="auto"/>
        <w:rPr>
          <w:sz w:val="20"/>
          <w:szCs w:val="20"/>
          <w:color w:val="auto"/>
        </w:rPr>
      </w:pPr>
      <w:r>
        <w:rPr>
          <w:rFonts w:ascii="Arial" w:cs="Arial" w:eastAsia="Arial" w:hAnsi="Arial"/>
          <w:sz w:val="18"/>
          <w:szCs w:val="18"/>
          <w:i w:val="1"/>
          <w:iCs w:val="1"/>
          <w:color w:val="auto"/>
        </w:rPr>
        <w:t xml:space="preserve">Robert Blair </w:t>
      </w:r>
      <w:r>
        <w:rPr>
          <w:rFonts w:ascii="Arial" w:cs="Arial" w:eastAsia="Arial" w:hAnsi="Arial"/>
          <w:sz w:val="18"/>
          <w:szCs w:val="18"/>
          <w:color w:val="auto"/>
        </w:rPr>
        <w:t>joined Viasat in May 2008 as Assistant General Counsel. In April 2009, Mr. Blair was appointed Associate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and in 2014 was appointed Vice President and Deputy General Counsel. In May 2017, Mr. Blair assumed his current position as Vice President, General Counsel and Secretary.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31" w:lineRule="exact"/>
        <w:rPr>
          <w:sz w:val="20"/>
          <w:szCs w:val="20"/>
          <w:color w:val="auto"/>
        </w:rPr>
      </w:pPr>
    </w:p>
    <w:p>
      <w:pPr>
        <w:ind w:right="440" w:firstLine="518"/>
        <w:spacing w:after="0" w:line="259" w:lineRule="auto"/>
        <w:rPr>
          <w:sz w:val="20"/>
          <w:szCs w:val="20"/>
          <w:color w:val="auto"/>
        </w:rPr>
      </w:pPr>
      <w:r>
        <w:rPr>
          <w:rFonts w:ascii="Arial" w:cs="Arial" w:eastAsia="Arial" w:hAnsi="Arial"/>
          <w:sz w:val="17"/>
          <w:szCs w:val="17"/>
          <w:i w:val="1"/>
          <w:iCs w:val="1"/>
          <w:color w:val="auto"/>
        </w:rPr>
        <w:t xml:space="preserve">Girish Chandran </w:t>
      </w:r>
      <w:r>
        <w:rPr>
          <w:rFonts w:ascii="Arial" w:cs="Arial" w:eastAsia="Arial" w:hAnsi="Arial"/>
          <w:sz w:val="17"/>
          <w:szCs w:val="17"/>
          <w:color w:val="auto"/>
        </w:rPr>
        <w:t>joined Viasat in October 2007 as a Principal Engineer. In September 2013, Mr. Chandran was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Officer — Commercial Networks. In May 2017, he assumed his current position as Vice President and Chief Technical Officer.</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33"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i w:val="1"/>
          <w:iCs w:val="1"/>
          <w:color w:val="auto"/>
        </w:rPr>
        <w:t xml:space="preserve">Melinda Del Toro </w:t>
      </w:r>
      <w:r>
        <w:rPr>
          <w:rFonts w:ascii="Arial" w:cs="Arial" w:eastAsia="Arial" w:hAnsi="Arial"/>
          <w:sz w:val="18"/>
          <w:szCs w:val="18"/>
          <w:color w:val="auto"/>
        </w:rPr>
        <w:t>joined Viasat in 2001 as Manager of Learning and Development. In 2003 she began to assume a broader role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organization. In 2008 she was appointed Director of Human Resources and in 2011 was appointed Vice</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President — Human Resources. In April 2016, she assumed the position of Senior Vice President — Human Resources, which was retitled Senior Vice President — People and Culture in April 2017. In May 2018, she was also named Chief People Officer. Ms. Del Toro currently serves on the board of trustees at the San Diego Museum of Art. Ms. Del Toro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Del Toro holds B.A. and M.A. degrees in Communication from San Diego State University.</w:t>
      </w:r>
    </w:p>
    <w:p>
      <w:pPr>
        <w:spacing w:after="0" w:line="13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i w:val="1"/>
          <w:iCs w:val="1"/>
          <w:color w:val="auto"/>
        </w:rPr>
        <w:t xml:space="preserve">Bruce Dirks </w:t>
      </w:r>
      <w:r>
        <w:rPr>
          <w:rFonts w:ascii="Arial" w:cs="Arial" w:eastAsia="Arial" w:hAnsi="Arial"/>
          <w:sz w:val="18"/>
          <w:szCs w:val="18"/>
          <w:color w:val="auto"/>
        </w:rPr>
        <w:t>joined Viasat in April 2013 as Vice President and Chief Financial Officer. He assumed his current position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Treasury and Corporate Development in June 2014. Prior to joining Viasat, Mr. Dirks served as a portfolio manager at Fidelity Management &amp; Research Company from 2000 to April 2013, and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30" w:lineRule="exact"/>
        <w:rPr>
          <w:sz w:val="20"/>
          <w:szCs w:val="20"/>
          <w:color w:val="auto"/>
        </w:rPr>
      </w:pPr>
    </w:p>
    <w:p>
      <w:pPr>
        <w:ind w:right="20" w:firstLine="518"/>
        <w:spacing w:after="0" w:line="241"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30"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 2007</w:t>
      </w:r>
      <w:r>
        <w:rPr>
          <w:rFonts w:ascii="Arial" w:cs="Arial" w:eastAsia="Arial" w:hAnsi="Arial"/>
          <w:sz w:val="18"/>
          <w:szCs w:val="18"/>
          <w:i w:val="1"/>
          <w:iCs w:val="1"/>
          <w:color w:val="auto"/>
        </w:rPr>
        <w:t xml:space="preserve"> </w:t>
      </w:r>
      <w:r>
        <w:rPr>
          <w:rFonts w:ascii="Arial" w:cs="Arial" w:eastAsia="Arial" w:hAnsi="Arial"/>
          <w:sz w:val="18"/>
          <w:szCs w:val="18"/>
          <w:color w:val="auto"/>
        </w:rPr>
        <w:t>until December 2009, served as Vice President of Viasat and Chief Operating Officer of Viasat Communications Inc. from December 2009 to April 2011, as Senior Vice President — Infrastructure Operations from April 2011 to May 2012, as Senior Vice President — Broadband Services from May 2012 to May 2015, and as Senior Vice President — Commercial Networks from May 2015 to May 2018. Mr. Harkenrider assumed his current position as Senior Vice President and President, Broadband Systems in May 2018.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20" w:name="page21"/>
    <w:bookmarkEnd w:id="20"/>
    <w:p>
      <w:pPr>
        <w:ind w:firstLine="518"/>
        <w:spacing w:after="0" w:line="256" w:lineRule="auto"/>
        <w:rPr>
          <w:sz w:val="20"/>
          <w:szCs w:val="20"/>
          <w:color w:val="auto"/>
        </w:rPr>
      </w:pPr>
      <w:r>
        <w:rPr>
          <w:rFonts w:ascii="Arial" w:cs="Arial" w:eastAsia="Arial" w:hAnsi="Arial"/>
          <w:sz w:val="17"/>
          <w:szCs w:val="17"/>
          <w:i w:val="1"/>
          <w:iCs w:val="1"/>
          <w:color w:val="auto"/>
        </w:rPr>
        <w:t xml:space="preserve">Keven Lippert </w:t>
      </w:r>
      <w:r>
        <w:rPr>
          <w:rFonts w:ascii="Arial" w:cs="Arial" w:eastAsia="Arial" w:hAnsi="Arial"/>
          <w:sz w:val="17"/>
          <w:szCs w:val="17"/>
          <w:color w:val="auto"/>
        </w:rPr>
        <w:t>joined Viasat in May 2000 as Associate General Counsel and Assistant Secretary. In April 2007, he was appointed</w:t>
      </w:r>
      <w:r>
        <w:rPr>
          <w:rFonts w:ascii="Arial" w:cs="Arial" w:eastAsia="Arial" w:hAnsi="Arial"/>
          <w:sz w:val="17"/>
          <w:szCs w:val="17"/>
          <w:i w:val="1"/>
          <w:iCs w:val="1"/>
          <w:color w:val="auto"/>
        </w:rPr>
        <w:t xml:space="preserve"> </w:t>
      </w:r>
      <w:r>
        <w:rPr>
          <w:rFonts w:ascii="Arial" w:cs="Arial" w:eastAsia="Arial" w:hAnsi="Arial"/>
          <w:sz w:val="17"/>
          <w:szCs w:val="17"/>
          <w:color w:val="auto"/>
        </w:rPr>
        <w:t>Viasat’s Vice President, General Counsel and Secretary, in 2012 he was appointed Senior Vice President — General Counsel and Secretary, and in June 2014 he was appointed Executive Vice President — General Counsel and Secretary. In May 2017, he was appointed President, Broadband Services and Chief Legal Officer, and in May 2018, he assumed the position as Executive Vice President, Corporate Development and Chief Administrative Officer. Effective September 2018, he assumed his current position as Executive Vice President, Strategic Initiatives and Chief Commercial Officer.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21"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27"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i w:val="1"/>
          <w:iCs w:val="1"/>
          <w:color w:val="auto"/>
        </w:rPr>
        <w:t xml:space="preserve">Ken Peterman </w:t>
      </w:r>
      <w:r>
        <w:rPr>
          <w:rFonts w:ascii="Arial" w:cs="Arial" w:eastAsia="Arial" w:hAnsi="Arial"/>
          <w:sz w:val="18"/>
          <w:szCs w:val="18"/>
          <w:color w:val="auto"/>
        </w:rPr>
        <w:t>joined Viasat in April 2013 as Vice President — Government Systems. In June 2014, he was appointed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Government Systems. Mr. Peterman assumed his current position as Senior Vice President and President, Government Systems in May 2017. Mr. Peterman has over 35 years of experience in general management, systems engineering, strategic planning, portfolio management, and business leadership in the aerospace and defense industries. From July 2012 to April 2013, Mr. Peterman served as President and Chief Executive Officer of SpyGlass Group, a company he 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35"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i w:val="1"/>
          <w:iCs w:val="1"/>
          <w:color w:val="auto"/>
        </w:rPr>
        <w:t xml:space="preserve">David Ryan </w:t>
      </w:r>
      <w:r>
        <w:rPr>
          <w:rFonts w:ascii="Arial" w:cs="Arial" w:eastAsia="Arial" w:hAnsi="Arial"/>
          <w:sz w:val="18"/>
          <w:szCs w:val="18"/>
          <w:color w:val="auto"/>
        </w:rPr>
        <w:t>joined Viasat in May 2016 as Vice President — Intelligence Programs. In May 2018, Mr. Ryan was appointed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President, Viasat Space Systems, and in March 2019, he assumed his current role as a Vice President, Viasat Commercial Networks. Prior to joining Viasat, Mr. Ryan held several roles at Northrop Grumman Corporation from 2005 to 2014, including Sector Vice President and General Manager of the Intelligence Systems Division. He also served in various roles at The Boeing Company from 1990 to 2005, including President of Boeing Space Systems International. Mr. Ryan currently serves as a director of Space Micro Inc., a satellite electronics product company. Mr. Ryan earned a B.S.E.E and an M.E.E degree from Rice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85"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62" w:lineRule="exact"/>
        <w:rPr>
          <w:sz w:val="20"/>
          <w:szCs w:val="20"/>
          <w:color w:val="auto"/>
        </w:rPr>
      </w:pPr>
    </w:p>
    <w:p>
      <w:pPr>
        <w:ind w:left="1040" w:right="120" w:hanging="519"/>
        <w:spacing w:after="0" w:line="246"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construction, launch or acquisition of satellites, the associated level of investment required and the impact of any construction or launch delays, operational or launch failures or other disruptions to our satellites;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uptake of our in-flight services by commercial airlines and number of aircraft being retrofitted or installed with our IFC systems;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fixed broadband business;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fixed broadband business;</w:t>
      </w:r>
    </w:p>
    <w:p>
      <w:pPr>
        <w:spacing w:after="0" w:line="63" w:lineRule="exact"/>
        <w:rPr>
          <w:rFonts w:ascii="Arial" w:cs="Arial" w:eastAsia="Arial" w:hAnsi="Arial"/>
          <w:sz w:val="18"/>
          <w:szCs w:val="18"/>
          <w:color w:val="auto"/>
        </w:rPr>
      </w:pPr>
    </w:p>
    <w:p>
      <w:pPr>
        <w:ind w:left="1040" w:right="600" w:hanging="519"/>
        <w:spacing w:after="0" w:line="246"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complex and lengthy procurement process for most of our commercial networks and government systems customers and potential customers;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1" w:name="page22"/>
    <w:bookmarkEnd w:id="21"/>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levels of R&amp;D spending, including the effects of associated tax credits;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63" w:lineRule="exact"/>
        <w:rPr>
          <w:rFonts w:ascii="Arial" w:cs="Arial" w:eastAsia="Arial" w:hAnsi="Arial"/>
          <w:sz w:val="18"/>
          <w:szCs w:val="18"/>
          <w:color w:val="auto"/>
        </w:rPr>
      </w:pPr>
    </w:p>
    <w:p>
      <w:pPr>
        <w:ind w:left="1040" w:right="400" w:hanging="519"/>
        <w:spacing w:after="0" w:line="24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5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Any of the foregoing factors, or any other factors discussed elsewhere herein, could have a material adverse effect on our business, financial condition and results of operations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99"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In addition, two third-generation ViaSat-3 class satellites (our third-generation high-capacity Ka-band satellite design) have entered the phase of full construction, and in January 2019 we signed an agreement to proceed for a third ViaSat-3 class satellite. We also have an exclusive prepaid lifetime capital lease of Ka-band capacity over the contiguous United States on Telesat Canada’s Anik F2 satellite (which was placed into service in April 2005). We also lease capacity on multiple satellites related to the provision of our international broadband services. We may construct, acquire or use additional satellites in the future.</w:t>
      </w:r>
    </w:p>
    <w:p>
      <w:pPr>
        <w:spacing w:after="0" w:line="154"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including malfunctions in the deployment of subsystems and/or components,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54" w:lineRule="exact"/>
        <w:rPr>
          <w:sz w:val="20"/>
          <w:szCs w:val="20"/>
          <w:color w:val="auto"/>
        </w:rPr>
      </w:pPr>
    </w:p>
    <w:p>
      <w:pPr>
        <w:ind w:left="1040" w:right="260" w:hanging="519"/>
        <w:spacing w:after="0" w:line="246"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5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revenues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22" w:name="page23"/>
    <w:bookmarkEnd w:id="22"/>
    <w:p>
      <w:pPr>
        <w:ind w:firstLine="518"/>
        <w:spacing w:after="0" w:line="239"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ability to earn revenues from our satellite services depends on the continued operation of ViaSat-2, ViaSat-1, WildBlue-1 and any other satellite we may acquire or use in the future, such as our ViaSat-3 class satellites.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our existing satellites or any other satellite we may own or acquire in the future prior to the end of its life.</w:t>
      </w:r>
    </w:p>
    <w:p>
      <w:pPr>
        <w:spacing w:after="0" w:line="19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New or Proposed Satellites Are Subject to Significant Risks Related to Construction and Launch that Could Limit Our Ability to Utilize these Satellites</w:t>
      </w:r>
    </w:p>
    <w:p>
      <w:pPr>
        <w:spacing w:after="0" w:line="2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Two third-generation ViaSat-3 class satellites (our third-generation high-capacity Ka-band satellite design) have entered the phase of full construction, and in January 2019 we signed an agreement to proceed for a third ViaSat-3 class satellite. We may construct and launch additional satellites in the future. The design and construction of satellites require significant investments of capital and management time. Satellite construction and launch are also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Unlike our ViaSat-1 and ViaSat-2 satellites, which were constructed in their entirety by the satellite manufacturer, we are for the first time constructing the payload for our ViaSat-3 class satellites ourselves at our own facilities, and Boeing will integrate the completed payload into the satellite bus at their facilities. Moreover, the technologies in our ViaSat-3 satellite design are very complex, and there can be no assurance that the technologies will work as we expect or that we will realize any or all of the anticipated benefits of our ViaSat-3 satellite design. Difficulties or delays in the construction or integration of the payload for our ViaSat-3 class satellites or the implementation of our ViaSat-3 satellite design could adversely affect our business plan for these satellites and result in significant additional cost. We have in the past experienced delays in satellite construction and launch, such as the delay that occurred in the launch of our ViaSat-2 satellite caused by civil unrest in French Guiana (the location of the satellite launch). Moreover, we have in the past identified construction-related issues in our satellites. For example, 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we recorded a reduction to the carrying value of the ViaSat-2 satellite of $177.4 million, with a corresponding insurance receivable of $177.4 million, based on our estimated ViaSat-2 output capabilities as compared to the anticipated, potential and configured capacity of the ViaSat-2 satellite.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significant delay in the construction, delivery or launch of a satellite may have a material adverse effect on our operations or our business plan for the satellite.</w:t>
      </w:r>
    </w:p>
    <w:p>
      <w:pPr>
        <w:spacing w:after="0" w:line="160"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Satellites are also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3% but could at any time be higher. Launch vehicles may also under perform, in which case the satellite may still be able to be placed into service by using its onboard propulsion systems to reach the desired orbital location, but this would cause a reduction in its useful life. Moreover, even if launch is successful, following launch the satellite will need to reach its desired orbital location and undergo in-orbit testing and there can be no assurance that the satellite will successfully reach its geostationary orbital slot and pass in-orbit testing prior to transfer of control of the satellite to us. The failure to implement our satellite deployment plan on schedule could have a material adverse effect on our business,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currently hold pre-launch insurance for the payloads for our first two ViaSat-3 satellites and in-orbit insurance for our ViaSat-2, ViaSat-1, WildBlue-1 and Anik F2, satellites. We intend to seek launch and in-orbit insurance for any satellite we may construct or acquire in the future. However, we may not be able to obtain insurance, or renew existing insurance, for our satellites on reasonable economic terms or at all. If we are able to obtain or renew our insurance, it may contain customary exclusions and exclusions for past satellite anomalies. A failure to obtain or renew our satellite insurance may also result in a default under our debt instruments. In addition, the occurrence of any anomalies on other satellites, including other Ka-band satellites, or any failures of a satellite using similar components or failures of a similar launch vehicle to any launch vehicle we intend to use for any future satellite (including our ViaSat-3 class satellites), may materially adversely affect our ability to insure the satellites at commercially reasonable premiums or terms, if at all.</w:t>
      </w:r>
    </w:p>
    <w:p>
      <w:pPr>
        <w:spacing w:after="0" w:line="15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policies covering our insured satellites will not cover the full cost of constructing and launching or replacing a satellite nor fully cover our losses in the event of a satellite failure or significant degradation. Moreover, such policies do not cover, and we do not have protection against,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8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segment, we face competition for fixed broadband services both from existing competitors and emerging technologies. Our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may compete with our broadband service offerings. Additionally, wireless telecommunications carriers such as AT&amp;T, Sprint, T-Mobile and Verizon are currently offering unlimited data plans that could attract our existing and future fixed broadband subscribers. Our in-flight internet and entertainment service offerings compete against air-to-ground mobile services and other satellite-based services, such as the services offered by Global Eagle, Gogo, Inmarsat and Panasonic Avionics Corporation. In our commercial networks segment, we compete with numerous other providers of satellite and terrestrial communications systems, products and equipment, including: Airbus, CPI Antenna Systems Division, Comtech, EchoStar (Hughes Network Systems), General Dynamics, Gilat, iDirect Technologies, L-3 Communications, Newtec, Panasonic, Space Systems/Loral (SS/L) (MAXAR), Thales and Safran Aerosystems. In addition, some of our customers continuously evaluate whether to develop and manufacture their own products and could elect to compete with us at any time. Within our government systems segment, we generally compete with government communications services providers and manufacturers of defense electronics products, systems or subsystems, such as BAE Systems, General Dynamics, Harris, Inmarsat, Intelsat, Collins Aerospace and similar companies. We may also compete directly with the largest defense prime contractors, including Boeing, Lockheed Martin, Northrop Grumman and Raytheon Systems. 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Broadband Services Business Strategy May Not Succeed in the Long Term</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A major element of our broadband services business strategy is to utilize our proprietary high-capacity Ka-band satellites and any additional satellites we may construct or acquire in the future to continue to expand our provision of high-speed broadband services around the globe. We may be unsuccessful in implementing our business plan for our broadband services business, or we may not be able to achieve the revenues that we expect from our broadband services business. Any failure to realize our anticipated benefits of our high-capacity Ka-band satellites, to attract a sufficient number of distributors or customers for our fixed broadband services and in-flight services, to expand our broadband services business internationally or to grow our subscriber base for fixed broadband services or number of commercial airlines utilizing our IFC systems as quickly as we anticipate, may have a material adverse effect on our business, financial condition or results of operations.</w:t>
      </w:r>
    </w:p>
    <w:p>
      <w:pPr>
        <w:spacing w:after="0" w:line="15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with ViaSat-2 placed in service in the fourth quarter of fiscal year 2018, we have incurred additional operating costs in fiscal year 2019 in our satellite services segment. These increased operating costs include depreciation, amortization of capitalized software development, earth station connectivity, marketing and advertising costs, logistics, customer care and various support systems. In addition, interest expense increased during fiscal year 2019 as we no longer capitalize the interest expense relating to the debt incurred for the construction of ViaSat-2 and the related gateway and networking equipment now that the satellite is in service. We have also incurred significant IR&amp;D investments relating to our ViaSat-3 class satellites currently under construction, which negatively impacted our financial results in our commercial networks segment in fiscal year 2018 in particular (with total IR&amp;D expenses for fiscal year 2018 reaching $168.3 million). We expect to continue to invest in IR&amp;D at a significant level as we continue our focus on leadership and innovation in satellite and space technologies, although the level of investment in a given fiscal year will depend on a variety of factors, including the stage of development of our satellite projects, new market opportunities and our overall operating performance. If our business strategy for our satellite services segment does not succeed, we may be unable to recover our significant investments in our high-capacity Ka-band satellites, which could have a material adverse impact on our business,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8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15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could result in loss of the authorization. In addition, while we anticipate that these authorizations will be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5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Our ViaSat-2 satellite operates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5" w:name="page26"/>
    <w:bookmarkEnd w:id="25"/>
    <w:p>
      <w:pPr>
        <w:spacing w:after="0" w:line="237" w:lineRule="auto"/>
        <w:rPr>
          <w:sz w:val="20"/>
          <w:szCs w:val="20"/>
          <w:color w:val="auto"/>
        </w:rPr>
      </w:pPr>
      <w:r>
        <w:rPr>
          <w:rFonts w:ascii="Arial" w:cs="Arial" w:eastAsia="Arial" w:hAnsi="Arial"/>
          <w:sz w:val="18"/>
          <w:szCs w:val="18"/>
          <w:color w:val="auto"/>
        </w:rPr>
        <w:t>which our operating rights are based. The use of these spacecraft in our business is subject to various conditions in the underlying authorizations held by us, ManSat Limited and Telesat Canada, as well as the requirements of the laws and 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Joint Ventures and Other Strategic Alliances May Have an Adverse Effect on Our Business</w:t>
      </w:r>
    </w:p>
    <w:p>
      <w:pPr>
        <w:spacing w:after="0" w:line="99"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Risks and uncertainties relating to acquisitions, joint ventures and other strategic alliances include:</w:t>
      </w:r>
    </w:p>
    <w:p>
      <w:pPr>
        <w:spacing w:after="0" w:line="54" w:lineRule="exact"/>
        <w:rPr>
          <w:sz w:val="20"/>
          <w:szCs w:val="20"/>
          <w:color w:val="auto"/>
        </w:rPr>
      </w:pPr>
    </w:p>
    <w:p>
      <w:pPr>
        <w:ind w:left="1040" w:right="40" w:hanging="519"/>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in integrating and managing newly acquired businesses or any businesses of a joint venture or strategic alliance in an efficient and effective manner;</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such transactions;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63" w:lineRule="exact"/>
        <w:rPr>
          <w:rFonts w:ascii="Arial" w:cs="Arial" w:eastAsia="Arial" w:hAnsi="Arial"/>
          <w:sz w:val="18"/>
          <w:szCs w:val="18"/>
          <w:color w:val="auto"/>
        </w:rPr>
      </w:pPr>
    </w:p>
    <w:p>
      <w:pPr>
        <w:ind w:left="1040" w:right="300" w:hanging="519"/>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 or to the complexities of a joint venture or strategic alliance;</w:t>
      </w:r>
    </w:p>
    <w:p>
      <w:pPr>
        <w:spacing w:after="0" w:line="48" w:lineRule="exact"/>
        <w:rPr>
          <w:rFonts w:ascii="Arial" w:cs="Arial" w:eastAsia="Arial" w:hAnsi="Arial"/>
          <w:sz w:val="18"/>
          <w:szCs w:val="18"/>
          <w:color w:val="auto"/>
        </w:rPr>
      </w:pPr>
    </w:p>
    <w:p>
      <w:pPr>
        <w:ind w:left="1040" w:right="540" w:hanging="519"/>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the targeted markets do not evolve as anticipated and the technologies acquired or the joint venture or strategic alliance entered into do not prove to be those needed to be successful in those markets;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combining or managing different corporate cultures;</w:t>
      </w:r>
    </w:p>
    <w:p>
      <w:pPr>
        <w:spacing w:after="0" w:line="63" w:lineRule="exact"/>
        <w:rPr>
          <w:rFonts w:ascii="Arial" w:cs="Arial" w:eastAsia="Arial" w:hAnsi="Arial"/>
          <w:sz w:val="18"/>
          <w:szCs w:val="18"/>
          <w:color w:val="auto"/>
        </w:rPr>
      </w:pPr>
    </w:p>
    <w:p>
      <w:pPr>
        <w:ind w:left="1040" w:right="900" w:hanging="519"/>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 of an acquired business;</w:t>
      </w:r>
    </w:p>
    <w:p>
      <w:pPr>
        <w:spacing w:after="0" w:line="48" w:lineRule="exact"/>
        <w:rPr>
          <w:rFonts w:ascii="Arial" w:cs="Arial" w:eastAsia="Arial" w:hAnsi="Arial"/>
          <w:sz w:val="18"/>
          <w:szCs w:val="18"/>
          <w:color w:val="auto"/>
        </w:rPr>
      </w:pPr>
    </w:p>
    <w:p>
      <w:pPr>
        <w:ind w:left="1040" w:right="560" w:hanging="519"/>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a joint venture or strategic partner to satisfy its obligations or the bankruptcy or malfeasance of such person or entity;</w:t>
      </w:r>
    </w:p>
    <w:p>
      <w:pPr>
        <w:spacing w:after="0" w:line="63" w:lineRule="exact"/>
        <w:rPr>
          <w:rFonts w:ascii="Arial" w:cs="Arial" w:eastAsia="Arial" w:hAnsi="Arial"/>
          <w:sz w:val="18"/>
          <w:szCs w:val="18"/>
          <w:color w:val="auto"/>
        </w:rPr>
      </w:pPr>
    </w:p>
    <w:p>
      <w:pPr>
        <w:ind w:left="1040" w:right="400" w:hanging="519"/>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 or with respect to any joint venture or strategic alliance;</w:t>
      </w:r>
    </w:p>
    <w:p>
      <w:pPr>
        <w:spacing w:after="0" w:line="48" w:lineRule="exact"/>
        <w:rPr>
          <w:rFonts w:ascii="Arial" w:cs="Arial" w:eastAsia="Arial" w:hAnsi="Arial"/>
          <w:sz w:val="18"/>
          <w:szCs w:val="18"/>
          <w:color w:val="auto"/>
        </w:rPr>
      </w:pPr>
    </w:p>
    <w:p>
      <w:pPr>
        <w:ind w:left="1040" w:right="56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joint venture or strategic alliance, as well as maintaining uniform standards, controls (including internal accounting controls), procedures and policies;</w:t>
      </w:r>
    </w:p>
    <w:p>
      <w:pPr>
        <w:spacing w:after="0" w:line="54"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we do not realize a satisfactory return on our investments;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58" w:lineRule="exact"/>
        <w:rPr>
          <w:sz w:val="20"/>
          <w:szCs w:val="20"/>
          <w:color w:val="auto"/>
        </w:rPr>
      </w:pPr>
    </w:p>
    <w:p>
      <w:pPr>
        <w:ind w:right="240" w:firstLine="518"/>
        <w:spacing w:after="0" w:line="237" w:lineRule="auto"/>
        <w:rPr>
          <w:sz w:val="20"/>
          <w:szCs w:val="20"/>
          <w:color w:val="auto"/>
        </w:rPr>
      </w:pPr>
      <w:r>
        <w:rPr>
          <w:rFonts w:ascii="Arial" w:cs="Arial" w:eastAsia="Arial" w:hAnsi="Arial"/>
          <w:sz w:val="18"/>
          <w:szCs w:val="18"/>
          <w:color w:val="auto"/>
        </w:rPr>
        <w:t>In connection with acquisitions, joint ventures or strategic alliances, we may incur debt, issue equity securities, assume contingent liabilities or have amortization expenses and write-downs of acquired assets, which could cause our earnings per share to decline. 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6" w:name="page27"/>
    <w:bookmarkEnd w:id="26"/>
    <w:p>
      <w:pPr>
        <w:ind w:right="560"/>
        <w:spacing w:after="0" w:line="271"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Changes in the Regulatory Environment Could Have a Material Adverse Impact on Our Competitive Position, Growth and Financial Performance</w:t>
      </w:r>
    </w:p>
    <w:p>
      <w:pPr>
        <w:spacing w:after="0" w:line="2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ability to operate satellites at specific orbital locations in space, the licensing of earth stations and other radio transmitters, the provision of communications services, and the design, manufacture and marketing of communications systems and networking infrastructure. The space stations and ground network we use to provide our broadband services operate using some spectrum that is regulated for use on a primary basis for certain types of the satellite services we provide, some spectrum that is regulated for use on a shared basis with terrestrial wireless services,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spacing w:after="0" w:line="153"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Changes in laws or regulations, including changes in the way spectrum is regulated and/or in regulations governing our products and services, changes in the way spectrum is made available to us, or is allowed to be used by others, or competing uses of spectrum or orbital locations, could, directly or indirectly, affect our operations or the operations of our distribution partners, increase the cost of providing our products and services and make our products and services less competitive in our core markets.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p>
    <w:p>
      <w:pPr>
        <w:spacing w:after="0" w:line="14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Trump administration has called for substantial changes to regulatory policies. We cannot predict the impact, if any, of these changes to our business or the industries in which we operate. However, it is possible that these changes could adversely affect our business. It is likely that some policies adopted by the Trump administration will benefit us and others will negatively affect us. Until we know what changes are enacted, we will not know whether in total we benefit from, or are negatively affected by, the changes. At various times, President Trump has expressed antipathy towards existing trade agreements, including the North American Free Trade Agreement (NAFTA), and has called for greater restrictions on free trade generally. Additionally, the Trump administration has suggested introducing and has imposed tariffs or other restrictions on goods imported into the United States. Changes in U.S. political, regulatory and economic conditions or in laws and policies governing foreign trade, manufacturing, development and investment in the countries where we do business or source goods and materials for our products, and any negative sentiments towards the United States as a result of such changes, could adversely affect our business.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7" w:name="page28"/>
    <w:bookmarkEnd w:id="27"/>
    <w:p>
      <w:pPr>
        <w:ind w:right="80" w:firstLine="518"/>
        <w:spacing w:after="0" w:line="237" w:lineRule="auto"/>
        <w:rPr>
          <w:sz w:val="20"/>
          <w:szCs w:val="20"/>
          <w:color w:val="auto"/>
        </w:rPr>
      </w:pPr>
      <w:r>
        <w:rPr>
          <w:rFonts w:ascii="Arial" w:cs="Arial" w:eastAsia="Arial" w:hAnsi="Arial"/>
          <w:sz w:val="18"/>
          <w:szCs w:val="18"/>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9"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Our government systems segment revenues were approximately 46%, 48% and 44% of our total revenues in fiscal years 2019, 2018 and 2017, respectively, and were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53" w:lineRule="exact"/>
        <w:rPr>
          <w:sz w:val="20"/>
          <w:szCs w:val="20"/>
          <w:color w:val="auto"/>
        </w:rPr>
      </w:pPr>
    </w:p>
    <w:p>
      <w:pPr>
        <w:ind w:left="1040" w:right="620" w:hanging="519"/>
        <w:spacing w:after="0" w:line="246"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63" w:lineRule="exact"/>
        <w:rPr>
          <w:rFonts w:ascii="Arial" w:cs="Arial" w:eastAsia="Arial" w:hAnsi="Arial"/>
          <w:sz w:val="18"/>
          <w:szCs w:val="18"/>
          <w:color w:val="auto"/>
        </w:rPr>
      </w:pPr>
    </w:p>
    <w:p>
      <w:pPr>
        <w:ind w:left="1040" w:right="420" w:hanging="519"/>
        <w:spacing w:after="0" w:line="246"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63" w:lineRule="exact"/>
        <w:rPr>
          <w:rFonts w:ascii="Arial" w:cs="Arial" w:eastAsia="Arial" w:hAnsi="Arial"/>
          <w:sz w:val="18"/>
          <w:szCs w:val="18"/>
          <w:color w:val="auto"/>
        </w:rPr>
      </w:pPr>
    </w:p>
    <w:p>
      <w:pPr>
        <w:ind w:left="1040" w:right="640" w:hanging="519"/>
        <w:spacing w:after="0" w:line="246"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48"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63" w:lineRule="exact"/>
        <w:rPr>
          <w:rFonts w:ascii="Arial" w:cs="Arial" w:eastAsia="Arial" w:hAnsi="Arial"/>
          <w:sz w:val="18"/>
          <w:szCs w:val="18"/>
          <w:color w:val="auto"/>
        </w:rPr>
      </w:pPr>
    </w:p>
    <w:p>
      <w:pPr>
        <w:ind w:left="1040" w:right="140" w:hanging="519"/>
        <w:spacing w:after="0" w:line="246"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63" w:lineRule="exact"/>
        <w:rPr>
          <w:rFonts w:ascii="Arial" w:cs="Arial" w:eastAsia="Arial" w:hAnsi="Arial"/>
          <w:sz w:val="18"/>
          <w:szCs w:val="18"/>
          <w:color w:val="auto"/>
        </w:rPr>
      </w:pPr>
    </w:p>
    <w:p>
      <w:pPr>
        <w:ind w:left="1040" w:right="700" w:hanging="519"/>
        <w:spacing w:after="0" w:line="246"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4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 For example, in March 2016, our</w:t>
      </w:r>
    </w:p>
    <w:p>
      <w:pPr>
        <w:spacing w:after="0" w:line="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In February 2017, based on further developments in that investigation, including TrellisWare’s discussions with the U.S. Attorney’s Office, we accrued a total loss contingency of $11.8 million in SG&amp;A expenses in our government systems segment, which consisted of $ 11.4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The impact of the loss contingency on basic and diluted net income per share attributable to Viasat, Inc. common stockholders for fiscal year 2017 was $0.08 per share and $0.07 per share, respectively. In the fourth quarter of fiscal year 2018, the TrellisWare investigation was settled, resulting in a payment by TrellisWare of $11.4 million in uncharacterized damages and $0.4 million in penalties. Refer to Note 12 to the consolidated financial statements for further discussion of the False Claims Act civil investigation.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ind w:right="40" w:firstLine="518"/>
        <w:spacing w:after="0" w:line="239"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4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9"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4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54"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Our incurred cost audits by the DCAA have not been concluded for fiscal year 2019. As of March 31, 2019, the DCAA had completed its incurred cost audit for fiscal years 2004 and 2016 and approved our incurred costs for those fiscal years, as well as approved our incurred costs for fiscal years 2005 through 2015, 2017 and 2018 without further audit based on determination of low risk. Although we have recorded contract revenues subsequent to fiscal year 2018 based upon an estimate of costs that we believe will be approved upon final audit or review, we do not know the outcome of any ongoing or future audits or reviews and adjustments, and if future adjustments exceed our estimates, our profitability would be adversely affected. There can be no assurance that audits or reviews of our incurred costs and cost accounting systems for other fiscal years will not be subject to further audit, review or scrutiny by the DCAA or other government agencies.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9" w:name="page30"/>
    <w:bookmarkEnd w:id="29"/>
    <w:p>
      <w:pPr>
        <w:ind w:right="160"/>
        <w:spacing w:after="0" w:line="271"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54" w:lineRule="exact"/>
        <w:rPr>
          <w:sz w:val="20"/>
          <w:szCs w:val="20"/>
          <w:color w:val="auto"/>
        </w:rPr>
      </w:pPr>
    </w:p>
    <w:p>
      <w:pPr>
        <w:ind w:left="1040" w:right="480" w:hanging="519"/>
        <w:spacing w:after="0" w:line="246"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develop leading satellite technologies, including the design of market-leading high-capacity Ka-band satellites;</w:t>
      </w:r>
    </w:p>
    <w:p>
      <w:pPr>
        <w:spacing w:after="0" w:line="48"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continuing to increase satellite capacity, bandwidth cost-efficiencies and service quality and adding innovative features that differentiate our offerings from those of our competitors;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63" w:lineRule="exact"/>
        <w:rPr>
          <w:rFonts w:ascii="Arial" w:cs="Arial" w:eastAsia="Arial" w:hAnsi="Arial"/>
          <w:sz w:val="18"/>
          <w:szCs w:val="18"/>
          <w:color w:val="auto"/>
        </w:rPr>
      </w:pPr>
    </w:p>
    <w:p>
      <w:pPr>
        <w:ind w:left="1040" w:right="720" w:hanging="519"/>
        <w:spacing w:after="0" w:line="246"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5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the new technologies, products or services we offer will achieve sufficient market acceptance. The period of time from conception through satellite launch for a new satellite design may be three or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53"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We are constantly evaluating the opportunities and investments related to the development of these next-generation broadband systems.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0" w:name="page31"/>
    <w:bookmarkEnd w:id="30"/>
    <w:p>
      <w:pPr>
        <w:ind w:right="120"/>
        <w:spacing w:after="0" w:line="271"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94" w:lineRule="exact"/>
        <w:rPr>
          <w:sz w:val="20"/>
          <w:szCs w:val="20"/>
          <w:color w:val="auto"/>
        </w:rPr>
      </w:pPr>
    </w:p>
    <w:p>
      <w:pPr>
        <w:jc w:val="center"/>
        <w:ind w:right="20"/>
        <w:spacing w:after="0" w:line="286" w:lineRule="auto"/>
        <w:rPr>
          <w:sz w:val="20"/>
          <w:szCs w:val="20"/>
          <w:color w:val="auto"/>
        </w:rPr>
      </w:pPr>
      <w:r>
        <w:rPr>
          <w:rFonts w:ascii="Arial" w:cs="Arial" w:eastAsia="Arial" w:hAnsi="Arial"/>
          <w:sz w:val="18"/>
          <w:szCs w:val="18"/>
          <w:b w:val="1"/>
          <w:bCs w:val="1"/>
          <w:color w:val="auto"/>
        </w:rPr>
        <w:t xml:space="preserve">Our Reputation and Business Could Be Materially Harmed as a Result of Data Breaches, Data Theft, Unauthorized Access or Hacking </w:t>
      </w:r>
      <w:r>
        <w:rPr>
          <w:rFonts w:ascii="Arial" w:cs="Arial" w:eastAsia="Arial" w:hAnsi="Arial"/>
          <w:sz w:val="18"/>
          <w:szCs w:val="18"/>
          <w:color w:val="auto"/>
        </w:rPr>
        <w:t>Our success depends, in part, on the secure and uninterrupted performance of our information technology systems. An increasing</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85"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20% of our total revenues in fiscal years 2019, 2018 and 2017. Our largest revenue-producing contracts are related to our tactical data links products and fixed satellite networks.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4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19% of our total revenues for fiscal years 2019, 2018 and 2017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85"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Of our total government systems and commercial networks segments revenues, approximately 90%, 88% and 87% were derived from contracts with fixed prices in fiscal years 2019, 2018 and 2017,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2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2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2" w:name="page33"/>
    <w:bookmarkEnd w:id="32"/>
    <w:p>
      <w:pPr>
        <w:ind w:right="60" w:firstLine="518"/>
        <w:spacing w:after="0" w:line="236"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4"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16"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have a significant amount of indebtedness. As of March 31, 2019, the aggregate principal amount of our total outstanding indebtedness was $1.4 billion, which was comprised of $700.0 million in principal amount of 5.625% Senior Notes due 2025 (the 2025 Notes), $600.0 million in principal amount of 5.625% Senior Secured Notes due 2027 (the 2027 Notes), no outstanding borrowings under our revolving credit facility (the Revolving Credit Facility) and $139.6 million in principal amount of outstanding borrowings under our direct loan facility with the Export-Import Bank of the United States for ViaSat-2 (the Ex-Im Credit Facility and, together with the Revolving Credit Facility, the Credit Facilities). As of March 31, 2019, we had undrawn availability of $680.4 million under our Revolving Credit Facility and no remaining availability under our Ex-Im Credit Facility.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6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1040" w:right="680" w:hanging="519"/>
        <w:spacing w:after="0" w:line="246"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48" w:lineRule="exact"/>
        <w:rPr>
          <w:rFonts w:ascii="Arial" w:cs="Arial" w:eastAsia="Arial" w:hAnsi="Arial"/>
          <w:sz w:val="18"/>
          <w:szCs w:val="18"/>
          <w:color w:val="auto"/>
        </w:rPr>
      </w:pPr>
    </w:p>
    <w:p>
      <w:pPr>
        <w:ind w:left="1040" w:right="48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4" w:lineRule="exact"/>
        <w:rPr>
          <w:rFonts w:ascii="Arial" w:cs="Arial" w:eastAsia="Arial" w:hAnsi="Arial"/>
          <w:sz w:val="18"/>
          <w:szCs w:val="18"/>
          <w:color w:val="auto"/>
        </w:rPr>
      </w:pPr>
    </w:p>
    <w:p>
      <w:pPr>
        <w:ind w:left="1040" w:right="100" w:hanging="519"/>
        <w:spacing w:after="0" w:line="246"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to the extent we make borrowings under our Revolving Credit Facility, which bear interest at a variable rate;</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58"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incur significant additional indebtedness in the future, which may include financing relating to future satellites, potential</w:t>
      </w:r>
    </w:p>
    <w:p>
      <w:pPr>
        <w:spacing w:after="0" w:line="234" w:lineRule="auto"/>
        <w:rPr>
          <w:sz w:val="20"/>
          <w:szCs w:val="20"/>
          <w:color w:val="auto"/>
        </w:rPr>
      </w:pPr>
      <w:r>
        <w:rPr>
          <w:rFonts w:ascii="Arial" w:cs="Arial" w:eastAsia="Arial" w:hAnsi="Arial"/>
          <w:sz w:val="18"/>
          <w:szCs w:val="18"/>
          <w:color w:val="auto"/>
        </w:rPr>
        <w:t>acquisitions, joint ventures and strategic alliances, working capital, capital expenditures or general corporate purposes. For example, we may</w:t>
      </w:r>
    </w:p>
    <w:p>
      <w:pPr>
        <w:spacing w:after="0" w:line="235" w:lineRule="auto"/>
        <w:rPr>
          <w:sz w:val="20"/>
          <w:szCs w:val="20"/>
          <w:color w:val="auto"/>
        </w:rPr>
      </w:pPr>
      <w:r>
        <w:rPr>
          <w:rFonts w:ascii="Arial" w:cs="Arial" w:eastAsia="Arial" w:hAnsi="Arial"/>
          <w:sz w:val="18"/>
          <w:szCs w:val="18"/>
          <w:color w:val="auto"/>
        </w:rPr>
        <w:t>incur additional indebtedness to fund our investments in our ViaSat-3 class satellites. As of March 31, 2019, we had undrawn availability of</w:t>
      </w:r>
    </w:p>
    <w:p>
      <w:pPr>
        <w:spacing w:after="0" w:line="235" w:lineRule="auto"/>
        <w:rPr>
          <w:sz w:val="20"/>
          <w:szCs w:val="20"/>
          <w:color w:val="auto"/>
        </w:rPr>
      </w:pPr>
      <w:r>
        <w:rPr>
          <w:rFonts w:ascii="Arial" w:cs="Arial" w:eastAsia="Arial" w:hAnsi="Arial"/>
          <w:sz w:val="18"/>
          <w:szCs w:val="18"/>
          <w:color w:val="auto"/>
        </w:rPr>
        <w:t>$680.4 million under our Revolving Credit Facility. In addition, the Credit Facilities and the indentures governing the 2025 Notes and the 2027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(collectively, the Indentures) permit us, subject to specified limitations, to incur additional indebtedness, including secured indebtedness.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3" w:name="page34"/>
    <w:bookmarkEnd w:id="33"/>
    <w:p>
      <w:pPr>
        <w:ind w:right="160" w:firstLine="518"/>
        <w:spacing w:after="0" w:line="238" w:lineRule="auto"/>
        <w:rPr>
          <w:sz w:val="20"/>
          <w:szCs w:val="20"/>
          <w:color w:val="auto"/>
        </w:rPr>
      </w:pPr>
      <w:r>
        <w:rPr>
          <w:rFonts w:ascii="Arial" w:cs="Arial" w:eastAsia="Arial" w:hAnsi="Arial"/>
          <w:sz w:val="18"/>
          <w:szCs w:val="18"/>
          <w:color w:val="auto"/>
        </w:rPr>
        <w:t>In February 2019,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our level of indebtedness increases significantly, the related risks that we now face would intensify.</w:t>
      </w:r>
    </w:p>
    <w:p>
      <w:pPr>
        <w:spacing w:after="0" w:line="194"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56"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Facilities, will be available to us in an amount sufficient to enable us to pay our indebtedness, or to fund our other liquidity needs.</w:t>
      </w:r>
    </w:p>
    <w:p>
      <w:pPr>
        <w:spacing w:after="0" w:line="149"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Indentures restrict our ability to dispose of assets and use the proceeds from the disposition, and may also restrict our ability to raise debt or equity capital to repay or service our indebtedness.</w:t>
      </w:r>
    </w:p>
    <w:p>
      <w:pPr>
        <w:spacing w:after="0" w:line="151"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If we cannot make scheduled payments on our debt, we will be in default and, as a result, the lenders under our Credit Facilities and the holders of the 2025 Notes and the 2027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85"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We may need to refinance all or a portion of our indebtedness before maturity, including the 2025 Notes, the 2027 Notes and any indebtedness under our Credit Facilities. There can be no assurance that we will be able to obtain sufficient funds to enable us to repay or refinance our debt obligations on commercially reasonable terms, or at all.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8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Credit Facilities and the Indentures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Facilities, our ability to borrow under our Credit Facilities may be restricted. The Credit Facilities and the Indentures include covenants restricting, among other things, our ability to do the following:</w:t>
      </w:r>
    </w:p>
    <w:p>
      <w:pPr>
        <w:spacing w:after="0" w:line="54"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4" w:name="page35"/>
    <w:bookmarkEnd w:id="34"/>
    <w:p>
      <w:pPr>
        <w:ind w:right="200" w:firstLine="518"/>
        <w:spacing w:after="0" w:line="237" w:lineRule="auto"/>
        <w:rPr>
          <w:sz w:val="20"/>
          <w:szCs w:val="20"/>
          <w:color w:val="auto"/>
        </w:rPr>
      </w:pPr>
      <w:r>
        <w:rPr>
          <w:rFonts w:ascii="Arial" w:cs="Arial" w:eastAsia="Arial" w:hAnsi="Arial"/>
          <w:sz w:val="18"/>
          <w:szCs w:val="18"/>
          <w:color w:val="auto"/>
        </w:rPr>
        <w:t>In addition, our Credit Facilities require us to comply with certain financial covenants, including a maximum total leverage ratio and minimum interest coverage ratio. Our Revolving Credit Facility and the 2027 Notes are equally and ratably secured by first-priority liens on substantially all of the assets of our company, including the stock of our significant subsidiaries, and the assets of the subsidiary guarantors under our Revolving Credit Facility and the indenture governing the 2027 Notes. Our Ex-Im Credit Facility is guaranteed by Viasat and is secured by first-priority liens on the ViaSat-2 satellite and related assets, as well as the stock of our foreign subsidiary that owns the ViaSat-2 satellite.</w:t>
      </w:r>
    </w:p>
    <w:p>
      <w:pPr>
        <w:spacing w:after="0" w:line="15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If we default under our Credit Facilities or the Indentures because of a covenant breach or otherwise, all outstanding amounts thereunder could become immediately due and payable. In the past we have violated covenants in our former revolving credit facilities and received waivers for these violations. We cannot assure you that we will be able to comply with our financial or other covenants under our Credit Facilities or the Indentures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in order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The Global Business Environment and Economic Conditions Could Negatively Affect Our Business, Financial Condition and Results of Operations</w:t>
      </w:r>
    </w:p>
    <w:p>
      <w:pPr>
        <w:spacing w:after="0" w:line="2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Any of these factors could result in reduced demand for, and pricing pressure on, our products and services, which could lead to a reduction in our revenues and adversely affect our business, financial condition and results of operations.</w:t>
      </w:r>
    </w:p>
    <w:p>
      <w:pPr>
        <w:spacing w:after="0" w:line="15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5" w:name="page36"/>
    <w:bookmarkEnd w:id="35"/>
    <w:p>
      <w:pPr>
        <w:ind w:right="540"/>
        <w:spacing w:after="0" w:line="271"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41"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Approximately 11%, 12% and 13% of our total revenues in fiscal years 2019, 2018 and 2017, respectively,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63" w:lineRule="exact"/>
        <w:rPr>
          <w:sz w:val="20"/>
          <w:szCs w:val="20"/>
          <w:color w:val="auto"/>
        </w:rPr>
      </w:pPr>
    </w:p>
    <w:p>
      <w:pPr>
        <w:ind w:left="1040" w:right="60" w:hanging="519"/>
        <w:spacing w:after="0" w:line="246"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laws, policies and regulatory requirements, including but not limited to regulations related to import-export control;</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sales and marketing and R&amp;D expenses;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63" w:lineRule="exact"/>
        <w:rPr>
          <w:rFonts w:ascii="Arial" w:cs="Arial" w:eastAsia="Arial" w:hAnsi="Arial"/>
          <w:sz w:val="18"/>
          <w:szCs w:val="18"/>
          <w:color w:val="auto"/>
        </w:rPr>
      </w:pPr>
    </w:p>
    <w:p>
      <w:pPr>
        <w:ind w:left="1040" w:right="440" w:hanging="519"/>
        <w:spacing w:after="0" w:line="246"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 including new tariffs suggested or implemented by the Trump administration;</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instability or issues related to the political relationship between the United States and other countries;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foreign exchange controls and restrictions on cash repatriation;</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for additional liquidity to fund our international operations;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58" w:lineRule="exact"/>
        <w:rPr>
          <w:sz w:val="20"/>
          <w:szCs w:val="20"/>
          <w:color w:val="auto"/>
        </w:rPr>
      </w:pPr>
    </w:p>
    <w:p>
      <w:pPr>
        <w:jc w:val="both"/>
        <w:ind w:right="60" w:firstLine="518"/>
        <w:spacing w:after="0"/>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success depends significantly on our ability to protect our proprietary rights to the technologies we use in our products and services. We generally rely on a combination of patents, copyrights, trademarks and trade secret laws and contractual rights to protect our proprietary rights in our technology and products.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SS/L and its former parent company Loral Space &amp; Communications, Inc. (Loral) for patent infringement and breach of contract relating to the manufacture of ViaSat-1. If we are unsuccessful in any such litigation in the future,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36" w:name="page37"/>
    <w:bookmarkEnd w:id="36"/>
    <w:p>
      <w:pPr>
        <w:ind w:right="20"/>
        <w:spacing w:after="0" w:line="239" w:lineRule="auto"/>
        <w:rPr>
          <w:sz w:val="20"/>
          <w:szCs w:val="20"/>
          <w:color w:val="auto"/>
        </w:rPr>
      </w:pPr>
      <w:r>
        <w:rPr>
          <w:rFonts w:ascii="Arial" w:cs="Arial" w:eastAsia="Arial" w:hAnsi="Arial"/>
          <w:sz w:val="18"/>
          <w:szCs w:val="18"/>
          <w:color w:val="auto"/>
        </w:rPr>
        <w:t>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9"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85"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85"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For example, during the third quarter of fiscal year 2017 we completed the sale of approximately 7.5 million shares of our common stock in an underwritten public offering.</w:t>
      </w:r>
    </w:p>
    <w:p>
      <w:pPr>
        <w:spacing w:after="0" w:line="149"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may also issue additional shares of common stock to finance future acquisitions through the use of equity. For example, during the third quarter of fiscal year 2010 we issued approximately 4.3 million shares of our common stock to former equity and debt holders of WildBlue Holding, Inc. (WildBlue)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9" w:lineRule="exact"/>
        <w:rPr>
          <w:sz w:val="20"/>
          <w:szCs w:val="20"/>
          <w:color w:val="auto"/>
        </w:rPr>
      </w:pPr>
    </w:p>
    <w:p>
      <w:pPr>
        <w:jc w:val="both"/>
        <w:ind w:right="100" w:firstLine="518"/>
        <w:spacing w:after="0"/>
        <w:rPr>
          <w:sz w:val="20"/>
          <w:szCs w:val="20"/>
          <w:color w:val="auto"/>
        </w:rPr>
      </w:pPr>
      <w:r>
        <w:rPr>
          <w:rFonts w:ascii="Arial" w:cs="Arial" w:eastAsia="Arial" w:hAnsi="Arial"/>
          <w:sz w:val="18"/>
          <w:szCs w:val="18"/>
          <w:color w:val="auto"/>
        </w:rPr>
        <w:t>The market price of our common stock has been volatile in the past. For example, since April 1, 2016, the market price of our common stock has ranged from $55.93 to $97.31. Trading prices may continue to fluctuate in response to a number of events and factors, including the following:</w:t>
      </w:r>
    </w:p>
    <w:p>
      <w:pPr>
        <w:spacing w:after="0" w:line="54"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63" w:lineRule="exact"/>
        <w:rPr>
          <w:rFonts w:ascii="Arial" w:cs="Arial" w:eastAsia="Arial" w:hAnsi="Arial"/>
          <w:sz w:val="18"/>
          <w:szCs w:val="18"/>
          <w:color w:val="auto"/>
        </w:rPr>
      </w:pPr>
    </w:p>
    <w:p>
      <w:pPr>
        <w:ind w:left="1040" w:right="440" w:hanging="519"/>
        <w:spacing w:after="0" w:line="246"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 or the uptake of our in-flight services and IFC systems by commercial airlines;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suppliers and joint venture partners;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58"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8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4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three-year period. The determination of whether an ownership change has occurred for purposes of Section 382 of the Code is complex and requires significant judgment. Moreover, the number of shares of our common stock outstanding at any particular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153"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Under U.S federal tax legislation, although the treatment of net operating loss carryforwards arising in tax years ending on or before December 31, 2017 has generally not changed, net operating loss carryforwards arising in tax years beginning after December 31, 2017 may be used to offset only 80% of taxable income. In addition, net operating losses arising in tax years ending after December 31, 2017 may be carried forward indefinitely, as opposed to the 20-year carryforward under prior law.</w:t>
      </w:r>
    </w:p>
    <w:p>
      <w:pPr>
        <w:spacing w:after="0" w:line="20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Our Executive Officers and Directors Own a Significant Percentage of Our Common Stock and May Exert Significant Influence over Matters Requiring Stockholder Approval</w:t>
      </w:r>
    </w:p>
    <w:p>
      <w:pPr>
        <w:spacing w:after="0" w:line="27"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As of March 31, 2019, our executive officers and directors and their affiliates beneficially owned an aggregate of approximately 8% of our common stock. Accordingly, these stockholders may be able to significantly influence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8" w:name="page39"/>
    <w:bookmarkEnd w:id="38"/>
    <w:p>
      <w:pPr>
        <w:ind w:right="60"/>
        <w:spacing w:after="0" w:line="271"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1"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54"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5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the Indentures, if certain “change of control” events occur, each holder of 2025 Notes and the 2027 Notes may require us to repurchase all of such holder’s 2025 Notes or 2027 Notes, as applicable, at a purchase price equal to 101% of the principal amount of such notes. Additionally, our Credit Facilities provide for an event of default upon the occurrence of certain specified “change of control”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worldwide headquarters are located at our Carlsbad, California campus, consisting of approximately 1,065,000 square feet under various leases. In addition to our Carlsbad campus, we have facilities under various leases consisting of approximately: (1) 3,700 square feet in San Diego, California, (2) 183,000 square feet in Englewood, Colorado, (3) 215,000 square feet in Duluth, Georgia, (4) 171,000 square feet in Germantown, Maryland, (5) 177,000 square feet in Tempe, Arizona, (6) 31,000 square feet in Cleveland, Ohio and (7) 20,000 square feet in San Jose, California. We also maintain offices or a sales presence in Washington, D.C., Marlborough and Boston (Massachusetts), Linthicum Heights (Maryland), Tampa (Florida), Austin, Bryan and College Station (Texas), Fort Bragg (North Carolina), Seattle (Washington), Australia, China, India, Israel, Italy, Ireland, Switzerland, Netherlands, Mexico and the United Kingdom, and operate 63 earth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2020 and beyond. Each of our segments uses each of these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7"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2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Our common stock is traded on the Nasdaq Global Select Market under the symbol “VSAT.” As of May 10, 2019, there were approximately 486 holders of record of our common stock. A substantially greater number of holders of Viasat common stock are “street name” or beneficial holders, whose shares are held of record by banks, brokers and other financial institutions.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following table provides our selected financial information for each of the fiscal years in the five-year period ended March 31, 2019. The data as of and for each of the fiscal years in the five-year period ended March 31, 2019 have been derived from our audited consolidated financial statements, except as otherwise noted.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2019</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April 3, 2015</w:t>
            </w:r>
          </w:p>
        </w:tc>
      </w:tr>
      <w:tr>
        <w:trPr>
          <w:trHeight w:val="169"/>
        </w:trPr>
        <w:tc>
          <w:tcPr>
            <w:tcW w:w="5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560" w:type="dxa"/>
            <w:vAlign w:val="bottom"/>
            <w:tcBorders>
              <w:top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 revenues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755,547</w:t>
            </w: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664,821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728,074</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975,567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839,078</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845,401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654,461</w:t>
            </w:r>
          </w:p>
        </w:tc>
        <w:tc>
          <w:tcPr>
            <w:tcW w:w="100" w:type="dxa"/>
            <w:vAlign w:val="bottom"/>
            <w:tcBorders>
              <w:bottom w:val="single" w:sz="8" w:color="CFF0FC"/>
            </w:tcBorders>
          </w:tcPr>
          <w:p>
            <w:pPr>
              <w:spacing w:after="0"/>
              <w:rPr>
                <w:sz w:val="18"/>
                <w:szCs w:val="18"/>
                <w:color w:val="auto"/>
              </w:rPr>
            </w:pPr>
          </w:p>
        </w:tc>
      </w:tr>
      <w:tr>
        <w:trPr>
          <w:trHeight w:val="21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1,382,535</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product revenues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834,472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553,677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524,026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519,483</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Cost of service revenues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703,249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524,949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444,431</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458,458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270,841</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Independent research and development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9,655</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17,966</w:t>
            </w:r>
          </w:p>
        </w:tc>
        <w:tc>
          <w:tcPr>
            <w:tcW w:w="100" w:type="dxa"/>
            <w:vAlign w:val="bottom"/>
            <w:shd w:val="clear" w:color="auto" w:fill="CFF0FC"/>
          </w:tcPr>
          <w:p>
            <w:pPr>
              <w:spacing w:after="0"/>
              <w:rPr>
                <w:sz w:val="18"/>
                <w:szCs w:val="18"/>
                <w:color w:val="auto"/>
              </w:rPr>
            </w:pPr>
          </w:p>
        </w:tc>
      </w:tr>
      <w:tr>
        <w:trPr>
          <w:trHeight w:val="210"/>
        </w:trPr>
        <w:tc>
          <w:tcPr>
            <w:tcW w:w="5180" w:type="dxa"/>
            <w:vAlign w:val="bottom"/>
          </w:tcPr>
          <w:p>
            <w:pPr>
              <w:ind w:left="260"/>
              <w:spacing w:after="0"/>
              <w:rPr>
                <w:sz w:val="20"/>
                <w:szCs w:val="20"/>
                <w:color w:val="auto"/>
              </w:rPr>
            </w:pPr>
            <w:r>
              <w:rPr>
                <w:rFonts w:ascii="Arial" w:cs="Arial" w:eastAsia="Arial" w:hAnsi="Arial"/>
                <w:sz w:val="18"/>
                <w:szCs w:val="18"/>
                <w:color w:val="auto"/>
              </w:rPr>
              <w:t>(Loss) income from operations</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(60,620)</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(92,187)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83,144</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(49,861)</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(11,075)</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(23,522)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(29,426)</w:t>
            </w: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(110,481)</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(105,470)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53,718</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(13,827)</w:t>
            </w:r>
          </w:p>
        </w:tc>
      </w:tr>
      <w:tr>
        <w:trPr>
          <w:trHeight w:val="216"/>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income of unconsolidated affiliate, net</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5180" w:type="dxa"/>
            <w:vAlign w:val="bottom"/>
          </w:tcPr>
          <w:p>
            <w:pPr>
              <w:ind w:left="26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(66,469)</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(68,275)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39,891</w:t>
            </w:r>
          </w:p>
        </w:tc>
        <w:tc>
          <w:tcPr>
            <w:tcW w:w="100" w:type="dxa"/>
            <w:vAlign w:val="bottom"/>
          </w:tcPr>
          <w:p>
            <w:pPr>
              <w:spacing w:after="0"/>
              <w:rPr>
                <w:sz w:val="18"/>
                <w:szCs w:val="18"/>
                <w:color w:val="auto"/>
              </w:rPr>
            </w:pPr>
          </w:p>
        </w:tc>
      </w:tr>
      <w:tr>
        <w:trPr>
          <w:trHeight w:val="215"/>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net income (loss) attributable to</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noncontrolling interests, net of tax</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1,154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(970)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(2,000)</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(472)</w:t>
            </w:r>
          </w:p>
        </w:tc>
      </w:tr>
      <w:tr>
        <w:trPr>
          <w:trHeight w:val="20"/>
        </w:trPr>
        <w:tc>
          <w:tcPr>
            <w:tcW w:w="5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80" w:type="dxa"/>
            <w:vAlign w:val="bottom"/>
          </w:tcPr>
          <w:p>
            <w:pPr>
              <w:ind w:left="260"/>
              <w:spacing w:after="0"/>
              <w:rPr>
                <w:sz w:val="20"/>
                <w:szCs w:val="20"/>
                <w:color w:val="auto"/>
              </w:rPr>
            </w:pPr>
            <w:r>
              <w:rPr>
                <w:rFonts w:ascii="Arial" w:cs="Arial" w:eastAsia="Arial" w:hAnsi="Arial"/>
                <w:sz w:val="18"/>
                <w:szCs w:val="18"/>
                <w:color w:val="auto"/>
              </w:rPr>
              <w:t>Net (loss) income attributable to Viasat, Inc.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(67,623)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(67,305)</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23,767</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21,741</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40,363</w:t>
            </w:r>
          </w:p>
        </w:tc>
        <w:tc>
          <w:tcPr>
            <w:tcW w:w="100" w:type="dxa"/>
            <w:vAlign w:val="bottom"/>
          </w:tcPr>
          <w:p>
            <w:pPr>
              <w:spacing w:after="0"/>
              <w:rPr>
                <w:sz w:val="21"/>
                <w:szCs w:val="21"/>
                <w:color w:val="auto"/>
              </w:rPr>
            </w:pPr>
          </w:p>
        </w:tc>
      </w:tr>
      <w:tr>
        <w:trPr>
          <w:trHeight w:val="196"/>
        </w:trPr>
        <w:tc>
          <w:tcPr>
            <w:tcW w:w="518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Basic net (loss) income per share attributable to</w:t>
            </w: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1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FF0FC"/>
          </w:tcPr>
          <w:p>
            <w:pPr>
              <w:ind w:left="14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0.86</w:t>
            </w:r>
          </w:p>
        </w:tc>
        <w:tc>
          <w:tcPr>
            <w:tcW w:w="100" w:type="dxa"/>
            <w:vAlign w:val="bottom"/>
            <w:shd w:val="clear" w:color="auto" w:fill="CFF0FC"/>
          </w:tcPr>
          <w:p>
            <w:pPr>
              <w:spacing w:after="0"/>
              <w:rPr>
                <w:sz w:val="17"/>
                <w:szCs w:val="17"/>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8"/>
                <w:szCs w:val="18"/>
                <w:color w:val="auto"/>
              </w:rPr>
              <w:t>Diluted net (loss) income per share attributable to</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80" w:type="dxa"/>
            <w:vAlign w:val="bottom"/>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(1.13)</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(1.15)</w:t>
            </w:r>
          </w:p>
        </w:tc>
        <w:tc>
          <w:tcPr>
            <w:tcW w:w="32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0.45</w:t>
            </w:r>
          </w:p>
        </w:tc>
        <w:tc>
          <w:tcPr>
            <w:tcW w:w="22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140" w:type="dxa"/>
            <w:vAlign w:val="bottom"/>
          </w:tcPr>
          <w:p>
            <w:pPr>
              <w:spacing w:after="0"/>
              <w:rPr>
                <w:sz w:val="17"/>
                <w:szCs w:val="17"/>
                <w:color w:val="auto"/>
              </w:rPr>
            </w:pP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0.84</w:t>
            </w:r>
          </w:p>
        </w:tc>
        <w:tc>
          <w:tcPr>
            <w:tcW w:w="100" w:type="dxa"/>
            <w:vAlign w:val="bottom"/>
          </w:tcPr>
          <w:p>
            <w:pPr>
              <w:spacing w:after="0"/>
              <w:rPr>
                <w:sz w:val="17"/>
                <w:szCs w:val="17"/>
                <w:color w:val="auto"/>
              </w:rPr>
            </w:pPr>
          </w:p>
        </w:tc>
      </w:tr>
      <w:tr>
        <w:trPr>
          <w:trHeight w:val="216"/>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basic net (loss) income per share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47,139</w:t>
            </w:r>
          </w:p>
        </w:tc>
        <w:tc>
          <w:tcPr>
            <w:tcW w:w="100" w:type="dxa"/>
            <w:vAlign w:val="bottom"/>
            <w:shd w:val="clear" w:color="auto" w:fill="CFF0FC"/>
          </w:tcPr>
          <w:p>
            <w:pPr>
              <w:spacing w:after="0"/>
              <w:rPr>
                <w:sz w:val="18"/>
                <w:szCs w:val="18"/>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8"/>
                <w:szCs w:val="18"/>
                <w:color w:val="auto"/>
              </w:rPr>
              <w:t>Shares used in computing diluted net (loss)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80" w:type="dxa"/>
            <w:vAlign w:val="bottom"/>
          </w:tcPr>
          <w:p>
            <w:pPr>
              <w:ind w:left="400"/>
              <w:spacing w:after="0" w:line="203" w:lineRule="exact"/>
              <w:rPr>
                <w:sz w:val="20"/>
                <w:szCs w:val="20"/>
                <w:color w:val="auto"/>
              </w:rPr>
            </w:pPr>
            <w:r>
              <w:rPr>
                <w:rFonts w:ascii="Arial" w:cs="Arial" w:eastAsia="Arial" w:hAnsi="Arial"/>
                <w:sz w:val="18"/>
                <w:szCs w:val="18"/>
                <w:color w:val="auto"/>
              </w:rPr>
              <w:t>income per share</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59,942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58,438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53,396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49,445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48,285</w:t>
            </w:r>
          </w:p>
        </w:tc>
        <w:tc>
          <w:tcPr>
            <w:tcW w:w="100" w:type="dxa"/>
            <w:vAlign w:val="bottom"/>
          </w:tcPr>
          <w:p>
            <w:pPr>
              <w:spacing w:after="0"/>
              <w:rPr>
                <w:sz w:val="17"/>
                <w:szCs w:val="17"/>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261,701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71,446</w:t>
            </w:r>
          </w:p>
        </w:tc>
        <w:tc>
          <w:tcPr>
            <w:tcW w:w="8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130,098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42,088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52,263</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Working capital (1) (2)</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289,339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221,685</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Total assets (2)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3,915,287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3,414,109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2,954,653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2,397,312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2,147,405</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(2)</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1,282,898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690,886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575,144</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Other long-term debt (2) (3)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287,519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220,276</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120,826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39,995</w:t>
            </w:r>
          </w:p>
        </w:tc>
        <w:tc>
          <w:tcPr>
            <w:tcW w:w="100" w:type="dxa"/>
            <w:vAlign w:val="bottom"/>
            <w:shd w:val="clear" w:color="auto" w:fill="CFF0FC"/>
          </w:tcPr>
          <w:p>
            <w:pPr>
              <w:spacing w:after="0"/>
              <w:rPr>
                <w:sz w:val="18"/>
                <w:szCs w:val="18"/>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1,907,748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1,837,166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1,734,618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1,038,582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85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5" w:lineRule="exact"/>
        <w:rPr>
          <w:sz w:val="20"/>
          <w:szCs w:val="20"/>
          <w:color w:val="auto"/>
        </w:rPr>
      </w:pPr>
    </w:p>
    <w:p>
      <w:pPr>
        <w:ind w:left="520" w:right="120" w:hanging="512"/>
        <w:spacing w:after="0" w:line="23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November 2015, the Financial Accounting Standards Board (FASB) issued Accounting Standards Update (ASU) 2015-17, Income Taxes (ASC 740): Balance Sheet Classification of Deferred Taxes, which simplifies the presentation of deferred income taxes by requiring deferred tax assets and liabilities be classified as non-current on the balance sheet. We early adopted this standard retrospectively during the fourth quarter of fiscal year 2016 and reclassified all of our current deferred tax assets to non-current deferred tax assets on our consolidated balance sheets for all periods presented.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1" w:name="page42"/>
    <w:bookmarkEnd w:id="41"/>
    <w:p>
      <w:pPr>
        <w:ind w:left="520" w:right="320" w:hanging="512"/>
        <w:spacing w:after="0" w:line="23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first quarter of fiscal year 2017, we adopted ASU 2015-03. The retrospective adoption of this guidance resulted in the reclassification of unamortized debt issuance costs as a direct deduction from the carrying amounts of our former 6.875% Notes due 2020 (the 2020 Notes) and the Ex-Im Credit Facility, consistent with unamortized discount, for all periods presented.</w:t>
      </w:r>
    </w:p>
    <w:p>
      <w:pPr>
        <w:spacing w:after="0" w:line="1" w:lineRule="exact"/>
        <w:rPr>
          <w:rFonts w:ascii="Arial" w:cs="Arial" w:eastAsia="Arial" w:hAnsi="Arial"/>
          <w:sz w:val="18"/>
          <w:szCs w:val="18"/>
          <w:color w:val="auto"/>
        </w:rPr>
      </w:pPr>
    </w:p>
    <w:p>
      <w:pPr>
        <w:ind w:left="520" w:right="4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only the long-term portion of the Ex-Im Credit Facility. The current portion of the Ex-Im Credit Facility totaled $19.9 million and $45.3 million as of March 31, 2019 and March 31, 2018, respectively. There was no current portion related to the Ex-Im Credit Facility in any other period presented.</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fiscal year 2015 information presented reflects the amounts realized under our settlement agreement with SS/L and Loral (the</w:t>
      </w:r>
    </w:p>
    <w:p>
      <w:pPr>
        <w:spacing w:after="0" w:line="234" w:lineRule="auto"/>
        <w:rPr>
          <w:sz w:val="20"/>
          <w:szCs w:val="20"/>
          <w:color w:val="auto"/>
        </w:rPr>
      </w:pPr>
      <w:r>
        <w:rPr>
          <w:rFonts w:ascii="Arial" w:cs="Arial" w:eastAsia="Arial" w:hAnsi="Arial"/>
          <w:sz w:val="18"/>
          <w:szCs w:val="18"/>
          <w:color w:val="auto"/>
        </w:rPr>
        <w:t>Settlement Agreement) of $53.7 million, of which $33.0 million was recognized as product revenues in our satellite services segment,</w:t>
      </w:r>
    </w:p>
    <w:p>
      <w:pPr>
        <w:spacing w:after="0" w:line="235" w:lineRule="auto"/>
        <w:rPr>
          <w:sz w:val="20"/>
          <w:szCs w:val="20"/>
          <w:color w:val="auto"/>
        </w:rPr>
      </w:pPr>
      <w:r>
        <w:rPr>
          <w:rFonts w:ascii="Arial" w:cs="Arial" w:eastAsia="Arial" w:hAnsi="Arial"/>
          <w:sz w:val="18"/>
          <w:szCs w:val="18"/>
          <w:color w:val="auto"/>
        </w:rPr>
        <w:t>$18.7 million was recognized as a reduction to SG&amp;A expenses in our satellite services segment, and $2.0 million was recognized as interest</w:t>
      </w:r>
    </w:p>
    <w:p>
      <w:pPr>
        <w:spacing w:after="0" w:line="235" w:lineRule="auto"/>
        <w:rPr>
          <w:sz w:val="20"/>
          <w:szCs w:val="20"/>
          <w:color w:val="auto"/>
        </w:rPr>
      </w:pPr>
      <w:r>
        <w:rPr>
          <w:rFonts w:ascii="Arial" w:cs="Arial" w:eastAsia="Arial" w:hAnsi="Arial"/>
          <w:sz w:val="18"/>
          <w:szCs w:val="18"/>
          <w:color w:val="auto"/>
        </w:rPr>
        <w:t>income in the consolidated financial statements. Our fiscal year 2016 information presented reflects the amounts realized under the Settlement</w:t>
      </w:r>
    </w:p>
    <w:p>
      <w:pPr>
        <w:spacing w:after="0" w:line="235" w:lineRule="auto"/>
        <w:rPr>
          <w:sz w:val="20"/>
          <w:szCs w:val="20"/>
          <w:color w:val="auto"/>
        </w:rPr>
      </w:pPr>
      <w:r>
        <w:rPr>
          <w:rFonts w:ascii="Arial" w:cs="Arial" w:eastAsia="Arial" w:hAnsi="Arial"/>
          <w:sz w:val="18"/>
          <w:szCs w:val="18"/>
          <w:color w:val="auto"/>
        </w:rPr>
        <w:t>Agreement of $27.5 million, of which $25.3 million was recognized as product revenues in our satellite services segment, and $2.2 million was</w:t>
      </w:r>
    </w:p>
    <w:p>
      <w:pPr>
        <w:spacing w:after="0" w:line="235" w:lineRule="auto"/>
        <w:rPr>
          <w:sz w:val="20"/>
          <w:szCs w:val="20"/>
          <w:color w:val="auto"/>
        </w:rPr>
      </w:pPr>
      <w:r>
        <w:rPr>
          <w:rFonts w:ascii="Arial" w:cs="Arial" w:eastAsia="Arial" w:hAnsi="Arial"/>
          <w:sz w:val="18"/>
          <w:szCs w:val="18"/>
          <w:color w:val="auto"/>
        </w:rPr>
        <w:t>recognized as interest income in the consolidated financial statements. Our fiscal year 2017 information presented reflects amounts realized</w:t>
      </w:r>
    </w:p>
    <w:p>
      <w:pPr>
        <w:spacing w:after="0" w:line="235" w:lineRule="auto"/>
        <w:rPr>
          <w:sz w:val="20"/>
          <w:szCs w:val="20"/>
          <w:color w:val="auto"/>
        </w:rPr>
      </w:pPr>
      <w:r>
        <w:rPr>
          <w:rFonts w:ascii="Arial" w:cs="Arial" w:eastAsia="Arial" w:hAnsi="Arial"/>
          <w:sz w:val="18"/>
          <w:szCs w:val="18"/>
          <w:color w:val="auto"/>
        </w:rPr>
        <w:t>under the Settlement Agreement of $27.5 million, of which $26.8 million was recognized as product revenues in our satellite services segment,</w:t>
      </w:r>
    </w:p>
    <w:p>
      <w:pPr>
        <w:spacing w:after="0" w:line="235" w:lineRule="auto"/>
        <w:rPr>
          <w:sz w:val="20"/>
          <w:szCs w:val="20"/>
          <w:color w:val="auto"/>
        </w:rPr>
      </w:pPr>
      <w:r>
        <w:rPr>
          <w:rFonts w:ascii="Arial" w:cs="Arial" w:eastAsia="Arial" w:hAnsi="Arial"/>
          <w:sz w:val="18"/>
          <w:szCs w:val="18"/>
          <w:color w:val="auto"/>
        </w:rPr>
        <w:t>and an insignificant amount was recognized as interest income in the consolidated financial statements. As of March 31, 2017 all payments</w:t>
      </w:r>
    </w:p>
    <w:p>
      <w:pPr>
        <w:spacing w:after="0" w:line="235" w:lineRule="auto"/>
        <w:rPr>
          <w:sz w:val="20"/>
          <w:szCs w:val="20"/>
          <w:color w:val="auto"/>
        </w:rPr>
      </w:pPr>
      <w:r>
        <w:rPr>
          <w:rFonts w:ascii="Arial" w:cs="Arial" w:eastAsia="Arial" w:hAnsi="Arial"/>
          <w:sz w:val="18"/>
          <w:szCs w:val="18"/>
          <w:color w:val="auto"/>
        </w:rPr>
        <w:t>pursuant to the Settlement Agreement had been made. Our fiscal year 2017 information presented also reflects the amounts accrued for</w:t>
      </w:r>
    </w:p>
    <w:p>
      <w:pPr>
        <w:spacing w:after="0" w:line="235" w:lineRule="auto"/>
        <w:rPr>
          <w:sz w:val="20"/>
          <w:szCs w:val="20"/>
          <w:color w:val="auto"/>
        </w:rPr>
      </w:pPr>
      <w:r>
        <w:rPr>
          <w:rFonts w:ascii="Arial" w:cs="Arial" w:eastAsia="Arial" w:hAnsi="Arial"/>
          <w:sz w:val="18"/>
          <w:szCs w:val="18"/>
          <w:color w:val="auto"/>
        </w:rPr>
        <w:t>uncharacterized damages and penalties of $11.4 million and $0.4 million, respectively, in connection with the False Claims Act civil</w:t>
      </w:r>
    </w:p>
    <w:p>
      <w:pPr>
        <w:spacing w:after="0" w:line="234" w:lineRule="auto"/>
        <w:rPr>
          <w:sz w:val="20"/>
          <w:szCs w:val="20"/>
          <w:color w:val="auto"/>
        </w:rPr>
      </w:pPr>
      <w:r>
        <w:rPr>
          <w:rFonts w:ascii="Arial" w:cs="Arial" w:eastAsia="Arial" w:hAnsi="Arial"/>
          <w:sz w:val="18"/>
          <w:szCs w:val="18"/>
          <w:color w:val="auto"/>
        </w:rPr>
        <w:t>investigation related to our 52% majority-owned subsidiary TrellisWare, recognized in SG&amp;A expenses in our government systems segment.</w:t>
      </w:r>
    </w:p>
    <w:p>
      <w:pPr>
        <w:spacing w:after="0" w:line="235" w:lineRule="auto"/>
        <w:rPr>
          <w:sz w:val="20"/>
          <w:szCs w:val="20"/>
          <w:color w:val="auto"/>
        </w:rPr>
      </w:pPr>
      <w:r>
        <w:rPr>
          <w:rFonts w:ascii="Arial" w:cs="Arial" w:eastAsia="Arial" w:hAnsi="Arial"/>
          <w:sz w:val="18"/>
          <w:szCs w:val="18"/>
          <w:color w:val="auto"/>
        </w:rPr>
        <w:t>The impact of the loss contingency on net income attributable to Viasat, Inc. stockholders for fiscal year 2017, net of tax, was $4.0 million, with</w:t>
      </w:r>
    </w:p>
    <w:p>
      <w:pPr>
        <w:spacing w:after="0" w:line="235" w:lineRule="auto"/>
        <w:rPr>
          <w:sz w:val="20"/>
          <w:szCs w:val="20"/>
          <w:color w:val="auto"/>
        </w:rPr>
      </w:pPr>
      <w:r>
        <w:rPr>
          <w:rFonts w:ascii="Arial" w:cs="Arial" w:eastAsia="Arial" w:hAnsi="Arial"/>
          <w:sz w:val="18"/>
          <w:szCs w:val="18"/>
          <w:color w:val="auto"/>
        </w:rPr>
        <w:t>the related amount of $3.7 million recorded to net (loss) income attributable to noncontrolling interests, net of tax. The impact of the loss</w:t>
      </w:r>
    </w:p>
    <w:p>
      <w:pPr>
        <w:spacing w:after="0" w:line="235" w:lineRule="auto"/>
        <w:rPr>
          <w:sz w:val="20"/>
          <w:szCs w:val="20"/>
          <w:color w:val="auto"/>
        </w:rPr>
      </w:pPr>
      <w:r>
        <w:rPr>
          <w:rFonts w:ascii="Arial" w:cs="Arial" w:eastAsia="Arial" w:hAnsi="Arial"/>
          <w:sz w:val="18"/>
          <w:szCs w:val="18"/>
          <w:color w:val="auto"/>
        </w:rPr>
        <w:t>contingency on basic and diluted net income per share attributable to Viasat, Inc. common stockholders for fiscal year 2017 was $0.08 per</w:t>
      </w:r>
    </w:p>
    <w:p>
      <w:pPr>
        <w:spacing w:after="0" w:line="235" w:lineRule="auto"/>
        <w:rPr>
          <w:sz w:val="20"/>
          <w:szCs w:val="20"/>
          <w:color w:val="auto"/>
        </w:rPr>
      </w:pPr>
      <w:r>
        <w:rPr>
          <w:rFonts w:ascii="Arial" w:cs="Arial" w:eastAsia="Arial" w:hAnsi="Arial"/>
          <w:sz w:val="18"/>
          <w:szCs w:val="18"/>
          <w:color w:val="auto"/>
        </w:rPr>
        <w:t>share and $0.07 per share, respectively. In the fourth quarter of fiscal year 2018, the TrellisWare investigation was settled and the accrued</w:t>
      </w:r>
    </w:p>
    <w:p>
      <w:pPr>
        <w:spacing w:after="0" w:line="235" w:lineRule="auto"/>
        <w:rPr>
          <w:sz w:val="20"/>
          <w:szCs w:val="20"/>
          <w:color w:val="auto"/>
        </w:rPr>
      </w:pPr>
      <w:r>
        <w:rPr>
          <w:rFonts w:ascii="Arial" w:cs="Arial" w:eastAsia="Arial" w:hAnsi="Arial"/>
          <w:sz w:val="18"/>
          <w:szCs w:val="18"/>
          <w:color w:val="auto"/>
        </w:rPr>
        <w:t>amount of loss contingency was paid out in full. Refer to Note 12 to the consolidated financial statements for further discussion of the False</w:t>
      </w:r>
    </w:p>
    <w:p>
      <w:pPr>
        <w:spacing w:after="0" w:line="235" w:lineRule="auto"/>
        <w:rPr>
          <w:sz w:val="20"/>
          <w:szCs w:val="20"/>
          <w:color w:val="auto"/>
        </w:rPr>
      </w:pPr>
      <w:r>
        <w:rPr>
          <w:rFonts w:ascii="Arial" w:cs="Arial" w:eastAsia="Arial" w:hAnsi="Arial"/>
          <w:sz w:val="18"/>
          <w:szCs w:val="18"/>
          <w:color w:val="auto"/>
        </w:rPr>
        <w:t>Claims Act civil investigation. Our fiscal year 2018 information presented reflects the repurchase and redemption of our former 2020 Notes and</w:t>
      </w:r>
    </w:p>
    <w:p>
      <w:pPr>
        <w:spacing w:after="0" w:line="235" w:lineRule="auto"/>
        <w:rPr>
          <w:sz w:val="20"/>
          <w:szCs w:val="20"/>
          <w:color w:val="auto"/>
        </w:rPr>
      </w:pPr>
      <w:r>
        <w:rPr>
          <w:rFonts w:ascii="Arial" w:cs="Arial" w:eastAsia="Arial" w:hAnsi="Arial"/>
          <w:sz w:val="18"/>
          <w:szCs w:val="18"/>
          <w:color w:val="auto"/>
        </w:rPr>
        <w:t>the associated $10.2 million loss on extinguishment of debt. Refer to Note 5 to the consolidated financial statements for discussion of the</w:t>
      </w:r>
    </w:p>
    <w:p>
      <w:pPr>
        <w:spacing w:after="0" w:line="235" w:lineRule="auto"/>
        <w:rPr>
          <w:sz w:val="20"/>
          <w:szCs w:val="20"/>
          <w:color w:val="auto"/>
        </w:rPr>
      </w:pPr>
      <w:r>
        <w:rPr>
          <w:rFonts w:ascii="Arial" w:cs="Arial" w:eastAsia="Arial" w:hAnsi="Arial"/>
          <w:sz w:val="18"/>
          <w:szCs w:val="18"/>
          <w:color w:val="auto"/>
        </w:rPr>
        <w:t>repurchase and redemption of all of the 2020 Notes and loss on extinguishment of debt. Our fiscal year 2019 information presented reflects a</w:t>
      </w:r>
    </w:p>
    <w:p>
      <w:pPr>
        <w:spacing w:after="0" w:line="234" w:lineRule="auto"/>
        <w:rPr>
          <w:sz w:val="20"/>
          <w:szCs w:val="20"/>
          <w:color w:val="auto"/>
        </w:rPr>
      </w:pPr>
      <w:r>
        <w:rPr>
          <w:rFonts w:ascii="Arial" w:cs="Arial" w:eastAsia="Arial" w:hAnsi="Arial"/>
          <w:sz w:val="18"/>
          <w:szCs w:val="18"/>
          <w:color w:val="auto"/>
        </w:rPr>
        <w:t>$7.5 million gain related to ViaSat-2 insurance claims in SG&amp;A expenses in our satellite services segment. Refer to Note 1 to the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for further discussion of the ViaSat-2 insurance claims.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42" w:name="page43"/>
    <w:bookmarkEnd w:id="42"/>
    <w:p>
      <w:pPr>
        <w:ind w:right="1460"/>
        <w:spacing w:after="0" w:line="333"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are an innovator in communications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military tactical data link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and mobile broadband customers (including commercial airlines and maritime vessels) both in the United States and abroad. Our Viasat Internet and Viasat Business Internet fixed broadband services offer high-speed, high-quality broadband internet access. For commercial aircraft, we offer high-speed internet and other in-flight services, including our wireless in-flight entertainment (W-IFE) platform. Our Community and Urban Wi-Fi hotspot services provide satellite-powered Wi-Fi to rural, suburban and urban areas in a number of countries in the Americas.</w:t>
      </w:r>
    </w:p>
    <w:p>
      <w:pPr>
        <w:spacing w:after="0" w:line="151"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Our proprietary Ka-band satellites are at the core of our technology platform. We own three Ka-band satellites in service: ViaSat-2 (our second-generation high-capacity Ka-band spot beam satellite, which was placed into service in the fourth quarter of fiscal year 2018), ViaSat-1 (our first-generation high-capacity Ka-band spot-beam satellite, which was placed into service in January 2012), and WildBlue-1 (which was placed into service in March 2007). We also have two third-generation ViaSat-3 class satellites that have entered the phase of full construction, and in January 2019 we signed an agreement to proceed for a third ViaSat-3 class satellite.</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we recorded a reduction to the carrying value of the ViaSat-2 satellite of $177.4 million, with a corresponding insurance receivable of $177.4 million, based on our estimated ViaSat-2 output capabilities as compared to the anticipated, potential and configured capacity of the ViaSat-2 satellite. During fiscal year 2019, we received $185.7 million in insurance recovery proceeds related to such claims. We recorded an insurance receivable of $2.3 million as of March 31, 2019 with respect to probable remaining ViaSat-2 related insurance claims. As a result, during fiscal year 2019, we recorded a $7.5 million gain related to ViaSat-2 insurance claims in SG&amp;A expenses in the consolidated statements of operations and comprehensive incomes (loss). The ViaSat-2 satellite was primarily financed by the Ex-Im Credit Facility (see “Liquidity and Capital Resources—Ex-Im Credit Facility” below). Pursuant to the terms of the Ex-Im Credit Facility, insurance proceeds received from such claims were used to pay down outstanding borrowings under the Ex-Im Credit Facility.</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77" w:lineRule="exact"/>
        <w:rPr>
          <w:sz w:val="20"/>
          <w:szCs w:val="20"/>
          <w:color w:val="auto"/>
        </w:rPr>
      </w:pPr>
    </w:p>
    <w:p>
      <w:pPr>
        <w:ind w:left="1040" w:right="40" w:hanging="519"/>
        <w:spacing w:after="0" w:line="239"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broadband internet access and VoIP services. As of March 31, 2019, we provided fixed broadband services to approximately 586,000 subscribers. In addition, our satellite-powered Community and Urban Wi-Fi hotspot services are now available within walking distance to more than one million people living and working in thousands of rural, suburban and urban Mexican communities.</w:t>
      </w:r>
    </w:p>
    <w:p>
      <w:pPr>
        <w:spacing w:after="0" w:line="53"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W-IFE and aviation software services. As of March 31, 2019, 1,312 commercial aircraft were in service receiving our in-flight services through our IFC systems.</w:t>
      </w:r>
    </w:p>
    <w:p>
      <w:pPr>
        <w:spacing w:after="0" w:line="48" w:lineRule="exact"/>
        <w:rPr>
          <w:rFonts w:ascii="Arial" w:cs="Arial" w:eastAsia="Arial" w:hAnsi="Arial"/>
          <w:sz w:val="18"/>
          <w:szCs w:val="18"/>
          <w:color w:val="auto"/>
        </w:rPr>
      </w:pPr>
    </w:p>
    <w:p>
      <w:pPr>
        <w:ind w:left="1040" w:right="800" w:hanging="519"/>
        <w:spacing w:after="0" w:line="246"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ind w:right="220" w:firstLine="518"/>
        <w:spacing w:after="0" w:line="246" w:lineRule="auto"/>
        <w:rPr>
          <w:sz w:val="20"/>
          <w:szCs w:val="20"/>
          <w:color w:val="auto"/>
        </w:rPr>
      </w:pPr>
      <w:r>
        <w:rPr>
          <w:rFonts w:ascii="Arial" w:cs="Arial" w:eastAsia="Arial" w:hAnsi="Arial"/>
          <w:sz w:val="18"/>
          <w:szCs w:val="18"/>
          <w:color w:val="auto"/>
        </w:rPr>
        <w:t>We also offer a variety of other broadband services and capabilities, including live on-line event streaming and oil and natural gas data gathering services.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CPE, satellite modems and antenna technologies, as well as satellite payload development and ASIC chip design. Our products, systems and solutions are generally developed through a combination of customer and discretionary internal R&amp;D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60"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76" w:lineRule="exact"/>
        <w:rPr>
          <w:rFonts w:ascii="Arial" w:cs="Arial" w:eastAsia="Arial" w:hAnsi="Arial"/>
          <w:sz w:val="18"/>
          <w:szCs w:val="18"/>
          <w:color w:val="auto"/>
        </w:rPr>
      </w:pPr>
    </w:p>
    <w:p>
      <w:pPr>
        <w:ind w:left="1040" w:right="680" w:hanging="519"/>
        <w:spacing w:after="0" w:line="246"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48" w:lineRule="exact"/>
        <w:rPr>
          <w:rFonts w:ascii="Arial" w:cs="Arial" w:eastAsia="Arial" w:hAnsi="Arial"/>
          <w:sz w:val="18"/>
          <w:szCs w:val="18"/>
          <w:color w:val="auto"/>
        </w:rPr>
      </w:pPr>
    </w:p>
    <w:p>
      <w:pPr>
        <w:ind w:left="1040" w:right="80" w:hanging="519"/>
        <w:spacing w:after="0" w:line="246"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48" w:lineRule="exact"/>
        <w:rPr>
          <w:rFonts w:ascii="Arial" w:cs="Arial" w:eastAsia="Arial" w:hAnsi="Arial"/>
          <w:sz w:val="18"/>
          <w:szCs w:val="18"/>
          <w:color w:val="auto"/>
        </w:rPr>
      </w:pPr>
    </w:p>
    <w:p>
      <w:pPr>
        <w:ind w:left="1040" w:hanging="519"/>
        <w:spacing w:after="0" w:line="23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MMIC chips and network function virtualization, as well as modules and subsystems for various commercial, military and space uses and radio frequency and advanced microwave solutions.</w:t>
      </w:r>
    </w:p>
    <w:p>
      <w:pPr>
        <w:spacing w:after="0" w:line="53" w:lineRule="exact"/>
        <w:rPr>
          <w:rFonts w:ascii="Arial" w:cs="Arial" w:eastAsia="Arial" w:hAnsi="Arial"/>
          <w:sz w:val="18"/>
          <w:szCs w:val="18"/>
          <w:color w:val="auto"/>
        </w:rPr>
      </w:pPr>
    </w:p>
    <w:p>
      <w:pPr>
        <w:ind w:left="1040" w:right="180" w:hanging="519"/>
        <w:spacing w:after="0" w:line="246"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Space systems. We design and develop high-capacity Ka-band satellites for our own satellite fleet and for third parties, including development and production of the associated satellite payload technologies.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IP-based fixed and mobile secure communications products and solutions. Our government systems products and solutions are designed to enable the collection and dissemination of secure real-time digital information and intelligence between individuals on the tactical edge, in command centers, leveraging strategic communications nodes, and those individuals on the ground, in the air or on a maritime platform. Customers of our government systems segment include the DoD, those serving the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77" w:lineRule="exact"/>
        <w:rPr>
          <w:sz w:val="20"/>
          <w:szCs w:val="20"/>
          <w:color w:val="auto"/>
        </w:rPr>
      </w:pPr>
    </w:p>
    <w:p>
      <w:pPr>
        <w:ind w:left="1040" w:right="280" w:hanging="519"/>
        <w:spacing w:after="0" w:line="246"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LOS and BLOS ISR missions.</w:t>
      </w:r>
    </w:p>
    <w:p>
      <w:pPr>
        <w:spacing w:after="0" w:line="48" w:lineRule="exact"/>
        <w:rPr>
          <w:rFonts w:ascii="Arial" w:cs="Arial" w:eastAsia="Arial" w:hAnsi="Arial"/>
          <w:sz w:val="18"/>
          <w:szCs w:val="18"/>
          <w:color w:val="auto"/>
        </w:rPr>
      </w:pPr>
    </w:p>
    <w:p>
      <w:pPr>
        <w:ind w:left="1040" w:right="540" w:hanging="519"/>
        <w:spacing w:after="0" w:line="257"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Government satellite communication systems, which comprise an array of portable, mobile and fixed broadband modems, terminals, network access control systems and antenna systems using a range of satellite frequency bands for C2 missions, satellite networking services and network management systems for Wi-Fi and other internet access networks, and include products designed for manpacks, aircraft, UAVs, seagoing vessels, ground-mobile vehicles and fixed applications.</w:t>
      </w:r>
    </w:p>
    <w:p>
      <w:pPr>
        <w:spacing w:after="0" w:line="40" w:lineRule="exact"/>
        <w:rPr>
          <w:rFonts w:ascii="Arial" w:cs="Arial" w:eastAsia="Arial" w:hAnsi="Arial"/>
          <w:sz w:val="17"/>
          <w:szCs w:val="17"/>
          <w:color w:val="auto"/>
        </w:rPr>
      </w:pPr>
    </w:p>
    <w:p>
      <w:pPr>
        <w:ind w:left="1040" w:right="10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HAIPE-compliant encryption solutions that enable military and government users to communicate information securely over networks, and that protect the integrity of data stored on computers and storage devices.</w:t>
      </w:r>
    </w:p>
    <w:p>
      <w:pPr>
        <w:spacing w:after="0" w:line="54" w:lineRule="exact"/>
        <w:rPr>
          <w:rFonts w:ascii="Arial" w:cs="Arial" w:eastAsia="Arial" w:hAnsi="Arial"/>
          <w:sz w:val="18"/>
          <w:szCs w:val="18"/>
          <w:color w:val="auto"/>
        </w:rPr>
      </w:pPr>
    </w:p>
    <w:p>
      <w:pPr>
        <w:ind w:left="1040" w:right="20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Tactical data links, including our BATS-D AN/PRC-161 handheld Link 16 radios, our STT KOR-24A 2-channel radios for manned and unmanned applications, “disposable” defense data links, our MIDS terminals for military fighter jets and their successor, MIDS-JTRS terminals.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(including services using our IFC systems and W-IFE platform) and worldwide managed network services.</w:t>
      </w:r>
    </w:p>
    <w:p>
      <w:pPr>
        <w:spacing w:after="0" w:line="14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90%, 88% and 87% of our total revenues for these segments for fiscal years 2019, 2018 and 2017,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48"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19% of our total revenues for fiscal years 2019, 2018 and 2017.</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R&amp;D projects. IR&amp;D expenses were approximately 6%, 11% and 8% of total revenues in fiscal years 2019, 2018 and 2017, respectively. As a government contractor, we are able to recover a portion of our IR&amp;D expenses pursuant to our government contracts.</w:t>
      </w:r>
    </w:p>
    <w:p>
      <w:pPr>
        <w:spacing w:after="0" w:line="148"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Approximately 11%, 12% and 13% of our total revenues in fiscal years 2019, 2018 and 2017, respectively, were derived from international sales. Doing business internationally creates additional risks related to global political and economic conditions and other factors identified under the heading “Risk Factors” in Item 1A and elsewhere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We apply the five-step revenue recognition model under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45" w:name="page46"/>
    <w:bookmarkEnd w:id="45"/>
    <w:p>
      <w:pPr>
        <w:ind w:right="20" w:firstLine="518"/>
        <w:spacing w:after="0" w:line="235"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including leasing of related broadband equipment.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Our accounting for equipment leases involves specific determinations under ASC 840, which may involve complex provisions and significant judgments. In accordance with ASC 840, we apply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6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90"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20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2019 would change our loss before income taxes by an insignificant amount.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6" w:name="page47"/>
    <w:bookmarkEnd w:id="46"/>
    <w:p>
      <w:pPr>
        <w:ind w:right="100" w:firstLine="518"/>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200"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7" w:name="page48"/>
    <w:bookmarkEnd w:id="47"/>
    <w:p>
      <w:pPr>
        <w:jc w:val="both"/>
        <w:ind w:right="220"/>
        <w:spacing w:after="0"/>
        <w:rPr>
          <w:sz w:val="20"/>
          <w:szCs w:val="20"/>
          <w:color w:val="auto"/>
        </w:rPr>
      </w:pPr>
      <w:r>
        <w:rPr>
          <w:rFonts w:ascii="Arial" w:cs="Arial" w:eastAsia="Arial" w:hAnsi="Arial"/>
          <w:sz w:val="18"/>
          <w:szCs w:val="18"/>
          <w:color w:val="auto"/>
        </w:rPr>
        <w:t>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49"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We also have two third-generation ViaSat-3 class satellites that have entered the phase of full construction, and in January 2019 we signed an agreement to proceed for a third ViaSat-3 class satellite.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2019, 2018 and 2017.</w:t>
      </w:r>
    </w:p>
    <w:p>
      <w:pPr>
        <w:spacing w:after="0" w:line="149"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5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Based on our qualitative assessment performed during the fourth quarter of fiscal year 2019, we concluded that it was more likely than not that the estimated fair value of our reporting units exceeded their carrying value as of March 31, 2019 and, therefore, determined it was not necessary to perform the two-step goodwill impairment test.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$29.0 million at March 31, 2018 to $33.5 million at March 31, 2019. The valuation allowance relates to state and foreign net operating loss carryforwards, state R&amp;D tax credit carryforwards and foreign tax credit carryforwards.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48" w:name="page49"/>
    <w:bookmarkEnd w:id="48"/>
    <w:p>
      <w:pPr>
        <w:ind w:right="80" w:firstLine="518"/>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Fiscal Years Ended</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26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126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50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5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5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Net (loss) income attributable to Viasat, Inc.</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7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4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4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9" w:name="page50"/>
    <w:bookmarkEnd w:id="49"/>
    <w:p>
      <w:pPr>
        <w:ind w:firstLine="518"/>
        <w:spacing w:after="0" w:line="238" w:lineRule="auto"/>
        <w:rPr>
          <w:sz w:val="20"/>
          <w:szCs w:val="20"/>
          <w:color w:val="auto"/>
        </w:rPr>
      </w:pPr>
      <w:r>
        <w:rPr>
          <w:rFonts w:ascii="Arial" w:cs="Arial" w:eastAsia="Arial" w:hAnsi="Arial"/>
          <w:sz w:val="18"/>
          <w:szCs w:val="18"/>
          <w:color w:val="auto"/>
        </w:rPr>
        <w:t>Our total revenues grew by $473.6 million as a result of a $337.1 million increase in product revenues and a $136.5 million increase in service revenues. The product revenue increase was driven primarily by increases of $ 185.5 million in our commercial networks segment and $152.3 million in our government systems segment. The service revenue increase was due to increases of $95.6 million in our satellite services segment, $31.2 million in our government systems segment and $9.7 million in our commercial networks segment.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4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Cost of revenues increased by $416.9 million due to increases of $280.8 million in cost of product revenues and $136.1 million in cost of service revenues. The cost of product revenue increase was primarily due to increased revenues, mainly from our mobile broadband satellite communication systems products and antenna systems products in our commercial networks segment and tactical data link products and government satellite communication systems products in our government systems segment, causing a $247.1 million increase in cost of product revenues on a constant margin basis. Additionally, cost of product revenues increased due to lower margins, primarily from our antenna systems products in our commercial networks segment and government satellite communication systems products in our government systems segment. The cost of service revenue increase mainly related to increased revenues, mainly from our fixed broadband services and in-flight internet services, causing a $92.3 million increase in cost of service revenues on a constant margin basis. Additionally cost of service revenues increased due to lower margins for fixed broadband services in our satellite services segment, primarily due to the ViaSat-2 service launch in the fourth quarter of fiscal year 2018.</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4"/>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$73.0 million increase in SG&amp;A expenses reflected an increase in support costs of $39.9 million and an increase in selling costs of $37.1 million, partially offset by a gain of approximately $ 7.5 million related to our ViaSat-2 satellite insurance claims recorded as a reduction to SG&amp;A expenses in our satellite services segment during fiscal year 2019 (see “Liquidity and Capital Resources–Satellite-related activities” for additional information). The increase in support costs was reflected in all three segments, however we experienced the largest increase from our satellite services segment, mainly due to the higher employee-related costs supporting the ViaSat-2 service launch. The increase in selling costs was primarily due to an increase in our satellite services segment due to the ViaSat-2 service launch in the fourth quarter of fiscal year 2018. SG&amp;A expenses consisted primarily of personnel costs and expenses for business development, marketing and sales, bid and proposal, facilities, finance, contract administration and general management.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4"/>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(45.3)</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The $45.3 million decrease in IR&amp;D expenses was primarily the result of a decrease of $45.2 million in IR&amp;D efforts in our commercial networks segment (primarily related to a decrease in IR&amp;D expenses related to next-generation satellite payload technologies for our ViaSat-3 class satellites, as the first two ViaSat-3 class satellites have entered the phase of full construction, and mobile broadband satellite communication systems).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9"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$2.6 million decrease in amortization of acquired intangible assets in fiscal year 2019 compared to fiscal year 2018 was primarily the result of certain acquired customer relationship intangibles in our satellite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0" w:name="page51"/>
    <w:bookmarkEnd w:id="50"/>
    <w:p>
      <w:pPr>
        <w:ind w:right="440"/>
        <w:spacing w:after="0" w:line="246" w:lineRule="auto"/>
        <w:rPr>
          <w:sz w:val="20"/>
          <w:szCs w:val="20"/>
          <w:color w:val="auto"/>
        </w:rPr>
      </w:pPr>
      <w:r>
        <w:rPr>
          <w:rFonts w:ascii="Arial" w:cs="Arial" w:eastAsia="Arial" w:hAnsi="Arial"/>
          <w:sz w:val="18"/>
          <w:szCs w:val="18"/>
          <w:color w:val="auto"/>
        </w:rPr>
        <w:t>services segment becoming fully amortized during the prior fiscal year. Current and expected amortization expense for acquired intangible assets for each of the following periods is as follows: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5,101</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Borders>
              <w:bottom w:val="single" w:sz="8" w:color="CFF0FC"/>
            </w:tcBorders>
          </w:tcPr>
          <w:p>
            <w:pPr>
              <w:spacing w:after="0"/>
              <w:rPr>
                <w:sz w:val="18"/>
                <w:szCs w:val="18"/>
                <w:color w:val="auto"/>
              </w:rPr>
            </w:pPr>
          </w:p>
        </w:tc>
      </w:tr>
      <w:tr>
        <w:trPr>
          <w:trHeight w:val="210"/>
        </w:trPr>
        <w:tc>
          <w:tcPr>
            <w:tcW w:w="39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22,301</w:t>
            </w:r>
          </w:p>
        </w:tc>
        <w:tc>
          <w:tcPr>
            <w:tcW w:w="60" w:type="dxa"/>
            <w:vAlign w:val="bottom"/>
            <w:shd w:val="clear" w:color="auto" w:fill="CFF0FC"/>
          </w:tcPr>
          <w:p>
            <w:pPr>
              <w:spacing w:after="0"/>
              <w:rPr>
                <w:sz w:val="18"/>
                <w:szCs w:val="18"/>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85"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insignificant decrease in interest income for fiscal year 2019 compared to fiscal year 2018 was primarily the result of lower average invested cash balances during fiscal year 2019 compared to fiscal year 2018.</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9"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$46.0 million increase in interest expense in fiscal year 2019 compared to fiscal year 2018 was primarily due to a decrease in the amount of interest capitalized, a net increase in interest expense related to our Ex-Im Credit Facility mainly due to the increased interest accretion related to required payments of outstanding borrowings under our Ex-Im Credit Facility upon receipt of insurance proceeds related to the ViaSat-2 satellite (see “Liquidity and Capital Resources – Ex-Im Credit Facility” for additional information) and higher outstanding borrowings under the Revolving Credit Facility (which outstanding borrowings were repaid prior to March 31, 2019 with proceeds from the issuance of our 2027 Notes in March 2019). Capitalized interest expense during fiscal year 2019 related to the construction of our ViaSat-3 class satellites, gateway and networking equipment and other assets. Capitalized interest expense during fiscal year 2018 related to the construction of our ViaSat-2 satellite, ViaSat-3 class satellites, gateway and networking equipment and other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The income tax benefit in fiscal years 2019 and 2018 reflected the tax benefit from our loss before income taxes and the benefit from federal and state R&amp;D tax credits. Fiscal year 2018 also included an income tax expense due to the revaluation of net deferred tax assets resulting from the lowering of the corporate federal income tax rate from 35% to 21% under H.R.1, informally known as the Tax Cuts and Jobs Act, which was enacted into law on December 22, 2017 (the Tax Reform).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2019 Compared to Fiscal Year 2018</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51" w:name="page52"/>
    <w:bookmarkEnd w:id="51"/>
    <w:p>
      <w:pPr>
        <w:ind w:right="80" w:firstLine="518"/>
        <w:spacing w:after="0" w:line="236" w:lineRule="auto"/>
        <w:rPr>
          <w:sz w:val="20"/>
          <w:szCs w:val="20"/>
          <w:color w:val="auto"/>
        </w:rPr>
      </w:pPr>
      <w:r>
        <w:rPr>
          <w:rFonts w:ascii="Arial" w:cs="Arial" w:eastAsia="Arial" w:hAnsi="Arial"/>
          <w:sz w:val="18"/>
          <w:szCs w:val="18"/>
          <w:color w:val="auto"/>
        </w:rPr>
        <w:t>Our satellite services segment revenues increased by $94.9 million primarily as a result of a $95.6 million increase in service revenues. The increase in service revenues was primarily driven by the expansion of our fixed broadband services and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Total subscribers at March 31, 2019 were approximately 586,000 compared to 576,000 subscribers at March 31, 2018. The in-flight service revenue increase was driven primarily by the increase in the number of commercial aircraft receiving our in-flight services through our IFC systems, with 1,312 commercial aircraft in service utilizing our IFC systems as of March 31, 2019, compared to 635 commercial aircraft in service as of March 31, 2018.</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(loss) profit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49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69"/>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Increase</w:t>
            </w:r>
          </w:p>
        </w:tc>
      </w:tr>
      <w:tr>
        <w:trPr>
          <w:trHeight w:val="17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(76.3)</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(635)%</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decrease in our satellite services segment operating profit was driven primarily by higher selling costs of $36.8 million due to the increased promotion of our fixed broadband services following ViaSat-2 service launch, as well as an increase in support costs of $21.6 million, mainly due to the higher employee-related costs supporting the ViaSat-2 service launch. In addition, our fixed broadband services also experienced lower earnings contributions of $27.1 million, primarily due to lower margins, driven also by the ViaSat-2 service launch in the fourth quarter of fiscal year 2018. This decrease in operating profit was partially offset by a gain of approximately $7.5 million related to our ViaSat-2 satellite insurance claims recorded as a reduction to SG&amp;A expenses in our satellite services segment during fiscal year 2019 (see “Liquidity and Capital Resources–Satellite-related activities” for additional information).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r>
    </w:tbl>
    <w:p>
      <w:pPr>
        <w:spacing w:after="0" w:line="202"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Our commercial networks segment revenues increased by $195.2 million, primarily due to a $185.5 million increase in product revenues. The increase in product revenues was primarily due to increases of $ 147.5 million in mobile broadband satellite communication systems products and $37.4 million in antenna systems products. The service revenue increase was mainly due to an $8.9 million increase in mobile broadband satellite communication systems services.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(166.6)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$62.5 million decrease in our commercial networks segment operating loss was driven primarily by a $45.2 million decrease in IR&amp;D expenses related to next-generation satellite payload technologies for our ViaSat-3 class satellites, as the first two ViaSat-3 class satellites have entered the phase of full construction, and mobile broadband satellite communication systems. In addition, we experienced higher earnings contributions of $27.9 million, primarily due to increased revenues and improved margins in our mobile broadband satellite communication systems products and satellite networking development programs. The decrease in operating loss was partially offset by higher SG&amp;A costs of $10.7 million.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15%</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government systems segment revenues increased by $183.5 million due to increases of $ 152.3 million in product revenues and $31.2 million in service revenues. The product revenue increase was due to a $ 62.0 million increase in tactical data link products, a $31.5 million increase in government satellite communication systems, a $27.0 million increase in cybersecurity and information assurance products and a $25.6 million increase in tactical satcom radio products. The service revenue increase was primarily due to an $18.0 million increase in government mobile broadband services, a $7.8 million increase in tactical data link services and a $4.7 million increase in government satellite communication systems services.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$42.8 million increase in our government systems segment operating profit was primarily due to higher earnings contributions of</w:t>
      </w:r>
    </w:p>
    <w:p>
      <w:pPr>
        <w:spacing w:after="0" w:line="234" w:lineRule="auto"/>
        <w:rPr>
          <w:sz w:val="20"/>
          <w:szCs w:val="20"/>
          <w:color w:val="auto"/>
        </w:rPr>
      </w:pPr>
      <w:r>
        <w:rPr>
          <w:rFonts w:ascii="Arial" w:cs="Arial" w:eastAsia="Arial" w:hAnsi="Arial"/>
          <w:sz w:val="18"/>
          <w:szCs w:val="18"/>
          <w:color w:val="auto"/>
        </w:rPr>
        <w:t>$55.9 million, primarily due to an increase in revenues from our tactical data link products and increased revenues and improved margins in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government mobile broadband services. This increase was partially offset by higher SG&amp;A costs of $11.6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total revenues grew by $35.3 million as a result of a $41.6 million increase in product revenues, offset by a $ 6.3 million decrease in service revenues. The product revenue increase was driven by an increase of $82.1 million in our government systems segment, partially offset by decreases of $27.0 million in our satellite services segment and $ 13.4 million in our commercial networks segment. The decrease in product revenue in our satellite services segment reflected the completion of payments under the Settlement Agreement with SS/L in fiscal year 2017, which were previously recognized as product revenue. The service revenue decrease was driven by a decrease of $13.3 million in our satellite services segment, partially offset by increases of $5.0 million in our government systems segment and $2.0 million in our commercial networks segment.</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7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7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3" w:name="page54"/>
    <w:bookmarkEnd w:id="53"/>
    <w:p>
      <w:pPr>
        <w:ind w:right="20" w:firstLine="518"/>
        <w:spacing w:after="0" w:line="236" w:lineRule="auto"/>
        <w:rPr>
          <w:sz w:val="20"/>
          <w:szCs w:val="20"/>
          <w:color w:val="auto"/>
        </w:rPr>
      </w:pPr>
      <w:r>
        <w:rPr>
          <w:rFonts w:ascii="Arial" w:cs="Arial" w:eastAsia="Arial" w:hAnsi="Arial"/>
          <w:sz w:val="18"/>
          <w:szCs w:val="18"/>
          <w:color w:val="auto"/>
        </w:rPr>
        <w:t>Cost of revenues increased by $71.8 million due to increases of $42.2 million in cost of service revenues and $ 29.7 million in cost of product revenues. The cost of service revenue increase mainly related to lower margins for fixed broadband services and in-flight internet services in our satellite services segment primarily due to preparation for the ViaSat-2 service launch in the fourth quarter of fiscal year 2018 and the ramp-up of large-scale commercial air in-flight IFC systems, partially offset by improved margins in global mobile broadband services in our government systems segment. The cost of product revenue increase was mainly due to increased revenues, causing a $52.2 million increase in cost of product revenues on a constant margin basis (excluding the effect of the payments under the Settlement Agreement in the prior year period recognized as product revenues), partially offset by improved margins mainly related to our tactical data links products, global mobile broadband products and cybersecurity and information assurance products in our government systems segment.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right="60" w:firstLine="503"/>
        <w:spacing w:after="0" w:line="237" w:lineRule="auto"/>
        <w:rPr>
          <w:sz w:val="20"/>
          <w:szCs w:val="20"/>
          <w:color w:val="auto"/>
        </w:rPr>
      </w:pPr>
      <w:r>
        <w:rPr>
          <w:rFonts w:ascii="Arial" w:cs="Arial" w:eastAsia="Arial" w:hAnsi="Arial"/>
          <w:sz w:val="18"/>
          <w:szCs w:val="18"/>
          <w:color w:val="auto"/>
        </w:rPr>
        <w:t>The $ 52.0 million increase in SG&amp;A expenses reflected a $34.2 million increase in support costs primarily in our satellite services and commercial networks segments, mainly due to the higher employee-related costs supporting the ViaSat-2 service launch and our commercial air growth activities, as well as in support of the expansion of our international business. In addition, selling costs increased $11.9 million, primarily due to an increase in our satellite services segment in preparation for the ViaSat-2 service launch in the fourth quarter of fiscal year 2018. New business proposal costs also increased $5.9 million, driven primarily by increases in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4"/>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2"/>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right="320" w:firstLine="518"/>
        <w:spacing w:after="0" w:line="239" w:lineRule="auto"/>
        <w:rPr>
          <w:sz w:val="20"/>
          <w:szCs w:val="20"/>
          <w:color w:val="auto"/>
        </w:rPr>
      </w:pPr>
      <w:r>
        <w:rPr>
          <w:rFonts w:ascii="Arial" w:cs="Arial" w:eastAsia="Arial" w:hAnsi="Arial"/>
          <w:sz w:val="18"/>
          <w:szCs w:val="18"/>
          <w:color w:val="auto"/>
        </w:rPr>
        <w:t>The $38.7 million increase in IR&amp;D expenses was primarily the result of increases of $22.2 million in IR&amp;D efforts in our commercial networks segment (primarily related to an increase in IR&amp;D efforts relating to next-generation satellite payload technologies for our ViaSat-3 class satellites and next-generation consumer broadband integrated networking technologies) and $15.8 million in our government systems segment (primarily related to R&amp;D increases in the development of next-generation dual band mobility solutions).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8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$1.4 million increase in amortization of acquired intangible assets in fiscal year 2018 compared to fiscal year 2017 was primarily the result of our acquisition of Aerodocs Limited in November 2016. Current and expected amortization expense for acquired intangible assets for each of the following periods is as follows:</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2019</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7,726</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3,451</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60" w:type="dxa"/>
            <w:vAlign w:val="bottom"/>
            <w:tcBorders>
              <w:bottom w:val="single" w:sz="8" w:color="CFF0FC"/>
            </w:tcBorders>
          </w:tcPr>
          <w:p>
            <w:pPr>
              <w:spacing w:after="0"/>
              <w:rPr>
                <w:sz w:val="18"/>
                <w:szCs w:val="18"/>
                <w:color w:val="auto"/>
              </w:rPr>
            </w:pPr>
          </w:p>
        </w:tc>
      </w:tr>
      <w:tr>
        <w:trPr>
          <w:trHeight w:val="210"/>
        </w:trPr>
        <w:tc>
          <w:tcPr>
            <w:tcW w:w="39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31,862</w:t>
            </w:r>
          </w:p>
        </w:tc>
        <w:tc>
          <w:tcPr>
            <w:tcW w:w="60" w:type="dxa"/>
            <w:vAlign w:val="bottom"/>
            <w:shd w:val="clear" w:color="auto" w:fill="CFF0FC"/>
          </w:tcPr>
          <w:p>
            <w:pPr>
              <w:spacing w:after="0"/>
              <w:rPr>
                <w:sz w:val="18"/>
                <w:szCs w:val="18"/>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9"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slight decrease in interest income for fiscal year 2018 compared to fiscal year 2017 was primarily due to payments in the prior year period under the Settlement Agreement recognized as interest income. This decrease was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300"/>
        <w:spacing w:after="0" w:line="246" w:lineRule="auto"/>
        <w:rPr>
          <w:sz w:val="20"/>
          <w:szCs w:val="20"/>
          <w:color w:val="auto"/>
        </w:rPr>
      </w:pPr>
      <w:r>
        <w:rPr>
          <w:rFonts w:ascii="Arial" w:cs="Arial" w:eastAsia="Arial" w:hAnsi="Arial"/>
          <w:sz w:val="18"/>
          <w:szCs w:val="18"/>
          <w:color w:val="auto"/>
        </w:rPr>
        <w:t>partially offset by slightly higher average interest rates on our investments coupled with higher average invested cash balances during fiscal year 2018 compared to fiscal year 2017.</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$8.1 million decrease in interest expense in fiscal year 2018 compared to fiscal year 2017 was primarily due to an increase of $9.2 million in the amount of interest capitalized during fiscal year 2018 compared to fiscal year 2017. Capitalized interest expense during fiscal years 2018 and 2017 related to the construction of our ViaSat-2 satellite and related gateway and networking equipment, construction of our ViaSat-3 class satellites and other assets.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260" w:firstLine="518"/>
        <w:spacing w:after="0" w:line="239" w:lineRule="auto"/>
        <w:rPr>
          <w:sz w:val="20"/>
          <w:szCs w:val="20"/>
          <w:color w:val="auto"/>
        </w:rPr>
      </w:pPr>
      <w:r>
        <w:rPr>
          <w:rFonts w:ascii="Arial" w:cs="Arial" w:eastAsia="Arial" w:hAnsi="Arial"/>
          <w:sz w:val="18"/>
          <w:szCs w:val="18"/>
          <w:color w:val="auto"/>
        </w:rPr>
        <w:t>The income tax benefit in fiscal year 2018 reflected the tax benefit from our loss before income taxes and the benefit from federal and state R&amp;D tax credits. The income tax expense in fiscal year 2017 reflected the tax expense from our income before income taxes and the benefit from federal and state R&amp;D tax credits. Fiscal year 2018 also included an expense due to the revaluation of net deferred tax assets resulting from the lowering of the corporate federal income tax rate from 35% to 21% under tax legislation enacted in December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2018 Compared to Fiscal Year 2017</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(27.0)</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satellite services segment revenues decreased by $40.4 million as a result of a $27.0 million decrease in product revenues and a $13.3 million decrease in service revenues. The $ 27.0 million decrease in product revenue in our satellite services segment reflected the completion in fiscal year 2017 of payments under the Settlement Agreement. The decrease in service revenues was primarily driven by a decrease in our fixed broadband services due to a decrease in the overall number of subscribers, partially offset by higher average revenue per fixed broadband subscriber in the United States compared to the prior year period and the expansion of our in-flight internet services. As of March 31, 2018, 635 commercial aircraft were in service utilizing our IFC systems, compared to 559 commercial aircraft in service as of March 31, 2017. Total subscribers of our fixed broadband services decreased year over year, with approximately 576,000 subscribers at March 31, 2018 compared to 659,000 subscribers at March 31, 2017.</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$82.7 million, reflecting the decrease in product revenues resulting from the completion in fiscal year 2017 of payments under the Settlement Agreement, as well as lower margins related to in-flight internet services and fixed broadband services due to large-scale commercial air IFC ramp-up and preparation for the ViaSat-2 service launch in the fourth quarter of fiscal year 2018. The decrease in operating profit was further impacted by higher SG&amp;A costs of $35.6 million compared to the prior year period mainly due to the higher employee-related costs supporting the ViaSat-2 service launch, as well as in support of the expansion of our international businesses and higher selling costs due to promotion of our fixed broadband services in preparation for the ViaSat-2 service launch.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Our commercial networks segment revenues decreased by $11.4 million, due to a $13.4 million decrease in product revenues, partially offset by a $2.0 million increase in service revenues. The decrease in product revenues was primarily due to a decrease of $52.1 million in fixed satellite networks products (mainly due to a decrease in broadband terminal orders from our large-scale Australian Ka-band infrastructure project that completed last fiscal year and a decrease from our next-generation Ka-band system contract in Canada) and a decrease of $3.7 million in satellite networking development programs products, partially offset by an increase of $34.4 million in mobile broadband satellite communication systems products and an increase of $ 7.8 million in antenna systems products. The increase in service revenues was primarily due to an increase of $2.6 million in mobile broadband satellite communication systems services.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$48.6 million increase in our commercial networks segment operating loss was driven primarily by a $22.2 million increase in IR&amp;D expenses (primarily due to an increase in IR&amp;D efforts relating to next-generation satellite payload technologies for our ViaSat-3 class satellites and next-generation consumer broadband integrated networking technologies). In addition, we experienced lower earnings contributions of $15.1 million (primarily due to lower margins in our satellite networking development programs products) and an $11.4 million increase in overall SG&amp;A costs (primarily due to the higher employee-related costs supporting our commercial air growth activities and the ViaSat-2 service launch).</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Our government systems segment revenues increased by $87.0 million due to increases of $82.1 million in product revenues and $5.0 million in service revenues. The product revenue increase was primarily due to a $55.2 million increase in tactical data link products, a $ 14.8 million increase in global mobile broadband products, a $7.5 million increase in cybersecurity and information assurance products and a $5.9 million increase in tactical satcom radio products. The service revenue increase was primarily due to an $8.6 million increase in government satellite communication systems services, a $4.6 million increase in global mobile broadband services and a $1.7 million increase in tactical data link services, partially offset by a $10.9 million decrease in our network management services for Wi-Fi and other internet access networks.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r>
      <w:tr>
        <w:trPr>
          <w:trHeight w:val="230"/>
        </w:trPr>
        <w:tc>
          <w:tcPr>
            <w:tcW w:w="5580" w:type="dxa"/>
            <w:vAlign w:val="bottom"/>
            <w:gridSpan w:val="2"/>
          </w:tcPr>
          <w:p>
            <w:pPr>
              <w:ind w:left="580"/>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9"/>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6" w:name="page57"/>
    <w:bookmarkEnd w:id="56"/>
    <w:p>
      <w:pPr>
        <w:ind w:right="100" w:firstLine="518"/>
        <w:spacing w:after="0" w:line="238" w:lineRule="auto"/>
        <w:rPr>
          <w:sz w:val="20"/>
          <w:szCs w:val="20"/>
          <w:color w:val="auto"/>
        </w:rPr>
      </w:pPr>
      <w:r>
        <w:rPr>
          <w:rFonts w:ascii="Arial" w:cs="Arial" w:eastAsia="Arial" w:hAnsi="Arial"/>
          <w:sz w:val="18"/>
          <w:szCs w:val="18"/>
          <w:color w:val="auto"/>
        </w:rPr>
        <w:t>The $40.5 million increase in our government systems segment operating profit reflected higher earnings contributions of $61.3 million, primarily due to higher revenues in our tactical data links products, global mobile broadband products, government satellite communication systems services and cybersecurity and information assurance products, coupled with improved margins in global mobile broadband products and services. This operating profit increase was partially offset by higher IR&amp;D costs of $15.8 million (primarily related to R&amp;D increases in the development of next-generation dual band mobility solutions) and overall higher SG&amp;A costs of $5.0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As reflected in the table below, our overall firm and funded backlog increased during fiscal year 2019. The increases in both firm and funded backlog were attributable to increases in all three of our segments.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March 31, 2019</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581.3</w:t>
            </w:r>
          </w:p>
        </w:tc>
        <w:tc>
          <w:tcPr>
            <w:tcW w:w="18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912.0</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1,847.1</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firm backlog does not include contract options. Of the $1.9 billion in firm backlog, a little over half is expected to be delivered in fiscal year 2020, with the balance delivered thereafter. We include in our backlog only those orders for which we have accepted purchase orders. Starting with the first quarter of fiscal year 2019, upon adoption of ASC 606, our backlog includes contracts with subscribers for fixed broadband services in our satellite services segment. Backlog does not include anticipated purchase orders and requests for the installation of IFC systems or future recurring in-flight internet service revenues under commercial in-flight internet agreements recorded in our commercial networks and satellite services segments, respectively. As of March 31, 2019, we expected to install IFC systems on approximately 490 additional aircraft under our existing customer agreements with commercial airlines, approximately 260 of which relate to accepted purchase orders (and are included in firm backlog in our commercial networks segment) and approximately 230 of which relate to anticipated purchase orders and requests under existing customer agreements. There can be no assurance that all anticipated purchase orders and requests will be placed. In addition, backlog as of March 31, 2018 does not include contracts with our subscribers for fixed broadband services in our satellite services segment.</w:t>
      </w:r>
    </w:p>
    <w:p>
      <w:pPr>
        <w:spacing w:after="0" w:line="152"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$2.4 billion, $1.7 billion and $1.7 billion for fiscal years 2019, 2018 and 2017, respectively.</w:t>
      </w:r>
    </w:p>
    <w:p>
      <w:pPr>
        <w:spacing w:after="0" w:line="143"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March 31, 2019, we had $261.7 million in cash and cash equivalents, $401.7 million in working capital, and no outstanding borrowings and borrowing availability of $680.4 million under the Revolving Credit Facility (which amount reflects the reduction of available commitments under the Revolving Credit Facility from $800.0 million to $ 700.0 million in March 2019). At March 31, 2018, we had $71.4 million in cash and cash equivalents, $146.1 million in working capital, and no outstanding borrowings and borrowing availability of $770.4 million under our Revolving Credit Facility. We invest our cash in excess of current operating requirements in short-term, highly liquid bank money market accounts.</w:t>
      </w:r>
    </w:p>
    <w:p>
      <w:pPr>
        <w:spacing w:after="0" w:line="14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8"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for fiscal year 2019 was $327.6 million compared to cash provided by operating activities of</w:t>
      </w:r>
    </w:p>
    <w:p>
      <w:pPr>
        <w:spacing w:after="0" w:line="234" w:lineRule="auto"/>
        <w:rPr>
          <w:sz w:val="20"/>
          <w:szCs w:val="20"/>
          <w:color w:val="auto"/>
        </w:rPr>
      </w:pPr>
      <w:r>
        <w:rPr>
          <w:rFonts w:ascii="Arial" w:cs="Arial" w:eastAsia="Arial" w:hAnsi="Arial"/>
          <w:sz w:val="18"/>
          <w:szCs w:val="18"/>
          <w:color w:val="auto"/>
        </w:rPr>
        <w:t>$358.6 million for fiscal year 2018. This $31.1 million decrease was primarily driven by a $110.0 million year-over-year increase in cash used to</w:t>
      </w:r>
    </w:p>
    <w:p>
      <w:pPr>
        <w:spacing w:after="0" w:line="235" w:lineRule="auto"/>
        <w:rPr>
          <w:sz w:val="20"/>
          <w:szCs w:val="20"/>
          <w:color w:val="auto"/>
        </w:rPr>
      </w:pPr>
      <w:r>
        <w:rPr>
          <w:rFonts w:ascii="Arial" w:cs="Arial" w:eastAsia="Arial" w:hAnsi="Arial"/>
          <w:sz w:val="18"/>
          <w:szCs w:val="18"/>
          <w:color w:val="auto"/>
        </w:rPr>
        <w:t>fund net operating assets, partially offset by our operating results (net loss adjusted for depreciation, amortization and other non-cash changes)</w:t>
      </w:r>
    </w:p>
    <w:p>
      <w:pPr>
        <w:spacing w:after="0" w:line="235" w:lineRule="auto"/>
        <w:rPr>
          <w:sz w:val="20"/>
          <w:szCs w:val="20"/>
          <w:color w:val="auto"/>
        </w:rPr>
      </w:pPr>
      <w:r>
        <w:rPr>
          <w:rFonts w:ascii="Arial" w:cs="Arial" w:eastAsia="Arial" w:hAnsi="Arial"/>
          <w:sz w:val="18"/>
          <w:szCs w:val="18"/>
          <w:color w:val="auto"/>
        </w:rPr>
        <w:t>which resulted in $78.9 million of higher cash provided by operating activities year-over-year. The increase in cash used to fund net operating</w:t>
      </w:r>
    </w:p>
    <w:p>
      <w:pPr>
        <w:spacing w:after="0" w:line="235" w:lineRule="auto"/>
        <w:rPr>
          <w:sz w:val="20"/>
          <w:szCs w:val="20"/>
          <w:color w:val="auto"/>
        </w:rPr>
      </w:pPr>
      <w:r>
        <w:rPr>
          <w:rFonts w:ascii="Arial" w:cs="Arial" w:eastAsia="Arial" w:hAnsi="Arial"/>
          <w:sz w:val="18"/>
          <w:szCs w:val="18"/>
          <w:color w:val="auto"/>
        </w:rPr>
        <w:t>assets during fiscal year 2019 when compared to fiscal year 2018 was primarily due to a decrease in cash inflows year-over-year from the</w:t>
      </w:r>
    </w:p>
    <w:p>
      <w:pPr>
        <w:spacing w:after="0" w:line="235" w:lineRule="auto"/>
        <w:rPr>
          <w:sz w:val="20"/>
          <w:szCs w:val="20"/>
          <w:color w:val="auto"/>
        </w:rPr>
      </w:pPr>
      <w:r>
        <w:rPr>
          <w:rFonts w:ascii="Arial" w:cs="Arial" w:eastAsia="Arial" w:hAnsi="Arial"/>
          <w:sz w:val="18"/>
          <w:szCs w:val="18"/>
          <w:color w:val="auto"/>
        </w:rPr>
        <w:t>long-term portion of deferred revenues included in other liabilities in our satellite services segment as well as higher increase year-over-year of</w:t>
      </w:r>
    </w:p>
    <w:p>
      <w:pPr>
        <w:spacing w:after="0"/>
        <w:rPr>
          <w:sz w:val="20"/>
          <w:szCs w:val="20"/>
          <w:color w:val="auto"/>
        </w:rPr>
      </w:pPr>
      <w:r>
        <w:rPr>
          <w:rFonts w:ascii="Arial" w:cs="Arial" w:eastAsia="Arial" w:hAnsi="Arial"/>
          <w:sz w:val="18"/>
          <w:szCs w:val="18"/>
          <w:color w:val="auto"/>
        </w:rPr>
        <w:t>combined billed and unbilled accounts, receivable, net, attributable to the timing of billings in our satellite services segment.</w:t>
      </w:r>
    </w:p>
    <w:p>
      <w:pPr>
        <w:spacing w:after="0" w:line="15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Cash used in investing activities for fiscal year 2019 was $489.4 million compared to $584.5 million for fiscal year 2018. This $95.1 million decrease in cash used in investing activities year-over year reflects approximately $185.7 million of cash receipts related to ViaSat-2 satellite insurance claim proceeds received during fiscal year 2019, a decrease of $ 30.6 million year-over-year in cash used for capital software development, a decrease of $20.6 million in cash used for the construction of earth stations and network operation systems and $14.0 million of cash proceeds from sales of real property during the second quarter of fiscal year 2019, partially offset by an increase of $101.4 million in capital expenditures used for property and other general purpose equipment and $44.4 million in cash used for satellite construction.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8" w:name="page59"/>
    <w:bookmarkEnd w:id="58"/>
    <w:p>
      <w:pPr>
        <w:ind w:right="20" w:firstLine="518"/>
        <w:spacing w:after="0" w:line="237" w:lineRule="auto"/>
        <w:rPr>
          <w:sz w:val="20"/>
          <w:szCs w:val="20"/>
          <w:color w:val="auto"/>
        </w:rPr>
      </w:pPr>
      <w:r>
        <w:rPr>
          <w:rFonts w:ascii="Arial" w:cs="Arial" w:eastAsia="Arial" w:hAnsi="Arial"/>
          <w:sz w:val="18"/>
          <w:szCs w:val="18"/>
          <w:color w:val="auto"/>
        </w:rPr>
        <w:t>Cash provided by financing activities for fiscal year 2019 was $354.6 million compared to $165.8 million for fiscal year 2018. This $188.8 million increase in cash provided by financing activities year-over-year was primarily due to the issuance of $600.0 million in aggregate principal amount of our 2027 Notes during the fourth quarter of fiscal year 2019. Cash provided by financing activities for both periods included cash proceeds from borrowings under our long-term debt (net of repayments), cash received from stock option exercises and employee stock purchase plan purchases, offset by cash used for payments of debt issuance costs and the repurchase of common stock related to net share settlement of certain employee tax liabilities in connection with the vesting of restricted stock unit awards.</w:t>
      </w:r>
    </w:p>
    <w:p>
      <w:pPr>
        <w:spacing w:after="0" w:line="15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Comparing cash flows in fiscal year 2018 to fiscal year 2017, the $52.7 million decrease in cash provided by operating activities was primarily driven by our operating results (net (loss) income adjusted for depreciation, amortization and other non-cash changes) which resulted in $99.3 million of higher cash outflows year-over-year, partially offset by a $46.6 million year-over-year decrease in cash used to fund net operating assets. The $130.5 million decrease in cash used in investing activities reflected a year-over-year decrease of $140.4 million in cash used for investment in unconsolidated affiliates, a decrease of $81.7 million in cash used for satellite construction, and a decrease of $16.5 million in cash used for acquisitions. This decrease was partially offset by an increase of $ 70.1 million in capital expenditures for property and other general purpose equipment, a year-over-year decrease of $ 27.6 million in proceeds from the sale of real property adjacent to our current headquarters location in fiscal year 2017 and an increase of $8.5 million in cash used for the construction of earth stations and network operation systems related to the ViaSat-2 satellite. The $227.0 million decrease in cash provided by financing activities year-over-year was primarily related to the repurchase and redemption of $575.0 million in aggregate principal amount of our former 2020 Notes and the related payment of $10.6 million of debt extinguishment costs during the second quarter of fiscal year 2018, a year-over-year decrease of $25.0 million in net proceeds from borrowings under our Ex-Im Credit Facility, and a year-over-year increase of $3.1 million related to payments of debt issuance costs during fiscal year 2018, as well as the $503.1 million we received in net proceeds from a public offering of our common stock in the third quarter of fiscal year 2017 (after deducting underwriting discounts and offering expenses). This decrease was partially offset by the issuance of $700.0 million in aggregate principal amount of our 2025 Notes during the second quarter of fiscal year 2018 and a year-over-year decrease of $180.0 million in net payments on borrowings under our Revolving Credit Facility.</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On June 1, 2017, our second-generation ViaSat-2 satellite was successfully launched into orbit. Following satellite launch, in fiscal years 2018 and 2019 we incurred additional operating costs as we prepared for and launched commercial services on the satellite. These additional operating costs included depreciation, amortization of capitalized software development, earth station connectivity, marketing and advertising costs, logistics, customer care and various support systems, and contributed to an operating loss for our satellite services segment in fiscal year 2019. However, as the services we provide using the new satellite start to scale, we expect to expand the revenue base for our fixed broadband and in-flight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Moreover, we anticipate that we will incur a similar cycle of increased operating costs as we prepare for and launch commercial services on future satellites, including our ViaSat-3 constellation, followed by increases in revenue base and in scale.</w:t>
      </w:r>
    </w:p>
    <w:p>
      <w:pPr>
        <w:spacing w:after="0" w:line="15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the fourth quarter of fiscal year 2018, shortly before the launch of commercial broadband services on the ViaSat-2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we recorded a reduction to the carrying value of the ViaSat-2 satellite of $177.4 million, with a corresponding insurance receivable of $177.4 million, based on our estimated ViaSat-2 output capabilities as compared to the anticipated, potential and configured capacity of the ViaSat-2 satellite. During fiscal year 2019, we received $185.7 million in insurance recovery proceeds related to such claims. We recorded an insurance receivable of $2.3 million as of March 31, 2019 with respect to probable remaining ViaSat-2 related insurance claims. As a result, during fiscal year 2019, we recorded a $7.5 million gain related to ViaSat-2 insurance claims in SG&amp;A expenses in our satellite services segment in the consolidated statements of operations and comprehensive incomes (loss). The ViaSat-2 satellite was primarily financed by the Ex-Im Credit Facility (see “</w:t>
      </w:r>
      <w:r>
        <w:rPr>
          <w:rFonts w:ascii="Arial" w:cs="Arial" w:eastAsia="Arial" w:hAnsi="Arial"/>
          <w:sz w:val="18"/>
          <w:szCs w:val="18"/>
          <w:i w:val="1"/>
          <w:iCs w:val="1"/>
          <w:color w:val="auto"/>
        </w:rPr>
        <w:t>—</w:t>
      </w:r>
      <w:r>
        <w:rPr>
          <w:rFonts w:ascii="Arial" w:cs="Arial" w:eastAsia="Arial" w:hAnsi="Arial"/>
          <w:sz w:val="18"/>
          <w:szCs w:val="18"/>
          <w:color w:val="auto"/>
        </w:rPr>
        <w:t>Ex-Im Credit Facility” below). Pursuant to the terms of the Ex-Im Credit Facility, insurance proceeds received from such claims were used to pay down outstanding borrowings under the Ex-Im Credit Facility.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59" w:name="page60"/>
    <w:bookmarkEnd w:id="59"/>
    <w:p>
      <w:pPr>
        <w:ind w:firstLine="518"/>
        <w:spacing w:after="0" w:line="234" w:lineRule="auto"/>
        <w:rPr>
          <w:sz w:val="20"/>
          <w:szCs w:val="20"/>
          <w:color w:val="auto"/>
        </w:rPr>
      </w:pPr>
      <w:r>
        <w:rPr>
          <w:rFonts w:ascii="Arial" w:cs="Arial" w:eastAsia="Arial" w:hAnsi="Arial"/>
          <w:sz w:val="18"/>
          <w:szCs w:val="18"/>
          <w:color w:val="auto"/>
        </w:rPr>
        <w:t>In July 2016, we entered into two separate agreements with Boeing for the construction and purchase of two ViaSat-3 class satellites and the integration of Viasat’s payload technologies into the satellites. Pursuant to these agreements, as amended, the aggregate purchase price for the two satellites is approximately $390.1 million (subject to purchase price adjustments based on factors such as launch delay and early delivery), plus an additional amount for launch support services to be performed by Boeing. In addition, under one of these agreements, we had the option to order one additional ViaSat-3 class satellite, with respect to which we signed an agreement to proceed in January 2019 for the third ViaSat-3 class satellite. The first ViaSat-3 class satellite is expected to provide broadband services over the Americas, the second is expected to provide broadband services over the EMEA region, and the third is expected to provide broadband services over the APAC region, enabling us to deliver affordable connectivity worldwide. The projected aggregate total project cost for the first two ViaSat-3 class satellites, including the satellites, launches, insurance and related earth station infrastructure, through satellite launch is estimated to be between</w:t>
      </w:r>
    </w:p>
    <w:p>
      <w:pPr>
        <w:spacing w:after="0" w:line="7"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borrowing capacity and the cash we expect to generate from operations over the next few years.</w:t>
      </w:r>
    </w:p>
    <w:p>
      <w:pPr>
        <w:spacing w:after="0" w:line="14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first two ViaSat-3 class satellites entered the phase of full construction during the second half of fiscal year 2018. IR&amp;D investments continued throughout fiscal year 2019 and are expected to continue beyond fiscal year 2019 relating to ViaSat-3 ground infrastructure and support of our growing government and commercial air mobility businesses. We expect to continue to invest in IR&amp;D at a significant level as we continue our focus on leadership and innovation in satellite and space technologies, although the level of investment in a given fiscal year will depend on a variety of factors, including the stage of development of our satellite projects, new market opportunities and our overall operating</w:t>
      </w:r>
    </w:p>
    <w:p>
      <w:pPr>
        <w:spacing w:after="0" w:line="1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performance. In fiscal year 2020, capital expenditures are expected to increase when compared to fiscal year 2019, as we will have a third ViaSat-3 class satellite under construction, as well as increased ground network investments related to international expansion.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As of March 31, 2019, the Revolving Credit Facility provided a $700.0 million revolving line of credit (including up to $150.0 million of letters of credit), with a maturity date of January 18, 2024. On March 27, 2019, we reduced available commitments under the Revolving Credit Facility from $800.0 million to $700.0 million.</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March 31, 2019, none of our subsidiaries guaranteed the Revolving Credit Facility.</w:t>
      </w:r>
    </w:p>
    <w:p>
      <w:pPr>
        <w:spacing w:after="0" w:line="149"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At March 31, 2019, we had no outstanding borrowings under the Revolving Credit Facility and $ 19.6 million outstanding under standby letters of credit, leaving borrowing availability under the Revolving Credit Facility as of March 31, 2019 of $680.4 million.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March 31, 2019, we had $139.6 million in principal amount of outstanding borrowings under the Ex-Im Credit Facility.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0" w:name="page61"/>
    <w:bookmarkEnd w:id="60"/>
    <w:p>
      <w:pPr>
        <w:ind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recovery proceeds related to the ViaSat-2 satellite must be used to pay down outstanding borrowings under the Ex-Im Credit Facility upon receipt. During fiscal year 2019, we received $185.7 million of insurance proceeds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w:t>
      </w:r>
    </w:p>
    <w:p>
      <w:pPr>
        <w:spacing w:after="0" w:line="234" w:lineRule="auto"/>
        <w:rPr>
          <w:sz w:val="20"/>
          <w:szCs w:val="20"/>
          <w:color w:val="auto"/>
        </w:rPr>
      </w:pPr>
      <w:r>
        <w:rPr>
          <w:rFonts w:ascii="Arial" w:cs="Arial" w:eastAsia="Arial" w:hAnsi="Arial"/>
          <w:sz w:val="18"/>
          <w:szCs w:val="18"/>
          <w:color w:val="auto"/>
        </w:rPr>
        <w:t>unamortized discount and debt issuance costs, in our consolidated financial statements. The discount of $42.3 million (comprising the initial</w:t>
      </w:r>
    </w:p>
    <w:p>
      <w:pPr>
        <w:spacing w:after="0" w:line="235" w:lineRule="auto"/>
        <w:rPr>
          <w:sz w:val="20"/>
          <w:szCs w:val="20"/>
          <w:color w:val="auto"/>
        </w:rPr>
      </w:pPr>
      <w:r>
        <w:rPr>
          <w:rFonts w:ascii="Arial" w:cs="Arial" w:eastAsia="Arial" w:hAnsi="Arial"/>
          <w:sz w:val="18"/>
          <w:szCs w:val="18"/>
          <w:color w:val="auto"/>
        </w:rPr>
        <w:t>$6.0 million pre-exposure fee, $35.3 million of completion exposure fees and other customary fees) and deferred financing cost associated with</w:t>
      </w:r>
    </w:p>
    <w:p>
      <w:pPr>
        <w:spacing w:after="0" w:line="235" w:lineRule="auto"/>
        <w:rPr>
          <w:sz w:val="20"/>
          <w:szCs w:val="20"/>
          <w:color w:val="auto"/>
        </w:rPr>
      </w:pPr>
      <w:r>
        <w:rPr>
          <w:rFonts w:ascii="Arial" w:cs="Arial" w:eastAsia="Arial" w:hAnsi="Arial"/>
          <w:sz w:val="18"/>
          <w:szCs w:val="18"/>
          <w:color w:val="auto"/>
        </w:rPr>
        <w:t>the issuance of the borrowings under the Ex-Im Credit Facility are amortized to interest expense on an effective interest rate basis over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term of the Ex-Im Credit Facility and in accordance with the related payment obligations.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2019, we issued $ 600.0 million in principal amount of 2027 Notes in a private placement to institutional buyers. The 2027 Notes were issued at face value and are recorded as long-term debt, net of debt issuance costs, in our consolidated financial statements. The 2027 Notes bear interest at the rate of 5.625% per year, payable semi-annually in cash in arrears, which interest payments will commence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jc w:val="both"/>
        <w:ind w:right="60" w:firstLine="518"/>
        <w:spacing w:after="0"/>
        <w:rPr>
          <w:sz w:val="20"/>
          <w:szCs w:val="20"/>
          <w:color w:val="auto"/>
        </w:rPr>
      </w:pPr>
      <w:r>
        <w:rPr>
          <w:rFonts w:ascii="Arial" w:cs="Arial" w:eastAsia="Arial" w:hAnsi="Arial"/>
          <w:sz w:val="18"/>
          <w:szCs w:val="18"/>
          <w:color w:val="auto"/>
        </w:rPr>
        <w:t>The 2027 Notes are required to be guaranteed on a senior secured basis by each of our existing and future subsidiaries that guarantees the Revolving Credit Facility. As of March 31, 2019, none of our subsidiaries guaranteed the 2027 Notes. The 2027 Notes are secured, equally and ratably with the Revolving Credit Facility and any future parity lien debt, by liens on substantially all of our assets.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49"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1" w:name="page62"/>
    <w:bookmarkEnd w:id="61"/>
    <w:p>
      <w:pPr>
        <w:ind w:right="60" w:firstLine="518"/>
        <w:spacing w:after="0" w:line="248" w:lineRule="auto"/>
        <w:rPr>
          <w:sz w:val="20"/>
          <w:szCs w:val="20"/>
          <w:color w:val="auto"/>
        </w:rPr>
      </w:pPr>
      <w:r>
        <w:rPr>
          <w:rFonts w:ascii="Arial" w:cs="Arial" w:eastAsia="Arial" w:hAnsi="Arial"/>
          <w:sz w:val="17"/>
          <w:szCs w:val="17"/>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w:t>
      </w:r>
    </w:p>
    <w:p>
      <w:pPr>
        <w:spacing w:after="0" w:line="3" w:lineRule="exact"/>
        <w:rPr>
          <w:sz w:val="20"/>
          <w:szCs w:val="20"/>
          <w:color w:val="auto"/>
        </w:rPr>
      </w:pPr>
    </w:p>
    <w:p>
      <w:pPr>
        <w:ind w:right="40" w:firstLine="8"/>
        <w:spacing w:after="0" w:line="234"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w:t>
      </w:r>
    </w:p>
    <w:p>
      <w:pPr>
        <w:spacing w:after="0" w:line="3" w:lineRule="exact"/>
        <w:rPr>
          <w:rFonts w:ascii="Arial" w:cs="Arial" w:eastAsia="Arial" w:hAnsi="Arial"/>
          <w:sz w:val="18"/>
          <w:szCs w:val="18"/>
          <w:color w:val="auto"/>
        </w:rPr>
      </w:pPr>
    </w:p>
    <w:p>
      <w:pPr>
        <w:ind w:right="40"/>
        <w:spacing w:after="0" w:line="246" w:lineRule="auto"/>
        <w:rPr>
          <w:rFonts w:ascii="Arial" w:cs="Arial" w:eastAsia="Arial" w:hAnsi="Arial"/>
          <w:sz w:val="18"/>
          <w:szCs w:val="18"/>
          <w:color w:val="auto"/>
        </w:rPr>
      </w:pPr>
      <w:r>
        <w:rPr>
          <w:rFonts w:ascii="Arial" w:cs="Arial" w:eastAsia="Arial" w:hAnsi="Arial"/>
          <w:sz w:val="18"/>
          <w:szCs w:val="18"/>
          <w:color w:val="auto"/>
        </w:rPr>
        <w:t>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4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In September 2017, we issued $700.0 million in principal amount of 2025 Notes in a private placement to institutional buyers. The 2025 Notes were issued at face value and are recorded as long-term debt, net of debt issuance costs, in our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March 31, 2019,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49"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2" w:name="page63"/>
    <w:bookmarkEnd w:id="62"/>
    <w:p>
      <w:pPr>
        <w:ind w:right="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connection with our issuance of the 2025 Notes in September 2017, we repurchased and redeemed all $575.0 million in aggregate principal amount of our former 2020 Notes then outstanding through a cash tender offer and redemption, and the indenture governing the 2020 Notes was satisfied and discharged in accordance with its terms. In September 2017, we repurchased $298.2 million in aggregate principal amount of the 2020 Notes pursuant to the tender offer. The total cash payment to repurchase the tendered 2020 Notes in the tender offer, including accrued and unpaid interest to, but excluding, the repurchase date, was $309.3 million. Also in September 2017, in connection with the redemption of the remaining $276.8 million in aggregate principal amount of 2020 Notes, we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53" w:lineRule="exact"/>
        <w:rPr>
          <w:sz w:val="20"/>
          <w:szCs w:val="20"/>
          <w:color w:val="auto"/>
        </w:rPr>
      </w:pPr>
    </w:p>
    <w:p>
      <w:pPr>
        <w:ind w:right="400" w:firstLine="518"/>
        <w:spacing w:after="0" w:line="246"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our obligations (other than certain customary provisions of the indenture that expressly survive pursuant to the terms of the indenture) were discharged in September 2017.</w:t>
      </w:r>
    </w:p>
    <w:p>
      <w:pPr>
        <w:spacing w:after="0" w:line="143"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March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Fiscal Years Ending</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74"/>
              <w:spacing w:after="0"/>
              <w:rPr>
                <w:sz w:val="20"/>
                <w:szCs w:val="20"/>
                <w:color w:val="auto"/>
              </w:rPr>
            </w:pPr>
            <w:r>
              <w:rPr>
                <w:rFonts w:ascii="Arial" w:cs="Arial" w:eastAsia="Arial" w:hAnsi="Arial"/>
                <w:sz w:val="14"/>
                <w:szCs w:val="14"/>
                <w:b w:val="1"/>
                <w:bCs w:val="1"/>
                <w:color w:val="auto"/>
              </w:rPr>
              <w:t>2021-2022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2023-2024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 and satellite capacity</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w:t>
            </w:r>
          </w:p>
        </w:tc>
        <w:tc>
          <w:tcPr>
            <w:tcW w:w="2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629,710</w:t>
            </w:r>
          </w:p>
        </w:tc>
        <w:tc>
          <w:tcPr>
            <w:tcW w:w="3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127,515</w:t>
            </w:r>
          </w:p>
        </w:tc>
        <w:tc>
          <w:tcPr>
            <w:tcW w:w="3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195,511</w:t>
            </w:r>
          </w:p>
        </w:tc>
        <w:tc>
          <w:tcPr>
            <w:tcW w:w="3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123,607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183,077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2027 Notes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871,781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42,958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Satellite performance incentive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Purchase commitments including satellite-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related agreements</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1,638,095</w:t>
            </w: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937,042</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454,759</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197,535</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48,759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4,283,183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1,147,017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847,518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520,619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1,768,029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3" w:name="page64"/>
    <w:bookmarkEnd w:id="63"/>
    <w:p>
      <w:pPr>
        <w:ind w:firstLine="518"/>
        <w:spacing w:after="0" w:line="236" w:lineRule="auto"/>
        <w:rPr>
          <w:sz w:val="20"/>
          <w:szCs w:val="20"/>
          <w:color w:val="auto"/>
        </w:rPr>
      </w:pPr>
      <w:r>
        <w:rPr>
          <w:rFonts w:ascii="Arial" w:cs="Arial" w:eastAsia="Arial" w:hAnsi="Arial"/>
          <w:sz w:val="18"/>
          <w:szCs w:val="18"/>
          <w:color w:val="auto"/>
        </w:rPr>
        <w:t>Our consolidated balance sheets included $120.8 million and $121.2 million of “other liabilities” as of March 31, 2019 and March 31, 2018, respectively, which primarily consisted of the long-term portion of deferred revenues, the long-term portion of our satellite performance incentive obligations relating to the ViaSat-1 and ViaSat-2 satellites, our long-term warranty obligations, the long-term portion of deferred rent and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to our consolidated financial statements for additional information regarding satellite performance incentive obligations relating to the ViaSat-1 and ViaSat-2 satellites. See Note 8 to our consolidated financial statements for additional information regarding our income taxes and related tax positions and Note 13 to our consolidated financial statements for a discussion of our product warranties.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500" w:firstLine="518"/>
        <w:spacing w:after="0" w:line="246" w:lineRule="auto"/>
        <w:rPr>
          <w:sz w:val="20"/>
          <w:szCs w:val="20"/>
          <w:color w:val="auto"/>
        </w:rPr>
      </w:pPr>
      <w:r>
        <w:rPr>
          <w:rFonts w:ascii="Arial" w:cs="Arial" w:eastAsia="Arial" w:hAnsi="Arial"/>
          <w:sz w:val="18"/>
          <w:szCs w:val="18"/>
          <w:color w:val="auto"/>
        </w:rPr>
        <w:t>We had no material off-balance sheet arrangements at March 31, 2019 as defined in Regulation S-K Item 303(a)(4) other than as discussed under “Contractual Obligations” above or disclosed in the notes to our consolidated financial statements included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35" w:lineRule="exact"/>
        <w:rPr>
          <w:sz w:val="20"/>
          <w:szCs w:val="20"/>
          <w:color w:val="auto"/>
        </w:rPr>
      </w:pPr>
    </w:p>
    <w:p>
      <w:pPr>
        <w:ind w:right="4300"/>
        <w:spacing w:after="0" w:line="325"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and the 2027 Notes, and foreign currency forward contracts. We consider investments in highly liquid instruments purchased with a remaining maturity of three months or less at the date of purchase to be cash equivalents. As of March 31, 2019, we had no outstanding borrowings under our Revolving Credit Facility, $139.6 million in principal amount of outstanding borrowings under our Ex-Im Credit Facility, $700.0 million in aggregate principal amount outstanding of the 2025 Notes and $600.0 million in aggregate principal amount outstanding of the 2027 Notes, and we held no short-term investments. Our 2025 Notes, 2027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4"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fiscal years ended March 31, 2019 and March 31, 2018.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3" w:lineRule="exact"/>
        <w:rPr>
          <w:sz w:val="20"/>
          <w:szCs w:val="20"/>
          <w:color w:val="auto"/>
        </w:rPr>
      </w:pPr>
    </w:p>
    <w:p>
      <w:pPr>
        <w:ind w:right="320" w:firstLine="518"/>
        <w:spacing w:after="0" w:line="238"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March 31, 2019 that would have been applied to any new Eurodollar-based borrowings under the Revolving Credit Facility was approximately 4.46%. As of March 31, 2019, we had no outstanding borrowings under our Revolving Credit Facility. Accordingly, assuming the outstanding balance remained constant over a year, changes in interests rates applicable to our Revolving Credit Facility would have no effect on our interest incurred and cash flow.</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loss before income taxes by an insignificant amount for the fiscal years ended March 31, 2019 and March 31, 2018.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As of March 31, 2019, we had a number of foreign currency forward contracts outstanding which are intended to reduce the foreign currency risk for amounts payable to vendors in Euros and Australian dollars. The foreign currency forward contracts with a notional amount of $9.9 million had an insignificant amount of fair value recorded in accrued liabilities as of March 31, 2019. If the foreign currency forward rate on these foreign currency forward contracts had changed by 10%, the fair value of these foreign currency forward contracts as of March 31, 2019 and March 31, 2018 would have changed by an insignificant amount.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85" w:lineRule="exact"/>
        <w:rPr>
          <w:sz w:val="20"/>
          <w:szCs w:val="20"/>
          <w:color w:val="auto"/>
        </w:rPr>
      </w:pPr>
    </w:p>
    <w:p>
      <w:pPr>
        <w:jc w:val="both"/>
        <w:ind w:right="160" w:firstLine="518"/>
        <w:spacing w:after="0"/>
        <w:rPr>
          <w:sz w:val="20"/>
          <w:szCs w:val="20"/>
          <w:color w:val="auto"/>
        </w:rPr>
      </w:pPr>
      <w:r>
        <w:rPr>
          <w:rFonts w:ascii="Arial" w:cs="Arial" w:eastAsia="Arial" w:hAnsi="Arial"/>
          <w:sz w:val="18"/>
          <w:szCs w:val="18"/>
          <w:color w:val="auto"/>
        </w:rPr>
        <w:t>Our consolidated financial statements at March 31, 2019 and March 31, 2018 and for each of the three fiscal years in the period ended March 31, 2019, and the Report of PricewaterhouseCoopers LLP, Independent Registered Public Accounting Firm, are included in this report on pages F-1 through F-45.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85" w:lineRule="exact"/>
        <w:rPr>
          <w:sz w:val="20"/>
          <w:szCs w:val="20"/>
          <w:color w:val="auto"/>
        </w:rPr>
      </w:pPr>
    </w:p>
    <w:p>
      <w:pPr>
        <w:jc w:val="both"/>
        <w:ind w:right="140" w:firstLine="518"/>
        <w:spacing w:after="0" w:line="246"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2019 and 2018 are as follows: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5"/>
                <w:szCs w:val="15"/>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5"/>
                <w:szCs w:val="15"/>
                <w:color w:val="auto"/>
              </w:rPr>
            </w:pPr>
          </w:p>
        </w:tc>
        <w:tc>
          <w:tcPr>
            <w:tcW w:w="1100" w:type="dxa"/>
            <w:vAlign w:val="bottom"/>
          </w:tcPr>
          <w:p>
            <w:pPr>
              <w:jc w:val="right"/>
              <w:ind w:right="211"/>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4th Quarter</w:t>
            </w:r>
          </w:p>
        </w:tc>
      </w:tr>
      <w:tr>
        <w:trPr>
          <w:trHeight w:val="169"/>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Total revenues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438,869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517,474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554,694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557,221</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(54,479)</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(21,571)</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6,007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(loss)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(35,497)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(25,598)</w:t>
            </w: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(10,737)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Viasat, Inc.</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(34,010)</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(10,404)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FF0FC"/>
          </w:tcPr>
          <w:p>
            <w:pPr>
              <w:spacing w:after="0"/>
              <w:rPr>
                <w:sz w:val="18"/>
                <w:szCs w:val="18"/>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Basic net (loss) income per share attributable to</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20" w:type="dxa"/>
            <w:vAlign w:val="bottom"/>
          </w:tcPr>
          <w:p>
            <w:pPr>
              <w:ind w:left="160"/>
              <w:spacing w:after="0" w:line="203" w:lineRule="exact"/>
              <w:rPr>
                <w:sz w:val="20"/>
                <w:szCs w:val="20"/>
                <w:color w:val="auto"/>
              </w:rPr>
            </w:pPr>
            <w:r>
              <w:rPr>
                <w:rFonts w:ascii="Arial" w:cs="Arial" w:eastAsia="Arial" w:hAnsi="Arial"/>
                <w:sz w:val="18"/>
                <w:szCs w:val="18"/>
                <w:color w:val="auto"/>
              </w:rPr>
              <w:t>Viasat, Inc.</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(0.57)</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(0.43)</w:t>
            </w:r>
          </w:p>
        </w:tc>
        <w:tc>
          <w:tcPr>
            <w:tcW w:w="180" w:type="dxa"/>
            <w:vAlign w:val="bottom"/>
          </w:tcPr>
          <w:p>
            <w:pPr>
              <w:spacing w:after="0"/>
              <w:rPr>
                <w:sz w:val="17"/>
                <w:szCs w:val="17"/>
                <w:color w:val="auto"/>
              </w:rPr>
            </w:pPr>
          </w:p>
        </w:tc>
        <w:tc>
          <w:tcPr>
            <w:tcW w:w="11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(0.17)</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r>
      <w:tr>
        <w:trPr>
          <w:trHeight w:val="215"/>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income per share attributable to</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7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(0.57)</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(0.43)</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(0.17)</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380,044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393,074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381,837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439,670</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(17,950)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(15,860)</w:t>
            </w: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(25,326)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(33,051)</w:t>
            </w: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(9,246)</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(25,621)</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(19,516)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(9,039)</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(13,689)</w:t>
            </w: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(24,631)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(19,946)</w:t>
            </w: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 attributable to Viasat, Inc.</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(0.34)</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Diluted net loss per share attributable to Viasat, Inc.</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r>
    </w:tbl>
    <w:p>
      <w:pPr>
        <w:spacing w:after="0" w:line="188"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Summarized quarterly data for the second quarter of fiscal year 2018 reflects a $10.2 million loss on extinguishment of debt. Refer to Note 5 to the consolidated financial statements for discussion of the refinancing of the 2020 Notes and associated loss on extinguishment of debt. Summarized quarterly data for the third and fourth quarters of fiscal year 2019 reflects a $4.0 million and $ 3.5 million gain, respectively, related to ViaSat-2 insurance claims in SG&amp;A expenses in our satellite services segment. Refer to Note 1 to the consolidated financial statements for further discussion of the ViaSat-2 insurance claims.</w:t>
      </w:r>
    </w:p>
    <w:p>
      <w:pPr>
        <w:spacing w:after="0" w:line="149"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Basic and diluted net (loss) income per share are computed independently for each of the quarters presented. Therefore, the sum of quarterly basic and diluted per share information may not equal annual basic and diluted net income per share.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2019, the end of the period covered by this report. Based upon the foregoing, our Chief Executive Officer and Chief Financial Officer concluded that our disclosure controls and procedures were effective at a reasonable assurance level as of March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31, 2019.</w:t>
      </w:r>
    </w:p>
    <w:p>
      <w:pPr>
        <w:spacing w:after="0" w:line="151"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520" w:firstLine="518"/>
        <w:spacing w:after="0" w:line="246"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2019, as stated in their report which appears on page F-1.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2019, there were no changes in our internal control over financial reporting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66" w:name="page67"/>
    <w:bookmarkEnd w:id="66"/>
    <w:p>
      <w:pPr>
        <w:ind w:left="5380"/>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8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2019 Annual Meeting of Stockholders (the Proxy Statement) under the headings “Corporate Governance Principles and Board Matters,” “Election of Directors” and “Ownership of Securities,” and is incorporated herein by reference.</w:t>
      </w:r>
    </w:p>
    <w:p>
      <w:pPr>
        <w:spacing w:after="0" w:line="149" w:lineRule="exact"/>
        <w:rPr>
          <w:sz w:val="20"/>
          <w:szCs w:val="20"/>
          <w:color w:val="auto"/>
        </w:rPr>
      </w:pPr>
    </w:p>
    <w:p>
      <w:pPr>
        <w:ind w:right="220" w:firstLine="518"/>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4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5" w:lineRule="exact"/>
        <w:rPr>
          <w:sz w:val="20"/>
          <w:szCs w:val="20"/>
          <w:color w:val="auto"/>
        </w:rPr>
      </w:pPr>
    </w:p>
    <w:p>
      <w:pPr>
        <w:ind w:right="100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88"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41"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5" w:lineRule="exact"/>
        <w:rPr>
          <w:sz w:val="20"/>
          <w:szCs w:val="20"/>
          <w:color w:val="auto"/>
        </w:rPr>
      </w:pPr>
    </w:p>
    <w:p>
      <w:pPr>
        <w:ind w:right="48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85"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ind w:left="5360"/>
        <w:spacing w:after="0"/>
        <w:rPr>
          <w:sz w:val="20"/>
          <w:szCs w:val="20"/>
          <w:color w:val="auto"/>
        </w:rPr>
      </w:pPr>
      <w:r>
        <w:rPr>
          <w:rFonts w:ascii="Arial" w:cs="Arial" w:eastAsia="Arial" w:hAnsi="Arial"/>
          <w:sz w:val="18"/>
          <w:szCs w:val="18"/>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85"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400" w:hanging="379"/>
        <w:spacing w:after="0"/>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00" w:lineRule="exact"/>
        <w:rPr>
          <w:sz w:val="20"/>
          <w:szCs w:val="20"/>
          <w:color w:val="auto"/>
        </w:rPr>
      </w:pPr>
    </w:p>
    <w:p>
      <w:pPr>
        <w:spacing w:after="0" w:line="322" w:lineRule="exact"/>
        <w:rPr>
          <w:sz w:val="20"/>
          <w:szCs w:val="20"/>
          <w:color w:val="auto"/>
        </w:rPr>
      </w:pPr>
    </w:p>
    <w:p>
      <w:pPr>
        <w:ind w:left="8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Balance Sheets as of March 31, 2019 and March 31, 2018</w:t>
        </w:r>
      </w:hyperlink>
    </w:p>
    <w:p>
      <w:pPr>
        <w:spacing w:after="0" w:line="9" w:lineRule="exact"/>
        <w:rPr>
          <w:sz w:val="20"/>
          <w:szCs w:val="20"/>
          <w:color w:val="auto"/>
        </w:rPr>
      </w:pPr>
    </w:p>
    <w:p>
      <w:pPr>
        <w:ind w:left="1080" w:right="660" w:hanging="215"/>
        <w:spacing w:after="0" w:line="234" w:lineRule="auto"/>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Operations and Comprehensive Income (Loss) for the fiscal years ended March 31,</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2019, March 31, 2018 and March 31, 2017</w:t>
        </w:r>
      </w:hyperlink>
    </w:p>
    <w:p>
      <w:pPr>
        <w:spacing w:after="0" w:line="2" w:lineRule="exact"/>
        <w:rPr>
          <w:sz w:val="20"/>
          <w:szCs w:val="20"/>
          <w:color w:val="auto"/>
        </w:rPr>
      </w:pPr>
    </w:p>
    <w:p>
      <w:pPr>
        <w:ind w:left="880"/>
        <w:spacing w:after="0" w:line="250" w:lineRule="auto"/>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Cash Flows for the fiscal years ended March 31, 2019, March 31, 2018 and March 31, 2017</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Consolidated Statements of Equity for the fiscal years ended March 31, 2019, March 31, 2018 and March 31, 2017</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Notes to the Consolidated Financial Statements</w:t>
        </w:r>
      </w:hyperlink>
    </w:p>
    <w:p>
      <w:pPr>
        <w:spacing w:after="0" w:line="1" w:lineRule="exact"/>
        <w:rPr>
          <w:rFonts w:ascii="Arial" w:cs="Arial" w:eastAsia="Arial" w:hAnsi="Arial"/>
          <w:sz w:val="18"/>
          <w:szCs w:val="18"/>
          <w:u w:val="single" w:color="auto"/>
          <w:color w:val="0000EE"/>
        </w:rPr>
      </w:pPr>
    </w:p>
    <w:p>
      <w:pPr>
        <w:ind w:left="880"/>
        <w:spacing w:after="0"/>
        <w:tabs>
          <w:tab w:leader="none" w:pos="122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(2)</w:t>
      </w:r>
      <w:r>
        <w:rPr>
          <w:sz w:val="20"/>
          <w:szCs w:val="20"/>
          <w:color w:val="auto"/>
        </w:rPr>
        <w:tab/>
      </w:r>
      <w:hyperlink w:anchor="page117">
        <w:r>
          <w:rPr>
            <w:rFonts w:ascii="Arial" w:cs="Arial" w:eastAsia="Arial" w:hAnsi="Arial"/>
            <w:sz w:val="17"/>
            <w:szCs w:val="17"/>
            <w:u w:val="single" w:color="auto"/>
            <w:color w:val="0000EE"/>
          </w:rPr>
          <w:t>Schedule II — Valuation and Qualifying Accounts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2" w:lineRule="exact"/>
        <w:rPr>
          <w:rFonts w:ascii="Arial" w:cs="Arial" w:eastAsia="Arial" w:hAnsi="Arial"/>
          <w:sz w:val="18"/>
          <w:szCs w:val="18"/>
          <w:u w:val="single" w:color="auto"/>
          <w:color w:val="0000EE"/>
        </w:rPr>
      </w:pPr>
    </w:p>
    <w:p>
      <w:pPr>
        <w:jc w:val="center"/>
        <w:ind w:right="60"/>
        <w:spacing w:after="0"/>
        <w:rPr>
          <w:sz w:val="20"/>
          <w:szCs w:val="20"/>
          <w:color w:val="auto"/>
        </w:rPr>
      </w:pPr>
      <w:r>
        <w:rPr>
          <w:rFonts w:ascii="Arial" w:cs="Arial" w:eastAsia="Arial" w:hAnsi="Arial"/>
          <w:sz w:val="14"/>
          <w:szCs w:val="14"/>
          <w:b w:val="1"/>
          <w:bCs w:val="1"/>
          <w:color w:val="auto"/>
        </w:rPr>
        <w:t>Page</w:t>
      </w:r>
    </w:p>
    <w:p>
      <w:pPr>
        <w:spacing w:after="0" w:line="19" w:lineRule="exact"/>
        <w:rPr>
          <w:rFonts w:ascii="Arial" w:cs="Arial" w:eastAsia="Arial" w:hAnsi="Arial"/>
          <w:sz w:val="18"/>
          <w:szCs w:val="18"/>
          <w:u w:val="single" w:color="auto"/>
          <w:color w:val="0000EE"/>
        </w:rPr>
      </w:pPr>
    </w:p>
    <w:p>
      <w:pPr>
        <w:jc w:val="center"/>
        <w:ind w:right="60"/>
        <w:spacing w:after="0"/>
        <w:rPr>
          <w:sz w:val="20"/>
          <w:szCs w:val="20"/>
          <w:color w:val="auto"/>
        </w:rPr>
      </w:pPr>
      <w:r>
        <w:rPr>
          <w:rFonts w:ascii="Arial" w:cs="Arial" w:eastAsia="Arial" w:hAnsi="Arial"/>
          <w:sz w:val="14"/>
          <w:szCs w:val="14"/>
          <w:b w:val="1"/>
          <w:bCs w:val="1"/>
          <w:color w:val="auto"/>
        </w:rPr>
        <w:t>Number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-46990</wp:posOffset>
            </wp:positionH>
            <wp:positionV relativeFrom="paragraph">
              <wp:posOffset>-1905</wp:posOffset>
            </wp:positionV>
            <wp:extent cx="4286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F-1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F-2</w:t>
      </w:r>
    </w:p>
    <w:p>
      <w:pPr>
        <w:spacing w:after="0" w:line="19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F-3</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F-4</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F-6</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II-1</w:t>
      </w:r>
    </w:p>
    <w:p>
      <w:pPr>
        <w:spacing w:after="0" w:line="198" w:lineRule="exact"/>
        <w:rPr>
          <w:rFonts w:ascii="Arial" w:cs="Arial" w:eastAsia="Arial" w:hAnsi="Arial"/>
          <w:sz w:val="18"/>
          <w:szCs w:val="18"/>
          <w:u w:val="single" w:color="auto"/>
          <w:color w:val="0000EE"/>
        </w:rPr>
      </w:pPr>
    </w:p>
    <w:p>
      <w:pPr>
        <w:sectPr>
          <w:pgSz w:w="11900" w:h="16838" w:orient="portrait"/>
          <w:cols w:equalWidth="0" w:num="2">
            <w:col w:w="10440" w:space="380"/>
            <w:col w:w="600"/>
          </w:cols>
          <w:pgMar w:left="240" w:top="118" w:right="239" w:bottom="1440" w:gutter="0" w:footer="0" w:header="0"/>
        </w:sectPr>
      </w:pPr>
    </w:p>
    <w:p>
      <w:pPr>
        <w:ind w:right="80" w:firstLine="1020"/>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48" w:lineRule="exact"/>
        <w:rPr>
          <w:rFonts w:ascii="Arial" w:cs="Arial" w:eastAsia="Arial" w:hAnsi="Arial"/>
          <w:sz w:val="18"/>
          <w:szCs w:val="18"/>
          <w:u w:val="single" w:color="auto"/>
          <w:color w:val="0000EE"/>
        </w:rPr>
      </w:pPr>
    </w:p>
    <w:p>
      <w:pPr>
        <w:ind w:left="1020"/>
        <w:spacing w:after="0"/>
        <w:tabs>
          <w:tab w:leader="none" w:pos="1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83"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138"/>
        </w:trPr>
        <w:tc>
          <w:tcPr>
            <w:tcW w:w="960" w:type="dxa"/>
            <w:vAlign w:val="bottom"/>
            <w:vMerge w:val="restart"/>
          </w:tcPr>
          <w:p>
            <w:pPr>
              <w:jc w:val="right"/>
              <w:ind w:right="201"/>
              <w:spacing w:after="0"/>
              <w:rPr>
                <w:sz w:val="20"/>
                <w:szCs w:val="20"/>
                <w:color w:val="auto"/>
              </w:rPr>
            </w:pPr>
            <w:r>
              <w:rPr>
                <w:rFonts w:ascii="Arial" w:cs="Arial" w:eastAsia="Arial" w:hAnsi="Arial"/>
                <w:sz w:val="12"/>
                <w:szCs w:val="12"/>
                <w:b w:val="1"/>
                <w:bCs w:val="1"/>
                <w:color w:val="auto"/>
              </w:rPr>
              <w:t>Exhibit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w w:val="97"/>
              </w:rPr>
              <w:t>Incorporated by Reference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41"/>
        </w:trPr>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74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36"/>
        </w:trPr>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60" w:type="dxa"/>
            <w:vAlign w:val="bottom"/>
            <w:gridSpan w:val="25"/>
            <w:vMerge w:val="restart"/>
          </w:tcPr>
          <w:p>
            <w:pPr>
              <w:ind w:left="16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vMerge w:val="restart"/>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40" w:type="dxa"/>
            <w:vAlign w:val="bottom"/>
          </w:tcPr>
          <w:p>
            <w:pPr>
              <w:spacing w:after="0"/>
              <w:rPr>
                <w:sz w:val="3"/>
                <w:szCs w:val="3"/>
                <w:color w:val="auto"/>
              </w:rPr>
            </w:pPr>
          </w:p>
        </w:tc>
        <w:tc>
          <w:tcPr>
            <w:tcW w:w="11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File No.</w:t>
            </w:r>
          </w:p>
        </w:tc>
        <w:tc>
          <w:tcPr>
            <w:tcW w:w="5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w w:val="89"/>
              </w:rPr>
              <w:t>Exhibit</w:t>
            </w:r>
          </w:p>
        </w:tc>
        <w:tc>
          <w:tcPr>
            <w:tcW w:w="140" w:type="dxa"/>
            <w:vAlign w:val="bottom"/>
          </w:tcPr>
          <w:p>
            <w:pPr>
              <w:spacing w:after="0"/>
              <w:rPr>
                <w:sz w:val="3"/>
                <w:szCs w:val="3"/>
                <w:color w:val="auto"/>
              </w:rPr>
            </w:pPr>
          </w:p>
        </w:tc>
        <w:tc>
          <w:tcPr>
            <w:tcW w:w="10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Filing Date</w:t>
            </w:r>
          </w:p>
        </w:tc>
        <w:tc>
          <w:tcPr>
            <w:tcW w:w="1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tcPr>
          <w:p>
            <w:pPr>
              <w:jc w:val="right"/>
              <w:ind w:right="181"/>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25"/>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5660" w:type="dxa"/>
            <w:vAlign w:val="bottom"/>
            <w:gridSpan w:val="30"/>
          </w:tcPr>
          <w:p>
            <w:pPr>
              <w:spacing w:after="0"/>
              <w:rPr>
                <w:rFonts w:ascii="Arial" w:cs="Arial" w:eastAsia="Arial" w:hAnsi="Arial"/>
                <w:sz w:val="16"/>
                <w:szCs w:val="16"/>
                <w:color w:val="0000EE"/>
              </w:rPr>
            </w:pPr>
            <w:hyperlink r:id="rId91">
              <w:r>
                <w:rPr>
                  <w:rFonts w:ascii="Arial" w:cs="Arial" w:eastAsia="Arial" w:hAnsi="Arial"/>
                  <w:sz w:val="16"/>
                  <w:szCs w:val="16"/>
                  <w:color w:val="0000EE"/>
                </w:rPr>
                <w:t>Second Amended and Restated Certificate of Incorporation of ViaSat, Inc.</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11/14/2000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5260" w:type="dxa"/>
            <w:vAlign w:val="bottom"/>
            <w:tcBorders>
              <w:top w:val="single" w:sz="8" w:color="0000EE"/>
            </w:tcBorders>
            <w:gridSpan w:val="23"/>
          </w:tcPr>
          <w:p>
            <w:pPr>
              <w:spacing w:after="0"/>
              <w:rPr>
                <w:rFonts w:ascii="Arial" w:cs="Arial" w:eastAsia="Arial" w:hAnsi="Arial"/>
                <w:sz w:val="16"/>
                <w:szCs w:val="16"/>
                <w:color w:val="0000EE"/>
              </w:rPr>
            </w:pPr>
            <w:hyperlink r:id="rId92">
              <w:r>
                <w:rPr>
                  <w:rFonts w:ascii="Arial" w:cs="Arial" w:eastAsia="Arial" w:hAnsi="Arial"/>
                  <w:sz w:val="16"/>
                  <w:szCs w:val="16"/>
                  <w:color w:val="0000EE"/>
                </w:rPr>
                <w:t>Second Amended and Restated Bylaws of ViaSat, Inc.</w:t>
              </w:r>
            </w:hyperlink>
          </w:p>
        </w:tc>
        <w:tc>
          <w:tcPr>
            <w:tcW w:w="4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12/04/2012</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388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auto"/>
              </w:rPr>
              <w:t>Form of Common Stock Certificate (p)</w:t>
            </w:r>
          </w:p>
        </w:tc>
        <w:tc>
          <w:tcPr>
            <w:tcW w:w="1780" w:type="dxa"/>
            <w:vAlign w:val="bottom"/>
            <w:gridSpan w:val="17"/>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S-1/A</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333-13183</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11/05/1996</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5660" w:type="dxa"/>
            <w:vAlign w:val="bottom"/>
            <w:gridSpan w:val="30"/>
          </w:tcPr>
          <w:p>
            <w:pPr>
              <w:spacing w:after="0"/>
              <w:rPr>
                <w:rFonts w:ascii="Arial" w:cs="Arial" w:eastAsia="Arial" w:hAnsi="Arial"/>
                <w:sz w:val="16"/>
                <w:szCs w:val="16"/>
                <w:color w:val="0000EE"/>
              </w:rPr>
            </w:pPr>
            <w:hyperlink r:id="rId93">
              <w:r>
                <w:rPr>
                  <w:rFonts w:ascii="Arial" w:cs="Arial" w:eastAsia="Arial" w:hAnsi="Arial"/>
                  <w:sz w:val="16"/>
                  <w:szCs w:val="16"/>
                  <w:color w:val="0000EE"/>
                </w:rPr>
                <w:t>Indenture dated as of September 21, 2017, between ViaSat, Inc.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09/21/2017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93">
              <w:r>
                <w:rPr>
                  <w:rFonts w:ascii="Arial" w:cs="Arial" w:eastAsia="Arial" w:hAnsi="Arial"/>
                  <w:sz w:val="16"/>
                  <w:szCs w:val="16"/>
                  <w:color w:val="0000EE"/>
                </w:rPr>
                <w:t>Wilmington Trust, National Association, as trustee</w:t>
              </w:r>
            </w:hyperlink>
          </w:p>
        </w:tc>
        <w:tc>
          <w:tcPr>
            <w:tcW w:w="760" w:type="dxa"/>
            <w:vAlign w:val="bottom"/>
            <w:gridSpan w:val="11"/>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5420" w:type="dxa"/>
            <w:vAlign w:val="bottom"/>
            <w:tcBorders>
              <w:bottom w:val="single" w:sz="8" w:color="0000EE"/>
            </w:tcBorders>
            <w:gridSpan w:val="27"/>
          </w:tcPr>
          <w:p>
            <w:pPr>
              <w:spacing w:after="0"/>
              <w:rPr>
                <w:rFonts w:ascii="Arial" w:cs="Arial" w:eastAsia="Arial" w:hAnsi="Arial"/>
                <w:sz w:val="16"/>
                <w:szCs w:val="16"/>
                <w:color w:val="0000EE"/>
              </w:rPr>
            </w:pPr>
            <w:hyperlink r:id="rId93">
              <w:r>
                <w:rPr>
                  <w:rFonts w:ascii="Arial" w:cs="Arial" w:eastAsia="Arial" w:hAnsi="Arial"/>
                  <w:sz w:val="16"/>
                  <w:szCs w:val="16"/>
                  <w:color w:val="0000EE"/>
                </w:rPr>
                <w:t>Form of 5.625% Senior Note due 2025 of ViaSat, Inc. (attached as Exhibit A</w:t>
              </w:r>
            </w:hyperlink>
          </w:p>
        </w:tc>
        <w:tc>
          <w:tcPr>
            <w:tcW w:w="24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09/21/2017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93">
              <w:r>
                <w:rPr>
                  <w:rFonts w:ascii="Arial" w:cs="Arial" w:eastAsia="Arial" w:hAnsi="Arial"/>
                  <w:sz w:val="16"/>
                  <w:szCs w:val="16"/>
                  <w:color w:val="0000EE"/>
                </w:rPr>
                <w:t>to the Indenture filed as Exhibit 4.2 hereto)</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5440" w:type="dxa"/>
            <w:vAlign w:val="bottom"/>
            <w:tcBorders>
              <w:bottom w:val="single" w:sz="8" w:color="0000EE"/>
            </w:tcBorders>
            <w:gridSpan w:val="28"/>
          </w:tcPr>
          <w:p>
            <w:pPr>
              <w:spacing w:after="0"/>
              <w:rPr>
                <w:rFonts w:ascii="Arial" w:cs="Arial" w:eastAsia="Arial" w:hAnsi="Arial"/>
                <w:sz w:val="16"/>
                <w:szCs w:val="16"/>
                <w:color w:val="0000EE"/>
              </w:rPr>
            </w:pPr>
            <w:hyperlink r:id="rId94">
              <w:r>
                <w:rPr>
                  <w:rFonts w:ascii="Arial" w:cs="Arial" w:eastAsia="Arial" w:hAnsi="Arial"/>
                  <w:sz w:val="16"/>
                  <w:szCs w:val="16"/>
                  <w:color w:val="0000EE"/>
                </w:rPr>
                <w:t>Indenture, dated as of March 27, 2019, between Viasat, Inc. and Wilmington</w:t>
              </w:r>
            </w:hyperlink>
          </w:p>
        </w:tc>
        <w:tc>
          <w:tcPr>
            <w:tcW w:w="22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03/27/2019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94">
              <w:r>
                <w:rPr>
                  <w:rFonts w:ascii="Arial" w:cs="Arial" w:eastAsia="Arial" w:hAnsi="Arial"/>
                  <w:sz w:val="16"/>
                  <w:szCs w:val="16"/>
                  <w:color w:val="0000EE"/>
                </w:rPr>
                <w:t>Trust, National Association, as trustee and as collateral trustee</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4"/>
                <w:szCs w:val="24"/>
                <w:color w:val="auto"/>
              </w:rPr>
            </w:pPr>
          </w:p>
        </w:tc>
        <w:tc>
          <w:tcPr>
            <w:tcW w:w="5360" w:type="dxa"/>
            <w:vAlign w:val="bottom"/>
            <w:tcBorders>
              <w:bottom w:val="single" w:sz="8" w:color="0000EE"/>
            </w:tcBorders>
            <w:gridSpan w:val="24"/>
          </w:tcPr>
          <w:p>
            <w:pPr>
              <w:spacing w:after="0"/>
              <w:rPr>
                <w:rFonts w:ascii="Arial" w:cs="Arial" w:eastAsia="Arial" w:hAnsi="Arial"/>
                <w:sz w:val="16"/>
                <w:szCs w:val="16"/>
                <w:color w:val="0000EE"/>
              </w:rPr>
            </w:pPr>
            <w:hyperlink r:id="rId94">
              <w:r>
                <w:rPr>
                  <w:rFonts w:ascii="Arial" w:cs="Arial" w:eastAsia="Arial" w:hAnsi="Arial"/>
                  <w:sz w:val="16"/>
                  <w:szCs w:val="16"/>
                  <w:color w:val="0000EE"/>
                </w:rPr>
                <w:t>Form of 5.625% Senior Secured Note due 2027 of Viasat, Inc. (attached as</w:t>
              </w:r>
            </w:hyperlink>
          </w:p>
        </w:tc>
        <w:tc>
          <w:tcPr>
            <w:tcW w:w="3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03/27/2019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94">
              <w:r>
                <w:rPr>
                  <w:rFonts w:ascii="Arial" w:cs="Arial" w:eastAsia="Arial" w:hAnsi="Arial"/>
                  <w:sz w:val="16"/>
                  <w:szCs w:val="16"/>
                  <w:color w:val="0000EE"/>
                </w:rPr>
                <w:t>Exhibit A to the Indenture filed as Exhibit 4.4 hereto)</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right"/>
              <w:ind w:right="381"/>
              <w:spacing w:after="0" w:line="169" w:lineRule="exact"/>
              <w:rPr>
                <w:sz w:val="20"/>
                <w:szCs w:val="20"/>
                <w:color w:val="auto"/>
              </w:rPr>
            </w:pPr>
            <w:r>
              <w:rPr>
                <w:rFonts w:ascii="Arial" w:cs="Arial" w:eastAsia="Arial" w:hAnsi="Arial"/>
                <w:sz w:val="16"/>
                <w:szCs w:val="16"/>
                <w:color w:val="auto"/>
              </w:rPr>
              <w:t>4.6</w:t>
            </w:r>
          </w:p>
        </w:tc>
        <w:tc>
          <w:tcPr>
            <w:tcW w:w="120" w:type="dxa"/>
            <w:vAlign w:val="bottom"/>
          </w:tcPr>
          <w:p>
            <w:pPr>
              <w:spacing w:after="0"/>
              <w:rPr>
                <w:sz w:val="14"/>
                <w:szCs w:val="14"/>
                <w:color w:val="auto"/>
              </w:rPr>
            </w:pPr>
          </w:p>
        </w:tc>
        <w:tc>
          <w:tcPr>
            <w:tcW w:w="25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w w:val="99"/>
              </w:rPr>
            </w:pPr>
            <w:hyperlink r:id="rId95">
              <w:r>
                <w:rPr>
                  <w:rFonts w:ascii="Arial" w:cs="Arial" w:eastAsia="Arial" w:hAnsi="Arial"/>
                  <w:sz w:val="16"/>
                  <w:szCs w:val="16"/>
                  <w:color w:val="0000EE"/>
                  <w:w w:val="99"/>
                </w:rPr>
                <w:t>Description of Registered Securities</w:t>
              </w:r>
            </w:hyperlink>
          </w:p>
        </w:tc>
        <w:tc>
          <w:tcPr>
            <w:tcW w:w="1140" w:type="dxa"/>
            <w:vAlign w:val="bottom"/>
            <w:tcBorders>
              <w:top w:val="single" w:sz="8" w:color="0000EE"/>
            </w:tcBorders>
            <w:gridSpan w:val="5"/>
          </w:tcPr>
          <w:p>
            <w:pPr>
              <w:spacing w:after="0"/>
              <w:rPr>
                <w:sz w:val="14"/>
                <w:szCs w:val="14"/>
                <w:color w:val="auto"/>
              </w:rPr>
            </w:pPr>
          </w:p>
        </w:tc>
        <w:tc>
          <w:tcPr>
            <w:tcW w:w="1960" w:type="dxa"/>
            <w:vAlign w:val="bottom"/>
            <w:gridSpan w:val="18"/>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6"/>
                <w:szCs w:val="16"/>
                <w:color w:val="auto"/>
              </w:rPr>
              <w:t>S-3ASR</w:t>
            </w:r>
          </w:p>
        </w:tc>
        <w:tc>
          <w:tcPr>
            <w:tcW w:w="1240" w:type="dxa"/>
            <w:vAlign w:val="bottom"/>
            <w:gridSpan w:val="2"/>
          </w:tcPr>
          <w:p>
            <w:pPr>
              <w:jc w:val="center"/>
              <w:ind w:left="59"/>
              <w:spacing w:after="0" w:line="169" w:lineRule="exact"/>
              <w:rPr>
                <w:sz w:val="20"/>
                <w:szCs w:val="20"/>
                <w:color w:val="auto"/>
              </w:rPr>
            </w:pPr>
            <w:r>
              <w:rPr>
                <w:rFonts w:ascii="Arial" w:cs="Arial" w:eastAsia="Arial" w:hAnsi="Arial"/>
                <w:sz w:val="16"/>
                <w:szCs w:val="16"/>
                <w:color w:val="auto"/>
              </w:rPr>
              <w:t>333-229605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9"/>
              <w:spacing w:after="0" w:line="169" w:lineRule="exact"/>
              <w:rPr>
                <w:sz w:val="20"/>
                <w:szCs w:val="20"/>
                <w:color w:val="auto"/>
              </w:rPr>
            </w:pPr>
            <w:r>
              <w:rPr>
                <w:rFonts w:ascii="Arial" w:cs="Arial" w:eastAsia="Arial" w:hAnsi="Arial"/>
                <w:sz w:val="16"/>
                <w:szCs w:val="16"/>
                <w:color w:val="auto"/>
                <w:w w:val="99"/>
              </w:rPr>
              <w:t>02/11/2019</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5140" w:type="dxa"/>
            <w:vAlign w:val="bottom"/>
            <w:tcBorders>
              <w:bottom w:val="single" w:sz="8" w:color="0000EE"/>
            </w:tcBorders>
            <w:gridSpan w:val="20"/>
          </w:tcPr>
          <w:p>
            <w:pPr>
              <w:spacing w:after="0"/>
              <w:rPr>
                <w:rFonts w:ascii="Arial" w:cs="Arial" w:eastAsia="Arial" w:hAnsi="Arial"/>
                <w:sz w:val="16"/>
                <w:szCs w:val="16"/>
                <w:color w:val="0000EE"/>
              </w:rPr>
            </w:pPr>
            <w:hyperlink r:id="rId96">
              <w:r>
                <w:rPr>
                  <w:rFonts w:ascii="Arial" w:cs="Arial" w:eastAsia="Arial" w:hAnsi="Arial"/>
                  <w:sz w:val="16"/>
                  <w:szCs w:val="16"/>
                  <w:color w:val="0000EE"/>
                </w:rPr>
                <w:t>Form of Indemnification Agreement between ViaSat, Inc. and each of its</w:t>
              </w:r>
            </w:hyperlink>
          </w:p>
        </w:tc>
        <w:tc>
          <w:tcPr>
            <w:tcW w:w="520" w:type="dxa"/>
            <w:vAlign w:val="bottom"/>
            <w:gridSpan w:val="10"/>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99.1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03/07/2008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0000EE"/>
            </w:tcBorders>
            <w:gridSpan w:val="2"/>
          </w:tcPr>
          <w:p>
            <w:pPr>
              <w:spacing w:after="0" w:line="169" w:lineRule="exact"/>
              <w:rPr>
                <w:rFonts w:ascii="Arial" w:cs="Arial" w:eastAsia="Arial" w:hAnsi="Arial"/>
                <w:sz w:val="16"/>
                <w:szCs w:val="16"/>
                <w:color w:val="0000EE"/>
                <w:w w:val="98"/>
              </w:rPr>
            </w:pPr>
            <w:hyperlink r:id="rId96">
              <w:r>
                <w:rPr>
                  <w:rFonts w:ascii="Arial" w:cs="Arial" w:eastAsia="Arial" w:hAnsi="Arial"/>
                  <w:sz w:val="16"/>
                  <w:szCs w:val="16"/>
                  <w:color w:val="0000EE"/>
                  <w:w w:val="98"/>
                </w:rPr>
                <w:t>directors and officers</w:t>
              </w:r>
            </w:hyperlink>
          </w:p>
        </w:tc>
        <w:tc>
          <w:tcPr>
            <w:tcW w:w="4180" w:type="dxa"/>
            <w:vAlign w:val="bottom"/>
            <w:gridSpan w:val="28"/>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5140" w:type="dxa"/>
            <w:vAlign w:val="bottom"/>
            <w:tcBorders>
              <w:bottom w:val="single" w:sz="8" w:color="0000EE"/>
            </w:tcBorders>
            <w:gridSpan w:val="20"/>
          </w:tcPr>
          <w:p>
            <w:pPr>
              <w:spacing w:after="0"/>
              <w:rPr>
                <w:rFonts w:ascii="Arial" w:cs="Arial" w:eastAsia="Arial" w:hAnsi="Arial"/>
                <w:sz w:val="16"/>
                <w:szCs w:val="16"/>
                <w:color w:val="0000EE"/>
              </w:rPr>
            </w:pPr>
            <w:hyperlink r:id="rId97">
              <w:r>
                <w:rPr>
                  <w:rFonts w:ascii="Arial" w:cs="Arial" w:eastAsia="Arial" w:hAnsi="Arial"/>
                  <w:sz w:val="16"/>
                  <w:szCs w:val="16"/>
                  <w:color w:val="0000EE"/>
                </w:rPr>
                <w:t>ViaSat, Inc. Employee Stock Purchase Plan (as Amended and Restated</w:t>
              </w:r>
            </w:hyperlink>
          </w:p>
        </w:tc>
        <w:tc>
          <w:tcPr>
            <w:tcW w:w="52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rPr>
              <w:t>09/8/2017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0000EE"/>
            </w:tcBorders>
            <w:gridSpan w:val="4"/>
          </w:tcPr>
          <w:p>
            <w:pPr>
              <w:spacing w:after="0" w:line="169" w:lineRule="exact"/>
              <w:rPr>
                <w:rFonts w:ascii="Arial" w:cs="Arial" w:eastAsia="Arial" w:hAnsi="Arial"/>
                <w:sz w:val="16"/>
                <w:szCs w:val="16"/>
                <w:color w:val="0000EE"/>
                <w:w w:val="99"/>
              </w:rPr>
            </w:pPr>
            <w:hyperlink r:id="rId97">
              <w:r>
                <w:rPr>
                  <w:rFonts w:ascii="Arial" w:cs="Arial" w:eastAsia="Arial" w:hAnsi="Arial"/>
                  <w:sz w:val="16"/>
                  <w:szCs w:val="16"/>
                  <w:color w:val="0000EE"/>
                  <w:w w:val="99"/>
                </w:rPr>
                <w:t>Effective September 7, 2017)</w:t>
              </w:r>
            </w:hyperlink>
          </w:p>
        </w:tc>
        <w:tc>
          <w:tcPr>
            <w:tcW w:w="3580" w:type="dxa"/>
            <w:vAlign w:val="bottom"/>
            <w:gridSpan w:val="26"/>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5660" w:type="dxa"/>
            <w:vAlign w:val="bottom"/>
            <w:gridSpan w:val="30"/>
          </w:tcPr>
          <w:p>
            <w:pPr>
              <w:spacing w:after="0"/>
              <w:rPr>
                <w:rFonts w:ascii="Arial" w:cs="Arial" w:eastAsia="Arial" w:hAnsi="Arial"/>
                <w:sz w:val="16"/>
                <w:szCs w:val="16"/>
                <w:color w:val="0000EE"/>
              </w:rPr>
            </w:pPr>
            <w:hyperlink r:id="rId98">
              <w:r>
                <w:rPr>
                  <w:rFonts w:ascii="Arial" w:cs="Arial" w:eastAsia="Arial" w:hAnsi="Arial"/>
                  <w:sz w:val="16"/>
                  <w:szCs w:val="16"/>
                  <w:color w:val="0000EE"/>
                </w:rPr>
                <w:t>1996 Equity Participation Plan of ViaSat, Inc. (As Amended and Restated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09/10/2018</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9"/>
              </w:rPr>
            </w:pPr>
            <w:hyperlink r:id="rId98">
              <w:r>
                <w:rPr>
                  <w:rFonts w:ascii="Arial" w:cs="Arial" w:eastAsia="Arial" w:hAnsi="Arial"/>
                  <w:sz w:val="16"/>
                  <w:szCs w:val="16"/>
                  <w:color w:val="0000EE"/>
                  <w:w w:val="99"/>
                </w:rPr>
                <w:t>Effective September 6, 2018)</w:t>
              </w:r>
            </w:hyperlink>
          </w:p>
        </w:tc>
        <w:tc>
          <w:tcPr>
            <w:tcW w:w="3140" w:type="dxa"/>
            <w:vAlign w:val="bottom"/>
            <w:tcBorders>
              <w:top w:val="single" w:sz="8" w:color="0000EE"/>
            </w:tcBorders>
            <w:gridSpan w:val="17"/>
          </w:tcPr>
          <w:p>
            <w:pPr>
              <w:spacing w:after="0"/>
              <w:rPr>
                <w:sz w:val="14"/>
                <w:szCs w:val="14"/>
                <w:color w:val="auto"/>
              </w:rPr>
            </w:pPr>
          </w:p>
        </w:tc>
        <w:tc>
          <w:tcPr>
            <w:tcW w:w="440" w:type="dxa"/>
            <w:vAlign w:val="bottom"/>
            <w:gridSpan w:val="9"/>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5240" w:type="dxa"/>
            <w:vAlign w:val="bottom"/>
            <w:tcBorders>
              <w:bottom w:val="single" w:sz="8" w:color="0000EE"/>
            </w:tcBorders>
            <w:gridSpan w:val="22"/>
          </w:tcPr>
          <w:p>
            <w:pPr>
              <w:spacing w:after="0"/>
              <w:rPr>
                <w:rFonts w:ascii="Arial" w:cs="Arial" w:eastAsia="Arial" w:hAnsi="Arial"/>
                <w:sz w:val="16"/>
                <w:szCs w:val="16"/>
                <w:color w:val="0000EE"/>
              </w:rPr>
            </w:pPr>
            <w:hyperlink r:id="rId99">
              <w:r>
                <w:rPr>
                  <w:rFonts w:ascii="Arial" w:cs="Arial" w:eastAsia="Arial" w:hAnsi="Arial"/>
                  <w:sz w:val="16"/>
                  <w:szCs w:val="16"/>
                  <w:color w:val="0000EE"/>
                </w:rPr>
                <w:t>Form of Stock Option Agreement for the 1996 Equity Participation Plan of</w:t>
              </w:r>
            </w:hyperlink>
          </w:p>
        </w:tc>
        <w:tc>
          <w:tcPr>
            <w:tcW w:w="42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10.4</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05/26/2015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99">
              <w:r>
                <w:rPr>
                  <w:rFonts w:ascii="Arial" w:cs="Arial" w:eastAsia="Arial" w:hAnsi="Arial"/>
                  <w:sz w:val="16"/>
                  <w:szCs w:val="16"/>
                  <w:color w:val="0000EE"/>
                </w:rPr>
                <w:t>ViaSat, Inc.</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5660" w:type="dxa"/>
            <w:vAlign w:val="bottom"/>
            <w:gridSpan w:val="30"/>
          </w:tcPr>
          <w:p>
            <w:pPr>
              <w:spacing w:after="0"/>
              <w:rPr>
                <w:rFonts w:ascii="Arial" w:cs="Arial" w:eastAsia="Arial" w:hAnsi="Arial"/>
                <w:sz w:val="16"/>
                <w:szCs w:val="16"/>
                <w:color w:val="0000EE"/>
              </w:rPr>
            </w:pPr>
            <w:hyperlink r:id="rId100">
              <w:r>
                <w:rPr>
                  <w:rFonts w:ascii="Arial" w:cs="Arial" w:eastAsia="Arial" w:hAnsi="Arial"/>
                  <w:sz w:val="16"/>
                  <w:szCs w:val="16"/>
                  <w:color w:val="0000EE"/>
                </w:rPr>
                <w:t>Form of Performance Stock Option Agreement for the 1996 Equity</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rPr>
              <w:t>02/9/2018</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2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100">
              <w:r>
                <w:rPr>
                  <w:rFonts w:ascii="Arial" w:cs="Arial" w:eastAsia="Arial" w:hAnsi="Arial"/>
                  <w:sz w:val="16"/>
                  <w:szCs w:val="16"/>
                  <w:color w:val="0000EE"/>
                </w:rPr>
                <w:t>Participation Plan of ViaSat, Inc.</w:t>
              </w:r>
            </w:hyperlink>
          </w:p>
        </w:tc>
        <w:tc>
          <w:tcPr>
            <w:tcW w:w="940" w:type="dxa"/>
            <w:vAlign w:val="bottom"/>
            <w:gridSpan w:val="14"/>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4840" w:type="dxa"/>
            <w:vAlign w:val="bottom"/>
            <w:tcBorders>
              <w:bottom w:val="single" w:sz="8" w:color="0000EE"/>
            </w:tcBorders>
            <w:gridSpan w:val="17"/>
          </w:tcPr>
          <w:p>
            <w:pPr>
              <w:spacing w:after="0"/>
              <w:rPr>
                <w:rFonts w:ascii="Arial" w:cs="Arial" w:eastAsia="Arial" w:hAnsi="Arial"/>
                <w:sz w:val="16"/>
                <w:szCs w:val="16"/>
                <w:color w:val="0000EE"/>
              </w:rPr>
            </w:pPr>
            <w:hyperlink r:id="rId101">
              <w:r>
                <w:rPr>
                  <w:rFonts w:ascii="Arial" w:cs="Arial" w:eastAsia="Arial" w:hAnsi="Arial"/>
                  <w:sz w:val="16"/>
                  <w:szCs w:val="16"/>
                  <w:color w:val="0000EE"/>
                </w:rPr>
                <w:t>Form of Restricted Stock Unit Award Agreement for the 1996 Equity</w:t>
              </w:r>
            </w:hyperlink>
          </w:p>
        </w:tc>
        <w:tc>
          <w:tcPr>
            <w:tcW w:w="82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10.5</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05/25/2017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Borders>
              <w:bottom w:val="single" w:sz="8" w:color="0000EE"/>
            </w:tcBorders>
            <w:gridSpan w:val="8"/>
          </w:tcPr>
          <w:p>
            <w:pPr>
              <w:spacing w:after="0" w:line="169" w:lineRule="exact"/>
              <w:rPr>
                <w:rFonts w:ascii="Arial" w:cs="Arial" w:eastAsia="Arial" w:hAnsi="Arial"/>
                <w:sz w:val="16"/>
                <w:szCs w:val="16"/>
                <w:color w:val="0000EE"/>
                <w:w w:val="99"/>
              </w:rPr>
            </w:pPr>
            <w:hyperlink r:id="rId101">
              <w:r>
                <w:rPr>
                  <w:rFonts w:ascii="Arial" w:cs="Arial" w:eastAsia="Arial" w:hAnsi="Arial"/>
                  <w:sz w:val="16"/>
                  <w:szCs w:val="16"/>
                  <w:color w:val="0000EE"/>
                  <w:w w:val="99"/>
                </w:rPr>
                <w:t>Participation Plan of ViaSat, Inc.—Global</w:t>
              </w:r>
            </w:hyperlink>
          </w:p>
        </w:tc>
        <w:tc>
          <w:tcPr>
            <w:tcW w:w="2740" w:type="dxa"/>
            <w:vAlign w:val="bottom"/>
            <w:gridSpan w:val="22"/>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4840" w:type="dxa"/>
            <w:vAlign w:val="bottom"/>
            <w:tcBorders>
              <w:bottom w:val="single" w:sz="8" w:color="0000EE"/>
            </w:tcBorders>
            <w:gridSpan w:val="17"/>
          </w:tcPr>
          <w:p>
            <w:pPr>
              <w:spacing w:after="0"/>
              <w:rPr>
                <w:rFonts w:ascii="Arial" w:cs="Arial" w:eastAsia="Arial" w:hAnsi="Arial"/>
                <w:sz w:val="16"/>
                <w:szCs w:val="16"/>
                <w:color w:val="0000EE"/>
              </w:rPr>
            </w:pPr>
            <w:hyperlink r:id="rId102">
              <w:r>
                <w:rPr>
                  <w:rFonts w:ascii="Arial" w:cs="Arial" w:eastAsia="Arial" w:hAnsi="Arial"/>
                  <w:sz w:val="16"/>
                  <w:szCs w:val="16"/>
                  <w:color w:val="0000EE"/>
                </w:rPr>
                <w:t>Form of Restricted Stock Unit Award Agreement for the 1996 Equity</w:t>
              </w:r>
            </w:hyperlink>
          </w:p>
        </w:tc>
        <w:tc>
          <w:tcPr>
            <w:tcW w:w="82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10.6</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05/26/2015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102">
              <w:r>
                <w:rPr>
                  <w:rFonts w:ascii="Arial" w:cs="Arial" w:eastAsia="Arial" w:hAnsi="Arial"/>
                  <w:sz w:val="16"/>
                  <w:szCs w:val="16"/>
                  <w:color w:val="0000EE"/>
                </w:rPr>
                <w:t>Participation Plan of ViaSat, Inc.—Independent Director</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4840" w:type="dxa"/>
            <w:vAlign w:val="bottom"/>
            <w:tcBorders>
              <w:bottom w:val="single" w:sz="8" w:color="0000EE"/>
            </w:tcBorders>
            <w:gridSpan w:val="17"/>
          </w:tcPr>
          <w:p>
            <w:pPr>
              <w:spacing w:after="0"/>
              <w:rPr>
                <w:rFonts w:ascii="Arial" w:cs="Arial" w:eastAsia="Arial" w:hAnsi="Arial"/>
                <w:sz w:val="16"/>
                <w:szCs w:val="16"/>
                <w:color w:val="0000EE"/>
              </w:rPr>
            </w:pPr>
            <w:hyperlink r:id="rId103">
              <w:r>
                <w:rPr>
                  <w:rFonts w:ascii="Arial" w:cs="Arial" w:eastAsia="Arial" w:hAnsi="Arial"/>
                  <w:sz w:val="16"/>
                  <w:szCs w:val="16"/>
                  <w:color w:val="0000EE"/>
                </w:rPr>
                <w:t>Form of Restricted Stock Unit Award Agreement for the 1996 Equity</w:t>
              </w:r>
            </w:hyperlink>
          </w:p>
        </w:tc>
        <w:tc>
          <w:tcPr>
            <w:tcW w:w="82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10.7</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05/26/2015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r:id="rId103">
              <w:r>
                <w:rPr>
                  <w:rFonts w:ascii="Arial" w:cs="Arial" w:eastAsia="Arial" w:hAnsi="Arial"/>
                  <w:sz w:val="16"/>
                  <w:szCs w:val="16"/>
                  <w:color w:val="0000EE"/>
                </w:rPr>
                <w:t>Participation Plan of ViaSat, Inc.—Executive</w:t>
              </w:r>
            </w:hyperlink>
          </w:p>
        </w:tc>
        <w:tc>
          <w:tcPr>
            <w:tcW w:w="2500" w:type="dxa"/>
            <w:vAlign w:val="bottom"/>
            <w:gridSpan w:val="20"/>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5400" w:type="dxa"/>
            <w:vAlign w:val="bottom"/>
            <w:tcBorders>
              <w:bottom w:val="single" w:sz="8" w:color="0000EE"/>
            </w:tcBorders>
            <w:gridSpan w:val="26"/>
          </w:tcPr>
          <w:p>
            <w:pPr>
              <w:spacing w:after="0"/>
              <w:rPr>
                <w:rFonts w:ascii="Arial" w:cs="Arial" w:eastAsia="Arial" w:hAnsi="Arial"/>
                <w:sz w:val="16"/>
                <w:szCs w:val="16"/>
                <w:color w:val="0000EE"/>
              </w:rPr>
            </w:pPr>
            <w:hyperlink r:id="rId104">
              <w:r>
                <w:rPr>
                  <w:rFonts w:ascii="Arial" w:cs="Arial" w:eastAsia="Arial" w:hAnsi="Arial"/>
                  <w:sz w:val="16"/>
                  <w:szCs w:val="16"/>
                  <w:color w:val="0000EE"/>
                </w:rPr>
                <w:t>Form of Change in Control Severance Agreement between ViaSat, Inc. and</w:t>
              </w:r>
            </w:hyperlink>
          </w:p>
        </w:tc>
        <w:tc>
          <w:tcPr>
            <w:tcW w:w="26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08/04/2010</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104">
              <w:r>
                <w:rPr>
                  <w:rFonts w:ascii="Arial" w:cs="Arial" w:eastAsia="Arial" w:hAnsi="Arial"/>
                  <w:sz w:val="16"/>
                  <w:szCs w:val="16"/>
                  <w:color w:val="0000EE"/>
                </w:rPr>
                <w:t>each of its executive officers</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20" w:type="dxa"/>
            <w:vAlign w:val="bottom"/>
            <w:gridSpan w:val="1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5660" w:type="dxa"/>
            <w:vAlign w:val="bottom"/>
            <w:gridSpan w:val="30"/>
          </w:tcPr>
          <w:p>
            <w:pPr>
              <w:spacing w:after="0"/>
              <w:rPr>
                <w:rFonts w:ascii="Arial" w:cs="Arial" w:eastAsia="Arial" w:hAnsi="Arial"/>
                <w:sz w:val="16"/>
                <w:szCs w:val="16"/>
                <w:color w:val="0000EE"/>
              </w:rPr>
            </w:pPr>
            <w:hyperlink r:id="rId105">
              <w:r>
                <w:rPr>
                  <w:rFonts w:ascii="Arial" w:cs="Arial" w:eastAsia="Arial" w:hAnsi="Arial"/>
                  <w:sz w:val="16"/>
                  <w:szCs w:val="16"/>
                  <w:color w:val="0000EE"/>
                </w:rPr>
                <w:t>Credit Agreement dated as of November 26, 2013, by and among ViaSat,</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11/26/2013</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80" w:type="dxa"/>
            <w:vAlign w:val="bottom"/>
            <w:tcBorders>
              <w:top w:val="single" w:sz="8" w:color="0000EE"/>
              <w:bottom w:val="single" w:sz="8" w:color="0000EE"/>
            </w:tcBorders>
            <w:gridSpan w:val="18"/>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Inc., Union Bank, N.A. (as agent) and the other lenders party thereto</w:t>
              </w:r>
            </w:hyperlink>
          </w:p>
        </w:tc>
        <w:tc>
          <w:tcPr>
            <w:tcW w:w="360" w:type="dxa"/>
            <w:vAlign w:val="bottom"/>
            <w:tcBorders>
              <w:top w:val="single" w:sz="8" w:color="0000EE"/>
            </w:tcBorders>
            <w:gridSpan w:val="4"/>
          </w:tcPr>
          <w:p>
            <w:pPr>
              <w:spacing w:after="0"/>
              <w:rPr>
                <w:sz w:val="14"/>
                <w:szCs w:val="14"/>
                <w:color w:val="auto"/>
              </w:rPr>
            </w:pPr>
          </w:p>
        </w:tc>
        <w:tc>
          <w:tcPr>
            <w:tcW w:w="420" w:type="dxa"/>
            <w:vAlign w:val="bottom"/>
            <w:gridSpan w:val="8"/>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10.10.1</w:t>
            </w:r>
          </w:p>
        </w:tc>
        <w:tc>
          <w:tcPr>
            <w:tcW w:w="120" w:type="dxa"/>
            <w:vAlign w:val="bottom"/>
          </w:tcPr>
          <w:p>
            <w:pPr>
              <w:spacing w:after="0"/>
              <w:rPr>
                <w:sz w:val="24"/>
                <w:szCs w:val="24"/>
                <w:color w:val="auto"/>
              </w:rPr>
            </w:pPr>
          </w:p>
        </w:tc>
        <w:tc>
          <w:tcPr>
            <w:tcW w:w="5660" w:type="dxa"/>
            <w:vAlign w:val="bottom"/>
            <w:gridSpan w:val="30"/>
          </w:tcPr>
          <w:p>
            <w:pPr>
              <w:spacing w:after="0"/>
              <w:rPr>
                <w:rFonts w:ascii="Arial" w:cs="Arial" w:eastAsia="Arial" w:hAnsi="Arial"/>
                <w:sz w:val="16"/>
                <w:szCs w:val="16"/>
                <w:color w:val="0000EE"/>
              </w:rPr>
            </w:pPr>
            <w:hyperlink r:id="rId106">
              <w:r>
                <w:rPr>
                  <w:rFonts w:ascii="Arial" w:cs="Arial" w:eastAsia="Arial" w:hAnsi="Arial"/>
                  <w:sz w:val="16"/>
                  <w:szCs w:val="16"/>
                  <w:color w:val="0000EE"/>
                </w:rPr>
                <w:t>First Amendment to Credit Agreement and Other Loan Documents dated as</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5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10.2</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03/13/2015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tcBorders>
              <w:top w:val="single" w:sz="8" w:color="0000EE"/>
              <w:bottom w:val="single" w:sz="8" w:color="0000EE"/>
            </w:tcBorders>
            <w:gridSpan w:val="25"/>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of March 12, 2015, by and among ViaSat, Inc., Union Bank, N.A. (as agent)</w:t>
              </w:r>
            </w:hyperlink>
          </w:p>
        </w:tc>
        <w:tc>
          <w:tcPr>
            <w:tcW w:w="20" w:type="dxa"/>
            <w:vAlign w:val="bottom"/>
            <w:tcBorders>
              <w:top w:val="single" w:sz="8" w:color="0000EE"/>
            </w:tcBorders>
          </w:tcPr>
          <w:p>
            <w:pPr>
              <w:spacing w:after="0"/>
              <w:rPr>
                <w:sz w:val="14"/>
                <w:szCs w:val="14"/>
                <w:color w:val="auto"/>
              </w:rPr>
            </w:pPr>
          </w:p>
        </w:tc>
        <w:tc>
          <w:tcPr>
            <w:tcW w:w="26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30"/>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and the other lenders party thereto</w:t>
              </w:r>
            </w:hyperlink>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8" w:name="page69"/>
    <w:bookmarkEnd w:id="68"/>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gridSpan w:val="23"/>
          </w:tcPr>
          <w:p>
            <w:pPr>
              <w:ind w:left="560"/>
              <w:spacing w:after="0"/>
              <w:rPr>
                <w:sz w:val="20"/>
                <w:szCs w:val="20"/>
                <w:color w:val="auto"/>
              </w:rPr>
            </w:pPr>
            <w:r>
              <w:rPr>
                <w:rFonts w:ascii="Arial" w:cs="Arial" w:eastAsia="Arial" w:hAnsi="Arial"/>
                <w:sz w:val="12"/>
                <w:szCs w:val="12"/>
                <w:b w:val="1"/>
                <w:bCs w:val="1"/>
                <w:color w:val="auto"/>
              </w:rPr>
              <w:t>Exhibit Description</w:t>
            </w:r>
          </w:p>
        </w:tc>
        <w:tc>
          <w:tcPr>
            <w:tcW w:w="0" w:type="dxa"/>
            <w:vAlign w:val="bottom"/>
          </w:tcPr>
          <w:p>
            <w:pPr>
              <w:spacing w:after="0"/>
              <w:rPr>
                <w:sz w:val="1"/>
                <w:szCs w:val="1"/>
                <w:color w:val="auto"/>
              </w:rPr>
            </w:pPr>
          </w:p>
        </w:tc>
      </w:tr>
      <w:tr>
        <w:trPr>
          <w:trHeight w:val="199"/>
        </w:trPr>
        <w:tc>
          <w:tcPr>
            <w:tcW w:w="920" w:type="dxa"/>
            <w:vAlign w:val="bottom"/>
          </w:tcPr>
          <w:p>
            <w:pPr>
              <w:ind w:left="220"/>
              <w:spacing w:after="0"/>
              <w:rPr>
                <w:sz w:val="20"/>
                <w:szCs w:val="20"/>
                <w:color w:val="auto"/>
              </w:rPr>
            </w:pPr>
            <w:r>
              <w:rPr>
                <w:rFonts w:ascii="Arial" w:cs="Arial" w:eastAsia="Arial" w:hAnsi="Arial"/>
                <w:sz w:val="16"/>
                <w:szCs w:val="16"/>
                <w:color w:val="auto"/>
              </w:rPr>
              <w:t>10.10.2</w:t>
            </w:r>
          </w:p>
        </w:tc>
        <w:tc>
          <w:tcPr>
            <w:tcW w:w="100" w:type="dxa"/>
            <w:vAlign w:val="bottom"/>
          </w:tcPr>
          <w:p>
            <w:pPr>
              <w:spacing w:after="0"/>
              <w:rPr>
                <w:sz w:val="17"/>
                <w:szCs w:val="17"/>
                <w:color w:val="auto"/>
              </w:rPr>
            </w:pPr>
          </w:p>
        </w:tc>
        <w:tc>
          <w:tcPr>
            <w:tcW w:w="5460" w:type="dxa"/>
            <w:vAlign w:val="bottom"/>
            <w:tcBorders>
              <w:bottom w:val="single" w:sz="8" w:color="0000EE"/>
            </w:tcBorders>
            <w:gridSpan w:val="31"/>
          </w:tcPr>
          <w:p>
            <w:pPr>
              <w:spacing w:after="0"/>
              <w:rPr>
                <w:rFonts w:ascii="Arial" w:cs="Arial" w:eastAsia="Arial" w:hAnsi="Arial"/>
                <w:sz w:val="16"/>
                <w:szCs w:val="16"/>
                <w:color w:val="0000EE"/>
              </w:rPr>
            </w:pPr>
            <w:hyperlink r:id="rId108">
              <w:r>
                <w:rPr>
                  <w:rFonts w:ascii="Arial" w:cs="Arial" w:eastAsia="Arial" w:hAnsi="Arial"/>
                  <w:sz w:val="16"/>
                  <w:szCs w:val="16"/>
                  <w:color w:val="0000EE"/>
                </w:rPr>
                <w:t>Second Amendment to Credit Agreement and Other Loan Documents dated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2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as of May 24, 2016, by and among Viasat, Inc., MUFG Union Bank, N.A.</w:t>
              </w:r>
            </w:hyperlink>
          </w:p>
        </w:tc>
        <w:tc>
          <w:tcPr>
            <w:tcW w:w="2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32"/>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(as agent) and the other lenders party thereto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10.10.3</w:t>
            </w:r>
          </w:p>
        </w:tc>
        <w:tc>
          <w:tcPr>
            <w:tcW w:w="100" w:type="dxa"/>
            <w:vAlign w:val="bottom"/>
          </w:tcPr>
          <w:p>
            <w:pPr>
              <w:spacing w:after="0"/>
              <w:rPr>
                <w:sz w:val="24"/>
                <w:szCs w:val="24"/>
                <w:color w:val="auto"/>
              </w:rPr>
            </w:pPr>
          </w:p>
        </w:tc>
        <w:tc>
          <w:tcPr>
            <w:tcW w:w="5200" w:type="dxa"/>
            <w:vAlign w:val="bottom"/>
            <w:tcBorders>
              <w:bottom w:val="single" w:sz="8" w:color="0000EE"/>
            </w:tcBorders>
            <w:gridSpan w:val="20"/>
          </w:tcPr>
          <w:p>
            <w:pPr>
              <w:spacing w:after="0"/>
              <w:rPr>
                <w:rFonts w:ascii="Arial" w:cs="Arial" w:eastAsia="Arial" w:hAnsi="Arial"/>
                <w:sz w:val="16"/>
                <w:szCs w:val="16"/>
                <w:color w:val="0000EE"/>
              </w:rPr>
            </w:pPr>
            <w:hyperlink r:id="rId109">
              <w:r>
                <w:rPr>
                  <w:rFonts w:ascii="Arial" w:cs="Arial" w:eastAsia="Arial" w:hAnsi="Arial"/>
                  <w:sz w:val="16"/>
                  <w:szCs w:val="16"/>
                  <w:color w:val="0000EE"/>
                </w:rPr>
                <w:t>Third Amendment to Credit Agreement dated as of May 24, 2018 by and</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among Viasat, Inc., MUFG Union Bank, N.A. (as agent) and the other</w:t>
              </w:r>
            </w:hyperlink>
          </w:p>
        </w:tc>
        <w:tc>
          <w:tcPr>
            <w:tcW w:w="5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lenders party thereto</w:t>
              </w:r>
            </w:hyperlink>
          </w:p>
        </w:tc>
        <w:tc>
          <w:tcPr>
            <w:tcW w:w="398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10.10.4</w:t>
            </w:r>
          </w:p>
        </w:tc>
        <w:tc>
          <w:tcPr>
            <w:tcW w:w="100" w:type="dxa"/>
            <w:vAlign w:val="bottom"/>
          </w:tcPr>
          <w:p>
            <w:pPr>
              <w:spacing w:after="0"/>
              <w:rPr>
                <w:sz w:val="24"/>
                <w:szCs w:val="24"/>
                <w:color w:val="auto"/>
              </w:rPr>
            </w:pPr>
          </w:p>
        </w:tc>
        <w:tc>
          <w:tcPr>
            <w:tcW w:w="5300" w:type="dxa"/>
            <w:vAlign w:val="bottom"/>
            <w:tcBorders>
              <w:bottom w:val="single" w:sz="8" w:color="0000EE"/>
            </w:tcBorders>
            <w:gridSpan w:val="24"/>
          </w:tcPr>
          <w:p>
            <w:pPr>
              <w:spacing w:after="0"/>
              <w:rPr>
                <w:rFonts w:ascii="Arial" w:cs="Arial" w:eastAsia="Arial" w:hAnsi="Arial"/>
                <w:sz w:val="16"/>
                <w:szCs w:val="16"/>
                <w:color w:val="0000EE"/>
              </w:rPr>
            </w:pPr>
            <w:hyperlink r:id="rId110">
              <w:r>
                <w:rPr>
                  <w:rFonts w:ascii="Arial" w:cs="Arial" w:eastAsia="Arial" w:hAnsi="Arial"/>
                  <w:sz w:val="16"/>
                  <w:szCs w:val="16"/>
                  <w:color w:val="0000EE"/>
                </w:rPr>
                <w:t>Fourth Amendment to Credit Agreement dated as of January 18, 2019, by</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and among Viasat, Inc., MUFG Union Bank, N.A. (as administrative agent</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32"/>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and collateral agent) and the other lenders party thereto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4940" w:type="dxa"/>
            <w:vAlign w:val="bottom"/>
            <w:tcBorders>
              <w:bottom w:val="single" w:sz="8" w:color="0000EE"/>
            </w:tcBorders>
            <w:gridSpan w:val="15"/>
          </w:tcPr>
          <w:p>
            <w:pPr>
              <w:spacing w:after="0"/>
              <w:rPr>
                <w:rFonts w:ascii="Arial" w:cs="Arial" w:eastAsia="Arial" w:hAnsi="Arial"/>
                <w:sz w:val="16"/>
                <w:szCs w:val="16"/>
                <w:color w:val="0000EE"/>
              </w:rPr>
            </w:pPr>
            <w:hyperlink r:id="rId111">
              <w:r>
                <w:rPr>
                  <w:rFonts w:ascii="Arial" w:cs="Arial" w:eastAsia="Arial" w:hAnsi="Arial"/>
                  <w:sz w:val="16"/>
                  <w:szCs w:val="16"/>
                  <w:color w:val="0000EE"/>
                </w:rPr>
                <w:t>Credit Agreement dated as of March 12, 2015, by and among ViaSat</w:t>
              </w:r>
            </w:hyperlink>
          </w:p>
        </w:tc>
        <w:tc>
          <w:tcPr>
            <w:tcW w:w="5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8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Technologies Limited, ViaSat, Inc., JPMorgan Chase Bank, National</w:t>
              </w:r>
            </w:hyperlink>
          </w:p>
        </w:tc>
        <w:tc>
          <w:tcPr>
            <w:tcW w:w="6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Association (as Ex-Im facility agent) and the Export-Import Bank of the</w:t>
              </w:r>
            </w:hyperlink>
          </w:p>
        </w:tc>
        <w:tc>
          <w:tcPr>
            <w:tcW w:w="4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United States</w:t>
              </w:r>
            </w:hyperlink>
          </w:p>
        </w:tc>
        <w:tc>
          <w:tcPr>
            <w:tcW w:w="4480" w:type="dxa"/>
            <w:vAlign w:val="bottom"/>
            <w:gridSpan w:val="28"/>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10.11.1</w:t>
            </w:r>
          </w:p>
        </w:tc>
        <w:tc>
          <w:tcPr>
            <w:tcW w:w="100" w:type="dxa"/>
            <w:vAlign w:val="bottom"/>
          </w:tcPr>
          <w:p>
            <w:pPr>
              <w:spacing w:after="0"/>
              <w:rPr>
                <w:sz w:val="24"/>
                <w:szCs w:val="24"/>
                <w:color w:val="auto"/>
              </w:rPr>
            </w:pPr>
          </w:p>
        </w:tc>
        <w:tc>
          <w:tcPr>
            <w:tcW w:w="5300" w:type="dxa"/>
            <w:vAlign w:val="bottom"/>
            <w:tcBorders>
              <w:bottom w:val="single" w:sz="8" w:color="0000EE"/>
            </w:tcBorders>
            <w:gridSpan w:val="24"/>
          </w:tcPr>
          <w:p>
            <w:pPr>
              <w:spacing w:after="0"/>
              <w:rPr>
                <w:rFonts w:ascii="Arial" w:cs="Arial" w:eastAsia="Arial" w:hAnsi="Arial"/>
                <w:sz w:val="16"/>
                <w:szCs w:val="16"/>
                <w:color w:val="0000EE"/>
              </w:rPr>
            </w:pPr>
            <w:hyperlink r:id="rId112">
              <w:r>
                <w:rPr>
                  <w:rFonts w:ascii="Arial" w:cs="Arial" w:eastAsia="Arial" w:hAnsi="Arial"/>
                  <w:sz w:val="16"/>
                  <w:szCs w:val="16"/>
                  <w:color w:val="0000EE"/>
                </w:rPr>
                <w:t>First Amendment to Credit Agreement, dated as of June 12, 2015, by and</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among ViaSat Technologies Limited, ViaSat, Inc., JPMorgan Chase Bank,</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National Association (as Ex-Im Facility Agent) and the Export-Import Bank</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of the United States</w:t>
              </w:r>
            </w:hyperlink>
          </w:p>
        </w:tc>
        <w:tc>
          <w:tcPr>
            <w:tcW w:w="404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10.11.2</w:t>
            </w:r>
          </w:p>
        </w:tc>
        <w:tc>
          <w:tcPr>
            <w:tcW w:w="100" w:type="dxa"/>
            <w:vAlign w:val="bottom"/>
          </w:tcPr>
          <w:p>
            <w:pPr>
              <w:spacing w:after="0"/>
              <w:rPr>
                <w:sz w:val="24"/>
                <w:szCs w:val="24"/>
                <w:color w:val="auto"/>
              </w:rPr>
            </w:pPr>
          </w:p>
        </w:tc>
        <w:tc>
          <w:tcPr>
            <w:tcW w:w="4960" w:type="dxa"/>
            <w:vAlign w:val="bottom"/>
            <w:tcBorders>
              <w:bottom w:val="single" w:sz="8" w:color="0000EE"/>
            </w:tcBorders>
            <w:gridSpan w:val="16"/>
          </w:tcPr>
          <w:p>
            <w:pPr>
              <w:spacing w:after="0"/>
              <w:rPr>
                <w:rFonts w:ascii="Arial" w:cs="Arial" w:eastAsia="Arial" w:hAnsi="Arial"/>
                <w:sz w:val="16"/>
                <w:szCs w:val="16"/>
                <w:color w:val="0000EE"/>
              </w:rPr>
            </w:pPr>
            <w:hyperlink r:id="rId113">
              <w:r>
                <w:rPr>
                  <w:rFonts w:ascii="Arial" w:cs="Arial" w:eastAsia="Arial" w:hAnsi="Arial"/>
                  <w:sz w:val="16"/>
                  <w:szCs w:val="16"/>
                  <w:color w:val="0000EE"/>
                </w:rPr>
                <w:t>Second Amendment Agreement, dated as of March 23, 2016, by and</w:t>
              </w:r>
            </w:hyperlink>
          </w:p>
        </w:tc>
        <w:tc>
          <w:tcPr>
            <w:tcW w:w="5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among ViaSat Technologies Limited, ViaSat, Inc., JPMorgan Chase Bank,</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National Association (as Ex-Im Facility Agent) and the Export-Import Bank</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of the United States</w:t>
              </w:r>
            </w:hyperlink>
          </w:p>
        </w:tc>
        <w:tc>
          <w:tcPr>
            <w:tcW w:w="404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10.11.3</w:t>
            </w:r>
          </w:p>
        </w:tc>
        <w:tc>
          <w:tcPr>
            <w:tcW w:w="100" w:type="dxa"/>
            <w:vAlign w:val="bottom"/>
          </w:tcPr>
          <w:p>
            <w:pPr>
              <w:spacing w:after="0"/>
              <w:rPr>
                <w:sz w:val="24"/>
                <w:szCs w:val="24"/>
                <w:color w:val="auto"/>
              </w:rPr>
            </w:pPr>
          </w:p>
        </w:tc>
        <w:tc>
          <w:tcPr>
            <w:tcW w:w="5480" w:type="dxa"/>
            <w:vAlign w:val="bottom"/>
            <w:gridSpan w:val="32"/>
          </w:tcPr>
          <w:p>
            <w:pPr>
              <w:spacing w:after="0"/>
              <w:rPr>
                <w:rFonts w:ascii="Arial" w:cs="Arial" w:eastAsia="Arial" w:hAnsi="Arial"/>
                <w:sz w:val="16"/>
                <w:szCs w:val="16"/>
                <w:color w:val="0000EE"/>
              </w:rPr>
            </w:pPr>
            <w:hyperlink r:id="rId114">
              <w:r>
                <w:rPr>
                  <w:rFonts w:ascii="Arial" w:cs="Arial" w:eastAsia="Arial" w:hAnsi="Arial"/>
                  <w:sz w:val="16"/>
                  <w:szCs w:val="16"/>
                  <w:color w:val="0000EE"/>
                </w:rPr>
                <w:t>Third Amendment Agreement, dated as of October 11, 2016, by and among</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29"/>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ViaSat Technologies Limited, ViaSat, Inc., JPMorgan Chase Bank, National</w:t>
              </w:r>
            </w:hyperlink>
          </w:p>
        </w:tc>
        <w:tc>
          <w:tcPr>
            <w:tcW w:w="40" w:type="dxa"/>
            <w:vAlign w:val="bottom"/>
            <w:tcBorders>
              <w:top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32"/>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Association (as Ex-Im Facility Agent) and the Export-Import Bank of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United States</w:t>
              </w:r>
            </w:hyperlink>
          </w:p>
        </w:tc>
        <w:tc>
          <w:tcPr>
            <w:tcW w:w="4120" w:type="dxa"/>
            <w:vAlign w:val="bottom"/>
            <w:tcBorders>
              <w:top w:val="single" w:sz="8" w:color="0000EE"/>
            </w:tcBorders>
            <w:gridSpan w:val="15"/>
          </w:tcPr>
          <w:p>
            <w:pPr>
              <w:spacing w:after="0"/>
              <w:rPr>
                <w:sz w:val="14"/>
                <w:szCs w:val="14"/>
                <w:color w:val="auto"/>
              </w:rPr>
            </w:pPr>
          </w:p>
        </w:tc>
        <w:tc>
          <w:tcPr>
            <w:tcW w:w="3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10.11.4</w:t>
            </w:r>
          </w:p>
        </w:tc>
        <w:tc>
          <w:tcPr>
            <w:tcW w:w="100" w:type="dxa"/>
            <w:vAlign w:val="bottom"/>
          </w:tcPr>
          <w:p>
            <w:pPr>
              <w:spacing w:after="0"/>
              <w:rPr>
                <w:sz w:val="24"/>
                <w:szCs w:val="24"/>
                <w:color w:val="auto"/>
              </w:rPr>
            </w:pPr>
          </w:p>
        </w:tc>
        <w:tc>
          <w:tcPr>
            <w:tcW w:w="5380" w:type="dxa"/>
            <w:vAlign w:val="bottom"/>
            <w:tcBorders>
              <w:bottom w:val="single" w:sz="8" w:color="0000EE"/>
            </w:tcBorders>
            <w:gridSpan w:val="28"/>
          </w:tcPr>
          <w:p>
            <w:pPr>
              <w:spacing w:after="0"/>
              <w:rPr>
                <w:rFonts w:ascii="Arial" w:cs="Arial" w:eastAsia="Arial" w:hAnsi="Arial"/>
                <w:sz w:val="16"/>
                <w:szCs w:val="16"/>
                <w:color w:val="0000EE"/>
              </w:rPr>
            </w:pPr>
            <w:hyperlink r:id="rId115">
              <w:r>
                <w:rPr>
                  <w:rFonts w:ascii="Arial" w:cs="Arial" w:eastAsia="Arial" w:hAnsi="Arial"/>
                  <w:sz w:val="16"/>
                  <w:szCs w:val="16"/>
                  <w:color w:val="0000EE"/>
                </w:rPr>
                <w:t>Fourth Amendment to Credit Agreement, dated as of July 17, 2018, by and</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32"/>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among Viasat Technologies Limited, Viasat, Inc., JPMorgan Chase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6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National Association (as Ex-Im Facility Agent) and the Export-Import Bank</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of the United States</w:t>
              </w:r>
            </w:hyperlink>
          </w:p>
        </w:tc>
        <w:tc>
          <w:tcPr>
            <w:tcW w:w="404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10.11.5</w:t>
            </w:r>
          </w:p>
        </w:tc>
        <w:tc>
          <w:tcPr>
            <w:tcW w:w="100" w:type="dxa"/>
            <w:vAlign w:val="bottom"/>
          </w:tcPr>
          <w:p>
            <w:pPr>
              <w:spacing w:after="0"/>
              <w:rPr>
                <w:sz w:val="24"/>
                <w:szCs w:val="24"/>
                <w:color w:val="auto"/>
              </w:rPr>
            </w:pPr>
          </w:p>
        </w:tc>
        <w:tc>
          <w:tcPr>
            <w:tcW w:w="5460" w:type="dxa"/>
            <w:vAlign w:val="bottom"/>
            <w:tcBorders>
              <w:bottom w:val="single" w:sz="8" w:color="0000EE"/>
            </w:tcBorders>
            <w:gridSpan w:val="31"/>
          </w:tcPr>
          <w:p>
            <w:pPr>
              <w:spacing w:after="0"/>
              <w:rPr>
                <w:rFonts w:ascii="Arial" w:cs="Arial" w:eastAsia="Arial" w:hAnsi="Arial"/>
                <w:sz w:val="16"/>
                <w:szCs w:val="16"/>
                <w:color w:val="0000EE"/>
              </w:rPr>
            </w:pPr>
            <w:hyperlink r:id="rId116">
              <w:r>
                <w:rPr>
                  <w:rFonts w:ascii="Arial" w:cs="Arial" w:eastAsia="Arial" w:hAnsi="Arial"/>
                  <w:sz w:val="16"/>
                  <w:szCs w:val="16"/>
                  <w:color w:val="0000EE"/>
                </w:rPr>
                <w:t>Fifth Amendment Agreement, dated as of February 28, 2019, by and among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Viasat Technologies Limited, Viasat, Inc., JPMorgan Chase Bank, National</w:t>
              </w:r>
            </w:hyperlink>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32"/>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Association (as Ex-Im Facility Agent) and the Export-Import Bank of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2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United States</w:t>
              </w:r>
            </w:hyperlink>
          </w:p>
        </w:tc>
        <w:tc>
          <w:tcPr>
            <w:tcW w:w="3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90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Subsidiaries</w:t>
              </w:r>
            </w:hyperlink>
          </w:p>
        </w:tc>
        <w:tc>
          <w:tcPr>
            <w:tcW w:w="80" w:type="dxa"/>
            <w:vAlign w:val="bottom"/>
            <w:tcBorders>
              <w:top w:val="single" w:sz="8" w:color="0000EE"/>
            </w:tcBorders>
          </w:tcPr>
          <w:p>
            <w:pPr>
              <w:spacing w:after="0"/>
              <w:rPr>
                <w:sz w:val="24"/>
                <w:szCs w:val="24"/>
                <w:color w:val="auto"/>
              </w:rPr>
            </w:pPr>
          </w:p>
        </w:tc>
        <w:tc>
          <w:tcPr>
            <w:tcW w:w="450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5280" w:type="dxa"/>
            <w:vAlign w:val="bottom"/>
            <w:tcBorders>
              <w:bottom w:val="single" w:sz="8" w:color="0000EE"/>
            </w:tcBorders>
            <w:gridSpan w:val="23"/>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Consent of PricewaterhouseCoopers LLP, Independent Registered Public</w:t>
              </w:r>
            </w:hyperlink>
          </w:p>
        </w:tc>
        <w:tc>
          <w:tcPr>
            <w:tcW w:w="60" w:type="dxa"/>
            <w:vAlign w:val="bottom"/>
            <w:gridSpan w:val="3"/>
          </w:tcPr>
          <w:p>
            <w:pPr>
              <w:spacing w:after="0"/>
              <w:rPr>
                <w:sz w:val="24"/>
                <w:szCs w:val="24"/>
                <w:color w:val="auto"/>
              </w:rPr>
            </w:pPr>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5"/>
            <w:vMerge w:val="restart"/>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Accounting Firm</w:t>
              </w:r>
            </w:hyperlink>
          </w:p>
        </w:tc>
        <w:tc>
          <w:tcPr>
            <w:tcW w:w="4300" w:type="dxa"/>
            <w:vAlign w:val="bottom"/>
            <w:gridSpan w:val="27"/>
            <w:vMerge w:val="restart"/>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0000EE"/>
            </w:tcBorders>
            <w:gridSpan w:val="5"/>
            <w:vMerge w:val="continue"/>
          </w:tcPr>
          <w:p>
            <w:pPr>
              <w:spacing w:after="0"/>
              <w:rPr>
                <w:sz w:val="9"/>
                <w:szCs w:val="9"/>
                <w:color w:val="auto"/>
              </w:rPr>
            </w:pPr>
          </w:p>
        </w:tc>
        <w:tc>
          <w:tcPr>
            <w:tcW w:w="4300" w:type="dxa"/>
            <w:vAlign w:val="bottom"/>
            <w:gridSpan w:val="2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5480" w:type="dxa"/>
            <w:vAlign w:val="bottom"/>
            <w:gridSpan w:val="32"/>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Power of Attorney (see signature page)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480" w:type="dxa"/>
            <w:vAlign w:val="bottom"/>
            <w:gridSpan w:val="32"/>
          </w:tcPr>
          <w:p>
            <w:pPr>
              <w:spacing w:after="0"/>
              <w:rPr>
                <w:rFonts w:ascii="Arial" w:cs="Arial" w:eastAsia="Arial" w:hAnsi="Arial"/>
                <w:sz w:val="16"/>
                <w:szCs w:val="16"/>
                <w:color w:val="0000EE"/>
              </w:rPr>
            </w:pPr>
            <w:hyperlink w:anchor="page120">
              <w:r>
                <w:rPr>
                  <w:rFonts w:ascii="Arial" w:cs="Arial" w:eastAsia="Arial" w:hAnsi="Arial"/>
                  <w:sz w:val="16"/>
                  <w:szCs w:val="16"/>
                  <w:color w:val="0000EE"/>
                </w:rPr>
                <w:t>Certification Pursuant to Section 302 of the Sarbanes-Oxley Act of 2002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Chief Executive Officer</w:t>
              </w:r>
            </w:hyperlink>
          </w:p>
        </w:tc>
        <w:tc>
          <w:tcPr>
            <w:tcW w:w="3680" w:type="dxa"/>
            <w:vAlign w:val="bottom"/>
            <w:tcBorders>
              <w:top w:val="single" w:sz="8" w:color="0000EE"/>
            </w:tcBorders>
            <w:gridSpan w:val="17"/>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480" w:type="dxa"/>
            <w:vAlign w:val="bottom"/>
            <w:gridSpan w:val="32"/>
          </w:tcPr>
          <w:p>
            <w:pPr>
              <w:spacing w:after="0"/>
              <w:rPr>
                <w:rFonts w:ascii="Arial" w:cs="Arial" w:eastAsia="Arial" w:hAnsi="Arial"/>
                <w:sz w:val="16"/>
                <w:szCs w:val="16"/>
                <w:color w:val="0000EE"/>
              </w:rPr>
            </w:pPr>
            <w:hyperlink w:anchor="page121">
              <w:r>
                <w:rPr>
                  <w:rFonts w:ascii="Arial" w:cs="Arial" w:eastAsia="Arial" w:hAnsi="Arial"/>
                  <w:sz w:val="16"/>
                  <w:szCs w:val="16"/>
                  <w:color w:val="0000EE"/>
                </w:rPr>
                <w:t>Certification Pursuant to Section 302 of the Sarbanes-Oxley Act of 2002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Chief Financial Officer</w:t>
              </w:r>
            </w:hyperlink>
          </w:p>
        </w:tc>
        <w:tc>
          <w:tcPr>
            <w:tcW w:w="3740" w:type="dxa"/>
            <w:vAlign w:val="bottom"/>
            <w:tcBorders>
              <w:top w:val="single" w:sz="8" w:color="0000EE"/>
            </w:tcBorders>
            <w:gridSpan w:val="18"/>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480" w:type="dxa"/>
            <w:vAlign w:val="bottom"/>
            <w:gridSpan w:val="32"/>
          </w:tcPr>
          <w:p>
            <w:pPr>
              <w:spacing w:after="0"/>
              <w:rPr>
                <w:rFonts w:ascii="Arial" w:cs="Arial" w:eastAsia="Arial" w:hAnsi="Arial"/>
                <w:sz w:val="16"/>
                <w:szCs w:val="16"/>
                <w:color w:val="0000EE"/>
              </w:rPr>
            </w:pPr>
            <w:hyperlink w:anchor="page122">
              <w:r>
                <w:rPr>
                  <w:rFonts w:ascii="Arial" w:cs="Arial" w:eastAsia="Arial" w:hAnsi="Arial"/>
                  <w:sz w:val="16"/>
                  <w:szCs w:val="16"/>
                  <w:color w:val="0000EE"/>
                </w:rPr>
                <w:t>Certifications Pursuant to 18 U.S.C. Section 1350, as Adopted Pursuant to</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Section 906 of the Sarbanes-Oxley Act of 2002</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12"/>
            <w:shd w:val="clear" w:color="auto" w:fill="0000EE"/>
          </w:tcPr>
          <w:p>
            <w:pPr>
              <w:spacing w:after="0" w:line="20" w:lineRule="exact"/>
              <w:rPr>
                <w:sz w:val="1"/>
                <w:szCs w:val="1"/>
                <w:color w:val="auto"/>
              </w:rPr>
            </w:pPr>
          </w:p>
        </w:tc>
        <w:tc>
          <w:tcPr>
            <w:tcW w:w="21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2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Interactive Data File because its XBRL tags are embedded within the Inline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document.</w:t>
            </w:r>
          </w:p>
        </w:tc>
        <w:tc>
          <w:tcPr>
            <w:tcW w:w="0" w:type="dxa"/>
            <w:vAlign w:val="bottom"/>
          </w:tcPr>
          <w:p>
            <w:pPr>
              <w:spacing w:after="0"/>
              <w:rPr>
                <w:sz w:val="1"/>
                <w:szCs w:val="1"/>
                <w:color w:val="auto"/>
              </w:rPr>
            </w:pPr>
          </w:p>
        </w:tc>
      </w:tr>
      <w:tr>
        <w:trPr>
          <w:trHeight w:val="311"/>
        </w:trPr>
        <w:tc>
          <w:tcPr>
            <w:tcW w:w="920" w:type="dxa"/>
            <w:vAlign w:val="bottom"/>
          </w:tcPr>
          <w:p>
            <w:pPr>
              <w:jc w:val="cente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311"/>
        </w:trPr>
        <w:tc>
          <w:tcPr>
            <w:tcW w:w="92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100" w:type="dxa"/>
            <w:vAlign w:val="bottom"/>
          </w:tcPr>
          <w:p>
            <w:pPr>
              <w:spacing w:after="0"/>
              <w:rPr>
                <w:sz w:val="24"/>
                <w:szCs w:val="24"/>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311"/>
        </w:trPr>
        <w:tc>
          <w:tcPr>
            <w:tcW w:w="920" w:type="dxa"/>
            <w:vAlign w:val="bottom"/>
          </w:tcPr>
          <w:p>
            <w:pPr>
              <w:jc w:val="cente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311"/>
        </w:trPr>
        <w:tc>
          <w:tcPr>
            <w:tcW w:w="920" w:type="dxa"/>
            <w:vAlign w:val="bottom"/>
          </w:tcPr>
          <w:p>
            <w:pPr>
              <w:jc w:val="cente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Taxonomy Extension Labels Linkbase</w:t>
            </w:r>
          </w:p>
        </w:tc>
        <w:tc>
          <w:tcPr>
            <w:tcW w:w="0" w:type="dxa"/>
            <w:vAlign w:val="bottom"/>
          </w:tcPr>
          <w:p>
            <w:pPr>
              <w:spacing w:after="0"/>
              <w:rPr>
                <w:sz w:val="1"/>
                <w:szCs w:val="1"/>
                <w:color w:val="auto"/>
              </w:rPr>
            </w:pPr>
          </w:p>
        </w:tc>
      </w:tr>
      <w:tr>
        <w:trPr>
          <w:trHeight w:val="311"/>
        </w:trPr>
        <w:tc>
          <w:tcPr>
            <w:tcW w:w="9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100" w:type="dxa"/>
            <w:vAlign w:val="bottom"/>
          </w:tcPr>
          <w:p>
            <w:pPr>
              <w:spacing w:after="0"/>
              <w:rPr>
                <w:sz w:val="24"/>
                <w:szCs w:val="24"/>
                <w:color w:val="auto"/>
              </w:rPr>
            </w:pPr>
          </w:p>
        </w:tc>
        <w:tc>
          <w:tcPr>
            <w:tcW w:w="5480" w:type="dxa"/>
            <w:vAlign w:val="bottom"/>
            <w:gridSpan w:val="32"/>
          </w:tcPr>
          <w:p>
            <w:pPr>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9690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6"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compensatory plan or arrangement.</w:t>
      </w:r>
    </w:p>
    <w:p>
      <w:pPr>
        <w:ind w:left="280" w:hanging="267"/>
        <w:spacing w:after="0"/>
        <w:tabs>
          <w:tab w:leader="none" w:pos="2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24872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Form</w:t>
            </w:r>
          </w:p>
        </w:tc>
        <w:tc>
          <w:tcPr>
            <w:tcW w:w="14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20" w:type="dxa"/>
            <w:vAlign w:val="bottom"/>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Filing Date</w:t>
            </w:r>
          </w:p>
        </w:tc>
      </w:tr>
      <w:tr>
        <w:trPr>
          <w:trHeight w:val="234"/>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05/24/2016</w:t>
            </w:r>
          </w:p>
        </w:tc>
      </w:tr>
      <w:tr>
        <w:trPr>
          <w:trHeight w:val="689"/>
        </w:trPr>
        <w:tc>
          <w:tcPr>
            <w:tcW w:w="88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39"/>
              <w:spacing w:after="0"/>
              <w:rPr>
                <w:sz w:val="20"/>
                <w:szCs w:val="20"/>
                <w:color w:val="auto"/>
              </w:rPr>
            </w:pPr>
            <w:r>
              <w:rPr>
                <w:rFonts w:ascii="Arial" w:cs="Arial" w:eastAsia="Arial" w:hAnsi="Arial"/>
                <w:sz w:val="16"/>
                <w:szCs w:val="16"/>
                <w:color w:val="auto"/>
              </w:rPr>
              <w:t>10.10.3</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05/30/2018</w:t>
            </w:r>
          </w:p>
        </w:tc>
      </w:tr>
      <w:tr>
        <w:trPr>
          <w:trHeight w:val="689"/>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01/22/2019</w:t>
            </w:r>
          </w:p>
        </w:tc>
      </w:tr>
      <w:tr>
        <w:trPr>
          <w:trHeight w:val="689"/>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03/13/2015</w:t>
            </w:r>
          </w:p>
        </w:tc>
      </w:tr>
      <w:tr>
        <w:trPr>
          <w:trHeight w:val="878"/>
        </w:trPr>
        <w:tc>
          <w:tcPr>
            <w:tcW w:w="880" w:type="dxa"/>
            <w:vAlign w:val="bottom"/>
          </w:tcPr>
          <w:p>
            <w:pPr>
              <w:jc w:val="center"/>
              <w:spacing w:after="0"/>
              <w:rPr>
                <w:sz w:val="20"/>
                <w:szCs w:val="20"/>
                <w:color w:val="auto"/>
              </w:rPr>
            </w:pPr>
            <w:r>
              <w:rPr>
                <w:rFonts w:ascii="Arial" w:cs="Arial" w:eastAsia="Arial" w:hAnsi="Arial"/>
                <w:sz w:val="16"/>
                <w:szCs w:val="16"/>
                <w:color w:val="auto"/>
              </w:rPr>
              <w:t>10-Q</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08/10/2015</w:t>
            </w:r>
          </w:p>
        </w:tc>
      </w:tr>
      <w:tr>
        <w:trPr>
          <w:trHeight w:val="878"/>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03/24/2016</w:t>
            </w:r>
          </w:p>
        </w:tc>
      </w:tr>
      <w:tr>
        <w:trPr>
          <w:trHeight w:val="878"/>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10/12/2016</w:t>
            </w:r>
          </w:p>
        </w:tc>
      </w:tr>
      <w:tr>
        <w:trPr>
          <w:trHeight w:val="878"/>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07/23/2018</w:t>
            </w:r>
          </w:p>
        </w:tc>
      </w:tr>
      <w:tr>
        <w:trPr>
          <w:trHeight w:val="878"/>
        </w:trPr>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02/28/2019</w:t>
            </w:r>
          </w:p>
        </w:tc>
      </w:tr>
    </w:tbl>
    <w:p>
      <w:pPr>
        <w:spacing w:after="0" w:line="20" w:lineRule="exact"/>
        <w:rPr>
          <w:sz w:val="20"/>
          <w:szCs w:val="20"/>
          <w:color w:val="auto"/>
        </w:rPr>
      </w:pPr>
      <w:r>
        <w:rPr>
          <w:sz w:val="20"/>
          <w:szCs w:val="20"/>
          <w:color w:val="auto"/>
        </w:rPr>
        <w:br w:type="column"/>
      </w:r>
    </w:p>
    <w:p>
      <w:pPr>
        <w:jc w:val="center"/>
        <w:spacing w:after="0" w:line="282" w:lineRule="auto"/>
        <w:rPr>
          <w:sz w:val="20"/>
          <w:szCs w:val="20"/>
          <w:color w:val="auto"/>
        </w:rPr>
      </w:pPr>
      <w:r>
        <w:rPr>
          <w:rFonts w:ascii="Arial" w:cs="Arial" w:eastAsia="Arial" w:hAnsi="Arial"/>
          <w:sz w:val="10"/>
          <w:szCs w:val="10"/>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-6350</wp:posOffset>
            </wp:positionV>
            <wp:extent cx="4718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800" w:lineRule="exact"/>
        <w:rPr>
          <w:sz w:val="20"/>
          <w:szCs w:val="20"/>
          <w:color w:val="auto"/>
        </w:rPr>
      </w:pPr>
    </w:p>
    <w:p>
      <w:pPr>
        <w:sectPr>
          <w:pgSz w:w="11900" w:h="16838" w:orient="portrait"/>
          <w:cols w:equalWidth="0" w:num="3">
            <w:col w:w="6500" w:space="120"/>
            <w:col w:w="3920" w:space="240"/>
            <w:col w:w="520"/>
          </w:cols>
          <w:pgMar w:left="240" w:top="124" w:right="359" w:bottom="1440" w:gutter="0" w:footer="0" w:header="0"/>
        </w:sectPr>
      </w:pP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4"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-1905</wp:posOffset>
            </wp:positionV>
            <wp:extent cx="25126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Chairman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2019</w:t>
      </w:r>
    </w:p>
    <w:p>
      <w:pPr>
        <w:spacing w:after="0" w:line="158"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5"/>
                <w:szCs w:val="15"/>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33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Date</w:t>
            </w:r>
          </w:p>
        </w:tc>
      </w:tr>
      <w:tr>
        <w:trPr>
          <w:trHeight w:val="33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Chairman of the Board and</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Mark Dankberg</w:t>
            </w:r>
          </w:p>
        </w:tc>
        <w:tc>
          <w:tcPr>
            <w:tcW w:w="100" w:type="dxa"/>
            <w:vAlign w:val="bottom"/>
          </w:tcPr>
          <w:p>
            <w:pPr>
              <w:spacing w:after="0"/>
              <w:rPr>
                <w:sz w:val="16"/>
                <w:szCs w:val="16"/>
                <w:color w:val="auto"/>
              </w:rPr>
            </w:pPr>
          </w:p>
        </w:tc>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3300" w:type="dxa"/>
            <w:vAlign w:val="bottom"/>
          </w:tcPr>
          <w:p>
            <w:pPr>
              <w:spacing w:after="0"/>
              <w:rPr>
                <w:sz w:val="16"/>
                <w:szCs w:val="16"/>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300" w:type="dxa"/>
            <w:vAlign w:val="bottom"/>
          </w:tcPr>
          <w:p>
            <w:pPr>
              <w:spacing w:after="0"/>
              <w:rPr>
                <w:sz w:val="18"/>
                <w:szCs w:val="18"/>
                <w:color w:val="auto"/>
              </w:rPr>
            </w:pPr>
          </w:p>
        </w:tc>
      </w:tr>
      <w:tr>
        <w:trPr>
          <w:trHeight w:val="32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DUFFY</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Shawn Duffy</w:t>
            </w:r>
          </w:p>
        </w:tc>
        <w:tc>
          <w:tcPr>
            <w:tcW w:w="100" w:type="dxa"/>
            <w:vAlign w:val="bottom"/>
          </w:tcPr>
          <w:p>
            <w:pPr>
              <w:spacing w:after="0"/>
              <w:rPr>
                <w:sz w:val="16"/>
                <w:szCs w:val="16"/>
                <w:color w:val="auto"/>
              </w:rPr>
            </w:pPr>
          </w:p>
        </w:tc>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Chief Financial Officer</w:t>
            </w:r>
          </w:p>
        </w:tc>
        <w:tc>
          <w:tcPr>
            <w:tcW w:w="3300" w:type="dxa"/>
            <w:vAlign w:val="bottom"/>
          </w:tcPr>
          <w:p>
            <w:pPr>
              <w:spacing w:after="0"/>
              <w:rPr>
                <w:sz w:val="16"/>
                <w:szCs w:val="16"/>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300" w:type="dxa"/>
            <w:vAlign w:val="bottom"/>
          </w:tcPr>
          <w:p>
            <w:pPr>
              <w:spacing w:after="0"/>
              <w:rPr>
                <w:sz w:val="18"/>
                <w:szCs w:val="18"/>
                <w:color w:val="auto"/>
              </w:rPr>
            </w:pPr>
          </w:p>
        </w:tc>
      </w:tr>
      <w:tr>
        <w:trPr>
          <w:trHeight w:val="32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BALDRIDGE</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 President and Chief Operating Officer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Rick Baldridge</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J. BIONDI, JR.</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Frank J. Biondi, Jr.</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JOHNSON</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Robert Johnson</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ALLEN LAY</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Allen Lay</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NASH</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Jeffrey Nash</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PAK</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Sean Pak</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VARSHA RAO</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Varsha Rao</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STENBIT</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John Stenbit</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HARVEY WHITE</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28, 2019</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Harvey White</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auto"/>
        </w:rPr>
        <w:t>Report of Independent Registered Public Accounting Firm</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Viasat,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We have audited the accompanying consolidated balance sheets of Viasat, Inc. and its subsidiaries (the “Company”) as of March 31, 2019 and 2018, and the related statements of operations and comprehensive income (loss), cash flows, and equity for each of the three years in the period ended March 31, 2019, including the related notes and financial statement schedule listed in the accompanying index appearing under Item 15(a)(2) (collectively referred to as the “consolidated financial statements”). We also have audited the Company's internal control over financial reporting as of March 31, 2019, based on criteria established in Internal Control - Integrated Framework (2013) issued by the Committee of Sponsoring Organizations of the Treadway Commission (COSO).</w:t>
      </w:r>
    </w:p>
    <w:p>
      <w:pPr>
        <w:spacing w:after="0" w:line="137"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March 31, 2019 and 2018, and the results of its operations and its cash flows for each of the three years in the period ended March 31, 2019 in conformity with accounting principles generally accepted in the United States of America. Also in our opinion, the Company maintained, in all material respects, effective internal control over financial reporting as of March 31, 2019, based on criteria established in Internal Control - Integrated Framework (2013) issued by the COSO.</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in Accounting Principle</w:t>
      </w:r>
    </w:p>
    <w:p>
      <w:pPr>
        <w:spacing w:after="0" w:line="164"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As discussed in Note 1 to the consolidated financial statements, the Company changed the manner in which it accounts for revenues from contracts with customers in fiscal year 2019.</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66"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2"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66"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ind w:right="360" w:firstLine="8"/>
        <w:spacing w:after="0" w:line="241" w:lineRule="auto"/>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right="20" w:firstLine="8"/>
        <w:spacing w:after="0" w:line="258" w:lineRule="auto"/>
        <w:tabs>
          <w:tab w:leader="none" w:pos="2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May 28, 2019</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auditors since 1992.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72"/>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32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300,307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234,518</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887,172</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7780" w:type="dxa"/>
            <w:vAlign w:val="bottom"/>
          </w:tcPr>
          <w:p>
            <w:pPr>
              <w:spacing w:after="0"/>
              <w:rPr>
                <w:sz w:val="20"/>
                <w:szCs w:val="20"/>
                <w:color w:val="auto"/>
              </w:rPr>
            </w:pPr>
            <w:r>
              <w:rPr>
                <w:rFonts w:ascii="Arial" w:cs="Arial" w:eastAsia="Arial" w:hAnsi="Arial"/>
                <w:sz w:val="18"/>
                <w:szCs w:val="18"/>
                <w:color w:val="auto"/>
              </w:rPr>
              <w:t>Satellites, net</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1,215,663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1,239,987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909,627</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22,301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121,719</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758,805</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ind w:left="25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157,275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308,268</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485,480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7780" w:type="dxa"/>
            <w:vAlign w:val="bottom"/>
          </w:tcPr>
          <w:p>
            <w:pPr>
              <w:spacing w:after="0"/>
              <w:rPr>
                <w:sz w:val="20"/>
                <w:szCs w:val="20"/>
                <w:color w:val="auto"/>
              </w:rPr>
            </w:pPr>
            <w:r>
              <w:rPr>
                <w:rFonts w:ascii="Arial" w:cs="Arial" w:eastAsia="Arial" w:hAnsi="Arial"/>
                <w:sz w:val="18"/>
                <w:szCs w:val="18"/>
                <w:color w:val="auto"/>
              </w:rPr>
              <w:t>Senior notes</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1,282,898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690,886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110,005</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120,826</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1,999,209</w:t>
            </w:r>
          </w:p>
        </w:tc>
        <w:tc>
          <w:tcPr>
            <w:tcW w:w="3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Commitments and contingencies (Notes 11 and 12)</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5,000,000 shares authorized;</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no shares issued and outstanding at March 31, 2019 and 2018,</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400"/>
              <w:spacing w:after="0" w:line="202" w:lineRule="exact"/>
              <w:rPr>
                <w:sz w:val="20"/>
                <w:szCs w:val="20"/>
                <w:color w:val="auto"/>
              </w:rPr>
            </w:pPr>
            <w:r>
              <w:rPr>
                <w:rFonts w:ascii="Arial" w:cs="Arial" w:eastAsia="Arial" w:hAnsi="Arial"/>
                <w:sz w:val="18"/>
                <w:szCs w:val="18"/>
                <w:color w:val="auto"/>
              </w:rPr>
              <w:t>60,550,093 and 58,905,274 shares outstanding at March 31, 2019</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400"/>
              <w:spacing w:after="0" w:line="203" w:lineRule="exact"/>
              <w:rPr>
                <w:sz w:val="20"/>
                <w:szCs w:val="20"/>
                <w:color w:val="auto"/>
              </w:rPr>
            </w:pPr>
            <w:r>
              <w:rPr>
                <w:rFonts w:ascii="Arial" w:cs="Arial" w:eastAsia="Arial" w:hAnsi="Arial"/>
                <w:sz w:val="18"/>
                <w:szCs w:val="18"/>
                <w:color w:val="auto"/>
              </w:rPr>
              <w:t>and 2018, respectively</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1,656,819</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245,585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3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1,907,748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1,837,166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subsidiaries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3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1,916,078</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3"/>
                <w:szCs w:val="13"/>
                <w:color w:val="auto"/>
              </w:rPr>
            </w:pPr>
          </w:p>
        </w:tc>
        <w:tc>
          <w:tcPr>
            <w:tcW w:w="118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gridSpan w:val="7"/>
          </w:tcPr>
          <w:p>
            <w:pPr>
              <w:jc w:val="center"/>
              <w:ind w:left="732"/>
              <w:spacing w:after="0"/>
              <w:rPr>
                <w:sz w:val="20"/>
                <w:szCs w:val="20"/>
                <w:color w:val="auto"/>
              </w:rPr>
            </w:pPr>
            <w:r>
              <w:rPr>
                <w:rFonts w:ascii="Arial" w:cs="Arial" w:eastAsia="Arial" w:hAnsi="Arial"/>
                <w:sz w:val="14"/>
                <w:szCs w:val="14"/>
                <w:b w:val="1"/>
                <w:bCs w:val="1"/>
                <w:color w:val="auto"/>
              </w:rPr>
              <w:t>(In thousands, except per share data)</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1,092,691</w:t>
            </w:r>
          </w:p>
        </w:tc>
        <w:tc>
          <w:tcPr>
            <w:tcW w:w="160" w:type="dxa"/>
            <w:vAlign w:val="bottom"/>
          </w:tcPr>
          <w:p>
            <w:pPr>
              <w:spacing w:after="0"/>
              <w:rPr>
                <w:sz w:val="18"/>
                <w:szCs w:val="18"/>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755,547</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713,936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975,567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839,078</w:t>
            </w: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2,068,258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1,594,625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553,677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567,137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385,420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(60,620)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(92,187)</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(4,026)</w:t>
            </w: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(10,217)</w:t>
            </w: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(105,470)</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income of unconsolidated affiliate, net</w:t>
            </w: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(66,469)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(68,275)</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Less: net income (loss) attributable to noncontrolling</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60"/>
              <w:spacing w:after="0" w:line="203" w:lineRule="exact"/>
              <w:rPr>
                <w:sz w:val="20"/>
                <w:szCs w:val="20"/>
                <w:color w:val="auto"/>
              </w:rPr>
            </w:pPr>
            <w:r>
              <w:rPr>
                <w:rFonts w:ascii="Arial" w:cs="Arial" w:eastAsia="Arial" w:hAnsi="Arial"/>
                <w:sz w:val="18"/>
                <w:szCs w:val="18"/>
                <w:color w:val="auto"/>
              </w:rPr>
              <w:t>interests, net of tax</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(970)</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Viasat, Inc.</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(67,623)</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(67,305)</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income per share attributable to Viasat, Inc.</w:t>
            </w: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net (loss) income per share attributable to</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1360" w:type="dxa"/>
            <w:vAlign w:val="bottom"/>
            <w:gridSpan w:val="2"/>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(1.13)</w:t>
            </w:r>
          </w:p>
        </w:tc>
        <w:tc>
          <w:tcPr>
            <w:tcW w:w="340" w:type="dxa"/>
            <w:vAlign w:val="bottom"/>
            <w:gridSpan w:val="2"/>
            <w:shd w:val="clear" w:color="auto" w:fill="CFF0FC"/>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(1.15)</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Diluted net (loss) income per share attributable to</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13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(1.13)</w:t>
            </w:r>
          </w:p>
        </w:tc>
        <w:tc>
          <w:tcPr>
            <w:tcW w:w="340" w:type="dxa"/>
            <w:vAlign w:val="bottom"/>
            <w:gridSpan w:val="2"/>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(1.15)</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basic net (loss) income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 share</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59,942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58,438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52,318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Shares used in computing diluted net (loss) income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(loss) income</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(66,469)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(68,275)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Unrealized (loss) gain on hedging, net of tax</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(9,985)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(10,227)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15,852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(76,696)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(52,423)</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Less: comprehensive income (loss) attributable to</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60"/>
              <w:spacing w:after="0" w:line="203" w:lineRule="exact"/>
              <w:rPr>
                <w:sz w:val="20"/>
                <w:szCs w:val="20"/>
                <w:color w:val="auto"/>
              </w:rPr>
            </w:pPr>
            <w:r>
              <w:rPr>
                <w:rFonts w:ascii="Arial" w:cs="Arial" w:eastAsia="Arial" w:hAnsi="Arial"/>
                <w:sz w:val="18"/>
                <w:szCs w:val="18"/>
                <w:color w:val="auto"/>
              </w:rPr>
              <w:t>noncontrolling interests, net of tax</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(970)</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9"/>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income attributable to</w:t>
            </w: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1360" w:type="dxa"/>
            <w:vAlign w:val="bottom"/>
            <w:gridSpan w:val="2"/>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(77,850)</w:t>
            </w:r>
          </w:p>
        </w:tc>
        <w:tc>
          <w:tcPr>
            <w:tcW w:w="340" w:type="dxa"/>
            <w:vAlign w:val="bottom"/>
            <w:gridSpan w:val="2"/>
            <w:shd w:val="clear" w:color="auto" w:fill="CFF0FC"/>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(51,453)</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21,256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Fiscal Years Ended</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right"/>
              <w:ind w:right="540"/>
              <w:spacing w:after="0" w:line="120"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96"/>
              </w:rPr>
              <w:t>March 31,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333"/>
              <w:spacing w:after="0" w:line="120"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rPr>
                <w:sz w:val="20"/>
                <w:szCs w:val="20"/>
                <w:color w:val="auto"/>
              </w:rPr>
            </w:pPr>
            <w:r>
              <w:rPr>
                <w:rFonts w:ascii="Arial" w:cs="Arial" w:eastAsia="Arial" w:hAnsi="Arial"/>
                <w:sz w:val="14"/>
                <w:szCs w:val="14"/>
                <w:color w:val="auto"/>
              </w:rPr>
              <w:t>Net (loss) income</w:t>
            </w:r>
          </w:p>
        </w:tc>
        <w:tc>
          <w:tcPr>
            <w:tcW w:w="138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(66,469)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(68,275)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21,767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640" w:type="dxa"/>
            <w:vAlign w:val="bottom"/>
            <w:shd w:val="clear" w:color="auto" w:fill="CFF0FC"/>
          </w:tcPr>
          <w:p>
            <w:pPr>
              <w:spacing w:after="0" w:line="145" w:lineRule="exact"/>
              <w:rPr>
                <w:sz w:val="20"/>
                <w:szCs w:val="20"/>
                <w:color w:val="auto"/>
              </w:rPr>
            </w:pPr>
            <w:r>
              <w:rPr>
                <w:rFonts w:ascii="Arial" w:cs="Arial" w:eastAsia="Arial" w:hAnsi="Arial"/>
                <w:sz w:val="14"/>
                <w:szCs w:val="14"/>
                <w:b w:val="1"/>
                <w:bCs w:val="1"/>
                <w:color w:val="auto"/>
              </w:rPr>
              <w:t>Adjustments to reconcile net (loss) income to net cash provided</w:t>
            </w: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by operating activities: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Depreciation</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262,289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210,441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200,686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intangible assets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45,211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(43,813)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(36,558)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79,599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68,545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Loss on disposition of fixed assets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41,957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32,978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35,431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extinguishment of debt</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Other non-cash adjustments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(decrease) in cash resulting from changes in operating assets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and liabilities, net of effects of acquisitions:</w:t>
            </w: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(46,108)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(12,439)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Inventories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(36,593)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(37,562)</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(12,386)</w:t>
            </w: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(2,349)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(25,975)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(15,259)</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32,503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Accrued liabilities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71,478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60,042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liabilities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7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327,551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358,633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411,298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rPr>
                <w:sz w:val="20"/>
                <w:szCs w:val="20"/>
                <w:color w:val="auto"/>
              </w:rPr>
            </w:pPr>
            <w:r>
              <w:rPr>
                <w:rFonts w:ascii="Arial" w:cs="Arial" w:eastAsia="Arial" w:hAnsi="Arial"/>
                <w:sz w:val="14"/>
                <w:szCs w:val="14"/>
                <w:color w:val="auto"/>
              </w:rPr>
              <w:t>Purchase of property, equipment and satellites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(636,855)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(511,634)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(514,692)</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patents, licenses and other assets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(49,965)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(72,853)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(70,966)</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rPr>
                <w:sz w:val="20"/>
                <w:szCs w:val="20"/>
                <w:color w:val="auto"/>
              </w:rPr>
            </w:pPr>
            <w:r>
              <w:rPr>
                <w:rFonts w:ascii="Arial" w:cs="Arial" w:eastAsia="Arial" w:hAnsi="Arial"/>
                <w:sz w:val="14"/>
                <w:szCs w:val="14"/>
                <w:color w:val="auto"/>
              </w:rPr>
              <w:t>Proceeds from insurance claims on ViaSat-2 satellite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185,706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related to acquisition of businesses, net of cash acquired</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(2,339)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(16,528)</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rPr>
                <w:sz w:val="20"/>
                <w:szCs w:val="20"/>
                <w:color w:val="auto"/>
              </w:rPr>
            </w:pPr>
            <w:r>
              <w:rPr>
                <w:rFonts w:ascii="Arial" w:cs="Arial" w:eastAsia="Arial" w:hAnsi="Arial"/>
                <w:sz w:val="14"/>
                <w:szCs w:val="14"/>
                <w:color w:val="auto"/>
              </w:rPr>
              <w:t>Proceeds from sale of real property</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 in unconsolidated affiliate</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(140,378)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(489,419)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(584,487)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(715,005)</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Proceeds from issuance of Notes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Repayment of 2020 Notes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(575,000)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Payment of debt extinguishment costs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(10,602)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revolving credit facility borrowings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Payments of revolving credit facility borrowings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(510,000)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Payments of Ex-Im credit facility borrowings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(222,840)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Proceeds from Ex-Im credit facility borrowings, net of discount</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52,503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77,469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 of debt issuance costs</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(9,767)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(9,759)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(6,677)</w:t>
            </w: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 under equity plans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26,165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Purchase of common stock in treasury (immediately retired)</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620"/>
              <w:spacing w:after="0" w:line="149" w:lineRule="exact"/>
              <w:rPr>
                <w:sz w:val="20"/>
                <w:szCs w:val="20"/>
                <w:color w:val="auto"/>
              </w:rPr>
            </w:pPr>
            <w:r>
              <w:rPr>
                <w:rFonts w:ascii="Arial" w:cs="Arial" w:eastAsia="Arial" w:hAnsi="Arial"/>
                <w:sz w:val="14"/>
                <w:szCs w:val="14"/>
                <w:color w:val="auto"/>
              </w:rPr>
              <w:t>related to tax withholdings for stock-based compensation</w:t>
            </w: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(28,826)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(24,206)</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(21,670)</w:t>
            </w:r>
          </w:p>
        </w:tc>
        <w:tc>
          <w:tcPr>
            <w:tcW w:w="0" w:type="dxa"/>
            <w:vAlign w:val="bottom"/>
          </w:tcPr>
          <w:p>
            <w:pPr>
              <w:spacing w:after="0"/>
              <w:rPr>
                <w:sz w:val="1"/>
                <w:szCs w:val="1"/>
                <w:color w:val="auto"/>
              </w:rPr>
            </w:pPr>
          </w:p>
        </w:tc>
      </w:tr>
      <w:tr>
        <w:trPr>
          <w:trHeight w:val="161"/>
        </w:trPr>
        <w:tc>
          <w:tcPr>
            <w:tcW w:w="5640" w:type="dxa"/>
            <w:vAlign w:val="bottom"/>
          </w:tcPr>
          <w:p>
            <w:pPr>
              <w:ind w:left="500"/>
              <w:spacing w:after="0"/>
              <w:rPr>
                <w:sz w:val="20"/>
                <w:szCs w:val="20"/>
                <w:color w:val="auto"/>
              </w:rPr>
            </w:pPr>
            <w:r>
              <w:rPr>
                <w:rFonts w:ascii="Arial" w:cs="Arial" w:eastAsia="Arial" w:hAnsi="Arial"/>
                <w:sz w:val="14"/>
                <w:szCs w:val="14"/>
                <w:color w:val="auto"/>
              </w:rPr>
              <w:t>Proceeds from common stock issued in public offering, net</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620"/>
              <w:spacing w:after="0" w:line="149" w:lineRule="exact"/>
              <w:rPr>
                <w:sz w:val="20"/>
                <w:szCs w:val="20"/>
                <w:color w:val="auto"/>
              </w:rPr>
            </w:pPr>
            <w:r>
              <w:rPr>
                <w:rFonts w:ascii="Arial" w:cs="Arial" w:eastAsia="Arial" w:hAnsi="Arial"/>
                <w:sz w:val="14"/>
                <w:szCs w:val="14"/>
                <w:color w:val="auto"/>
              </w:rPr>
              <w:t>of issuance costs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503,061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noncontrolling interest capital contribution</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Other financing activities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(10,280)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56"/>
        </w:trPr>
        <w:tc>
          <w:tcPr>
            <w:tcW w:w="56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354,617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165,776</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392,784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(2,494)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190,255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(58,652)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88,010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fiscal year</w:t>
            </w:r>
          </w:p>
        </w:tc>
        <w:tc>
          <w:tcPr>
            <w:tcW w:w="1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71,446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130,098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42,088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end of fiscal year</w:t>
            </w:r>
          </w:p>
        </w:tc>
        <w:tc>
          <w:tcPr>
            <w:tcW w:w="1380" w:type="dxa"/>
            <w:vAlign w:val="bottom"/>
            <w:gridSpan w:val="2"/>
            <w:shd w:val="clear" w:color="auto" w:fill="CFF0FC"/>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261,701</w:t>
            </w:r>
          </w:p>
        </w:tc>
        <w:tc>
          <w:tcPr>
            <w:tcW w:w="16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71,446</w:t>
            </w:r>
          </w:p>
        </w:tc>
        <w:tc>
          <w:tcPr>
            <w:tcW w:w="14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130,098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interest (net of amounts capitalized)</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35,119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3,722</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Pr>
          <w:p>
            <w:pPr>
              <w:ind w:left="260"/>
              <w:spacing w:after="0" w:line="143" w:lineRule="exact"/>
              <w:rPr>
                <w:sz w:val="20"/>
                <w:szCs w:val="20"/>
                <w:color w:val="auto"/>
              </w:rPr>
            </w:pPr>
            <w:r>
              <w:rPr>
                <w:rFonts w:ascii="Arial" w:cs="Arial" w:eastAsia="Arial" w:hAnsi="Arial"/>
                <w:sz w:val="14"/>
                <w:szCs w:val="14"/>
                <w:color w:val="auto"/>
              </w:rPr>
              <w:t>Cash paid for income taxes, net</w:t>
            </w:r>
          </w:p>
        </w:tc>
        <w:tc>
          <w:tcPr>
            <w:tcW w:w="1380" w:type="dxa"/>
            <w:vAlign w:val="bottom"/>
            <w:gridSpan w:val="2"/>
          </w:tcPr>
          <w:p>
            <w:pPr>
              <w:jc w:val="right"/>
              <w:ind w:right="92"/>
              <w:spacing w:after="0" w:line="143"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1,758</w:t>
            </w:r>
          </w:p>
        </w:tc>
        <w:tc>
          <w:tcPr>
            <w:tcW w:w="160" w:type="dxa"/>
            <w:vAlign w:val="bottom"/>
          </w:tcPr>
          <w:p>
            <w:pPr>
              <w:spacing w:after="0"/>
              <w:rPr>
                <w:sz w:val="15"/>
                <w:szCs w:val="15"/>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4,021</w:t>
            </w:r>
          </w:p>
        </w:tc>
        <w:tc>
          <w:tcPr>
            <w:tcW w:w="140" w:type="dxa"/>
            <w:vAlign w:val="bottom"/>
          </w:tcPr>
          <w:p>
            <w:pPr>
              <w:spacing w:after="0"/>
              <w:rPr>
                <w:sz w:val="15"/>
                <w:szCs w:val="15"/>
                <w:color w:val="auto"/>
              </w:rPr>
            </w:pPr>
          </w:p>
        </w:tc>
        <w:tc>
          <w:tcPr>
            <w:tcW w:w="3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1,468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11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40" w:type="dxa"/>
            <w:vAlign w:val="bottom"/>
          </w:tcPr>
          <w:p>
            <w:pPr>
              <w:ind w:left="500"/>
              <w:spacing w:after="0"/>
              <w:rPr>
                <w:sz w:val="20"/>
                <w:szCs w:val="20"/>
                <w:color w:val="auto"/>
              </w:rPr>
            </w:pPr>
            <w:r>
              <w:rPr>
                <w:rFonts w:ascii="Arial" w:cs="Arial" w:eastAsia="Arial" w:hAnsi="Arial"/>
                <w:sz w:val="14"/>
                <w:szCs w:val="14"/>
                <w:color w:val="auto"/>
              </w:rPr>
              <w:t>Issuance of common stock in satisfaction of certain accrued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620"/>
              <w:spacing w:after="0" w:line="149" w:lineRule="exact"/>
              <w:rPr>
                <w:sz w:val="20"/>
                <w:szCs w:val="20"/>
                <w:color w:val="auto"/>
              </w:rPr>
            </w:pPr>
            <w:r>
              <w:rPr>
                <w:rFonts w:ascii="Arial" w:cs="Arial" w:eastAsia="Arial" w:hAnsi="Arial"/>
                <w:sz w:val="14"/>
                <w:szCs w:val="14"/>
                <w:color w:val="auto"/>
              </w:rPr>
              <w:t>employee compensation liabilities</w:t>
            </w:r>
          </w:p>
        </w:tc>
        <w:tc>
          <w:tcPr>
            <w:tcW w:w="13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32,129</w:t>
            </w:r>
          </w:p>
        </w:tc>
        <w:tc>
          <w:tcPr>
            <w:tcW w:w="1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16,409</w:t>
            </w:r>
          </w:p>
        </w:tc>
        <w:tc>
          <w:tcPr>
            <w:tcW w:w="14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13,080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Capital expenditures not paid for</w:t>
            </w:r>
          </w:p>
        </w:tc>
        <w:tc>
          <w:tcPr>
            <w:tcW w:w="1380" w:type="dxa"/>
            <w:vAlign w:val="bottom"/>
            <w:gridSpan w:val="2"/>
            <w:shd w:val="clear" w:color="auto" w:fill="CFF0FC"/>
          </w:tcPr>
          <w:p>
            <w:pPr>
              <w:jc w:val="right"/>
              <w:ind w:right="92"/>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40,619</w:t>
            </w:r>
          </w:p>
        </w:tc>
        <w:tc>
          <w:tcPr>
            <w:tcW w:w="16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41,149</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500"/>
              <w:spacing w:after="0"/>
              <w:rPr>
                <w:sz w:val="20"/>
                <w:szCs w:val="20"/>
                <w:color w:val="auto"/>
              </w:rPr>
            </w:pPr>
            <w:r>
              <w:rPr>
                <w:rFonts w:ascii="Arial" w:cs="Arial" w:eastAsia="Arial" w:hAnsi="Arial"/>
                <w:sz w:val="14"/>
                <w:szCs w:val="14"/>
                <w:color w:val="auto"/>
              </w:rPr>
              <w:t>Debt issuance costs not paid for</w:t>
            </w:r>
          </w:p>
        </w:tc>
        <w:tc>
          <w:tcPr>
            <w:tcW w:w="138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2,479</w:t>
            </w:r>
          </w:p>
        </w:tc>
        <w:tc>
          <w:tcPr>
            <w:tcW w:w="1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5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Exposure fees on Ex-Im credit facility financed through</w:t>
            </w: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620"/>
              <w:spacing w:after="0" w:line="149" w:lineRule="exact"/>
              <w:rPr>
                <w:sz w:val="20"/>
                <w:szCs w:val="20"/>
                <w:color w:val="auto"/>
              </w:rPr>
            </w:pPr>
            <w:r>
              <w:rPr>
                <w:rFonts w:ascii="Arial" w:cs="Arial" w:eastAsia="Arial" w:hAnsi="Arial"/>
                <w:sz w:val="14"/>
                <w:szCs w:val="14"/>
                <w:color w:val="auto"/>
              </w:rPr>
              <w:t>Ex-Im credit facility</w:t>
            </w:r>
          </w:p>
        </w:tc>
        <w:tc>
          <w:tcPr>
            <w:tcW w:w="1380" w:type="dxa"/>
            <w:vAlign w:val="bottom"/>
            <w:gridSpan w:val="2"/>
            <w:shd w:val="clear" w:color="auto" w:fill="CFF0FC"/>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5,764</w:t>
            </w:r>
          </w:p>
        </w:tc>
        <w:tc>
          <w:tcPr>
            <w:tcW w:w="1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8,505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500"/>
              <w:spacing w:after="0"/>
              <w:rPr>
                <w:sz w:val="20"/>
                <w:szCs w:val="20"/>
                <w:color w:val="auto"/>
              </w:rPr>
            </w:pPr>
            <w:r>
              <w:rPr>
                <w:rFonts w:ascii="Arial" w:cs="Arial" w:eastAsia="Arial" w:hAnsi="Arial"/>
                <w:sz w:val="14"/>
                <w:szCs w:val="14"/>
                <w:color w:val="auto"/>
              </w:rPr>
              <w:t>Issuance of common stock in connection with acquisition</w:t>
            </w:r>
          </w:p>
        </w:tc>
        <w:tc>
          <w:tcPr>
            <w:tcW w:w="138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80"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Viasat,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8890</wp:posOffset>
            </wp:positionV>
            <wp:extent cx="32156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Common Stock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0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0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Issued</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Income (Loss)</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Subsidiaries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11"/>
          </w:tcPr>
          <w:p>
            <w:pPr>
              <w:ind w:left="40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2016</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48,926,417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855,387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273,704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$ 1,134,424</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273,050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Pr>
          <w:p>
            <w:pPr>
              <w:spacing w:after="0"/>
              <w:rPr>
                <w:sz w:val="15"/>
                <w:szCs w:val="15"/>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188,938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10,286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10,286</w:t>
            </w:r>
          </w:p>
        </w:tc>
        <w:tc>
          <w:tcPr>
            <w:tcW w:w="100" w:type="dxa"/>
            <w:vAlign w:val="bottom"/>
            <w:shd w:val="clear" w:color="auto" w:fill="CFF0FC"/>
          </w:tcPr>
          <w:p>
            <w:pPr>
              <w:spacing w:after="0"/>
              <w:rPr>
                <w:sz w:val="13"/>
                <w:szCs w:val="13"/>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Common stock issued in public offering, net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issuance costs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7,475,000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503,060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503,061</w:t>
            </w: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62,397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62,397</w:t>
            </w:r>
          </w:p>
        </w:tc>
        <w:tc>
          <w:tcPr>
            <w:tcW w:w="100" w:type="dxa"/>
            <w:vAlign w:val="bottom"/>
            <w:shd w:val="clear" w:color="auto" w:fill="CFF0FC"/>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176,731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13,080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13,080</w:t>
            </w:r>
          </w:p>
        </w:tc>
        <w:tc>
          <w:tcPr>
            <w:tcW w:w="100" w:type="dxa"/>
            <w:vAlign w:val="bottom"/>
          </w:tcPr>
          <w:p>
            <w:pPr>
              <w:spacing w:after="0"/>
              <w:rPr>
                <w:sz w:val="13"/>
                <w:szCs w:val="13"/>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498,585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(21,670)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(21,670)</w:t>
            </w: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Shares issued in connection with acquisition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business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61,888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4,988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4,988</w:t>
            </w: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Net income (loss)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23,767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21,767</w:t>
            </w:r>
          </w:p>
        </w:tc>
        <w:tc>
          <w:tcPr>
            <w:tcW w:w="100" w:type="dxa"/>
            <w:vAlign w:val="bottom"/>
          </w:tcPr>
          <w:p>
            <w:pPr>
              <w:spacing w:after="0"/>
              <w:rPr>
                <w:sz w:val="15"/>
                <w:szCs w:val="15"/>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(2,511)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(2,511)</w:t>
            </w:r>
          </w:p>
        </w:tc>
      </w:tr>
      <w:tr>
        <w:trPr>
          <w:trHeight w:val="20"/>
        </w:trPr>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color w:val="auto"/>
              </w:rPr>
              <w:t>Balance at March 31, 2017</w:t>
            </w:r>
          </w:p>
        </w:tc>
        <w:tc>
          <w:tcPr>
            <w:tcW w:w="840" w:type="dxa"/>
            <w:vAlign w:val="bottom"/>
          </w:tcPr>
          <w:p>
            <w:pPr>
              <w:jc w:val="right"/>
              <w:spacing w:after="0"/>
              <w:rPr>
                <w:sz w:val="20"/>
                <w:szCs w:val="20"/>
                <w:color w:val="auto"/>
              </w:rPr>
            </w:pPr>
            <w:r>
              <w:rPr>
                <w:rFonts w:ascii="Arial" w:cs="Arial" w:eastAsia="Arial" w:hAnsi="Arial"/>
                <w:sz w:val="14"/>
                <w:szCs w:val="14"/>
                <w:color w:val="auto"/>
              </w:rPr>
              <w:t>57,600,609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1,439,645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297,471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(2,504)</w:t>
            </w: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$ 1,737,931</w:t>
            </w:r>
          </w:p>
        </w:tc>
        <w:tc>
          <w:tcPr>
            <w:tcW w:w="100" w:type="dxa"/>
            <w:vAlign w:val="bottom"/>
          </w:tcPr>
          <w:p>
            <w:pPr>
              <w:spacing w:after="0"/>
              <w:rPr>
                <w:sz w:val="14"/>
                <w:szCs w:val="14"/>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287,012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13,371</w:t>
            </w:r>
          </w:p>
        </w:tc>
        <w:tc>
          <w:tcPr>
            <w:tcW w:w="100" w:type="dxa"/>
            <w:vAlign w:val="bottom"/>
            <w:shd w:val="clear" w:color="auto" w:fill="CFF0FC"/>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227,381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12,794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12,794</w:t>
            </w: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76,512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76,512</w:t>
            </w:r>
          </w:p>
        </w:tc>
        <w:tc>
          <w:tcPr>
            <w:tcW w:w="100" w:type="dxa"/>
            <w:vAlign w:val="bottom"/>
            <w:shd w:val="clear" w:color="auto" w:fill="CFF0FC"/>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228,791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16,409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16,409</w:t>
            </w:r>
          </w:p>
        </w:tc>
        <w:tc>
          <w:tcPr>
            <w:tcW w:w="100" w:type="dxa"/>
            <w:vAlign w:val="bottom"/>
          </w:tcPr>
          <w:p>
            <w:pPr>
              <w:spacing w:after="0"/>
              <w:rPr>
                <w:sz w:val="13"/>
                <w:szCs w:val="13"/>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561,481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(24,206)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(24,206)</w:t>
            </w: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stock compensation guidance (ASU 2016-09)</w:t>
            </w:r>
          </w:p>
        </w:tc>
        <w:tc>
          <w:tcPr>
            <w:tcW w:w="104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58,011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59,121</w:t>
            </w:r>
          </w:p>
        </w:tc>
        <w:tc>
          <w:tcPr>
            <w:tcW w:w="100" w:type="dxa"/>
            <w:vAlign w:val="bottom"/>
          </w:tcPr>
          <w:p>
            <w:pPr>
              <w:spacing w:after="0"/>
              <w:rPr>
                <w:sz w:val="13"/>
                <w:szCs w:val="13"/>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Reclassification of stranded tax effects in OCI due to</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Tax Reform Revaluation</w:t>
            </w:r>
          </w:p>
        </w:tc>
        <w:tc>
          <w:tcPr>
            <w:tcW w:w="1040" w:type="dxa"/>
            <w:vAlign w:val="bottom"/>
            <w:gridSpan w:val="3"/>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(2,217)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2,217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Proceeds from noncontrolling interest capital contribution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8,491</w:t>
            </w:r>
          </w:p>
        </w:tc>
        <w:tc>
          <w:tcPr>
            <w:tcW w:w="100" w:type="dxa"/>
            <w:vAlign w:val="bottom"/>
          </w:tcPr>
          <w:p>
            <w:pPr>
              <w:spacing w:after="0"/>
              <w:rPr>
                <w:sz w:val="15"/>
                <w:szCs w:val="15"/>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(67,305)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(68,275)</w:t>
            </w: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shd w:val="clear" w:color="auto" w:fill="CFF0FC"/>
          </w:tcPr>
          <w:p>
            <w:pPr>
              <w:spacing w:after="0"/>
              <w:rPr>
                <w:sz w:val="15"/>
                <w:szCs w:val="15"/>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color w:val="auto"/>
              </w:rPr>
              <w:t>Balance at March 31, 2018</w:t>
            </w:r>
          </w:p>
        </w:tc>
        <w:tc>
          <w:tcPr>
            <w:tcW w:w="840" w:type="dxa"/>
            <w:vAlign w:val="bottom"/>
          </w:tcPr>
          <w:p>
            <w:pPr>
              <w:jc w:val="right"/>
              <w:spacing w:after="0"/>
              <w:rPr>
                <w:sz w:val="20"/>
                <w:szCs w:val="20"/>
                <w:color w:val="auto"/>
              </w:rPr>
            </w:pPr>
            <w:r>
              <w:rPr>
                <w:rFonts w:ascii="Arial" w:cs="Arial" w:eastAsia="Arial" w:hAnsi="Arial"/>
                <w:sz w:val="14"/>
                <w:szCs w:val="14"/>
                <w:color w:val="auto"/>
              </w:rPr>
              <w:t>58,905,274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1,535,635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285,960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15,565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$ 1,848,007</w:t>
            </w:r>
          </w:p>
        </w:tc>
        <w:tc>
          <w:tcPr>
            <w:tcW w:w="100" w:type="dxa"/>
            <w:vAlign w:val="bottom"/>
          </w:tcPr>
          <w:p>
            <w:pPr>
              <w:spacing w:after="0"/>
              <w:rPr>
                <w:sz w:val="14"/>
                <w:szCs w:val="14"/>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11,087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shd w:val="clear" w:color="auto" w:fill="CFF0FC"/>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289,024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15,243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15,243</w:t>
            </w: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91,470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91,470</w:t>
            </w:r>
          </w:p>
        </w:tc>
        <w:tc>
          <w:tcPr>
            <w:tcW w:w="100" w:type="dxa"/>
            <w:vAlign w:val="bottom"/>
            <w:shd w:val="clear" w:color="auto" w:fill="CFF0FC"/>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Shares and fully-vested RSUs issued in settlement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4080" w:type="dxa"/>
            <w:vAlign w:val="bottom"/>
          </w:tcPr>
          <w:p>
            <w:pPr>
              <w:ind w:left="120"/>
              <w:spacing w:after="0"/>
              <w:rPr>
                <w:sz w:val="20"/>
                <w:szCs w:val="20"/>
                <w:color w:val="auto"/>
              </w:rPr>
            </w:pPr>
            <w:r>
              <w:rPr>
                <w:rFonts w:ascii="Arial" w:cs="Arial" w:eastAsia="Arial" w:hAnsi="Arial"/>
                <w:sz w:val="14"/>
                <w:szCs w:val="14"/>
                <w:color w:val="auto"/>
              </w:rPr>
              <w:t>certain accrued employee compensation liabilities,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80" w:type="dxa"/>
            <w:vAlign w:val="bottom"/>
          </w:tcPr>
          <w:p>
            <w:pPr>
              <w:ind w:left="120"/>
              <w:spacing w:after="0"/>
              <w:rPr>
                <w:sz w:val="20"/>
                <w:szCs w:val="20"/>
                <w:color w:val="auto"/>
              </w:rPr>
            </w:pPr>
            <w:r>
              <w:rPr>
                <w:rFonts w:ascii="Arial" w:cs="Arial" w:eastAsia="Arial" w:hAnsi="Arial"/>
                <w:sz w:val="14"/>
                <w:szCs w:val="14"/>
                <w:color w:val="auto"/>
              </w:rPr>
              <w:t>net of shares withheld for taxes which have been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438,433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27,701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27,701</w:t>
            </w:r>
          </w:p>
        </w:tc>
        <w:tc>
          <w:tcPr>
            <w:tcW w:w="100" w:type="dxa"/>
            <w:vAlign w:val="bottom"/>
          </w:tcPr>
          <w:p>
            <w:pPr>
              <w:spacing w:after="0"/>
              <w:rPr>
                <w:sz w:val="13"/>
                <w:szCs w:val="13"/>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642,362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(24,398)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(24,398)</w:t>
            </w: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revenue recognition guidance (ASU 2014-09)</w:t>
            </w:r>
          </w:p>
        </w:tc>
        <w:tc>
          <w:tcPr>
            <w:tcW w:w="104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27,248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27,248</w:t>
            </w: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(3,665)</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(3,584)</w:t>
            </w: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(67,623)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(66,469)</w:t>
            </w: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(10,227)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(10,227)</w:t>
            </w:r>
          </w:p>
        </w:tc>
      </w:tr>
      <w:tr>
        <w:trPr>
          <w:trHeight w:val="20"/>
        </w:trPr>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60,550,093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1,656,819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245,585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$ 1,916,078</w:t>
            </w:r>
          </w:p>
        </w:tc>
        <w:tc>
          <w:tcPr>
            <w:tcW w:w="100" w:type="dxa"/>
            <w:vAlign w:val="bottom"/>
          </w:tcPr>
          <w:p>
            <w:pPr>
              <w:spacing w:after="0"/>
              <w:rPr>
                <w:sz w:val="14"/>
                <w:szCs w:val="14"/>
                <w:color w:val="auto"/>
              </w:rPr>
            </w:pPr>
          </w:p>
        </w:tc>
      </w:tr>
      <w:tr>
        <w:trPr>
          <w:trHeight w:val="20"/>
        </w:trPr>
        <w:tc>
          <w:tcPr>
            <w:tcW w:w="4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85"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Viasat, Inc. (also referred to hereafter as the “Company” or “Viasat”) is an innovator in communications technologies and services, including high-speed and cost-effective broadband and advanced communications products and services.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9"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subsidiary, TrellisWare Technologies, Inc. (TrellisWare). During the third quarter of fiscal year 2019, Viasat Europe Sàrl (formerly known as Euro Broadband Retail Sàrl), which was previously a majority-owned subsidiary, became a wholly owned subsidiary when the Company purchased the remaining 49% interest in the company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third quarter of fiscal year 2017, the Company completed the acquisition of Aerodocs Limited (Arconics), a privately held</w:t>
      </w:r>
    </w:p>
    <w:p>
      <w:pPr>
        <w:spacing w:after="0" w:line="234" w:lineRule="auto"/>
        <w:rPr>
          <w:sz w:val="20"/>
          <w:szCs w:val="20"/>
          <w:color w:val="auto"/>
        </w:rPr>
      </w:pPr>
      <w:r>
        <w:rPr>
          <w:rFonts w:ascii="Arial" w:cs="Arial" w:eastAsia="Arial" w:hAnsi="Arial"/>
          <w:sz w:val="18"/>
          <w:szCs w:val="18"/>
          <w:color w:val="auto"/>
        </w:rPr>
        <w:t>company focused on wireless in-flight entertainment management software services. The Arconics purchase price of approximately</w:t>
      </w:r>
    </w:p>
    <w:p>
      <w:pPr>
        <w:spacing w:after="0" w:line="235" w:lineRule="auto"/>
        <w:rPr>
          <w:sz w:val="20"/>
          <w:szCs w:val="20"/>
          <w:color w:val="auto"/>
        </w:rPr>
      </w:pPr>
      <w:r>
        <w:rPr>
          <w:rFonts w:ascii="Arial" w:cs="Arial" w:eastAsia="Arial" w:hAnsi="Arial"/>
          <w:sz w:val="18"/>
          <w:szCs w:val="18"/>
          <w:color w:val="auto"/>
        </w:rPr>
        <w:t>$21.6 million was comprised of approximately $16.6 million in cash consideration paid to former Arconics equity holders and $5.0 million</w:t>
      </w:r>
    </w:p>
    <w:p>
      <w:pPr>
        <w:spacing w:after="0" w:line="235" w:lineRule="auto"/>
        <w:rPr>
          <w:sz w:val="20"/>
          <w:szCs w:val="20"/>
          <w:color w:val="auto"/>
        </w:rPr>
      </w:pPr>
      <w:r>
        <w:rPr>
          <w:rFonts w:ascii="Arial" w:cs="Arial" w:eastAsia="Arial" w:hAnsi="Arial"/>
          <w:sz w:val="18"/>
          <w:szCs w:val="18"/>
          <w:color w:val="auto"/>
        </w:rPr>
        <w:t>related to the fair value of 61,888 shares of the Company’s common stock issued at the closing. The approximately $16.6 million in cash</w:t>
      </w:r>
    </w:p>
    <w:p>
      <w:pPr>
        <w:spacing w:after="0" w:line="235" w:lineRule="auto"/>
        <w:rPr>
          <w:sz w:val="20"/>
          <w:szCs w:val="20"/>
          <w:color w:val="auto"/>
        </w:rPr>
      </w:pPr>
      <w:r>
        <w:rPr>
          <w:rFonts w:ascii="Arial" w:cs="Arial" w:eastAsia="Arial" w:hAnsi="Arial"/>
          <w:sz w:val="18"/>
          <w:szCs w:val="18"/>
          <w:color w:val="auto"/>
        </w:rPr>
        <w:t>consideration paid to former Arconics equity holders less cash acquired of $0.6 million resulted in a net cash outlay by the Company of</w:t>
      </w:r>
    </w:p>
    <w:p>
      <w:pPr>
        <w:spacing w:after="0" w:line="235" w:lineRule="auto"/>
        <w:rPr>
          <w:sz w:val="20"/>
          <w:szCs w:val="20"/>
          <w:color w:val="auto"/>
        </w:rPr>
      </w:pPr>
      <w:r>
        <w:rPr>
          <w:rFonts w:ascii="Arial" w:cs="Arial" w:eastAsia="Arial" w:hAnsi="Arial"/>
          <w:sz w:val="18"/>
          <w:szCs w:val="18"/>
          <w:color w:val="auto"/>
        </w:rPr>
        <w:t>approximately $16.0 million. The Arconics purchase price was primarily allocated to acquired technology and customer relationships intangible</w:t>
      </w:r>
    </w:p>
    <w:p>
      <w:pPr>
        <w:spacing w:after="0" w:line="235" w:lineRule="auto"/>
        <w:rPr>
          <w:sz w:val="20"/>
          <w:szCs w:val="20"/>
          <w:color w:val="auto"/>
        </w:rPr>
      </w:pPr>
      <w:r>
        <w:rPr>
          <w:rFonts w:ascii="Arial" w:cs="Arial" w:eastAsia="Arial" w:hAnsi="Arial"/>
          <w:sz w:val="18"/>
          <w:szCs w:val="18"/>
          <w:color w:val="auto"/>
        </w:rPr>
        <w:t>assets, and goodwill. Through this acquisition, the Company gained broader expertise, aviation-grade software and mobile applications to</w:t>
      </w:r>
    </w:p>
    <w:p>
      <w:pPr>
        <w:spacing w:after="0" w:line="235" w:lineRule="auto"/>
        <w:rPr>
          <w:sz w:val="20"/>
          <w:szCs w:val="20"/>
          <w:color w:val="auto"/>
        </w:rPr>
      </w:pPr>
      <w:r>
        <w:rPr>
          <w:rFonts w:ascii="Arial" w:cs="Arial" w:eastAsia="Arial" w:hAnsi="Arial"/>
          <w:sz w:val="18"/>
          <w:szCs w:val="18"/>
          <w:color w:val="auto"/>
        </w:rPr>
        <w:t>make flying safer and more efficient for pilots, cabin crews and flight operations teams, as well as applications that are expected to create new</w:t>
      </w:r>
    </w:p>
    <w:p>
      <w:pPr>
        <w:spacing w:after="0" w:line="235" w:lineRule="auto"/>
        <w:rPr>
          <w:sz w:val="20"/>
          <w:szCs w:val="20"/>
          <w:color w:val="auto"/>
        </w:rPr>
      </w:pPr>
      <w:r>
        <w:rPr>
          <w:rFonts w:ascii="Arial" w:cs="Arial" w:eastAsia="Arial" w:hAnsi="Arial"/>
          <w:sz w:val="18"/>
          <w:szCs w:val="18"/>
          <w:color w:val="auto"/>
        </w:rPr>
        <w:t>opportunities for passenger entertainment and airline services and revenue. This acquisition was accounted for as a purchase and, accordingly,</w:t>
      </w:r>
    </w:p>
    <w:p>
      <w:pPr>
        <w:spacing w:after="0" w:line="235" w:lineRule="auto"/>
        <w:rPr>
          <w:sz w:val="20"/>
          <w:szCs w:val="20"/>
          <w:color w:val="auto"/>
        </w:rPr>
      </w:pPr>
      <w:r>
        <w:rPr>
          <w:rFonts w:ascii="Arial" w:cs="Arial" w:eastAsia="Arial" w:hAnsi="Arial"/>
          <w:sz w:val="18"/>
          <w:szCs w:val="18"/>
          <w:color w:val="auto"/>
        </w:rPr>
        <w:t>the consolidated financial statements include the operating results of Arconics in the Company’s satellite services segment from the date of the</w:t>
      </w:r>
    </w:p>
    <w:p>
      <w:pPr>
        <w:spacing w:after="0"/>
        <w:rPr>
          <w:sz w:val="20"/>
          <w:szCs w:val="20"/>
          <w:color w:val="auto"/>
        </w:rPr>
      </w:pPr>
      <w:r>
        <w:rPr>
          <w:rFonts w:ascii="Arial" w:cs="Arial" w:eastAsia="Arial" w:hAnsi="Arial"/>
          <w:sz w:val="18"/>
          <w:szCs w:val="18"/>
          <w:color w:val="auto"/>
        </w:rPr>
        <w:t>acquisition.</w:t>
      </w:r>
    </w:p>
    <w:p>
      <w:pPr>
        <w:spacing w:after="0" w:line="158"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During the third quarter of fiscal year 2017, the Company also completed the sale of an aggregate of 7,475,000 shares of Viasat common stock in an underwritten public offering. The Company’s net proceeds from the offering were approximately $503.1 million after deducting underwriting discounts and offering expenses. The Company used $225.0 million of the net proceeds from the offering to repay the then-outstanding borrowings under the Company’s revolving credit facility (the Revolving Credit Facility).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51" w:lineRule="exact"/>
        <w:rPr>
          <w:sz w:val="20"/>
          <w:szCs w:val="20"/>
          <w:color w:val="auto"/>
        </w:rPr>
      </w:pPr>
    </w:p>
    <w:p>
      <w:pPr>
        <w:ind w:right="100" w:firstLine="518"/>
        <w:spacing w:after="0" w:line="234" w:lineRule="auto"/>
        <w:rPr>
          <w:sz w:val="20"/>
          <w:szCs w:val="20"/>
          <w:color w:val="auto"/>
        </w:rPr>
      </w:pPr>
      <w:r>
        <w:rPr>
          <w:rFonts w:ascii="Arial" w:cs="Arial" w:eastAsia="Arial" w:hAnsi="Arial"/>
          <w:sz w:val="18"/>
          <w:szCs w:val="18"/>
          <w:color w:val="auto"/>
        </w:rPr>
        <w:t>Revenues from the U.S. government as an individual customer comprised approximately 26%, 31% and 29% of total revenues for fiscal years 2019, 2018 and 2017, respectively. Billed accounts receivable to the U.S. government as of March 31, 2019 and 2018 were approximately 32% and 36%, respectively, of total billed receivables. In addition, none of the Company’s commercial customers comprised</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10% or more of total revenues for fiscal years 2019, 2018 and 2017. The Company’s five largest contracts generated approximately 20% of the Company’s total revenues for each of the fiscal years ended March 31, 2019, March 31, 2018 and March 31, 2017.</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of approximately three to seven years. Capitalized costs for internal-use software are included in property and equipment, net in the Company’s consolidated balance sheet.</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the ViaSat-3 class satellites, gateway and networking equipment and other assets under construction, the Company capitalized $39.5 million of interest expense for the fiscal year ended March 31, 2019. With respect to the ViaSat-2 satellite, ViaSat-3 class satellites, gateway and networking equipment and other assets under construction, the Company capitalized $58.9 million and $49.7 million of interest expense during the fiscal years ended March 31, 2018 and March 31, 2017, respectively.</w:t>
      </w:r>
    </w:p>
    <w:p>
      <w:pPr>
        <w:spacing w:after="0" w:line="15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The Company also has two third-generation ViaSat-3 class satellites that have entered the phase of full construction, and in January 2019 it signed an agreement to proceed for a third ViaSat-3 class satellite.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March 31, 2019 were $373.4 million and $142.6 million, respectively. The total cost and accumulated depreciation of CPE units included in property and equipment, net, as of March 31, 2018 were $298.7 million and $129.0 million, respectively.</w:t>
      </w:r>
    </w:p>
    <w:p>
      <w:pPr>
        <w:spacing w:after="0" w:line="150"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fiscal year 2019, the Company received $185.7 million in insurance recovery proceeds related to such claims. The Company recorded an insurance receivable of $ 2.3 million as of March 31, 2019 with respect to probable remaining ViaSat-2 related insurance claims. As a result, during fiscal year 2019, the Company recorded a $ 7.5 million gain related to ViaSat-2 insurance claims in selling, general and administrative (SG&amp;A) expenses in its satellite services segment in the consolidated statements of operations and comprehensive incomes (loss). The ViaSat-2 satellite was primarily financed by the Company’s direct loan facility with the Export-Import Bank of the United States for ViaSat-2 (the Ex-Im Credit Facility) (see Note 5 — Senior Notes and Other Long-Term Debt for more information). Pursuant to the terms of the Ex-Im Credit Facility, insurance proceeds received from such claims were used to pay down outstanding borrowings under the Ex-Im Credit Facility.</w:t>
      </w:r>
    </w:p>
    <w:p>
      <w:pPr>
        <w:spacing w:after="0" w:line="149"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March 31, 2019 and 2018. The Company capitalized costs of $22.9 million and $15.4 million related to acquiring and obtaining orbital slots and other licenses included in other assets as of March 31, 2019 and 2018, respectively. Accumulated amortization related to these assets was $3.0 million and $2.5 million as of March 31, 2019 and 2018, respectively. Amortization expense related to these assets was an insignificant amount for the fiscal years ended March 31, 2019, March 31, 2018 and March 31, 2017. If a patent, orbital slot or orbital license is rejected, abandoned or otherwise invalidated, the unamortized cost is expensed in that period. During fiscal years 2019, 2018 and 2017, the Company did not write off any significant costs due to abandonment or impairment.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fiscal years 2019, 2018 and 2017,</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$12.2 million, $9.8 million and $6.1 million, respectively, of debt issuance costs were capitalized. Unamortized debt issuance costs related to extinguished debt are expensed at the time the debt is extinguished and recorded in loss on extinguishment of debt in the consolidated statements of operations and comprehensive income. Debt issuance costs related to the Revolving Credit Facility are recorded in prepaid expenses and other current assets and in other long-term assets in the consolidated balance sheets in accordance with the authoritative guidance for imputation of interest (ASC 835-30). Debt issuance costs related to the Company’s 5.625% Senior Notes due 2025 (the 2025 Notes), the Company’s 5.625% Senior Secured Notes due 2027 (the 2027 Notes) and the Company’s direct loan facility with the Ex-Im Credit Facility are recorded as a direct deduction from the carrying amount of the related debt, consistent with debt discounts, in accordance with the authoritative guidance for imputation of interest (ASC 835-30).</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$244.4 million and $246.8 million related to software developed for resale were included in other assets as of March 31, 2019 and 2018, respectively. The Company capitalized $43.5 million and $75.6 million of costs related to software developed for resale for the fiscal years ended March 31, 2019 and 2018, respectively. Amortization expense for software development costs was $45.9 million, $32.5 million and $32.5 million during fiscal years 2019, 2018 and 2017, respectively.</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2019, 2018 and 2017.</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and the provisions of ASU 2011-08, Intangibles — Goodwill and Other (ASC 350): Testing Goodwill for Impairment, which simplifies how the Company tests goodwill for impairment. Current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the reporting unit exceeds its estimated fair value, the Company compares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15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Based on the Company’s qualitative assessment performed during the fourth quarter of fiscal year 2019, the Company concluded that it was more likely than not that the estimated fair value of the Company’s reporting units exceeded their carrying values as of March 31, 2019, and therefore, determined it was not necessary to perform the two-step goodwill impairment test. No impairments were recorded by the Company related to goodwill and other intangible assets for fiscal years 2019, 2018 and 2017.</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the Company ships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Company estimates the warranty costs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the Company will make future adjustments to the recorded warranty obligation (see Note 13).</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9"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$5.4 million and $4.5 million in accrued liabilities in the consolidated balance sheets as of March 31, 2019 and 2018,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2019 and 2018, no such amounts were accrued related to the aforementioned provisions.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jc w:val="both"/>
        <w:ind w:right="60" w:firstLine="518"/>
        <w:spacing w:after="0" w:line="23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and 2018, the Company had no shares of common stock held in treasury.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fiscal years 2019, 2018 and 2017, the Company issued 1,201,502, 896,776 and 792,616 shares of common stock, respectively,</w:t>
      </w:r>
    </w:p>
    <w:p>
      <w:pPr>
        <w:spacing w:after="0" w:line="234" w:lineRule="auto"/>
        <w:rPr>
          <w:sz w:val="20"/>
          <w:szCs w:val="20"/>
          <w:color w:val="auto"/>
        </w:rPr>
      </w:pPr>
      <w:r>
        <w:rPr>
          <w:rFonts w:ascii="Arial" w:cs="Arial" w:eastAsia="Arial" w:hAnsi="Arial"/>
          <w:sz w:val="18"/>
          <w:szCs w:val="18"/>
          <w:color w:val="auto"/>
        </w:rPr>
        <w:t>based on the vesting terms of certain restricted stock unit agreements. In order for employees to satisfy minimum statutory employee tax</w:t>
      </w:r>
    </w:p>
    <w:p>
      <w:pPr>
        <w:spacing w:after="0" w:line="235" w:lineRule="auto"/>
        <w:rPr>
          <w:sz w:val="20"/>
          <w:szCs w:val="20"/>
          <w:color w:val="auto"/>
        </w:rPr>
      </w:pPr>
      <w:r>
        <w:rPr>
          <w:rFonts w:ascii="Arial" w:cs="Arial" w:eastAsia="Arial" w:hAnsi="Arial"/>
          <w:sz w:val="18"/>
          <w:szCs w:val="18"/>
          <w:color w:val="auto"/>
        </w:rPr>
        <w:t>withholding requirements related to the issuance of common stock underlying these restricted stock unit agreements, the Company</w:t>
      </w:r>
    </w:p>
    <w:p>
      <w:pPr>
        <w:spacing w:after="0" w:line="235" w:lineRule="auto"/>
        <w:rPr>
          <w:sz w:val="20"/>
          <w:szCs w:val="20"/>
          <w:color w:val="auto"/>
        </w:rPr>
      </w:pPr>
      <w:r>
        <w:rPr>
          <w:rFonts w:ascii="Arial" w:cs="Arial" w:eastAsia="Arial" w:hAnsi="Arial"/>
          <w:sz w:val="18"/>
          <w:szCs w:val="18"/>
          <w:color w:val="auto"/>
        </w:rPr>
        <w:t>repurchased 427,088, 335,295 and 294,031 shares of common stock at cost and with a total value of $28.8 million, $24.2 million and</w:t>
      </w:r>
    </w:p>
    <w:p>
      <w:pPr>
        <w:spacing w:after="0" w:line="235" w:lineRule="auto"/>
        <w:rPr>
          <w:sz w:val="20"/>
          <w:szCs w:val="20"/>
          <w:color w:val="auto"/>
        </w:rPr>
      </w:pPr>
      <w:r>
        <w:rPr>
          <w:rFonts w:ascii="Arial" w:cs="Arial" w:eastAsia="Arial" w:hAnsi="Arial"/>
          <w:sz w:val="18"/>
          <w:szCs w:val="18"/>
          <w:color w:val="auto"/>
        </w:rPr>
        <w:t>$21.7 million during fiscal years 2019, 2018 and 2017, respectively. Although shares withheld for employee withholding taxes are technically</w:t>
      </w:r>
    </w:p>
    <w:p>
      <w:pPr>
        <w:spacing w:after="0" w:line="235" w:lineRule="auto"/>
        <w:rPr>
          <w:sz w:val="20"/>
          <w:szCs w:val="20"/>
          <w:color w:val="auto"/>
        </w:rPr>
      </w:pPr>
      <w:r>
        <w:rPr>
          <w:rFonts w:ascii="Arial" w:cs="Arial" w:eastAsia="Arial" w:hAnsi="Arial"/>
          <w:sz w:val="18"/>
          <w:szCs w:val="18"/>
          <w:color w:val="auto"/>
        </w:rPr>
        <w:t>not issued, they are treated as common stock repurchases for accounting purposes (with such shares deemed to be repurchased and then</w:t>
      </w:r>
    </w:p>
    <w:p>
      <w:pPr>
        <w:spacing w:after="0" w:line="235" w:lineRule="auto"/>
        <w:rPr>
          <w:sz w:val="20"/>
          <w:szCs w:val="20"/>
          <w:color w:val="auto"/>
        </w:rPr>
      </w:pPr>
      <w:r>
        <w:rPr>
          <w:rFonts w:ascii="Arial" w:cs="Arial" w:eastAsia="Arial" w:hAnsi="Arial"/>
          <w:sz w:val="18"/>
          <w:szCs w:val="18"/>
          <w:color w:val="auto"/>
        </w:rPr>
        <w:t>immediately retired), as they reduce the number of shares that otherwise would have been issued upon vesting of the restricted stock units.</w:t>
      </w:r>
    </w:p>
    <w:p>
      <w:pPr>
        <w:spacing w:after="0" w:line="235" w:lineRule="auto"/>
        <w:rPr>
          <w:sz w:val="20"/>
          <w:szCs w:val="20"/>
          <w:color w:val="auto"/>
        </w:rPr>
      </w:pPr>
      <w:r>
        <w:rPr>
          <w:rFonts w:ascii="Arial" w:cs="Arial" w:eastAsia="Arial" w:hAnsi="Arial"/>
          <w:sz w:val="18"/>
          <w:szCs w:val="18"/>
          <w:color w:val="auto"/>
        </w:rPr>
        <w:t>These retired shares remain as authorized stock and are considered to be unissued. The retirement of treasury stock had no impact on the</w:t>
      </w:r>
    </w:p>
    <w:p>
      <w:pPr>
        <w:spacing w:after="0"/>
        <w:rPr>
          <w:sz w:val="20"/>
          <w:szCs w:val="20"/>
          <w:color w:val="auto"/>
        </w:rPr>
      </w:pPr>
      <w:r>
        <w:rPr>
          <w:rFonts w:ascii="Arial" w:cs="Arial" w:eastAsia="Arial" w:hAnsi="Arial"/>
          <w:sz w:val="18"/>
          <w:szCs w:val="18"/>
          <w:color w:val="auto"/>
        </w:rPr>
        <w:t>Company’s total consolidated stockholders’ equity.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8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51"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During fiscal years 2019, 2018 and 2017, the Company settled certain foreign exchange contracts and in connection therewith for each year recognized an insignificant gain or loss recorded in cost of revenues based on the nature of the underlying transactions. The fair value of the Company’s foreign currency forward contracts was an insignificant amount recorded as an accrued liability as of March 31, 2019 and as an other current asset as of March 31, 2018. The notional value of foreign currency forward contracts outstanding was $9.9 million as of March 31, 2019 and an insignificant amount as of March 31, 2018.</w:t>
      </w:r>
    </w:p>
    <w:p>
      <w:pPr>
        <w:spacing w:after="0" w:line="149" w:lineRule="exact"/>
        <w:rPr>
          <w:sz w:val="20"/>
          <w:szCs w:val="20"/>
          <w:color w:val="auto"/>
        </w:rPr>
      </w:pPr>
    </w:p>
    <w:p>
      <w:pPr>
        <w:jc w:val="both"/>
        <w:ind w:right="700" w:firstLine="518"/>
        <w:spacing w:after="0" w:line="239" w:lineRule="auto"/>
        <w:rPr>
          <w:sz w:val="20"/>
          <w:szCs w:val="20"/>
          <w:color w:val="auto"/>
        </w:rPr>
      </w:pPr>
      <w:r>
        <w:rPr>
          <w:rFonts w:ascii="Arial" w:cs="Arial" w:eastAsia="Arial" w:hAnsi="Arial"/>
          <w:sz w:val="18"/>
          <w:szCs w:val="18"/>
          <w:color w:val="auto"/>
        </w:rPr>
        <w:t>At March 31, 2019 the estimated net amount of unrealized gains or losses related to foreign currency forward contracts that was expected to be reclassified to earnings within the next 12 months was insignificant. The Company’s foreign currency forward contracts outstanding as of March 31, 2019 will mature within approximately 21 months from their inception. There were no gains or losses from ineffectiveness of these derivative instruments recorded for fiscal years 2019, 2018 and 2017.</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5" w:lineRule="exact"/>
        <w:rPr>
          <w:sz w:val="20"/>
          <w:szCs w:val="20"/>
          <w:color w:val="auto"/>
        </w:rPr>
      </w:pPr>
    </w:p>
    <w:p>
      <w:pPr>
        <w:jc w:val="both"/>
        <w:ind w:right="600" w:firstLine="518"/>
        <w:spacing w:after="0"/>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within Viasat, Inc. stockholders’ equity.</w:t>
      </w:r>
    </w:p>
    <w:p>
      <w:pPr>
        <w:spacing w:after="0" w:line="149"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Other comprehensive loss related to the effects of foreign currency translation adjustments attributable to Viasat, Inc. during fiscal year 2019 was $11.8 million, or $10.0 million net of tax. Other comprehensive income related to the effects of foreign currency translation adjustments attributable to Viasat, Inc. during fiscal year 2018 was $22.8 million, or $15.8 million net of tax. Other comprehensive loss related to the effects of foreign currency translation adjustments attributed to Viasat, Inc. during fiscal year 2017 was $2.4 million and the related tax effect was insignificant.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ASC 606). This update established ASC 606, Revenue from Contracts with Customers and ASC 340-40, Other Assets and Deferred Costs – Contracts with Customers.</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In order to assess the impact of the new accounting standards, the Company applied the new standards to all open contracts existing as of April 1, 2018. The Company elected the practical expedient to reflect the aggregate effect of all contract modifications occurring before April 1, 2018 when identifying the satisfied and unsatisfied performance obligations, determining the transaction price and allocating the transaction price to the satisfied and unsatisfied performance obligations. The aggregated effect of applying this practical expedient did not have a significant impact on the Company’s conclusions.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560" w:firstLine="518"/>
        <w:spacing w:after="0"/>
        <w:rPr>
          <w:sz w:val="20"/>
          <w:szCs w:val="20"/>
          <w:color w:val="auto"/>
        </w:rPr>
      </w:pPr>
      <w:r>
        <w:rPr>
          <w:rFonts w:ascii="Arial" w:cs="Arial" w:eastAsia="Arial" w:hAnsi="Arial"/>
          <w:sz w:val="18"/>
          <w:szCs w:val="18"/>
          <w:color w:val="auto"/>
        </w:rPr>
        <w:t>To reflect the adoption of the new standards, the Company and its equity method investment investee elected to use the “modified retrospective method,” which resulted in the Company recording the retrospective cumulative effect to the opening balance of retained earnings. The following table presents the summary of the impact of adopting the new standards: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jc w:val="center"/>
              <w:ind w:right="436"/>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r>
      <w:tr>
        <w:trPr>
          <w:trHeight w:val="162"/>
        </w:trPr>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jc w:val="center"/>
              <w:ind w:right="456"/>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020" w:type="dxa"/>
            <w:vAlign w:val="bottom"/>
          </w:tcPr>
          <w:p>
            <w:pPr>
              <w:jc w:val="center"/>
              <w:ind w:right="236"/>
              <w:spacing w:after="0"/>
              <w:rPr>
                <w:sz w:val="20"/>
                <w:szCs w:val="20"/>
                <w:color w:val="auto"/>
              </w:rPr>
            </w:pPr>
            <w:r>
              <w:rPr>
                <w:rFonts w:ascii="Arial" w:cs="Arial" w:eastAsia="Arial" w:hAnsi="Arial"/>
                <w:sz w:val="14"/>
                <w:szCs w:val="14"/>
                <w:b w:val="1"/>
                <w:bCs w:val="1"/>
                <w:color w:val="auto"/>
              </w:rPr>
              <w:t>Adjustments Due to ASC</w:t>
            </w:r>
          </w:p>
        </w:tc>
        <w:tc>
          <w:tcPr>
            <w:tcW w:w="540" w:type="dxa"/>
            <w:vAlign w:val="bottom"/>
          </w:tcPr>
          <w:p>
            <w:pPr>
              <w:spacing w:after="0"/>
              <w:rPr>
                <w:sz w:val="14"/>
                <w:szCs w:val="1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April 1,</w:t>
            </w:r>
          </w:p>
        </w:tc>
      </w:tr>
      <w:tr>
        <w:trPr>
          <w:trHeight w:val="175"/>
        </w:trPr>
        <w:tc>
          <w:tcPr>
            <w:tcW w:w="4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4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606</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169"/>
        </w:trPr>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jc w:val="center"/>
              <w:ind w:right="216"/>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w:t>
            </w: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267,665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6"/>
              <w:spacing w:after="0"/>
              <w:rPr>
                <w:sz w:val="20"/>
                <w:szCs w:val="20"/>
                <w:color w:val="auto"/>
              </w:rPr>
            </w:pPr>
            <w:r>
              <w:rPr>
                <w:rFonts w:ascii="Arial" w:cs="Arial" w:eastAsia="Arial" w:hAnsi="Arial"/>
                <w:sz w:val="18"/>
                <w:szCs w:val="18"/>
                <w:color w:val="auto"/>
              </w:rPr>
              <w:t>(5,664)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262,001</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196,307</w:t>
            </w: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1,623</w:t>
            </w:r>
          </w:p>
        </w:tc>
        <w:tc>
          <w:tcPr>
            <w:tcW w:w="5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197,930</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77,135</w:t>
            </w:r>
          </w:p>
        </w:tc>
        <w:tc>
          <w:tcPr>
            <w:tcW w:w="280" w:type="dxa"/>
            <w:vAlign w:val="bottom"/>
          </w:tcPr>
          <w:p>
            <w:pPr>
              <w:spacing w:after="0"/>
              <w:rPr>
                <w:sz w:val="18"/>
                <w:szCs w:val="18"/>
                <w:color w:val="auto"/>
              </w:rPr>
            </w:pPr>
          </w:p>
        </w:tc>
        <w:tc>
          <w:tcPr>
            <w:tcW w:w="2020" w:type="dxa"/>
            <w:vAlign w:val="bottom"/>
          </w:tcPr>
          <w:p>
            <w:pPr>
              <w:jc w:val="right"/>
              <w:ind w:right="136"/>
              <w:spacing w:after="0"/>
              <w:rPr>
                <w:sz w:val="20"/>
                <w:szCs w:val="20"/>
                <w:color w:val="auto"/>
              </w:rPr>
            </w:pPr>
            <w:r>
              <w:rPr>
                <w:rFonts w:ascii="Arial" w:cs="Arial" w:eastAsia="Arial" w:hAnsi="Arial"/>
                <w:sz w:val="18"/>
                <w:szCs w:val="18"/>
                <w:color w:val="auto"/>
              </w:rPr>
              <w:t>18,098</w:t>
            </w:r>
          </w:p>
        </w:tc>
        <w:tc>
          <w:tcPr>
            <w:tcW w:w="5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95,233</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686,134</w:t>
            </w: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19,107</w:t>
            </w:r>
          </w:p>
        </w:tc>
        <w:tc>
          <w:tcPr>
            <w:tcW w:w="5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705,241</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263,676</w:t>
            </w:r>
          </w:p>
        </w:tc>
        <w:tc>
          <w:tcPr>
            <w:tcW w:w="280" w:type="dxa"/>
            <w:vAlign w:val="bottom"/>
          </w:tcPr>
          <w:p>
            <w:pPr>
              <w:spacing w:after="0"/>
              <w:rPr>
                <w:sz w:val="18"/>
                <w:szCs w:val="18"/>
                <w:color w:val="auto"/>
              </w:rPr>
            </w:pPr>
          </w:p>
        </w:tc>
        <w:tc>
          <w:tcPr>
            <w:tcW w:w="2020" w:type="dxa"/>
            <w:vAlign w:val="bottom"/>
          </w:tcPr>
          <w:p>
            <w:pPr>
              <w:jc w:val="right"/>
              <w:ind w:right="136"/>
              <w:spacing w:after="0"/>
              <w:rPr>
                <w:sz w:val="20"/>
                <w:szCs w:val="20"/>
                <w:color w:val="auto"/>
              </w:rPr>
            </w:pPr>
            <w:r>
              <w:rPr>
                <w:rFonts w:ascii="Arial" w:cs="Arial" w:eastAsia="Arial" w:hAnsi="Arial"/>
                <w:sz w:val="18"/>
                <w:szCs w:val="18"/>
                <w:color w:val="auto"/>
              </w:rPr>
              <w:t>5,916</w:t>
            </w:r>
          </w:p>
        </w:tc>
        <w:tc>
          <w:tcPr>
            <w:tcW w:w="5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269,592</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285,960</w:t>
            </w: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27,248</w:t>
            </w:r>
          </w:p>
        </w:tc>
        <w:tc>
          <w:tcPr>
            <w:tcW w:w="5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313,208</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key impact of adoption is the deferral of commissions primarily in the Company’s satellite services segment, which were historically expensed as incurred as further described below.</w:t>
      </w:r>
    </w:p>
    <w:p>
      <w:pPr>
        <w:spacing w:after="0" w:line="183"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2" w:lineRule="exact"/>
        <w:rPr>
          <w:sz w:val="20"/>
          <w:szCs w:val="20"/>
          <w:color w:val="auto"/>
        </w:rPr>
      </w:pPr>
    </w:p>
    <w:p>
      <w:pPr>
        <w:ind w:right="600" w:firstLine="8"/>
        <w:spacing w:after="0" w:line="239"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including leasing of related broadband equipment.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The Company’s accounting for equipment leases involves specific determinations under ASC 840, which may involve complex provisions and significant judgments. In accordance with ASC 840, the Company applies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w:t>
      </w:r>
    </w:p>
    <w:p>
      <w:pPr>
        <w:spacing w:after="0" w:line="19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2019. As of March 31, 2019, the DCAA had completed its incurred cost audit for fiscal years 2004 and 2016 and approved the Company’s incurred costs for those fiscal years, as well as approved the Company’s incurred costs for fiscal years 2005 through 2015, 2017 and 2018 without further audit based on a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2019 and March 31, 2018, the Company had $4.9 million and $1.6 million, respectively, in contract-related reserves for its estimate of potential refunds to customers for potential cost adjustments on several multi-year U.S. government cost reimbursable contracts (see Note 12).</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March 31, 2019, the aggregate amount of the transaction price allocated to remaining performance obligations was $1.9 billion, of which the Company expects to recognize a little over half over the next twelve months, with the balance recognized thereafter.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fiscal year ended March 31,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center"/>
              <w:ind w:left="179"/>
              <w:spacing w:after="0"/>
              <w:rPr>
                <w:sz w:val="20"/>
                <w:szCs w:val="20"/>
                <w:color w:val="auto"/>
              </w:rPr>
            </w:pPr>
            <w:r>
              <w:rPr>
                <w:rFonts w:ascii="Arial" w:cs="Arial" w:eastAsia="Arial" w:hAnsi="Arial"/>
                <w:sz w:val="14"/>
                <w:szCs w:val="14"/>
                <w:b w:val="1"/>
                <w:bCs w:val="1"/>
                <w:color w:val="auto"/>
              </w:rPr>
              <w:t>Fiscal year Ended March 31, 2019</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7"/>
              <w:spacing w:after="0" w:line="156" w:lineRule="exact"/>
              <w:rPr>
                <w:sz w:val="20"/>
                <w:szCs w:val="20"/>
                <w:color w:val="auto"/>
              </w:rPr>
            </w:pPr>
            <w:r>
              <w:rPr>
                <w:rFonts w:ascii="Arial" w:cs="Arial" w:eastAsia="Arial" w:hAnsi="Arial"/>
                <w:sz w:val="14"/>
                <w:szCs w:val="14"/>
                <w:b w:val="1"/>
                <w:bCs w:val="1"/>
                <w:color w:val="auto"/>
              </w:rPr>
              <w:t>Satellite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99"/>
              <w:spacing w:after="0" w:line="156" w:lineRule="exact"/>
              <w:rPr>
                <w:sz w:val="20"/>
                <w:szCs w:val="20"/>
                <w:color w:val="auto"/>
              </w:rPr>
            </w:pPr>
            <w:r>
              <w:rPr>
                <w:rFonts w:ascii="Arial" w:cs="Arial" w:eastAsia="Arial" w:hAnsi="Arial"/>
                <w:sz w:val="14"/>
                <w:szCs w:val="14"/>
                <w:b w:val="1"/>
                <w:bCs w:val="1"/>
                <w:color w:val="auto"/>
              </w:rPr>
              <w:t>Commercial</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Government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3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7"/>
              <w:spacing w:after="0"/>
              <w:rPr>
                <w:sz w:val="20"/>
                <w:szCs w:val="20"/>
                <w:color w:val="auto"/>
              </w:rPr>
            </w:pPr>
            <w:r>
              <w:rPr>
                <w:rFonts w:ascii="Arial" w:cs="Arial" w:eastAsia="Arial" w:hAnsi="Arial"/>
                <w:sz w:val="14"/>
                <w:szCs w:val="14"/>
                <w:b w:val="1"/>
                <w:bCs w:val="1"/>
                <w:color w:val="auto"/>
              </w:rPr>
              <w:t>Services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Networks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Revenues</w:t>
            </w:r>
          </w:p>
        </w:tc>
      </w:tr>
      <w:tr>
        <w:trPr>
          <w:trHeight w:val="210"/>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ind w:right="7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383,547</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709,144</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1,092,691</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684,205</w:t>
            </w:r>
          </w:p>
        </w:tc>
        <w:tc>
          <w:tcPr>
            <w:tcW w:w="3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3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975,567</w:t>
            </w:r>
          </w:p>
        </w:tc>
        <w:tc>
          <w:tcPr>
            <w:tcW w:w="120" w:type="dxa"/>
            <w:vAlign w:val="bottom"/>
            <w:tcBorders>
              <w:bottom w:val="single" w:sz="8" w:color="CFF0FC"/>
            </w:tcBorders>
          </w:tcPr>
          <w:p>
            <w:pPr>
              <w:spacing w:after="0"/>
              <w:rPr>
                <w:sz w:val="18"/>
                <w:szCs w:val="18"/>
                <w:color w:val="auto"/>
              </w:rPr>
            </w:pP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684,205</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428,404</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955,649</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20" w:type="dxa"/>
            <w:vAlign w:val="bottom"/>
            <w:shd w:val="clear" w:color="auto" w:fill="CFF0FC"/>
          </w:tcPr>
          <w:p>
            <w:pPr>
              <w:spacing w:after="0"/>
              <w:rPr>
                <w:sz w:val="18"/>
                <w:szCs w:val="18"/>
                <w:color w:val="auto"/>
              </w:rPr>
            </w:pP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Revenues from the U.S. government as an individual customer comprised approximately 26% of total revenues for fiscal year ended March 31, 2019, mainly reported within the government systems segment. The Company’s commercial customers, mainly reported within the commercial networks and satellite services segments, comprised approximately 74% of total revenues for the fiscal year ended March 31, 2019.</w:t>
      </w:r>
    </w:p>
    <w:p>
      <w:pPr>
        <w:spacing w:after="0" w:line="188"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18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90% of the Company’s total revenues for these segments for the fiscal year ended March 31, 2019.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5" w:lineRule="exact"/>
        <w:rPr>
          <w:sz w:val="20"/>
          <w:szCs w:val="20"/>
          <w:color w:val="auto"/>
        </w:rPr>
      </w:pPr>
    </w:p>
    <w:p>
      <w:pPr>
        <w:ind w:right="300" w:firstLine="518"/>
        <w:spacing w:after="0" w:line="238"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19% of its total revenues for the fiscal year ended March 31, 2019.</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fiscal year ended March 31, 2019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0" w:type="dxa"/>
            <w:vAlign w:val="bottom"/>
            <w:gridSpan w:val="2"/>
          </w:tcPr>
          <w:p>
            <w:pPr>
              <w:ind w:left="460"/>
              <w:spacing w:after="0"/>
              <w:rPr>
                <w:sz w:val="20"/>
                <w:szCs w:val="20"/>
                <w:color w:val="auto"/>
              </w:rPr>
            </w:pPr>
            <w:r>
              <w:rPr>
                <w:rFonts w:ascii="Arial" w:cs="Arial" w:eastAsia="Arial" w:hAnsi="Arial"/>
                <w:sz w:val="14"/>
                <w:szCs w:val="14"/>
                <w:b w:val="1"/>
                <w:bCs w:val="1"/>
                <w:color w:val="auto"/>
              </w:rPr>
              <w:t>Fiscal year Ended</w:t>
            </w:r>
          </w:p>
        </w:tc>
      </w:tr>
      <w:tr>
        <w:trPr>
          <w:trHeight w:val="175"/>
        </w:trPr>
        <w:tc>
          <w:tcPr>
            <w:tcW w:w="6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5"/>
                <w:szCs w:val="15"/>
                <w:color w:val="auto"/>
              </w:rPr>
            </w:pPr>
          </w:p>
        </w:tc>
      </w:tr>
      <w:tr>
        <w:trPr>
          <w:trHeight w:val="169"/>
        </w:trPr>
        <w:tc>
          <w:tcPr>
            <w:tcW w:w="6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22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1,836,304</w:t>
            </w:r>
          </w:p>
        </w:tc>
        <w:tc>
          <w:tcPr>
            <w:tcW w:w="120" w:type="dxa"/>
            <w:vAlign w:val="bottom"/>
            <w:shd w:val="clear" w:color="auto" w:fill="CFF0FC"/>
          </w:tcPr>
          <w:p>
            <w:pPr>
              <w:spacing w:after="0"/>
              <w:rPr>
                <w:sz w:val="18"/>
                <w:szCs w:val="18"/>
                <w:color w:val="auto"/>
              </w:rPr>
            </w:pPr>
          </w:p>
        </w:tc>
      </w:tr>
      <w:tr>
        <w:trPr>
          <w:trHeight w:val="216"/>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 U.S. customers (each country individually insignificant)</w:t>
            </w:r>
          </w:p>
        </w:tc>
        <w:tc>
          <w:tcPr>
            <w:tcW w:w="16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231,954</w:t>
            </w:r>
          </w:p>
        </w:tc>
        <w:tc>
          <w:tcPr>
            <w:tcW w:w="120" w:type="dxa"/>
            <w:vAlign w:val="bottom"/>
            <w:tcBorders>
              <w:bottom w:val="single" w:sz="8" w:color="CFF0FC"/>
            </w:tcBorders>
          </w:tcPr>
          <w:p>
            <w:pPr>
              <w:spacing w:after="0"/>
              <w:rPr>
                <w:sz w:val="18"/>
                <w:szCs w:val="18"/>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20" w:type="dxa"/>
            <w:vAlign w:val="bottom"/>
            <w:shd w:val="clear" w:color="auto" w:fill="CFF0FC"/>
          </w:tcPr>
          <w:p>
            <w:pPr>
              <w:spacing w:after="0"/>
              <w:rPr>
                <w:sz w:val="18"/>
                <w:szCs w:val="18"/>
                <w:color w:val="auto"/>
              </w:rPr>
            </w:pP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March 31, 2019 and April 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jc w:val="center"/>
              <w:ind w:left="568"/>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As of</w:t>
            </w:r>
          </w:p>
        </w:tc>
      </w:tr>
      <w:tr>
        <w:trPr>
          <w:trHeight w:val="162"/>
        </w:trPr>
        <w:tc>
          <w:tcPr>
            <w:tcW w:w="5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jc w:val="center"/>
              <w:ind w:left="588"/>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April 1,</w:t>
            </w:r>
          </w:p>
        </w:tc>
      </w:tr>
      <w:tr>
        <w:trPr>
          <w:trHeight w:val="175"/>
        </w:trPr>
        <w:tc>
          <w:tcPr>
            <w:tcW w:w="5780" w:type="dxa"/>
            <w:vAlign w:val="bottom"/>
          </w:tcPr>
          <w:p>
            <w:pPr>
              <w:spacing w:after="0"/>
              <w:rPr>
                <w:sz w:val="15"/>
                <w:szCs w:val="15"/>
                <w:color w:val="auto"/>
              </w:rPr>
            </w:pPr>
          </w:p>
        </w:tc>
        <w:tc>
          <w:tcPr>
            <w:tcW w:w="2560" w:type="dxa"/>
            <w:vAlign w:val="bottom"/>
            <w:gridSpan w:val="2"/>
          </w:tcPr>
          <w:p>
            <w:pPr>
              <w:jc w:val="center"/>
              <w:ind w:left="1799"/>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tcPr>
          <w:p>
            <w:pPr>
              <w:jc w:val="center"/>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210"/>
        </w:trPr>
        <w:tc>
          <w:tcPr>
            <w:tcW w:w="5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2560" w:type="dxa"/>
            <w:vAlign w:val="bottom"/>
            <w:gridSpan w:val="2"/>
            <w:shd w:val="clear" w:color="auto" w:fill="CFF0FC"/>
          </w:tcPr>
          <w:p>
            <w:pPr>
              <w:jc w:val="right"/>
              <w:ind w:right="11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83,743</w:t>
            </w:r>
          </w:p>
        </w:tc>
        <w:tc>
          <w:tcPr>
            <w:tcW w:w="7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79,492</w:t>
            </w: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w w:val="95"/>
              </w:rPr>
              <w:t>125,540</w:t>
            </w:r>
          </w:p>
        </w:tc>
        <w:tc>
          <w:tcPr>
            <w:tcW w:w="7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127,355</w:t>
            </w:r>
          </w:p>
        </w:tc>
        <w:tc>
          <w:tcPr>
            <w:tcW w:w="12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71,230</w:t>
            </w:r>
          </w:p>
        </w:tc>
        <w:tc>
          <w:tcPr>
            <w:tcW w:w="7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77,831</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Unbilled accounts receivable increased $4.3 million during fiscal year 2019, primarily driven by revenue recognized in the Company’s satellite services segment in excess of billings.</w:t>
      </w:r>
    </w:p>
    <w:p>
      <w:pPr>
        <w:spacing w:after="0" w:line="183" w:lineRule="exact"/>
        <w:rPr>
          <w:sz w:val="20"/>
          <w:szCs w:val="20"/>
          <w:color w:val="auto"/>
        </w:rPr>
      </w:pPr>
    </w:p>
    <w:p>
      <w:pPr>
        <w:ind w:right="380" w:firstLine="518"/>
        <w:spacing w:after="0" w:line="246" w:lineRule="auto"/>
        <w:rPr>
          <w:sz w:val="20"/>
          <w:szCs w:val="20"/>
          <w:color w:val="auto"/>
        </w:rPr>
      </w:pPr>
      <w:r>
        <w:rPr>
          <w:rFonts w:ascii="Arial" w:cs="Arial" w:eastAsia="Arial" w:hAnsi="Arial"/>
          <w:sz w:val="18"/>
          <w:szCs w:val="18"/>
          <w:color w:val="auto"/>
        </w:rPr>
        <w:t>Collections in excess of revenues and deferred revenues decreased $1.8 million during fiscal year 2019, primarily driven by revenue recognized in excess of advances on goods or services received in the Company’s government systems segment.</w:t>
      </w:r>
    </w:p>
    <w:p>
      <w:pPr>
        <w:spacing w:after="0" w:line="183"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During the fiscal year ended March 31, 2019, the Company recognized revenue of $100.0 million related to the Company’s collections in excess of revenues and deferred revenues at April 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adoption of ASU 2014-09 also included the establishment of ASC 340-40, Other Assets and Deferred Costs – Contracts with</w:t>
      </w:r>
    </w:p>
    <w:p>
      <w:pPr>
        <w:spacing w:after="0" w:line="234" w:lineRule="auto"/>
        <w:rPr>
          <w:sz w:val="20"/>
          <w:szCs w:val="20"/>
          <w:color w:val="auto"/>
        </w:rPr>
      </w:pPr>
      <w:r>
        <w:rPr>
          <w:rFonts w:ascii="Arial" w:cs="Arial" w:eastAsia="Arial" w:hAnsi="Arial"/>
          <w:sz w:val="18"/>
          <w:szCs w:val="18"/>
          <w:color w:val="auto"/>
        </w:rPr>
        <w:t>Customers. The new standard requires the recognition of an asset from the incremental costs of obtaining a contract with a customer, if the</w:t>
      </w:r>
    </w:p>
    <w:p>
      <w:pPr>
        <w:spacing w:after="0" w:line="235" w:lineRule="auto"/>
        <w:rPr>
          <w:sz w:val="20"/>
          <w:szCs w:val="20"/>
          <w:color w:val="auto"/>
        </w:rPr>
      </w:pPr>
      <w:r>
        <w:rPr>
          <w:rFonts w:ascii="Arial" w:cs="Arial" w:eastAsia="Arial" w:hAnsi="Arial"/>
          <w:sz w:val="18"/>
          <w:szCs w:val="18"/>
          <w:color w:val="auto"/>
        </w:rPr>
        <w:t>Company expects to recover those costs. The incremental costs of obtaining a contract are those costs that the Company incurs to obtain a</w:t>
      </w:r>
    </w:p>
    <w:p>
      <w:pPr>
        <w:spacing w:after="0" w:line="235" w:lineRule="auto"/>
        <w:rPr>
          <w:sz w:val="20"/>
          <w:szCs w:val="20"/>
          <w:color w:val="auto"/>
        </w:rPr>
      </w:pPr>
      <w:r>
        <w:rPr>
          <w:rFonts w:ascii="Arial" w:cs="Arial" w:eastAsia="Arial" w:hAnsi="Arial"/>
          <w:sz w:val="18"/>
          <w:szCs w:val="18"/>
          <w:color w:val="auto"/>
        </w:rPr>
        <w:t>contract with a customer that it would not have incurred if the contract had not been obtained. ASC 340-40 also requires the recognition of an</w:t>
      </w:r>
    </w:p>
    <w:p>
      <w:pPr>
        <w:spacing w:after="0" w:line="235" w:lineRule="auto"/>
        <w:rPr>
          <w:sz w:val="20"/>
          <w:szCs w:val="20"/>
          <w:color w:val="auto"/>
        </w:rPr>
      </w:pPr>
      <w:r>
        <w:rPr>
          <w:rFonts w:ascii="Arial" w:cs="Arial" w:eastAsia="Arial" w:hAnsi="Arial"/>
          <w:sz w:val="18"/>
          <w:szCs w:val="18"/>
          <w:color w:val="auto"/>
        </w:rPr>
        <w:t>asset from the costs incurred to fulfill a contract when (1) the costs relate directly to a contract or to an anticipated contract that the Company</w:t>
      </w:r>
    </w:p>
    <w:p>
      <w:pPr>
        <w:spacing w:after="0" w:line="235" w:lineRule="auto"/>
        <w:rPr>
          <w:sz w:val="20"/>
          <w:szCs w:val="20"/>
          <w:color w:val="auto"/>
        </w:rPr>
      </w:pPr>
      <w:r>
        <w:rPr>
          <w:rFonts w:ascii="Arial" w:cs="Arial" w:eastAsia="Arial" w:hAnsi="Arial"/>
          <w:sz w:val="18"/>
          <w:szCs w:val="18"/>
          <w:color w:val="auto"/>
        </w:rPr>
        <w:t>can specifically identify, (2) the costs generate or enhance resources of the Company that will be used in satisfying (or in continuing to satisfy)</w:t>
      </w:r>
    </w:p>
    <w:p>
      <w:pPr>
        <w:spacing w:after="0" w:line="235" w:lineRule="auto"/>
        <w:rPr>
          <w:sz w:val="20"/>
          <w:szCs w:val="20"/>
          <w:color w:val="auto"/>
        </w:rPr>
      </w:pPr>
      <w:r>
        <w:rPr>
          <w:rFonts w:ascii="Arial" w:cs="Arial" w:eastAsia="Arial" w:hAnsi="Arial"/>
          <w:sz w:val="18"/>
          <w:szCs w:val="18"/>
          <w:color w:val="auto"/>
        </w:rPr>
        <w:t>performance obligations in the future, and (3) the costs are expected to be recovered. Adoption of the standard has resulted in the recognition</w:t>
      </w:r>
    </w:p>
    <w:p>
      <w:pPr>
        <w:spacing w:after="0" w:line="235" w:lineRule="auto"/>
        <w:rPr>
          <w:sz w:val="20"/>
          <w:szCs w:val="20"/>
          <w:color w:val="auto"/>
        </w:rPr>
      </w:pPr>
      <w:r>
        <w:rPr>
          <w:rFonts w:ascii="Arial" w:cs="Arial" w:eastAsia="Arial" w:hAnsi="Arial"/>
          <w:sz w:val="18"/>
          <w:szCs w:val="18"/>
          <w:color w:val="auto"/>
        </w:rPr>
        <w:t>of an asset related to commission costs incurred primarily in the Company’s satellite services segment, and recognition of an asset related to</w:t>
      </w:r>
    </w:p>
    <w:p>
      <w:pPr>
        <w:spacing w:after="0" w:line="235" w:lineRule="auto"/>
        <w:rPr>
          <w:sz w:val="20"/>
          <w:szCs w:val="20"/>
          <w:color w:val="auto"/>
        </w:rPr>
      </w:pPr>
      <w:r>
        <w:rPr>
          <w:rFonts w:ascii="Arial" w:cs="Arial" w:eastAsia="Arial" w:hAnsi="Arial"/>
          <w:sz w:val="18"/>
          <w:szCs w:val="18"/>
          <w:color w:val="auto"/>
        </w:rPr>
        <w:t>costs incurred to fulfill contracts. Costs to acquire customer contracts are amortized over the estimated customer contract life. Costs to fulfill</w:t>
      </w:r>
    </w:p>
    <w:p>
      <w:pPr>
        <w:spacing w:after="0" w:line="235" w:lineRule="auto"/>
        <w:rPr>
          <w:sz w:val="20"/>
          <w:szCs w:val="20"/>
          <w:color w:val="auto"/>
        </w:rPr>
      </w:pPr>
      <w:r>
        <w:rPr>
          <w:rFonts w:ascii="Arial" w:cs="Arial" w:eastAsia="Arial" w:hAnsi="Arial"/>
          <w:sz w:val="18"/>
          <w:szCs w:val="18"/>
          <w:color w:val="auto"/>
        </w:rPr>
        <w:t>customer contracts are amortized in proportion to the revenue to which the costs relate. For contracts with an estimated amortization period of</w:t>
      </w:r>
    </w:p>
    <w:p>
      <w:pPr>
        <w:spacing w:after="0" w:line="234" w:lineRule="auto"/>
        <w:rPr>
          <w:sz w:val="20"/>
          <w:szCs w:val="20"/>
          <w:color w:val="auto"/>
        </w:rPr>
      </w:pPr>
      <w:r>
        <w:rPr>
          <w:rFonts w:ascii="Arial" w:cs="Arial" w:eastAsia="Arial" w:hAnsi="Arial"/>
          <w:sz w:val="18"/>
          <w:szCs w:val="18"/>
          <w:color w:val="auto"/>
        </w:rPr>
        <w:t>less than one year, the Company elected the practical expedient and expenses incremental costs immediately. The Company’s deferred</w:t>
      </w:r>
    </w:p>
    <w:p>
      <w:pPr>
        <w:spacing w:after="0" w:line="235" w:lineRule="auto"/>
        <w:rPr>
          <w:sz w:val="20"/>
          <w:szCs w:val="20"/>
          <w:color w:val="auto"/>
        </w:rPr>
      </w:pPr>
      <w:r>
        <w:rPr>
          <w:rFonts w:ascii="Arial" w:cs="Arial" w:eastAsia="Arial" w:hAnsi="Arial"/>
          <w:sz w:val="18"/>
          <w:szCs w:val="18"/>
          <w:color w:val="auto"/>
        </w:rPr>
        <w:t>customer contract acquisition costs and costs to fulfill contract balances were $52.0 million and $9.9 million as of March 31, 2019, respectively.</w:t>
      </w:r>
    </w:p>
    <w:p>
      <w:pPr>
        <w:spacing w:after="0" w:line="235" w:lineRule="auto"/>
        <w:rPr>
          <w:sz w:val="20"/>
          <w:szCs w:val="20"/>
          <w:color w:val="auto"/>
        </w:rPr>
      </w:pPr>
      <w:r>
        <w:rPr>
          <w:rFonts w:ascii="Arial" w:cs="Arial" w:eastAsia="Arial" w:hAnsi="Arial"/>
          <w:sz w:val="18"/>
          <w:szCs w:val="18"/>
          <w:color w:val="auto"/>
        </w:rPr>
        <w:t>Of the Company’s total deferred customer contract acquisition costs and costs to fulfill contracts, $20.6 million was included in prepaid</w:t>
      </w:r>
    </w:p>
    <w:p>
      <w:pPr>
        <w:spacing w:after="0" w:line="235" w:lineRule="auto"/>
        <w:rPr>
          <w:sz w:val="20"/>
          <w:szCs w:val="20"/>
          <w:color w:val="auto"/>
        </w:rPr>
      </w:pPr>
      <w:r>
        <w:rPr>
          <w:rFonts w:ascii="Arial" w:cs="Arial" w:eastAsia="Arial" w:hAnsi="Arial"/>
          <w:sz w:val="18"/>
          <w:szCs w:val="18"/>
          <w:color w:val="auto"/>
        </w:rPr>
        <w:t>expenses and other current assets and $41.3 million was included in other assets on the Company’s consolidated balance sheet as of</w:t>
      </w:r>
    </w:p>
    <w:p>
      <w:pPr>
        <w:spacing w:after="0" w:line="235" w:lineRule="auto"/>
        <w:rPr>
          <w:sz w:val="20"/>
          <w:szCs w:val="20"/>
          <w:color w:val="auto"/>
        </w:rPr>
      </w:pPr>
      <w:r>
        <w:rPr>
          <w:rFonts w:ascii="Arial" w:cs="Arial" w:eastAsia="Arial" w:hAnsi="Arial"/>
          <w:sz w:val="18"/>
          <w:szCs w:val="18"/>
          <w:color w:val="auto"/>
        </w:rPr>
        <w:t>March 31, 2019. For total deferred customer contract acquisition costs and contract fulfillment costs, the Company’s amortization and reduction</w:t>
      </w:r>
    </w:p>
    <w:p>
      <w:pPr>
        <w:spacing w:after="0"/>
        <w:rPr>
          <w:sz w:val="20"/>
          <w:szCs w:val="20"/>
          <w:color w:val="auto"/>
        </w:rPr>
      </w:pPr>
      <w:r>
        <w:rPr>
          <w:rFonts w:ascii="Arial" w:cs="Arial" w:eastAsia="Arial" w:hAnsi="Arial"/>
          <w:sz w:val="18"/>
          <w:szCs w:val="18"/>
          <w:color w:val="auto"/>
        </w:rPr>
        <w:t>of carrying value associated with contract termination was $41.6 million for the fiscal year ended March 31, 2019.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results</w:t>
      </w:r>
    </w:p>
    <w:p>
      <w:pPr>
        <w:spacing w:after="0" w:line="95"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The Company adopted ASC 606 as of April 1, 2018 using the “modified retrospective method” under which the Company is required to provide additional disclosures comparing results to previous accounting standards. Accordingly, the following table presents the Company’s reported results under ASC 606 and the Company’s pro forma results using the historical accounting method under ASC 605 for the fiscal year ended March 31, 2019 and as of March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4"/>
          </w:tcPr>
          <w:p>
            <w:pPr>
              <w:jc w:val="center"/>
              <w:ind w:left="873"/>
              <w:spacing w:after="0"/>
              <w:rPr>
                <w:sz w:val="20"/>
                <w:szCs w:val="20"/>
                <w:color w:val="auto"/>
              </w:rPr>
            </w:pPr>
            <w:r>
              <w:rPr>
                <w:rFonts w:ascii="Arial" w:cs="Arial" w:eastAsia="Arial" w:hAnsi="Arial"/>
                <w:sz w:val="14"/>
                <w:szCs w:val="14"/>
                <w:b w:val="1"/>
                <w:bCs w:val="1"/>
                <w:color w:val="auto"/>
              </w:rPr>
              <w:t>Fiscal Year Ended March 31, 2019</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Historical</w:t>
            </w:r>
          </w:p>
        </w:tc>
      </w:tr>
      <w:tr>
        <w:trPr>
          <w:trHeight w:val="16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ind w:right="293"/>
              <w:spacing w:after="0"/>
              <w:rPr>
                <w:sz w:val="20"/>
                <w:szCs w:val="20"/>
                <w:color w:val="auto"/>
              </w:rPr>
            </w:pPr>
            <w:r>
              <w:rPr>
                <w:rFonts w:ascii="Arial" w:cs="Arial" w:eastAsia="Arial" w:hAnsi="Arial"/>
                <w:sz w:val="14"/>
                <w:szCs w:val="14"/>
                <w:b w:val="1"/>
                <w:bCs w:val="1"/>
                <w:color w:val="auto"/>
              </w:rPr>
              <w:t>Impact of</w:t>
            </w:r>
          </w:p>
        </w:tc>
        <w:tc>
          <w:tcPr>
            <w:tcW w:w="4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Accounting</w:t>
            </w:r>
          </w:p>
        </w:tc>
      </w:tr>
      <w:tr>
        <w:trPr>
          <w:trHeight w:val="175"/>
        </w:trPr>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393"/>
              <w:spacing w:after="0"/>
              <w:rPr>
                <w:sz w:val="20"/>
                <w:szCs w:val="20"/>
                <w:color w:val="auto"/>
              </w:rPr>
            </w:pPr>
            <w:r>
              <w:rPr>
                <w:rFonts w:ascii="Arial" w:cs="Arial" w:eastAsia="Arial" w:hAnsi="Arial"/>
                <w:sz w:val="14"/>
                <w:szCs w:val="14"/>
                <w:b w:val="1"/>
                <w:bCs w:val="1"/>
                <w:color w:val="auto"/>
              </w:rPr>
              <w:t>As Reported</w:t>
            </w:r>
          </w:p>
        </w:tc>
        <w:tc>
          <w:tcPr>
            <w:tcW w:w="280" w:type="dxa"/>
            <w:vAlign w:val="bottom"/>
          </w:tcPr>
          <w:p>
            <w:pPr>
              <w:spacing w:after="0"/>
              <w:rPr>
                <w:sz w:val="15"/>
                <w:szCs w:val="15"/>
                <w:color w:val="auto"/>
              </w:rPr>
            </w:pPr>
          </w:p>
        </w:tc>
        <w:tc>
          <w:tcPr>
            <w:tcW w:w="1460" w:type="dxa"/>
            <w:vAlign w:val="bottom"/>
          </w:tcPr>
          <w:p>
            <w:pPr>
              <w:jc w:val="center"/>
              <w:ind w:right="273"/>
              <w:spacing w:after="0"/>
              <w:rPr>
                <w:sz w:val="20"/>
                <w:szCs w:val="20"/>
                <w:color w:val="auto"/>
              </w:rPr>
            </w:pPr>
            <w:r>
              <w:rPr>
                <w:rFonts w:ascii="Arial" w:cs="Arial" w:eastAsia="Arial" w:hAnsi="Arial"/>
                <w:sz w:val="14"/>
                <w:szCs w:val="14"/>
                <w:b w:val="1"/>
                <w:bCs w:val="1"/>
                <w:color w:val="auto"/>
              </w:rPr>
              <w:t>ASC 606</w:t>
            </w:r>
          </w:p>
        </w:tc>
        <w:tc>
          <w:tcPr>
            <w:tcW w:w="4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Method</w:t>
            </w:r>
          </w:p>
        </w:tc>
      </w:tr>
      <w:tr>
        <w:trPr>
          <w:trHeight w:val="169"/>
        </w:trPr>
        <w:tc>
          <w:tcPr>
            <w:tcW w:w="6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gridSpan w:val="4"/>
          </w:tcPr>
          <w:p>
            <w:pPr>
              <w:jc w:val="center"/>
              <w:ind w:left="873"/>
              <w:spacing w:after="0"/>
              <w:rPr>
                <w:sz w:val="20"/>
                <w:szCs w:val="20"/>
                <w:color w:val="auto"/>
              </w:rPr>
            </w:pPr>
            <w:r>
              <w:rPr>
                <w:rFonts w:ascii="Arial" w:cs="Arial" w:eastAsia="Arial" w:hAnsi="Arial"/>
                <w:sz w:val="14"/>
                <w:szCs w:val="14"/>
                <w:b w:val="1"/>
                <w:bCs w:val="1"/>
                <w:color w:val="auto"/>
              </w:rPr>
              <w:t>(In thousands, except per share data)</w:t>
            </w: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3"/>
        </w:trPr>
        <w:tc>
          <w:tcPr>
            <w:tcW w:w="638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Consolidated Statements of Operations and Comprehensive Income</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Product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1,092,691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(5,263)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1,087,428</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975,567</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(3,062)</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972,505</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2,068,258</w:t>
            </w:r>
          </w:p>
        </w:tc>
        <w:tc>
          <w:tcPr>
            <w:tcW w:w="28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(8,325)</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2,059,933</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834,472</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(3,877)</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830,595</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8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703,249</w:t>
            </w:r>
          </w:p>
        </w:tc>
        <w:tc>
          <w:tcPr>
            <w:tcW w:w="28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702,986</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458,458</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9,278</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467,736</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123,044</w:t>
            </w:r>
          </w:p>
        </w:tc>
        <w:tc>
          <w:tcPr>
            <w:tcW w:w="28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7,498</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130,542</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(60,620)</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(20,961)</w:t>
            </w: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(81,581)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(50,010)</w:t>
            </w:r>
          </w:p>
        </w:tc>
        <w:tc>
          <w:tcPr>
            <w:tcW w:w="28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4,206</w:t>
            </w:r>
          </w:p>
        </w:tc>
        <w:tc>
          <w:tcPr>
            <w:tcW w:w="4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(45,804)</w:t>
            </w: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(110,481)</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(16,754)</w:t>
            </w: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(127,235)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8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41,014</w:t>
            </w:r>
          </w:p>
        </w:tc>
        <w:tc>
          <w:tcPr>
            <w:tcW w:w="28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4,499</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45,513</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(66,469)</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(12,256)</w:t>
            </w: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(78,725)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8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(67,623)</w:t>
            </w:r>
          </w:p>
        </w:tc>
        <w:tc>
          <w:tcPr>
            <w:tcW w:w="28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(12,256)</w:t>
            </w:r>
          </w:p>
        </w:tc>
        <w:tc>
          <w:tcPr>
            <w:tcW w:w="4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(79,879)</w:t>
            </w:r>
          </w:p>
        </w:tc>
      </w:tr>
      <w:tr>
        <w:trPr>
          <w:trHeight w:val="216"/>
        </w:trPr>
        <w:tc>
          <w:tcPr>
            <w:tcW w:w="6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Basic net loss per share attributable to Viasat, Inc.</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380" w:type="dxa"/>
            <w:vAlign w:val="bottom"/>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line="203" w:lineRule="exact"/>
              <w:rPr>
                <w:sz w:val="20"/>
                <w:szCs w:val="20"/>
                <w:color w:val="auto"/>
              </w:rPr>
            </w:pPr>
            <w:r>
              <w:rPr>
                <w:rFonts w:ascii="Arial" w:cs="Arial" w:eastAsia="Arial" w:hAnsi="Arial"/>
                <w:sz w:val="18"/>
                <w:szCs w:val="18"/>
                <w:color w:val="auto"/>
              </w:rPr>
              <w:t>(1.13)</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line="203" w:lineRule="exact"/>
              <w:rPr>
                <w:sz w:val="20"/>
                <w:szCs w:val="20"/>
                <w:color w:val="auto"/>
              </w:rPr>
            </w:pPr>
            <w:r>
              <w:rPr>
                <w:rFonts w:ascii="Arial" w:cs="Arial" w:eastAsia="Arial" w:hAnsi="Arial"/>
                <w:sz w:val="18"/>
                <w:szCs w:val="18"/>
                <w:color w:val="auto"/>
              </w:rPr>
              <w:t>(0.20)</w:t>
            </w:r>
          </w:p>
        </w:tc>
        <w:tc>
          <w:tcPr>
            <w:tcW w:w="4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(1.33)</w:t>
            </w:r>
          </w:p>
        </w:tc>
      </w:tr>
      <w:tr>
        <w:trPr>
          <w:trHeight w:val="215"/>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 attributable to Viasat, Inc.</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3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rPr>
              <w:t>(0.20)</w:t>
            </w:r>
          </w:p>
        </w:tc>
        <w:tc>
          <w:tcPr>
            <w:tcW w:w="400" w:type="dxa"/>
            <w:vAlign w:val="bottom"/>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(1.33)</w:t>
            </w:r>
          </w:p>
        </w:tc>
      </w:tr>
      <w:tr>
        <w:trPr>
          <w:trHeight w:val="459"/>
        </w:trPr>
        <w:tc>
          <w:tcPr>
            <w:tcW w:w="6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2019</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Historical</w:t>
            </w:r>
          </w:p>
        </w:tc>
      </w:tr>
      <w:tr>
        <w:trPr>
          <w:trHeight w:val="16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ind w:right="293"/>
              <w:spacing w:after="0"/>
              <w:rPr>
                <w:sz w:val="20"/>
                <w:szCs w:val="20"/>
                <w:color w:val="auto"/>
              </w:rPr>
            </w:pPr>
            <w:r>
              <w:rPr>
                <w:rFonts w:ascii="Arial" w:cs="Arial" w:eastAsia="Arial" w:hAnsi="Arial"/>
                <w:sz w:val="14"/>
                <w:szCs w:val="14"/>
                <w:b w:val="1"/>
                <w:bCs w:val="1"/>
                <w:color w:val="auto"/>
              </w:rPr>
              <w:t>Impact of</w:t>
            </w:r>
          </w:p>
        </w:tc>
        <w:tc>
          <w:tcPr>
            <w:tcW w:w="4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Accounting</w:t>
            </w:r>
          </w:p>
        </w:tc>
      </w:tr>
      <w:tr>
        <w:trPr>
          <w:trHeight w:val="175"/>
        </w:trPr>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393"/>
              <w:spacing w:after="0"/>
              <w:rPr>
                <w:sz w:val="20"/>
                <w:szCs w:val="20"/>
                <w:color w:val="auto"/>
              </w:rPr>
            </w:pPr>
            <w:r>
              <w:rPr>
                <w:rFonts w:ascii="Arial" w:cs="Arial" w:eastAsia="Arial" w:hAnsi="Arial"/>
                <w:sz w:val="14"/>
                <w:szCs w:val="14"/>
                <w:b w:val="1"/>
                <w:bCs w:val="1"/>
                <w:color w:val="auto"/>
              </w:rPr>
              <w:t>As Reported</w:t>
            </w:r>
          </w:p>
        </w:tc>
        <w:tc>
          <w:tcPr>
            <w:tcW w:w="280" w:type="dxa"/>
            <w:vAlign w:val="bottom"/>
          </w:tcPr>
          <w:p>
            <w:pPr>
              <w:spacing w:after="0"/>
              <w:rPr>
                <w:sz w:val="15"/>
                <w:szCs w:val="15"/>
                <w:color w:val="auto"/>
              </w:rPr>
            </w:pPr>
          </w:p>
        </w:tc>
        <w:tc>
          <w:tcPr>
            <w:tcW w:w="1460" w:type="dxa"/>
            <w:vAlign w:val="bottom"/>
          </w:tcPr>
          <w:p>
            <w:pPr>
              <w:jc w:val="center"/>
              <w:ind w:right="273"/>
              <w:spacing w:after="0"/>
              <w:rPr>
                <w:sz w:val="20"/>
                <w:szCs w:val="20"/>
                <w:color w:val="auto"/>
              </w:rPr>
            </w:pPr>
            <w:r>
              <w:rPr>
                <w:rFonts w:ascii="Arial" w:cs="Arial" w:eastAsia="Arial" w:hAnsi="Arial"/>
                <w:sz w:val="14"/>
                <w:szCs w:val="14"/>
                <w:b w:val="1"/>
                <w:bCs w:val="1"/>
                <w:color w:val="auto"/>
              </w:rPr>
              <w:t>ASC 606</w:t>
            </w:r>
          </w:p>
        </w:tc>
        <w:tc>
          <w:tcPr>
            <w:tcW w:w="4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Method</w:t>
            </w:r>
          </w:p>
        </w:tc>
      </w:tr>
      <w:tr>
        <w:trPr>
          <w:trHeight w:val="169"/>
        </w:trPr>
        <w:tc>
          <w:tcPr>
            <w:tcW w:w="6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300,307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1,774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302,081</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234,518</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(1,681)</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232,837</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90,646</w:t>
            </w:r>
          </w:p>
        </w:tc>
        <w:tc>
          <w:tcPr>
            <w:tcW w:w="28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(18,562)</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72,084</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758,805</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(26,723)</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732,082</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308,268</w:t>
            </w:r>
          </w:p>
        </w:tc>
        <w:tc>
          <w:tcPr>
            <w:tcW w:w="28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(5,687)</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302,581</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245,585</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(39,504)</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206,081</w:t>
            </w:r>
          </w:p>
        </w:tc>
        <w:tc>
          <w:tcPr>
            <w:tcW w:w="120" w:type="dxa"/>
            <w:vAlign w:val="bottom"/>
            <w:shd w:val="clear" w:color="auto" w:fill="CFF0FC"/>
          </w:tcPr>
          <w:p>
            <w:pPr>
              <w:spacing w:after="0"/>
              <w:rPr>
                <w:sz w:val="18"/>
                <w:szCs w:val="18"/>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85"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SG&amp;A expenses. Advertising expenses for fiscal years 2019, 2018 and 2017 were $37.8 million, $14.4 million and $4.8 million, respectively.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Effective April 1, 2017, the Company adopted a change in accounting policy in accordance with ASU 2016-09, Compensation — Stock Compensation (ASC 718) to account for forfeitures as they occur. Prior to April 1, 2017, forfeitures were estimated at the date of grant and revised, if necessary, in subsequent periods if actual forfeitures differed from those estimates.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85"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other long-term liabilities in the consolidated balance sheets.</w:t>
      </w:r>
    </w:p>
    <w:p>
      <w:pPr>
        <w:spacing w:after="0" w:line="347"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51"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9" w:lineRule="exact"/>
        <w:rPr>
          <w:sz w:val="20"/>
          <w:szCs w:val="20"/>
          <w:color w:val="auto"/>
        </w:rPr>
      </w:pPr>
    </w:p>
    <w:p>
      <w:pPr>
        <w:ind w:right="460" w:firstLine="518"/>
        <w:spacing w:after="0" w:line="246" w:lineRule="auto"/>
        <w:rPr>
          <w:sz w:val="20"/>
          <w:szCs w:val="20"/>
          <w:color w:val="auto"/>
        </w:rPr>
      </w:pPr>
      <w:r>
        <w:rPr>
          <w:rFonts w:ascii="Arial" w:cs="Arial" w:eastAsia="Arial" w:hAnsi="Arial"/>
          <w:sz w:val="18"/>
          <w:szCs w:val="18"/>
          <w:color w:val="auto"/>
        </w:rPr>
        <w:t>At March 31, 2019 and 2018, deferred rent included in other long-term liabilities in the Company’s consolidated balance sheets was $16.8 million and $13.8 million, respectively.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w:t>
      </w:r>
    </w:p>
    <w:p>
      <w:pPr>
        <w:spacing w:after="0" w:line="239" w:lineRule="auto"/>
        <w:rPr>
          <w:sz w:val="20"/>
          <w:szCs w:val="20"/>
          <w:color w:val="auto"/>
        </w:rPr>
      </w:pPr>
      <w:r>
        <w:rPr>
          <w:rFonts w:ascii="Arial" w:cs="Arial" w:eastAsia="Arial" w:hAnsi="Arial"/>
          <w:sz w:val="18"/>
          <w:szCs w:val="18"/>
          <w:color w:val="auto"/>
        </w:rPr>
        <w:t>future operating results. In addition, the Company’s evaluation considered other factors, including the Company’s contractual backlog,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TSR performance stock options)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 xml:space="preserve">In May 2014, the Financial Accounting Standards Board (FASB) issued ASU 2014-09, Revenue from Contracts with Customers. ASU 2014-09 requires an entity to recognize the amount of revenue to which it expects to be entitled for the transfer of promised goods or services to a customer. This guidance replaced most existing revenue recognition guidance and became effective for the Company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adopted this standard effective as of April 1, 2018 utilizing the “modified retrospective method.” For additional information see Note 1 –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was required to be applied by means of a cumulative-effect adjustment to the balance sheet as of the beginning of the fiscal year of adoption. In February 2018, the FASB issued ASU 2018-03, Technical Corrections and Improvements to Financial Instruments – Overall (ASC 825-10), which clarified certain aspects of the guidance issued in ASU 2016-01. ASU 2016-01 became effective for the Company in fiscal year 2019. The Company adopted the guidance in ASU 2016-01 beginning in the first quarter of fiscal year 2019 on a modified retrospective basis and adopted the guidance in ASU 2018-03 beginning in the second quarter of fiscal year 2019. The guidance in both ASU 2016-01 and ASU 2018-03 did not have a material impact on the Company’s consolidated financial statements and disclosures.</w:t>
      </w:r>
    </w:p>
    <w:p>
      <w:pPr>
        <w:spacing w:after="0" w:line="18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February 2016, the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2018-11, Leases (ASC 842): Targeted Improvements, which provides an additional (and optional) transition method whereby the new lease standard is applied at the adoption date and recognized as an adjustment to retained earnings. In December 2018, the FASB issued ASU 2018-20, Leases (ASC 842): Narrow-Scope Improvements for Lessors, and in March 2019, the FASB issued ASU 2019-01 (ASC 842): Codification Improvements, both of which provide certain amendments that affect narrow aspects of the guidance issued in ASU 2016-02. The new guidance will become effective for the Company beginning in the first quarter of fiscal year 2020, with early adoption permitted. The Company expects to adopt the new guidance using the optional transition method. Therefore, it is expected that periods prior to the effective date of adoption will continue to be reported under the current authoritative guidance for leases (ASC 840). Upon adoption, the Company expects a material impact to its consolidated balance sheet due to the recognition of lease liabilities and right-of-use assets. The Company does not expect the new guidance to have a material impact on its consolidated statement of operations and comprehensive income (loss) or statement of cash flows.</w:t>
      </w:r>
    </w:p>
    <w:p>
      <w:pPr>
        <w:spacing w:after="0" w:line="18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Subsequently, in November 2018, the FASB issued ASU 2018-19, Codification Improvements to Topic 326, Financial Instruments – Credit Losses (ASC 326), which clarifies that impairment of receivables arising from operating leases should be accounted for in accordance with ASC 842, Leases.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94"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requires adoption on a retrospective basis unless it is impracticable to apply, in which case the Company would be required to apply the amendments prospectively as of the earliest date practicable. The Company early adopted the guidance on a retrospective basis in the second quarter of fiscal year 2018 and as a result cash payments for debt prepayment and extinguishment are classified as cash outflows for financing activities. Otherwise the adoption of this guidance did not have a material impact on its consolidated financial statements and disclosures.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became effective for the Company beginning in the first quarter of fiscal year 2019. The new standard requires adoption on a modified retrospective basis through a cumulative-effect adjustment directly to retained earnings as of the beginning of the period. The Company adopted this guidance beginning in the first quarter of fiscal year 2019 on a modified retrospective basis and the guidance did not have a material impact on the Company’s consolidated financial statements and disclosures.</w:t>
      </w:r>
    </w:p>
    <w:p>
      <w:pPr>
        <w:spacing w:after="0" w:line="192"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November 2016, the FASB issued ASU 2016-18, Statement of Cash Flows: Restricted Cash (ASC 230). The amendments address diversity in practice that exists in the classification and presentation of changes in restricted cash and require that a statement of cash flows explain the change during the period in the total of cash, cash equivalents, and amounts generally described as restricted cash or restricted cash equivalents. During the third quarter of fiscal year 2017, the Company early adopted this standard on a retrospective basis. The guidance did not have a material impact on the Company’s consolidated financial statements and disclosures.</w:t>
      </w:r>
    </w:p>
    <w:p>
      <w:pPr>
        <w:spacing w:after="0" w:line="189"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new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92"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8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9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8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became effective for the Company beginning in the first quarter of fiscal year 2019. The Company early adopted this standard beginning in the fourth quarter of fiscal year 2018 and the guidance did not have a material impact on the Company’s consolidated financial statements and disclosures.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In October 2018, the FASB issued ASU 2018-16, Derivatives and Hedging (ASC 815): Inclusion of the Secured Overnight Financing Rate (SOFR) Overnight Index SWAP (OIS) Rate as a Benchmark Interest Rate for Hedge Accounting Purposes. ASU 2018-16 permits use of the OIS rate based on SOFR as a U.S. benchmark interest rate for hedge accounting purposes. These standards will become effective for the Company beginning in fiscal year 2020, with early adoption permitted. The Company is currently evaluating the impact of this standard on its consolidated financial statements and disclosures.</w:t>
      </w:r>
    </w:p>
    <w:p>
      <w:pPr>
        <w:spacing w:after="0" w:line="19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February 2018, the FASB issued ASU 2018-02, Income Statement – Reporting Comprehensive Income (ASC 220) which permits a reclassification from accumulated other comprehensive income to retained earnings for stranded tax effects resulting from the newly enacted federal corporate income tax rate under H.R.1, informally known as the Tax Cuts and Jobs Act, which was enacted into law on December 22, 2017 (the Tax Reform). During the fourth quarter of fiscal year 2018, the Company early adopted this standard and elected to reclassify the stranded tax effects from accumulated other comprehensive income to retained earnings. Adoption of this standard resulted in a reclassification of $2.2 million from accumulated other comprehensive income to retained earnings, which is reflected as a separate line within the Company’s consolidated statements of equity.</w:t>
      </w:r>
    </w:p>
    <w:p>
      <w:pPr>
        <w:spacing w:after="0" w:line="190"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In June 2018, the FASB issued ASU 2018-07, Compensation – Stock Compensation (ASC 718): Improvements to Nonemployee Share-Based Payment Accounting. ASU 2018-07 simplifies the accounting for nonemployee share-based payment transactions. Consequently, the accounting for share-based payments to nonemployees and employees will be substantially aligned. The Company early adopted the guidance in the first quarter of fiscal year 2019 and the guidance did not have a material impact on the Company’s consolidated financial statements and disclosures.</w:t>
      </w:r>
    </w:p>
    <w:p>
      <w:pPr>
        <w:spacing w:after="0" w:line="189"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ASU 2018-09 will become effective for the Company beginning in fiscal year 2020. The Company is currently evaluating the impact of this standard on its consolidated financial statements and disclosures, however this standard has not and is not expected to have a material impact on its consolidated financial statements and disclosures.</w:t>
      </w:r>
    </w:p>
    <w:p>
      <w:pPr>
        <w:spacing w:after="0" w:line="189"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18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August 2018, the FASB issued ASU 2018-15, Intangibles—Goodwill and Other—Internal-Use Software (ASC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Company early adopted the guidance in the second quarter of fiscal year 2019 on a prospective basis and the adoption of the guidance did not have a material impact on the Company’s consolidated financial statements and disclosures.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5"/>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gridSpan w:val="4"/>
          </w:tcPr>
          <w:p>
            <w:pPr>
              <w:jc w:val="right"/>
              <w:ind w:right="119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 net:</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Billed</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218,276</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184,536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Unbilled</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83,743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Allowance for doubtful accounts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(1,712)</w:t>
            </w:r>
          </w:p>
        </w:tc>
        <w:tc>
          <w:tcPr>
            <w:tcW w:w="1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56"/>
        </w:trPr>
        <w:tc>
          <w:tcPr>
            <w:tcW w:w="6380" w:type="dxa"/>
            <w:vAlign w:val="bottom"/>
            <w:tcBorders>
              <w:top w:val="single" w:sz="8" w:color="CFF0FC"/>
              <w:bottom w:val="single" w:sz="8" w:color="CFF0FC"/>
            </w:tcBorders>
            <w:shd w:val="clear" w:color="auto" w:fill="CFF0FC"/>
          </w:tcPr>
          <w:p>
            <w:pPr>
              <w:spacing w:after="0"/>
              <w:rPr>
                <w:sz w:val="13"/>
                <w:szCs w:val="13"/>
                <w:color w:val="auto"/>
              </w:rPr>
            </w:pPr>
          </w:p>
        </w:tc>
        <w:tc>
          <w:tcPr>
            <w:tcW w:w="14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300,307</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267,665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Raw materials</w:t>
            </w:r>
          </w:p>
        </w:tc>
        <w:tc>
          <w:tcPr>
            <w:tcW w:w="1680" w:type="dxa"/>
            <w:vAlign w:val="bottom"/>
            <w:gridSpan w:val="2"/>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77,834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Work in process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52,084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47,465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Finished goods</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104,600</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86,590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234,518</w:t>
            </w:r>
          </w:p>
        </w:tc>
        <w:tc>
          <w:tcPr>
            <w:tcW w:w="280" w:type="dxa"/>
            <w:vAlign w:val="bottom"/>
          </w:tcPr>
          <w:p>
            <w:pPr>
              <w:spacing w:after="0"/>
              <w:rPr>
                <w:sz w:val="17"/>
                <w:szCs w:val="17"/>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196,307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14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72,369</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68,516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18,277</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90,646</w:t>
            </w:r>
          </w:p>
        </w:tc>
        <w:tc>
          <w:tcPr>
            <w:tcW w:w="280" w:type="dxa"/>
            <w:vAlign w:val="bottom"/>
          </w:tcPr>
          <w:p>
            <w:pPr>
              <w:spacing w:after="0"/>
              <w:rPr>
                <w:sz w:val="17"/>
                <w:szCs w:val="17"/>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77,135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Satellites, net:</w:t>
            </w:r>
          </w:p>
        </w:tc>
        <w:tc>
          <w:tcPr>
            <w:tcW w:w="14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Satellites (estimated useful life of 10-17 years)</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978,118</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1,152,503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of satellite capacity — Anik F2 (estimated useful life of 10 years)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Satellites under construction</w:t>
            </w:r>
          </w:p>
        </w:tc>
        <w:tc>
          <w:tcPr>
            <w:tcW w:w="14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590,000</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362,342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1,667,208</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1,613,935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Less: accumulated depreciation and amortization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(451,545)</w:t>
            </w:r>
          </w:p>
        </w:tc>
        <w:tc>
          <w:tcPr>
            <w:tcW w:w="1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(373,948)</w:t>
            </w:r>
          </w:p>
        </w:tc>
        <w:tc>
          <w:tcPr>
            <w:tcW w:w="0" w:type="dxa"/>
            <w:vAlign w:val="bottom"/>
          </w:tcPr>
          <w:p>
            <w:pPr>
              <w:spacing w:after="0"/>
              <w:rPr>
                <w:sz w:val="1"/>
                <w:szCs w:val="1"/>
                <w:color w:val="auto"/>
              </w:rPr>
            </w:pPr>
          </w:p>
        </w:tc>
      </w:tr>
      <w:tr>
        <w:trPr>
          <w:trHeight w:val="156"/>
        </w:trPr>
        <w:tc>
          <w:tcPr>
            <w:tcW w:w="6380" w:type="dxa"/>
            <w:vAlign w:val="bottom"/>
            <w:tcBorders>
              <w:top w:val="single" w:sz="8" w:color="CFF0FC"/>
              <w:bottom w:val="single" w:sz="8" w:color="CFF0FC"/>
            </w:tcBorders>
            <w:shd w:val="clear" w:color="auto" w:fill="CFF0FC"/>
          </w:tcPr>
          <w:p>
            <w:pPr>
              <w:spacing w:after="0"/>
              <w:rPr>
                <w:sz w:val="13"/>
                <w:szCs w:val="13"/>
                <w:color w:val="auto"/>
              </w:rPr>
            </w:pPr>
          </w:p>
        </w:tc>
        <w:tc>
          <w:tcPr>
            <w:tcW w:w="14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1,215,663</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1,239,987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4"/>
                <w:szCs w:val="14"/>
                <w:color w:val="auto"/>
              </w:rPr>
              <w:t>Property and equipment, net:</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Equipment and software (estimated useful life of 3-7 years)</w:t>
            </w:r>
          </w:p>
        </w:tc>
        <w:tc>
          <w:tcPr>
            <w:tcW w:w="1680" w:type="dxa"/>
            <w:vAlign w:val="bottom"/>
            <w:gridSpan w:val="2"/>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1,027,293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864,140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CPE leased equipment (estimated useful life of 4-5 years)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373,357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298,746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Furniture and fixtures (estimated useful life of 7 years)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46,678</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Leasehold improvements (estimated useful life of 2-17 years)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126,528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111,841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Building (estimated useful life of 24 years)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Land</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2,291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15,322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Construction in progress</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167,178</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1,752,248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1,442,398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Less: accumulated depreciation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(842,621)</w:t>
            </w:r>
          </w:p>
        </w:tc>
        <w:tc>
          <w:tcPr>
            <w:tcW w:w="1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(719,910)</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FF0FC"/>
            </w:tcBorders>
          </w:tcPr>
          <w:p>
            <w:pPr>
              <w:spacing w:after="0"/>
              <w:rPr>
                <w:sz w:val="17"/>
                <w:szCs w:val="17"/>
                <w:color w:val="auto"/>
              </w:rPr>
            </w:pPr>
          </w:p>
        </w:tc>
        <w:tc>
          <w:tcPr>
            <w:tcW w:w="14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909,627</w:t>
            </w:r>
          </w:p>
        </w:tc>
        <w:tc>
          <w:tcPr>
            <w:tcW w:w="2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722,488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 assets:</w:t>
            </w:r>
          </w:p>
        </w:tc>
        <w:tc>
          <w:tcPr>
            <w:tcW w:w="1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Investment in unconsolidated affiliate</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160,711</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163,835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income taxes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258,834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222,274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Capitalized software costs, net</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244,368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246,792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Patents, orbital slots and other licenses, net</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23,059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71,833</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758,805</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686,134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Accrued liabilities:</w:t>
            </w:r>
          </w:p>
        </w:tc>
        <w:tc>
          <w:tcPr>
            <w:tcW w:w="1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Collections in excess of revenues and deferred revenues</w:t>
            </w:r>
          </w:p>
        </w:tc>
        <w:tc>
          <w:tcPr>
            <w:tcW w:w="1680" w:type="dxa"/>
            <w:vAlign w:val="bottom"/>
            <w:gridSpan w:val="2"/>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125,540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Accrued employee compensation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56,454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46,106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vacation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43,077</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Warranty reserve, current portion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5,877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77,320</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308,268</w:t>
            </w:r>
          </w:p>
        </w:tc>
        <w:tc>
          <w:tcPr>
            <w:tcW w:w="280" w:type="dxa"/>
            <w:vAlign w:val="bottom"/>
          </w:tcPr>
          <w:p>
            <w:pPr>
              <w:spacing w:after="0"/>
              <w:rPr>
                <w:sz w:val="17"/>
                <w:szCs w:val="17"/>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263,676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Other liabilities:</w:t>
            </w:r>
          </w:p>
        </w:tc>
        <w:tc>
          <w:tcPr>
            <w:tcW w:w="14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Deferred revenue, long-term portion</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71,230</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77,831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rent, long-term portion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16,810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Warranty reserve, long-term portion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1,707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Satellite performance incentive obligation, long-term portion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25,324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120,826</w:t>
            </w:r>
          </w:p>
        </w:tc>
        <w:tc>
          <w:tcPr>
            <w:tcW w:w="28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121,240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29" w:lineRule="exact"/>
        <w:rPr>
          <w:sz w:val="20"/>
          <w:szCs w:val="20"/>
          <w:color w:val="auto"/>
        </w:rPr>
      </w:pPr>
    </w:p>
    <w:p>
      <w:pPr>
        <w:jc w:val="both"/>
        <w:ind w:right="740" w:firstLine="518"/>
        <w:spacing w:after="0"/>
        <w:rPr>
          <w:sz w:val="20"/>
          <w:szCs w:val="20"/>
          <w:color w:val="auto"/>
        </w:rPr>
      </w:pPr>
      <w:r>
        <w:rPr>
          <w:rFonts w:ascii="Arial" w:cs="Arial" w:eastAsia="Arial" w:hAnsi="Arial"/>
          <w:sz w:val="18"/>
          <w:szCs w:val="18"/>
          <w:color w:val="auto"/>
        </w:rPr>
        <w:t>The Company had no assets and an insignificant amount of liabilities (Level 2) measured at fair value on a recurring basis as of March 31, 2019, and had an insignificant amount of assets (Level 1) and no liabilities measured at fair value on a recurring basis as of March 31, 2018.</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380" w:firstLine="518"/>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7"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4"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as well as $700.0 million in aggregate principal amount of 2025 Notes and $600.0 million in aggregate principal amount of 2027 Notes. Long-term debt related to the Revolving Credit Facility is reported at the outstanding principal amount of borrowings, while long-term debt related to the Ex-Im Credit Facility, 2025 Notes and 2027 Notes is reported at amortized cost. However, for disclosure purposes, the Company is required to measure the fair value of outstanding debt on a recurring basis. The fair value of the Company’s outstanding long-term debt as of March 31, 2019 related to the 2027 Notes approximates its carrying amount due to the proximity of the closing of the 2027 Notes compared to the reporting date. As of March 31, 2019 and 2018, the estimated fair value of the Company’s outstanding long-term debt related to the 2025 Notes was determined based on actual or estimated bids and offers for the 2025 Notes in an</w:t>
      </w:r>
    </w:p>
    <w:p>
      <w:pPr>
        <w:spacing w:after="0" w:line="1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over-the-counter market (Level 2) and was $670.3 million and $674.0 million, respectively. The fair value of the Company’s long-term debt related to the Revolving Credit Facility approximates its carrying amount due to its variable interest rate, which approximates a market interest rate. As of March 31, 2019 and 2018, the fair value of the Company’s long-term debt related to the Ex-Im Credit Facility was determined based on a discounted cash flow analysis using observable market interest rates for instruments with similar terms (Level 2) and was approximately $134.9 million and $347.4 million, respectively.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4"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i w:val="1"/>
          <w:iCs w:val="1"/>
          <w:color w:val="auto"/>
        </w:rPr>
        <w:t xml:space="preserve">Satellite performance incentive obligations </w:t>
      </w:r>
      <w:r>
        <w:rPr>
          <w:rFonts w:ascii="Arial" w:cs="Arial" w:eastAsia="Arial" w:hAnsi="Arial"/>
          <w:sz w:val="17"/>
          <w:szCs w:val="17"/>
          <w:color w:val="auto"/>
        </w:rPr>
        <w:t>— The Company’s contracts with the manufacturers of the ViaSat-1 and ViaSat-2 satellites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Company to make monthly in-orbit satellite performance incentive payments, including interest, through approximately fiscal year</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2019 and 2018, the Company’s estimated satellite performance incentive obligations relating to the ViaSat-1 and ViaSat-2 satellites, including accrued interest, were $28.2 million and $21.0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9"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During fiscal year 2019, the increase in the Company’s goodwill related to an insignificant acquisition, partially offset by the effects of foreign currency translation recorded within all three of the Company’s segments. During fiscal year 2018, the increase in the Company’s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goodwill reflected the effects of foreign currency translation recorded within all three of the Company’s segments.</w:t>
      </w:r>
    </w:p>
    <w:p>
      <w:pPr>
        <w:spacing w:after="0" w:line="198" w:lineRule="exact"/>
        <w:rPr>
          <w:sz w:val="20"/>
          <w:szCs w:val="20"/>
          <w:color w:val="auto"/>
        </w:rPr>
      </w:pPr>
    </w:p>
    <w:p>
      <w:pPr>
        <w:ind w:right="80" w:firstLine="518"/>
        <w:spacing w:after="0" w:line="243" w:lineRule="auto"/>
        <w:rPr>
          <w:sz w:val="20"/>
          <w:szCs w:val="20"/>
          <w:color w:val="auto"/>
        </w:rPr>
      </w:pPr>
      <w:r>
        <w:rPr>
          <w:rFonts w:ascii="Arial" w:cs="Arial" w:eastAsia="Arial" w:hAnsi="Arial"/>
          <w:sz w:val="18"/>
          <w:szCs w:val="18"/>
          <w:color w:val="auto"/>
        </w:rPr>
        <w:t>During fiscal year 2019, other acquired intangibles increased slightly due to an insignificant acquisition. Other acquired intangible assets are amortized using the straight-line method over their estimated useful lives of two to ten years. Amortization expense related to other acquired intangible assets was $9.7 million, $12.2 million and $10.8 million for the fiscal years ended March 31, 2019, March 31, 2018 and March 31, 2017, respectively.</w:t>
      </w:r>
    </w:p>
    <w:p>
      <w:pPr>
        <w:spacing w:after="0" w:line="148" w:lineRule="exact"/>
        <w:rPr>
          <w:sz w:val="20"/>
          <w:szCs w:val="20"/>
          <w:color w:val="auto"/>
        </w:rPr>
      </w:pPr>
    </w:p>
    <w:p>
      <w:pPr>
        <w:ind w:right="500" w:firstLine="518"/>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272"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5,101</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Borders>
              <w:bottom w:val="single" w:sz="8" w:color="CFF0FC"/>
            </w:tcBorders>
          </w:tcPr>
          <w:p>
            <w:pPr>
              <w:spacing w:after="0"/>
              <w:rPr>
                <w:sz w:val="18"/>
                <w:szCs w:val="18"/>
                <w:color w:val="auto"/>
              </w:rPr>
            </w:pPr>
          </w:p>
        </w:tc>
      </w:tr>
      <w:tr>
        <w:trPr>
          <w:trHeight w:val="210"/>
        </w:trPr>
        <w:tc>
          <w:tcPr>
            <w:tcW w:w="39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22,301</w:t>
            </w:r>
          </w:p>
        </w:tc>
        <w:tc>
          <w:tcPr>
            <w:tcW w:w="60" w:type="dxa"/>
            <w:vAlign w:val="bottom"/>
            <w:shd w:val="clear" w:color="auto" w:fill="CFF0FC"/>
          </w:tcPr>
          <w:p>
            <w:pPr>
              <w:spacing w:after="0"/>
              <w:rPr>
                <w:sz w:val="18"/>
                <w:szCs w:val="18"/>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The allocation of the other acquired intangible assets and the related accumulated amortization as of March 31, 2019 and 2018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Weighted</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March 31, 2019</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March 31, 2018</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Net Book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Useful Life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49"/>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Technology</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89,972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(73,992)</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15,980</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90,652</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(69,387)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4"/>
                <w:szCs w:val="14"/>
                <w:color w:val="auto"/>
              </w:rPr>
              <w:t>Contracts and customer relationships</w:t>
            </w: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103,283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(96,970)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6,313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103,808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(94,584)</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Satellite co-location rights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(8,592)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(7,668)</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4"/>
                <w:szCs w:val="14"/>
                <w:color w:val="auto"/>
              </w:rPr>
              <w:t>Trade name</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9,989</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(9,989)</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(9,696)</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tcPr>
          <w:p>
            <w:pPr>
              <w:spacing w:after="0"/>
              <w:rPr>
                <w:sz w:val="20"/>
                <w:szCs w:val="20"/>
                <w:color w:val="auto"/>
              </w:rPr>
            </w:pPr>
            <w:r>
              <w:rPr>
                <w:rFonts w:ascii="Arial" w:cs="Arial" w:eastAsia="Arial" w:hAnsi="Arial"/>
                <w:sz w:val="14"/>
                <w:szCs w:val="14"/>
                <w:color w:val="auto"/>
              </w:rPr>
              <w:t>Total other acquired intangible assets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217,784</w:t>
            </w:r>
          </w:p>
        </w:tc>
        <w:tc>
          <w:tcPr>
            <w:tcW w:w="2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(195,483)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22,301</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219,137</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(187,275)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31,862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2019 and 2018:</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r>
      <w:tr>
        <w:trPr>
          <w:trHeight w:val="175"/>
        </w:trPr>
        <w:tc>
          <w:tcPr>
            <w:tcW w:w="4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March 31, 2019</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5"/>
                <w:szCs w:val="15"/>
                <w:color w:val="auto"/>
              </w:rPr>
            </w:pPr>
          </w:p>
        </w:tc>
      </w:tr>
      <w:tr>
        <w:trPr>
          <w:trHeight w:val="169"/>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2027 Notes</w:t>
            </w:r>
          </w:p>
        </w:tc>
        <w:tc>
          <w:tcPr>
            <w:tcW w:w="10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2025 Notes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Ex-Im Credit Facility</w:t>
            </w:r>
          </w:p>
        </w:tc>
        <w:tc>
          <w:tcPr>
            <w:tcW w:w="8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139,560</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362,401</w:t>
            </w:r>
          </w:p>
        </w:tc>
        <w:tc>
          <w:tcPr>
            <w:tcW w:w="80" w:type="dxa"/>
            <w:vAlign w:val="bottom"/>
            <w:tcBorders>
              <w:bottom w:val="single" w:sz="8" w:color="CFF0FC"/>
            </w:tcBorders>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1,439,560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1,062,401</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(26,720)</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(38,696)</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8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80" w:type="dxa"/>
            <w:vAlign w:val="bottom"/>
            <w:shd w:val="clear" w:color="auto" w:fill="CFF0FC"/>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Total long-term debt</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1,392,903</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978,405</w:t>
            </w:r>
          </w:p>
        </w:tc>
        <w:tc>
          <w:tcPr>
            <w:tcW w:w="8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2019 for the next five fiscal years and thereafter were as follows (excluding the effects of discount accretion under the 2025 Notes, the 2027 Notes and the Ex-Im Credit Facility):</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169"/>
        </w:trPr>
        <w:tc>
          <w:tcPr>
            <w:tcW w:w="1880" w:type="dxa"/>
            <w:vAlign w:val="bottom"/>
            <w:tcBorders>
              <w:top w:val="single" w:sz="8" w:color="auto"/>
            </w:tcBorders>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2021</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1,339,875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1,439,560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Plus: unamortized discount and debt issuance costs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(26,720)</w:t>
            </w:r>
          </w:p>
        </w:tc>
        <w:tc>
          <w:tcPr>
            <w:tcW w:w="0" w:type="dxa"/>
            <w:vAlign w:val="bottom"/>
          </w:tcPr>
          <w:p>
            <w:pPr>
              <w:spacing w:after="0"/>
              <w:rPr>
                <w:sz w:val="1"/>
                <w:szCs w:val="1"/>
                <w:color w:val="auto"/>
              </w:rPr>
            </w:pPr>
          </w:p>
        </w:tc>
      </w:tr>
      <w:tr>
        <w:trPr>
          <w:trHeight w:val="210"/>
        </w:trPr>
        <w:tc>
          <w:tcPr>
            <w:tcW w:w="5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1,412,840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340" w:firstLine="518"/>
        <w:spacing w:after="0"/>
        <w:rPr>
          <w:sz w:val="20"/>
          <w:szCs w:val="20"/>
          <w:color w:val="auto"/>
        </w:rPr>
      </w:pPr>
      <w:r>
        <w:rPr>
          <w:rFonts w:ascii="Arial" w:cs="Arial" w:eastAsia="Arial" w:hAnsi="Arial"/>
          <w:sz w:val="18"/>
          <w:szCs w:val="18"/>
          <w:color w:val="auto"/>
        </w:rPr>
        <w:t>As of March 31, 2019, the Revolving Credit Facility provided a $700.0 million revolving line of credit (including up to $150.0 million of letters of credit), with a maturity date of January 18, 2024. On March 27, 2019, the Company reduced available commitments under the Revolving Credit Facility from $800.0 million to $700.0 million.</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2019, none of the Company’s subsidiaries guaranteed the Revolving Credit Facility.</w:t>
      </w:r>
    </w:p>
    <w:p>
      <w:pPr>
        <w:spacing w:after="0" w:line="149"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The Company was in compliance with its financial covenants under the Revolving Credit Facility as of March 31, 2019. At March 31, 2019, the Company had no outstanding borrowings under the Revolving Credit Facility and $ 19.6 million outstanding under standby letters of credit, leaving borrowing availability under the Revolving Credit Facility as of March 31, 2019 of $680.4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4"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March 31, 2019, the Company had $139.6 million in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5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recovery proceeds related to the ViaSat-2 satellite must be used to pay down outstanding borrowings under the Ex-Im Credit Facility upon receipt. During fiscal year 2019, the Company received $185.7 million of insurance proceeds related to the ViaSat-2 satellite, all of which were used to pay down outstanding borrowings under the Ex-Im Credit Facility upon receipt (see Note 1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March 31, 2019.</w:t>
      </w:r>
    </w:p>
    <w:p>
      <w:pPr>
        <w:spacing w:after="0" w:line="148"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weighted average term of the Ex-Im Credit Facility and in accordance with the related payment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9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will commence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March 31, 2019, none of the Company’s subsidiaries guaranteed the 2027 Notes. The 2027 Notes are secured, equally and ratably with the Revolving Credit Facility and any future parity lien debt, by liens on substantially all of the Company’s assets.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1"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March 31, 2019,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5" w:lineRule="exact"/>
        <w:rPr>
          <w:sz w:val="20"/>
          <w:szCs w:val="20"/>
          <w:color w:val="auto"/>
        </w:rPr>
      </w:pPr>
    </w:p>
    <w:p>
      <w:pPr>
        <w:jc w:val="both"/>
        <w:ind w:right="300" w:firstLine="518"/>
        <w:spacing w:after="0" w:line="248" w:lineRule="auto"/>
        <w:rPr>
          <w:sz w:val="20"/>
          <w:szCs w:val="20"/>
          <w:color w:val="auto"/>
        </w:rPr>
      </w:pPr>
      <w:r>
        <w:rPr>
          <w:rFonts w:ascii="Arial" w:cs="Arial" w:eastAsia="Arial" w:hAnsi="Arial"/>
          <w:sz w:val="17"/>
          <w:szCs w:val="17"/>
          <w:color w:val="auto"/>
        </w:rPr>
        <w:t>In connection with the Company’s issuance of the 2025 Notes in September 2017, the Company repurchased and redeemed all of its $575.0 million in aggregate principal amount of 2020 Notes then outstanding through a cash tender offer and redemption, and the indenture governing the 2020 Notes was satisfied and discharged in accordance with its terms. In September 2017, the Company repurchased</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$298.2 million in aggregate principal amount of the 2020 Notes pursuant to the tender offer. The total cash payment to repurchase the tendered 2020 Notes in the tender offer, including accrued and unpaid interest to, but excluding, the repurchase date, was $ 309.3 million. Also in September 2017, in connection with the redemption of the remaining $ 276.8 million in aggregate principal amount of 2020 Notes, the Company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51"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in September 2017.</w:t>
      </w:r>
    </w:p>
    <w:p>
      <w:pPr>
        <w:spacing w:after="0" w:line="149"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85"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In February 2019, the Company filed a universal shelf registration statement with the SEC for the future sale of an unlimited amount of common stock, preferred stock, debt securities,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2018 through various amendments of the Equity Participation Plan, the Company increased the maximum number of shares reserved for issuance under this plan to 31,850,000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 2.65 shares for each share of common stock during the period beginning on September 22, 2010 and ending on September 19, 2012. Restricted stock units are granted to eligible employees and directors and represent rights to receive shares of common stock at a future date.</w:t>
      </w:r>
    </w:p>
    <w:p>
      <w:pPr>
        <w:spacing w:after="0" w:line="150"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2017 through various amendments of the Employee Stock Purchase Plan, the Company increased the maximum number of shares reserved for issuance under this plan to 3,650,000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53" w:lineRule="exact"/>
        <w:rPr>
          <w:sz w:val="20"/>
          <w:szCs w:val="20"/>
          <w:color w:val="auto"/>
        </w:rPr>
      </w:pPr>
    </w:p>
    <w:p>
      <w:pPr>
        <w:ind w:right="260" w:firstLine="518"/>
        <w:spacing w:after="0" w:line="246" w:lineRule="auto"/>
        <w:rPr>
          <w:sz w:val="20"/>
          <w:szCs w:val="20"/>
          <w:color w:val="auto"/>
        </w:rPr>
      </w:pPr>
      <w:r>
        <w:rPr>
          <w:rFonts w:ascii="Arial" w:cs="Arial" w:eastAsia="Arial" w:hAnsi="Arial"/>
          <w:sz w:val="18"/>
          <w:szCs w:val="18"/>
          <w:color w:val="auto"/>
        </w:rPr>
        <w:t>Total stock-based compensation expense recognized in accordance with the authoritative guidance for share-based payments was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March 31, 2018</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 2017</w:t>
            </w: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before taxes</w:t>
            </w:r>
          </w:p>
        </w:tc>
        <w:tc>
          <w:tcPr>
            <w:tcW w:w="10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79,599</w:t>
            </w: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68,545</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55,775</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Related income tax benefits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(16,278)</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(21,057)</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net of taxes</w:t>
            </w:r>
          </w:p>
        </w:tc>
        <w:tc>
          <w:tcPr>
            <w:tcW w:w="10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60,775</w:t>
            </w: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52,267</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34,718</w:t>
            </w:r>
          </w:p>
        </w:tc>
        <w:tc>
          <w:tcPr>
            <w:tcW w:w="8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Effective April 1, 2017, in accordance with ASU 2016-09, on a prospective basis, the Company recognizes excess tax benefits or deficiencies on vesting or settlement of awards as discrete items within income tax benefit or provision within net income (loss) and the related cash flows classified within operating activities. Prior to April 1, 2017 any unrealized excess tax benefits were tracked off the balance sheet and recognition of the benefits was deferred until realized through a reduction in taxes payable. When the excess tax benefits or deficiencies were realized, they were recognized in paid-in-capital and the related cash flows were classified as an outflow from operating activities and an inflow from financing activities.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compensation cost that has been charged against income for the Equity Participation Plan under the authoritative guidance for</w:t>
      </w:r>
    </w:p>
    <w:p>
      <w:pPr>
        <w:spacing w:after="0" w:line="234" w:lineRule="auto"/>
        <w:rPr>
          <w:sz w:val="20"/>
          <w:szCs w:val="20"/>
          <w:color w:val="auto"/>
        </w:rPr>
      </w:pPr>
      <w:r>
        <w:rPr>
          <w:rFonts w:ascii="Arial" w:cs="Arial" w:eastAsia="Arial" w:hAnsi="Arial"/>
          <w:sz w:val="18"/>
          <w:szCs w:val="18"/>
          <w:color w:val="auto"/>
        </w:rPr>
        <w:t>share-based payments was $75.3 million, $65.1 million and $52.6 million, and for the Employee Stock Purchase Plan was $4.3 million,</w:t>
      </w:r>
    </w:p>
    <w:p>
      <w:pPr>
        <w:spacing w:after="0" w:line="235" w:lineRule="auto"/>
        <w:rPr>
          <w:sz w:val="20"/>
          <w:szCs w:val="20"/>
          <w:color w:val="auto"/>
        </w:rPr>
      </w:pPr>
      <w:r>
        <w:rPr>
          <w:rFonts w:ascii="Arial" w:cs="Arial" w:eastAsia="Arial" w:hAnsi="Arial"/>
          <w:sz w:val="18"/>
          <w:szCs w:val="18"/>
          <w:color w:val="auto"/>
        </w:rPr>
        <w:t>$3.4 million and $3.1 million, for the fiscal years ended March 31, 2019, March 31, 2018 and March 31, 2017, respectively. The Company</w:t>
      </w:r>
    </w:p>
    <w:p>
      <w:pPr>
        <w:spacing w:after="0" w:line="235" w:lineRule="auto"/>
        <w:rPr>
          <w:sz w:val="20"/>
          <w:szCs w:val="20"/>
          <w:color w:val="auto"/>
        </w:rPr>
      </w:pPr>
      <w:r>
        <w:rPr>
          <w:rFonts w:ascii="Arial" w:cs="Arial" w:eastAsia="Arial" w:hAnsi="Arial"/>
          <w:sz w:val="18"/>
          <w:szCs w:val="18"/>
          <w:color w:val="auto"/>
        </w:rPr>
        <w:t>capitalized $11.9 million, $8.0 million and $6.6 million of stock-based compensation expense as a part of the cost for software development for</w:t>
      </w:r>
    </w:p>
    <w:p>
      <w:pPr>
        <w:spacing w:after="0" w:line="235" w:lineRule="auto"/>
        <w:rPr>
          <w:sz w:val="20"/>
          <w:szCs w:val="20"/>
          <w:color w:val="auto"/>
        </w:rPr>
      </w:pPr>
      <w:r>
        <w:rPr>
          <w:rFonts w:ascii="Arial" w:cs="Arial" w:eastAsia="Arial" w:hAnsi="Arial"/>
          <w:sz w:val="18"/>
          <w:szCs w:val="18"/>
          <w:color w:val="auto"/>
        </w:rPr>
        <w:t>resale included in other assets and as a part of the equipment and software for internal use included in property and equipment for fiscal years</w:t>
      </w:r>
    </w:p>
    <w:p>
      <w:pPr>
        <w:spacing w:after="0"/>
        <w:rPr>
          <w:sz w:val="20"/>
          <w:szCs w:val="20"/>
          <w:color w:val="auto"/>
        </w:rPr>
      </w:pPr>
      <w:r>
        <w:rPr>
          <w:rFonts w:ascii="Arial" w:cs="Arial" w:eastAsia="Arial" w:hAnsi="Arial"/>
          <w:sz w:val="18"/>
          <w:szCs w:val="18"/>
          <w:color w:val="auto"/>
        </w:rPr>
        <w:t>2019, 2018 and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As of March 31, 2019, total unrecognized compensation cost related to unvested stock-based compensation arrangements granted under the Equity Participation Plan (including stock options, TSR performance stock options and restricted stock units) and the Employee Stock Purchase Plan was $186.6 million and $1.3 million, respectively. These costs are expected to be recognized over a weighted average period of 1.2 years, 1.9 years and 2.6 years, for stock options, TSR performance stock options and restricted stock units, respectively, under the Equity Participation Plan and less than six months under the Employee Stock Purchase Plan.</w:t>
      </w:r>
    </w:p>
    <w:p>
      <w:pPr>
        <w:spacing w:after="0" w:line="13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i w:val="1"/>
          <w:iCs w:val="1"/>
          <w:color w:val="auto"/>
        </w:rPr>
        <w:t xml:space="preserve">Stock options, TSR performance stock options and employee stock purchase plan. </w:t>
      </w:r>
      <w:r>
        <w:rPr>
          <w:rFonts w:ascii="Arial" w:cs="Arial" w:eastAsia="Arial" w:hAnsi="Arial"/>
          <w:sz w:val="18"/>
          <w:szCs w:val="18"/>
          <w:color w:val="auto"/>
        </w:rPr>
        <w:t>The Company’s employee stock options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simple four-year vesting schedule and a six year contractual term. During the third quarter of fiscal year 2018, the Company began granting TSR performance stock options to executive officers under the 1996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Company’s TSR performance stock options have a four-year time-based vesting schedule and a six year contractual term. The TSR performance stock options must be vested under both the time-based vesting schedule and the performance-based vesting conditions in order to become exercisable. Expense for TSR performance stock options that time-vest is recognized regardless of the actual TSR outcome achieved and is recognized on a graded-vesting basis. The weighted average estimated fair value of TSR performance stock options granted during fiscal years 2019 and 2018 was $32.32 and $32.04 per share, respectively, using the Monte Carlo simulation. The weighted average estimated fair value of employee stock options granted and employee stock purchase plan shares issued during fiscal year 2019 was $18.35 and $15.14 per share, respectively, during fiscal year 2018 was $ 19.86 and $15.09 per share, respectively, and during fiscal year 2017 was $23.62 and $16.27 per share, respectively, using the Black-Scholes model. The weighted average assumptions (annualized percentages) used in the Black-Scholes model and Monte Carlo simulation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00" w:type="dxa"/>
            <w:vAlign w:val="bottom"/>
          </w:tcPr>
          <w:p>
            <w:pPr>
              <w:spacing w:after="0"/>
              <w:rPr>
                <w:sz w:val="14"/>
                <w:szCs w:val="14"/>
                <w:color w:val="auto"/>
              </w:rPr>
            </w:pPr>
          </w:p>
        </w:tc>
        <w:tc>
          <w:tcPr>
            <w:tcW w:w="34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6"/>
              </w:rPr>
              <w:t>Employee Stock Options</w:t>
            </w:r>
          </w:p>
        </w:tc>
        <w:tc>
          <w:tcPr>
            <w:tcW w:w="24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TSR Performance Stock Options</w:t>
            </w:r>
          </w:p>
        </w:tc>
        <w:tc>
          <w:tcPr>
            <w:tcW w:w="3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6"/>
              </w:rPr>
              <w:t>Employee Stock Purchase Plan</w:t>
            </w:r>
          </w:p>
        </w:tc>
      </w:tr>
      <w:tr>
        <w:trPr>
          <w:trHeight w:val="139"/>
        </w:trPr>
        <w:tc>
          <w:tcPr>
            <w:tcW w:w="23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60"/>
              <w:spacing w:after="0" w:line="139" w:lineRule="exact"/>
              <w:rPr>
                <w:sz w:val="20"/>
                <w:szCs w:val="20"/>
                <w:color w:val="auto"/>
              </w:rPr>
            </w:pPr>
            <w:r>
              <w:rPr>
                <w:rFonts w:ascii="Arial" w:cs="Arial" w:eastAsia="Arial" w:hAnsi="Arial"/>
                <w:sz w:val="14"/>
                <w:szCs w:val="14"/>
                <w:b w:val="1"/>
                <w:bCs w:val="1"/>
                <w:color w:val="auto"/>
              </w:rPr>
              <w:t>Fiscal Year</w:t>
            </w:r>
          </w:p>
        </w:tc>
        <w:tc>
          <w:tcPr>
            <w:tcW w:w="114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Fiscal Year</w:t>
            </w:r>
          </w:p>
        </w:tc>
        <w:tc>
          <w:tcPr>
            <w:tcW w:w="860" w:type="dxa"/>
            <w:vAlign w:val="bottom"/>
            <w:tcBorders>
              <w:top w:val="single" w:sz="8" w:color="auto"/>
            </w:tcBorders>
          </w:tcPr>
          <w:p>
            <w:pPr>
              <w:jc w:val="right"/>
              <w:ind w:right="3"/>
              <w:spacing w:after="0" w:line="139" w:lineRule="exact"/>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60"/>
              <w:spacing w:after="0" w:line="139" w:lineRule="exact"/>
              <w:rPr>
                <w:sz w:val="20"/>
                <w:szCs w:val="20"/>
                <w:color w:val="auto"/>
              </w:rPr>
            </w:pPr>
            <w:r>
              <w:rPr>
                <w:rFonts w:ascii="Arial" w:cs="Arial" w:eastAsia="Arial" w:hAnsi="Arial"/>
                <w:sz w:val="14"/>
                <w:szCs w:val="14"/>
                <w:b w:val="1"/>
                <w:bCs w:val="1"/>
                <w:color w:val="auto"/>
              </w:rPr>
              <w:t>Fiscal Year</w:t>
            </w:r>
          </w:p>
        </w:tc>
        <w:tc>
          <w:tcPr>
            <w:tcW w:w="1020" w:type="dxa"/>
            <w:vAlign w:val="bottom"/>
            <w:tcBorders>
              <w:top w:val="single" w:sz="8" w:color="auto"/>
            </w:tcBorders>
          </w:tcPr>
          <w:p>
            <w:pPr>
              <w:jc w:val="right"/>
              <w:ind w:right="83"/>
              <w:spacing w:after="0" w:line="139" w:lineRule="exact"/>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39" w:lineRule="exact"/>
              <w:rPr>
                <w:sz w:val="20"/>
                <w:szCs w:val="20"/>
                <w:color w:val="auto"/>
              </w:rPr>
            </w:pPr>
            <w:r>
              <w:rPr>
                <w:rFonts w:ascii="Arial" w:cs="Arial" w:eastAsia="Arial" w:hAnsi="Arial"/>
                <w:sz w:val="14"/>
                <w:szCs w:val="14"/>
                <w:b w:val="1"/>
                <w:bCs w:val="1"/>
                <w:color w:val="auto"/>
              </w:rPr>
              <w:t>Fiscal Year</w:t>
            </w:r>
          </w:p>
        </w:tc>
        <w:tc>
          <w:tcPr>
            <w:tcW w:w="1140" w:type="dxa"/>
            <w:vAlign w:val="bottom"/>
            <w:tcBorders>
              <w:top w:val="single" w:sz="8" w:color="auto"/>
            </w:tcBorders>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7"/>
              </w:rPr>
              <w:t>Fiscal Year</w:t>
            </w:r>
          </w:p>
        </w:tc>
        <w:tc>
          <w:tcPr>
            <w:tcW w:w="860" w:type="dxa"/>
            <w:vAlign w:val="bottom"/>
            <w:tcBorders>
              <w:top w:val="single" w:sz="8" w:color="auto"/>
            </w:tcBorders>
          </w:tcPr>
          <w:p>
            <w:pPr>
              <w:jc w:val="right"/>
              <w:ind w:right="3"/>
              <w:spacing w:after="0" w:line="139" w:lineRule="exact"/>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2"/>
                <w:szCs w:val="12"/>
                <w:color w:val="auto"/>
              </w:rPr>
            </w:pPr>
          </w:p>
        </w:tc>
      </w:tr>
      <w:tr>
        <w:trPr>
          <w:trHeight w:val="165"/>
        </w:trPr>
        <w:tc>
          <w:tcPr>
            <w:tcW w:w="23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 *</w:t>
            </w:r>
          </w:p>
        </w:tc>
        <w:tc>
          <w:tcPr>
            <w:tcW w:w="2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r>
      <w:tr>
        <w:trPr>
          <w:trHeight w:val="196"/>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27.9%</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30.4%</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28.2%</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27.5%</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32.8%</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22.0%</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31.1%</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r>
      <w:tr>
        <w:trPr>
          <w:trHeight w:val="203"/>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0"/>
        </w:trPr>
        <w:tc>
          <w:tcPr>
            <w:tcW w:w="2300" w:type="dxa"/>
            <w:vAlign w:val="bottom"/>
          </w:tcPr>
          <w:p>
            <w:pPr>
              <w:spacing w:after="0"/>
              <w:rPr>
                <w:sz w:val="20"/>
                <w:szCs w:val="20"/>
                <w:color w:val="auto"/>
              </w:rPr>
            </w:pPr>
            <w:r>
              <w:rPr>
                <w:rFonts w:ascii="Arial" w:cs="Arial" w:eastAsia="Arial" w:hAnsi="Arial"/>
                <w:sz w:val="16"/>
                <w:szCs w:val="16"/>
                <w:color w:val="auto"/>
              </w:rPr>
              <w:t>Expected life</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5.0 years</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5.4 years</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5.5 years</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5.0 years</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0.5 years</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0.5 years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858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began granting TSR performance stock options to executive officers in the third quarter of fiscal year 2018.</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Company’s expected volatility is a measure of the amount by which its stock price is expected to fluctuate over the expected term of the stock-based award. The estimated volatilities for stock options and TSR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employee stock options and TSR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employee stock option activity for fiscal year 2019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9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r>
      <w:tr>
        <w:trPr>
          <w:trHeight w:val="175"/>
        </w:trPr>
        <w:tc>
          <w:tcPr>
            <w:tcW w:w="49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1,766,500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61.60</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canceled</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1,531,500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64.87</w:t>
            </w:r>
          </w:p>
        </w:tc>
        <w:tc>
          <w:tcPr>
            <w:tcW w:w="14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Vested and exercisable at March 31, 2019</w:t>
            </w:r>
          </w:p>
        </w:tc>
        <w:tc>
          <w:tcPr>
            <w:tcW w:w="1040" w:type="dxa"/>
            <w:vAlign w:val="bottom"/>
          </w:tcPr>
          <w:p>
            <w:pPr>
              <w:jc w:val="right"/>
              <w:spacing w:after="0"/>
              <w:rPr>
                <w:sz w:val="20"/>
                <w:szCs w:val="20"/>
                <w:color w:val="auto"/>
              </w:rPr>
            </w:pPr>
            <w:r>
              <w:rPr>
                <w:rFonts w:ascii="Arial" w:cs="Arial" w:eastAsia="Arial" w:hAnsi="Arial"/>
                <w:sz w:val="18"/>
                <w:szCs w:val="18"/>
                <w:color w:val="auto"/>
              </w:rPr>
              <w:t>1,164,250</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64.34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18"/>
                <w:szCs w:val="18"/>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intrinsic value of stock options exercised during fiscal years 2019, 2018 and 2017 was $7.9 million, $5.2 million and</w:t>
      </w:r>
    </w:p>
    <w:p>
      <w:pPr>
        <w:ind w:right="240"/>
        <w:spacing w:after="0" w:line="238" w:lineRule="auto"/>
        <w:rPr>
          <w:sz w:val="20"/>
          <w:szCs w:val="20"/>
          <w:color w:val="auto"/>
        </w:rPr>
      </w:pPr>
      <w:r>
        <w:rPr>
          <w:rFonts w:ascii="Arial" w:cs="Arial" w:eastAsia="Arial" w:hAnsi="Arial"/>
          <w:sz w:val="18"/>
          <w:szCs w:val="18"/>
          <w:color w:val="auto"/>
        </w:rPr>
        <w:t>$8.3 million, respectively. All options issued under the Company’s stock option plans have an exercise price equal to the fair market value of the Company’s stock on the date of the grant. The Company recorded an insignificant excess tax benefit during fiscal year 2019 and an insignificant excess tax deficiency during fiscal year 2018 related to stock options exercises. No excess tax benefits were realized from stock options exercised during fiscal year 2017 as the excess tax benefit from stock options exercised increased the Company’s net operating loss carryforward.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TSR performance stock option activity for fiscal year 2019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gridSpan w:val="3"/>
          </w:tcPr>
          <w:p>
            <w:pPr>
              <w:ind w:left="20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96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r>
      <w:tr>
        <w:trPr>
          <w:trHeight w:val="175"/>
        </w:trPr>
        <w:tc>
          <w:tcPr>
            <w:tcW w:w="49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Shares (1)</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497,500</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73.77</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TSR performance 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530,000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69.05</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TSR performance options canceled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TSR performance options exercised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1,027,500</w:t>
            </w:r>
          </w:p>
        </w:tc>
        <w:tc>
          <w:tcPr>
            <w:tcW w:w="3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Vested and exercisable at March 31, 2019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858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5" w:lineRule="exact"/>
        <w:rPr>
          <w:sz w:val="20"/>
          <w:szCs w:val="20"/>
          <w:color w:val="auto"/>
        </w:rPr>
      </w:pPr>
    </w:p>
    <w:p>
      <w:pPr>
        <w:ind w:left="900" w:hanging="51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options under each TSR performance stock option.</w:t>
      </w:r>
    </w:p>
    <w:p>
      <w:pPr>
        <w:spacing w:after="0" w:line="180" w:lineRule="exact"/>
        <w:rPr>
          <w:sz w:val="20"/>
          <w:szCs w:val="20"/>
          <w:color w:val="auto"/>
        </w:rPr>
      </w:pPr>
    </w:p>
    <w:p>
      <w:pPr>
        <w:ind w:firstLine="518"/>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2019, 2018 and 2017, the Company recognized $58.8 million, $54.0 million and $44.9 million, respectively, in stock-based compensation expense related to these restricted stock unit awards.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640" w:firstLine="518"/>
        <w:spacing w:after="0" w:line="246"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2019, 2018 and 2017 was $67.88, $72.89 and $69.99, respectively. A summary of restricted stock unit activity for fiscal year 2019 is presented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 Grant</w:t>
            </w:r>
          </w:p>
        </w:tc>
      </w:tr>
      <w:tr>
        <w:trPr>
          <w:trHeight w:val="162"/>
        </w:trPr>
        <w:tc>
          <w:tcPr>
            <w:tcW w:w="4280" w:type="dxa"/>
            <w:vAlign w:val="bottom"/>
          </w:tcPr>
          <w:p>
            <w:pPr>
              <w:spacing w:after="0"/>
              <w:rPr>
                <w:sz w:val="14"/>
                <w:szCs w:val="14"/>
                <w:color w:val="auto"/>
              </w:rPr>
            </w:pPr>
          </w:p>
        </w:tc>
        <w:tc>
          <w:tcPr>
            <w:tcW w:w="248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Restricted Stock</w:t>
            </w: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428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FF0FC"/>
            </w:tcBorders>
          </w:tcPr>
          <w:p>
            <w:pPr>
              <w:spacing w:after="0"/>
              <w:rPr>
                <w:sz w:val="15"/>
                <w:szCs w:val="15"/>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2,862,194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60" w:type="dxa"/>
            <w:vAlign w:val="bottom"/>
            <w:shd w:val="clear" w:color="auto" w:fill="CFF0FC"/>
          </w:tcPr>
          <w:p>
            <w:pPr>
              <w:spacing w:after="0"/>
              <w:rPr>
                <w:sz w:val="18"/>
                <w:szCs w:val="18"/>
                <w:color w:val="auto"/>
              </w:rPr>
            </w:pPr>
          </w:p>
        </w:tc>
      </w:tr>
      <w:tr>
        <w:trPr>
          <w:trHeight w:val="216"/>
        </w:trPr>
        <w:tc>
          <w:tcPr>
            <w:tcW w:w="4280" w:type="dxa"/>
            <w:vAlign w:val="bottom"/>
          </w:tcPr>
          <w:p>
            <w:pPr>
              <w:ind w:left="240"/>
              <w:spacing w:after="0"/>
              <w:rPr>
                <w:sz w:val="20"/>
                <w:szCs w:val="20"/>
                <w:color w:val="auto"/>
              </w:rPr>
            </w:pPr>
            <w:r>
              <w:rPr>
                <w:rFonts w:ascii="Arial" w:cs="Arial" w:eastAsia="Arial" w:hAnsi="Arial"/>
                <w:sz w:val="18"/>
                <w:szCs w:val="18"/>
                <w:color w:val="auto"/>
              </w:rPr>
              <w:t>Awarded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1,321,914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67.88</w:t>
            </w:r>
          </w:p>
        </w:tc>
        <w:tc>
          <w:tcPr>
            <w:tcW w:w="60" w:type="dxa"/>
            <w:vAlign w:val="bottom"/>
          </w:tcPr>
          <w:p>
            <w:pPr>
              <w:spacing w:after="0"/>
              <w:rPr>
                <w:sz w:val="18"/>
                <w:szCs w:val="18"/>
                <w:color w:val="auto"/>
              </w:rPr>
            </w:pPr>
          </w:p>
        </w:tc>
      </w:tr>
      <w:tr>
        <w:trPr>
          <w:trHeight w:val="216"/>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(78,364)</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69.19</w:t>
            </w:r>
          </w:p>
        </w:tc>
        <w:tc>
          <w:tcPr>
            <w:tcW w:w="60" w:type="dxa"/>
            <w:vAlign w:val="bottom"/>
            <w:shd w:val="clear" w:color="auto" w:fill="CFF0FC"/>
          </w:tcPr>
          <w:p>
            <w:pPr>
              <w:spacing w:after="0"/>
              <w:rPr>
                <w:sz w:val="18"/>
                <w:szCs w:val="18"/>
                <w:color w:val="auto"/>
              </w:rPr>
            </w:pPr>
          </w:p>
        </w:tc>
      </w:tr>
      <w:tr>
        <w:trPr>
          <w:trHeight w:val="216"/>
        </w:trPr>
        <w:tc>
          <w:tcPr>
            <w:tcW w:w="4280" w:type="dxa"/>
            <w:vAlign w:val="bottom"/>
          </w:tcPr>
          <w:p>
            <w:pPr>
              <w:ind w:left="240"/>
              <w:spacing w:after="0"/>
              <w:rPr>
                <w:sz w:val="20"/>
                <w:szCs w:val="20"/>
                <w:color w:val="auto"/>
              </w:rPr>
            </w:pPr>
            <w:r>
              <w:rPr>
                <w:rFonts w:ascii="Arial" w:cs="Arial" w:eastAsia="Arial" w:hAnsi="Arial"/>
                <w:sz w:val="18"/>
                <w:szCs w:val="18"/>
                <w:color w:val="auto"/>
              </w:rPr>
              <w:t>Released</w:t>
            </w:r>
          </w:p>
        </w:tc>
        <w:tc>
          <w:tcPr>
            <w:tcW w:w="1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(1,201,502)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66.98</w:t>
            </w:r>
          </w:p>
        </w:tc>
        <w:tc>
          <w:tcPr>
            <w:tcW w:w="60" w:type="dxa"/>
            <w:vAlign w:val="bottom"/>
          </w:tcPr>
          <w:p>
            <w:pPr>
              <w:spacing w:after="0"/>
              <w:rPr>
                <w:sz w:val="18"/>
                <w:szCs w:val="18"/>
                <w:color w:val="auto"/>
              </w:rPr>
            </w:pPr>
          </w:p>
        </w:tc>
      </w:tr>
      <w:tr>
        <w:trPr>
          <w:trHeight w:val="21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2,904,242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Vested and deferred at March 31, 2019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173,334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42.59</w:t>
            </w:r>
          </w:p>
        </w:tc>
        <w:tc>
          <w:tcPr>
            <w:tcW w:w="60" w:type="dxa"/>
            <w:vAlign w:val="bottom"/>
          </w:tcPr>
          <w:p>
            <w:pPr>
              <w:spacing w:after="0"/>
              <w:rPr>
                <w:sz w:val="18"/>
                <w:szCs w:val="18"/>
                <w:color w:val="auto"/>
              </w:rPr>
            </w:pPr>
          </w:p>
        </w:tc>
      </w:tr>
    </w:tbl>
    <w:p>
      <w:pPr>
        <w:spacing w:after="0" w:line="188" w:lineRule="exact"/>
        <w:rPr>
          <w:sz w:val="20"/>
          <w:szCs w:val="20"/>
          <w:color w:val="auto"/>
        </w:rPr>
      </w:pPr>
    </w:p>
    <w:p>
      <w:pPr>
        <w:ind w:right="520" w:firstLine="518"/>
        <w:spacing w:after="0" w:line="246"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2019, 2018 and 2017 was $81.1 million, $64.6 million and $58.4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Shares Used In Computing Diluted Net (Loss) Income Per Share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Fiscal Years Ended</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78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2018</w:t>
            </w: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r>
      <w:tr>
        <w:trPr>
          <w:trHeight w:val="169"/>
        </w:trPr>
        <w:tc>
          <w:tcPr>
            <w:tcW w:w="67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Common shares outstanding used in calculating basic</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net (loss) income per share attributable to Viasat,</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Pr>
          <w:p>
            <w:pPr>
              <w:ind w:left="160"/>
              <w:spacing w:after="0" w:line="203" w:lineRule="exact"/>
              <w:rPr>
                <w:sz w:val="20"/>
                <w:szCs w:val="20"/>
                <w:color w:val="auto"/>
              </w:rPr>
            </w:pPr>
            <w:r>
              <w:rPr>
                <w:rFonts w:ascii="Arial" w:cs="Arial" w:eastAsia="Arial" w:hAnsi="Arial"/>
                <w:sz w:val="18"/>
                <w:szCs w:val="18"/>
                <w:color w:val="auto"/>
              </w:rPr>
              <w:t>Inc. common stockholders</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59,942</w:t>
            </w:r>
          </w:p>
        </w:tc>
        <w:tc>
          <w:tcPr>
            <w:tcW w:w="2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58,438</w:t>
            </w:r>
          </w:p>
        </w:tc>
        <w:tc>
          <w:tcPr>
            <w:tcW w:w="2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52,318</w:t>
            </w:r>
          </w:p>
        </w:tc>
        <w:tc>
          <w:tcPr>
            <w:tcW w:w="100" w:type="dxa"/>
            <w:vAlign w:val="bottom"/>
          </w:tcPr>
          <w:p>
            <w:pPr>
              <w:spacing w:after="0"/>
              <w:rPr>
                <w:sz w:val="17"/>
                <w:szCs w:val="17"/>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 determined by</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7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application of the treasury stock method</w:t>
            </w:r>
          </w:p>
        </w:tc>
        <w:tc>
          <w:tcPr>
            <w:tcW w:w="16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7"/>
                <w:szCs w:val="17"/>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TSR performance options to purchase common stock</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as determined by application of the treasury stock</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Pr>
          <w:p>
            <w:pPr>
              <w:ind w:left="160"/>
              <w:spacing w:after="0" w:line="203" w:lineRule="exact"/>
              <w:rPr>
                <w:sz w:val="20"/>
                <w:szCs w:val="20"/>
                <w:color w:val="auto"/>
              </w:rPr>
            </w:pPr>
            <w:r>
              <w:rPr>
                <w:rFonts w:ascii="Arial" w:cs="Arial" w:eastAsia="Arial" w:hAnsi="Arial"/>
                <w:sz w:val="18"/>
                <w:szCs w:val="18"/>
                <w:color w:val="auto"/>
              </w:rPr>
              <w:t>method</w:t>
            </w:r>
          </w:p>
        </w:tc>
        <w:tc>
          <w:tcPr>
            <w:tcW w:w="16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 common stock as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7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determined by application of the treasury stock</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method</w:t>
            </w:r>
          </w:p>
        </w:tc>
        <w:tc>
          <w:tcPr>
            <w:tcW w:w="16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17"/>
                <w:szCs w:val="17"/>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Potentially issuable shares in connection with certain</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terms of the ViaSat 401(k) Profit Sharing Plan and</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Pr>
          <w:p>
            <w:pPr>
              <w:ind w:left="160"/>
              <w:spacing w:after="0" w:line="203" w:lineRule="exact"/>
              <w:rPr>
                <w:sz w:val="20"/>
                <w:szCs w:val="20"/>
                <w:color w:val="auto"/>
              </w:rPr>
            </w:pPr>
            <w:r>
              <w:rPr>
                <w:rFonts w:ascii="Arial" w:cs="Arial" w:eastAsia="Arial" w:hAnsi="Arial"/>
                <w:sz w:val="18"/>
                <w:szCs w:val="18"/>
                <w:color w:val="auto"/>
              </w:rPr>
              <w:t>Employee Stock Purchase Plan</w:t>
            </w:r>
          </w:p>
        </w:tc>
        <w:tc>
          <w:tcPr>
            <w:tcW w:w="16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r>
      <w:tr>
        <w:trPr>
          <w:trHeight w:val="209"/>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 (loss) income per</w:t>
            </w: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Viasat, Inc. common</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59,942</w:t>
            </w:r>
          </w:p>
        </w:tc>
        <w:tc>
          <w:tcPr>
            <w:tcW w:w="2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58,438</w:t>
            </w:r>
          </w:p>
        </w:tc>
        <w:tc>
          <w:tcPr>
            <w:tcW w:w="2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53,396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686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2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began granting TSR performance stock options to executive officers in the third quarter of fiscal year 2018 (see Note 6).</w:t>
      </w:r>
    </w:p>
    <w:p>
      <w:pPr>
        <w:spacing w:after="0" w:line="15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fiscal years ended 2019 and 2018,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fiscal years 2019 and 2018 were 1,291,503 and 1,358,275, respectively, relating to stock options (other than TSR performance stock options), 871,343 and 175,598, respectively, relating to TSR performance stock options, 612,318 and 1,053,649, respectively, relating to restricted stock units, and 215,956 and 193,608, respectively, relating to certain terms of the ViaSat 401(k) Profit Sharing Plan and Employee Stock Purchase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420" w:firstLine="518"/>
        <w:spacing w:after="0"/>
        <w:rPr>
          <w:sz w:val="20"/>
          <w:szCs w:val="20"/>
          <w:color w:val="auto"/>
        </w:rPr>
      </w:pPr>
      <w:r>
        <w:rPr>
          <w:rFonts w:ascii="Arial" w:cs="Arial" w:eastAsia="Arial" w:hAnsi="Arial"/>
          <w:sz w:val="18"/>
          <w:szCs w:val="18"/>
          <w:color w:val="auto"/>
        </w:rPr>
        <w:t>Antidilutive shares relating to stock options excluded from the calculation consisted of 582,315 shares for the fiscal year ended March 31, 2017. Antidilutive shares relating to restricted stock units excluded from the calculation consisted of 24 shares for the fiscal year ended March 31,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(loss) income before income taxes by jurisdiction are as follows:</w:t>
      </w:r>
    </w:p>
    <w:p>
      <w:pPr>
        <w:spacing w:after="0" w:line="280"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54"/>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(102,643)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(92,767)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6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(12,703)</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(110,481)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(105,470)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The benefit from (provision for) income taxes includes the following:</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54"/>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0"/>
        </w:trPr>
        <w:tc>
          <w:tcPr>
            <w:tcW w:w="5680" w:type="dxa"/>
            <w:vAlign w:val="bottom"/>
            <w:gridSpan w:val="2"/>
          </w:tcPr>
          <w:p>
            <w:pPr>
              <w:ind w:left="620"/>
              <w:spacing w:after="0"/>
              <w:rPr>
                <w:sz w:val="20"/>
                <w:szCs w:val="20"/>
                <w:color w:val="auto"/>
              </w:rPr>
            </w:pPr>
            <w:r>
              <w:rPr>
                <w:rFonts w:ascii="Arial" w:cs="Arial" w:eastAsia="Arial" w:hAnsi="Arial"/>
                <w:sz w:val="18"/>
                <w:szCs w:val="18"/>
                <w:color w:val="auto"/>
              </w:rPr>
              <w:t>Deferred tax benefit (provision)</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34,099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24,833</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44,144</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benefit from (provision for) income taxes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41,014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1720" w:type="dxa"/>
            <w:vAlign w:val="bottom"/>
          </w:tcPr>
          <w:p>
            <w:pPr>
              <w:spacing w:after="0"/>
              <w:rPr>
                <w:sz w:val="13"/>
                <w:szCs w:val="13"/>
                <w:color w:val="auto"/>
              </w:rPr>
            </w:pPr>
          </w:p>
        </w:tc>
      </w:tr>
      <w:tr>
        <w:trPr>
          <w:trHeight w:val="175"/>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69"/>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197,486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184,177</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189,970</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52,958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(29,049)</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20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465,714</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399,183</w:t>
            </w:r>
          </w:p>
        </w:tc>
        <w:tc>
          <w:tcPr>
            <w:tcW w:w="80" w:type="dxa"/>
            <w:vAlign w:val="bottom"/>
            <w:tcBorders>
              <w:top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5100" w:type="dxa"/>
            <w:vAlign w:val="bottom"/>
            <w:gridSpan w:val="2"/>
          </w:tcPr>
          <w:p>
            <w:pPr>
              <w:ind w:left="1720"/>
              <w:spacing w:after="0"/>
              <w:rPr>
                <w:sz w:val="20"/>
                <w:szCs w:val="20"/>
                <w:color w:val="auto"/>
              </w:rPr>
            </w:pPr>
            <w:r>
              <w:rPr>
                <w:rFonts w:ascii="Arial" w:cs="Arial" w:eastAsia="Arial" w:hAnsi="Arial"/>
                <w:sz w:val="18"/>
                <w:szCs w:val="18"/>
                <w:color w:val="auto"/>
              </w:rPr>
              <w:t>Deferred tax liabilities: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(72,776)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(73,403)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Property, equipment and satellites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(113,188)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(96,661)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(21,160)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(7,709)</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(207,124)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(177,773)</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258,590</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221,410</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0" w:type="dxa"/>
            <w:vAlign w:val="bottom"/>
            <w:gridSpan w:val="2"/>
          </w:tcPr>
          <w:p>
            <w:pPr>
              <w:jc w:val="right"/>
              <w:ind w:right="1310"/>
              <w:spacing w:after="0"/>
              <w:rPr>
                <w:sz w:val="20"/>
                <w:szCs w:val="20"/>
                <w:color w:val="auto"/>
              </w:rPr>
            </w:pPr>
            <w:r>
              <w:rPr>
                <w:rFonts w:ascii="Arial" w:cs="Arial" w:eastAsia="Arial" w:hAnsi="Arial"/>
                <w:sz w:val="18"/>
                <w:szCs w:val="18"/>
                <w:color w:val="auto"/>
              </w:rPr>
              <w:t>F-35</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A reconciliation of the benefit from (provision for) income taxes to the amount computed by applying the statutory federal income tax rate to (loss) income before income taxes is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12"/>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Tax benefit (provision) at federal statutory rate</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23,201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22,149</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(8,885)</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State tax benefit (provision), net of federal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(1,681)</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Tax credits, net of valuation allowance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26,836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15,121</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Non-deductible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(2,852)</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(2,659)</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Non-deductible transaction costs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(645)</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Non-deductible meals and entertainment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(886)</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Change in federal tax rate due to Tax Reform</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(5,335)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effective tax rate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w:t>
            </w:r>
          </w:p>
        </w:tc>
      </w:tr>
      <w:tr>
        <w:trPr>
          <w:trHeight w:val="215"/>
        </w:trPr>
        <w:tc>
          <w:tcPr>
            <w:tcW w:w="4660" w:type="dxa"/>
            <w:vAlign w:val="bottom"/>
            <w:gridSpan w:val="2"/>
          </w:tcPr>
          <w:p>
            <w:pPr>
              <w:spacing w:after="0"/>
              <w:rPr>
                <w:sz w:val="20"/>
                <w:szCs w:val="20"/>
                <w:color w:val="auto"/>
              </w:rPr>
            </w:pPr>
            <w:r>
              <w:rPr>
                <w:rFonts w:ascii="Arial" w:cs="Arial" w:eastAsia="Arial" w:hAnsi="Arial"/>
                <w:sz w:val="18"/>
                <w:szCs w:val="18"/>
                <w:color w:val="auto"/>
              </w:rPr>
              <w:t>Foreign effective tax rate differential, net of</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line="203" w:lineRule="exact"/>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(1,552)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(2,054)</w:t>
            </w:r>
          </w:p>
        </w:tc>
        <w:tc>
          <w:tcPr>
            <w:tcW w:w="14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(2,391)</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Unremitted subsidiary gains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benefit from (provision for) income taxes</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41,014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(3,617)</w:t>
            </w: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Effective January 1, 2018, the Tax Reform reduced the corporate federal income tax rate from 35% to 21%. The Company applied the 21% federal tax rate in the rate reconciliation for fiscal year 2019 and 2018. As the Company has a March 31 fiscal year-end, the phase-in of tax rate from 35% to 21% in fiscal year 2018 resulted in a blended tax rate of 31.6%. However, the Company applied the 21% federal tax rate in the rate reconciliation for fiscal year 2018 as the fiscal year 2018 taxable loss will not be subject to federal tax at the 31.6% blended tax rate. Instead, the taxable loss increases the net operating loss carryforwards and will be subject to the lower 21% federal tax rate in future periods.</w:t>
      </w:r>
    </w:p>
    <w:p>
      <w:pPr>
        <w:spacing w:after="0" w:line="189"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As of March 31, 2019, the Company had federal and state research credit carryforwards of $163.5 million and $146.3 million, respectively, which begin to expire in fiscal year 2026 and fiscal year 2020, respectively. As of March 31, 2019, the Company also had foreign tax credit carryforwards of approximately $1.6 million, which begin to expire in fiscal year 2021. As of March 31, 2019, the Company had federal and state net operating loss carryforwards of $761.5 million and $585.1 million, respectively, which begin to expire in fiscal year 2021 and fiscal year 2020, respectively. The Tax Reform repealed the alternative minimum tax (AMT) for tax years beginning January 1, 2018, and provides that existing AMT credit carryovers are refundable beginning in calendar year 2018. The Company has an insignificant amount of AMT credit carryovers that are expected to be fully refunded by fiscal year 2022</w:t>
      </w:r>
      <w:r>
        <w:rPr>
          <w:rFonts w:ascii="Arial" w:cs="Arial" w:eastAsia="Arial" w:hAnsi="Arial"/>
          <w:sz w:val="18"/>
          <w:szCs w:val="18"/>
          <w:b w:val="1"/>
          <w:bCs w:val="1"/>
          <w:color w:val="auto"/>
        </w:rPr>
        <w:t>.</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accordance with ASU 2016-09, which the Company adopted during the first quarter of fiscal year 2018, the Company recorded a cumulative effect adjustment as of the beginning of the first quarter of fiscal year 2018 to increase retained earnings by $58.7 million with a corresponding increase to deferred tax assets to recognize net operating loss carryforwards attributable to excess tax benefits on share-based compensation that had not been previously recognized. On a prospective basis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5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$33.5 million at March 31, 2019 and $29.0 million at March 31, 2018 has been established relating to state and foreign net operating loss carryforwards, state R&amp;D tax credit carryforwards, and foreign tax credit carryforwards that, based on management’s estimate of future taxable income attributable to such jurisdictions and generation of additional research credits, are considered more likely than not to expire unused.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fiscal year</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49,066</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45,080</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Decrease related to prior year tax positions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FF0FC"/>
          </w:tcPr>
          <w:p>
            <w:pPr>
              <w:spacing w:after="0"/>
              <w:rPr>
                <w:sz w:val="18"/>
                <w:szCs w:val="18"/>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Balance, end of fiscal year</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68,156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55,474</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49,066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518"/>
        <w:spacing w:after="0" w:line="246" w:lineRule="auto"/>
        <w:rPr>
          <w:sz w:val="20"/>
          <w:szCs w:val="20"/>
          <w:color w:val="auto"/>
        </w:rPr>
      </w:pPr>
      <w:r>
        <w:rPr>
          <w:rFonts w:ascii="Arial" w:cs="Arial" w:eastAsia="Arial" w:hAnsi="Arial"/>
          <w:sz w:val="18"/>
          <w:szCs w:val="18"/>
          <w:color w:val="auto"/>
        </w:rPr>
        <w:t>Of the total unrecognized tax benefits at March 31, 2019, $61.2 million would reduce the Company’s annual effective tax rate if recognized, subject to valuation allowance consideration.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next 12 months it is reasonably possible that the amount of unrecognized tax benefits will not change significantly.</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income tax returns are subject to examination by the Internal Revenue Service (IRS) for fiscal years 2016 through 2018. Additionally, tax credit carryovers that were generated in prior years and utilized in these years may also be subject to examination by the IRS. With few exceptions, fiscal years 2015 to 2018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March 31,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99" w:lineRule="exact"/>
        <w:rPr>
          <w:sz w:val="20"/>
          <w:szCs w:val="20"/>
          <w:color w:val="auto"/>
        </w:rPr>
      </w:pPr>
    </w:p>
    <w:p>
      <w:pPr>
        <w:ind w:right="260" w:firstLine="518"/>
        <w:spacing w:after="0" w:line="239" w:lineRule="auto"/>
        <w:rPr>
          <w:sz w:val="20"/>
          <w:szCs w:val="20"/>
          <w:color w:val="auto"/>
        </w:rPr>
      </w:pPr>
      <w:r>
        <w:rPr>
          <w:rFonts w:ascii="Arial" w:cs="Arial" w:eastAsia="Arial" w:hAnsi="Arial"/>
          <w:sz w:val="18"/>
          <w:szCs w:val="18"/>
          <w:color w:val="auto"/>
        </w:rPr>
        <w:t>On December 22, 2017, the Tax Reform was enacted into law. Among other matters, the Tax Reform lowered the corporate federal income tax rate from 35% to 21%, effective January 1, 2018, and transitioned U.S. international taxation from a worldwide tax system to a modified territorial tax system, including a one-time transition tax on accumulated foreign earnings, and created new taxes on certain foreign earnings.</w:t>
      </w:r>
    </w:p>
    <w:p>
      <w:pPr>
        <w:spacing w:after="0" w:line="148"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The Company re-measured its deferred tax balances as of December 22, 2017 to reflect the 21% reduced tax rate and recognized an income tax expense of $5.3 million for the fiscal year ended March 31, 2018. The one-time transition tax had no impact to the Company’s income tax provision.</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Securities and Exchange Commission issued rules under SAB 118 that allowed for a measurement period of up to one year after the enactment date of the Tax Reform to finalize the recording of the related enactment-date tax impacts. The Company finalized its accounting for the related enactment-date tax impacts during fiscal year 2019 with no adjustments to the provisional estimate recorded at December 31, 2017. The Company has accounted for the fiscal year 2019 impacts of the Tax Reform in its benefit from (provision for) income taxes in accordance with its interpretation of the Tax Reform and available guidance. However, additional Treasury regulations and other interpretive guidance are expected. The impact of any additional guidance will be recorded in the subsequent periods in which the additional guidance is released.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right="5520"/>
        <w:spacing w:after="0" w:line="333" w:lineRule="auto"/>
        <w:rPr>
          <w:sz w:val="20"/>
          <w:szCs w:val="20"/>
          <w:color w:val="auto"/>
        </w:rPr>
      </w:pPr>
      <w:r>
        <w:rPr>
          <w:rFonts w:ascii="Arial" w:cs="Arial" w:eastAsia="Arial" w:hAnsi="Arial"/>
          <w:sz w:val="18"/>
          <w:szCs w:val="18"/>
          <w:b w:val="1"/>
          <w:bCs w:val="1"/>
          <w:color w:val="auto"/>
        </w:rPr>
        <w:t xml:space="preserve">Note 9 — Equity Method Investments and Related 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total net cash outlay for its investment in Euro Infrastructure Co., including approximately $2.4 million of transaction costs, was approximately $ 141.9 million.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loss, net of tax, of approximately $5.6 million and a gain, net of tax, of approximately $12.7 million for the fiscal years ended March 31, 2019 and 2018,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from the date of the Company’s investment in Euro Infrastructure Co. on March 3, 2017 through December 31, 2017 in its consolidated financial statements for the fiscal year ended March 31, 2018 and included its share of the results of Euro Infrastructure Co. for the twelve months ended December 31, 2018 in its consolidated financial statements for the fiscal year ended March 31, 2019.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60"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31, 2019 and March 31, 2018 is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March 31, 2019</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Carrying value of investment in Euro Infrastructure Co.</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160,711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proportionate share of net assets of Euro Infrastructure Co.</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145,016</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Excess carrying value of investment over proportionate share of net assets</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The excess carrying value has been primarily assigned to:</w:t>
            </w: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6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Tangible assets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(18,522)</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(21,342)</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9" w:lineRule="exact"/>
        <w:rPr>
          <w:sz w:val="20"/>
          <w:szCs w:val="20"/>
          <w:color w:val="auto"/>
        </w:rPr>
      </w:pPr>
    </w:p>
    <w:p>
      <w:pPr>
        <w:ind w:right="80" w:firstLine="518"/>
        <w:spacing w:after="0" w:line="255" w:lineRule="auto"/>
        <w:rPr>
          <w:sz w:val="20"/>
          <w:szCs w:val="20"/>
          <w:color w:val="auto"/>
        </w:rPr>
      </w:pPr>
      <w:r>
        <w:rPr>
          <w:rFonts w:ascii="Arial" w:cs="Arial" w:eastAsia="Arial" w:hAnsi="Arial"/>
          <w:sz w:val="17"/>
          <w:szCs w:val="17"/>
          <w:color w:val="auto"/>
        </w:rPr>
        <w:t>The Company’s share of income on its investment in Euro Infrastructure Co. was $3.0 million and $ 2.0 million for the fiscal years ended March 31, 2019 and 2018, respectively, consisting of the Company’s share of equity in Euro Infrastructure Co.’s income, including amortization of the difference in the historical basis of the Company’s contribution. As the Company records its proportionate share of the results of Euro Infrastructure Co., and any related basis difference amortization expense, within equity in income (loss) of unconsolidated affiliate, net, one quarter in arrears, the Company did not have any share of income on its investment in Euro Infrastructure Co. in fiscal year 2017.</w:t>
      </w:r>
    </w:p>
    <w:p>
      <w:pPr>
        <w:spacing w:after="0" w:line="137" w:lineRule="exact"/>
        <w:rPr>
          <w:sz w:val="20"/>
          <w:szCs w:val="20"/>
          <w:color w:val="auto"/>
        </w:rPr>
      </w:pPr>
    </w:p>
    <w:p>
      <w:pPr>
        <w:ind w:right="580" w:firstLine="518"/>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$6.4 million in retained earnings of undistributed cumulative earnings in equity interests, net of tax, as of March 31, 2019.</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8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Transactions with the equity method investee are considered related-party transactions. In addition, Richard Baldridge, the President and Chief Operating Officer and a Director of the Company, also serves on the board of directors of Ducommun Inc. The following tables set forth the material related-party transactions entered into between Euro Infrastructure Co. and its subsidiaries, or Ducommon Inc. (inventory procurement)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75"/>
              <w:spacing w:after="0" w:line="156"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100" w:type="dxa"/>
            <w:vAlign w:val="bottom"/>
          </w:tcPr>
          <w:p>
            <w:pPr>
              <w:jc w:val="center"/>
              <w:ind w:right="235"/>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9,277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Expense – Euro Infrastructure Co.</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14,302</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7,134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7,460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Cash paid – Euro Infrastructure Co.</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15,191</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7,040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paid – Ducommun Inc.</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20,059</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bl>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97"/>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75"/>
        </w:trPr>
        <w:tc>
          <w:tcPr>
            <w:tcW w:w="54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March 31, 2019</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5"/>
                <w:szCs w:val="15"/>
                <w:color w:val="auto"/>
              </w:rPr>
            </w:pPr>
          </w:p>
        </w:tc>
      </w:tr>
      <w:tr>
        <w:trPr>
          <w:trHeight w:val="169"/>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ind w:left="5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60" w:type="dxa"/>
            <w:vAlign w:val="bottom"/>
            <w:shd w:val="clear" w:color="auto" w:fill="CFF0FC"/>
          </w:tcPr>
          <w:p>
            <w:pPr>
              <w:spacing w:after="0"/>
              <w:rPr>
                <w:sz w:val="18"/>
                <w:szCs w:val="18"/>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 – Euro</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8"/>
                <w:szCs w:val="18"/>
                <w:color w:val="auto"/>
              </w:rPr>
              <w:t>Infrastructure Co.</w:t>
            </w:r>
          </w:p>
        </w:tc>
        <w:tc>
          <w:tcPr>
            <w:tcW w:w="240" w:type="dxa"/>
            <w:vAlign w:val="bottom"/>
          </w:tcPr>
          <w:p>
            <w:pPr>
              <w:spacing w:after="0"/>
              <w:rPr>
                <w:sz w:val="17"/>
                <w:szCs w:val="17"/>
                <w:color w:val="auto"/>
              </w:rPr>
            </w:pPr>
          </w:p>
        </w:tc>
        <w:tc>
          <w:tcPr>
            <w:tcW w:w="980" w:type="dxa"/>
            <w:vAlign w:val="bottom"/>
          </w:tcPr>
          <w:p>
            <w:pPr>
              <w:jc w:val="right"/>
              <w:ind w:right="17"/>
              <w:spacing w:after="0" w:line="203" w:lineRule="exact"/>
              <w:rPr>
                <w:sz w:val="20"/>
                <w:szCs w:val="20"/>
                <w:color w:val="auto"/>
              </w:rPr>
            </w:pPr>
            <w:r>
              <w:rPr>
                <w:rFonts w:ascii="Arial" w:cs="Arial" w:eastAsia="Arial" w:hAnsi="Arial"/>
                <w:sz w:val="18"/>
                <w:szCs w:val="18"/>
                <w:color w:val="auto"/>
              </w:rPr>
              <w:t>4,703</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3,246</w:t>
            </w:r>
          </w:p>
        </w:tc>
        <w:tc>
          <w:tcPr>
            <w:tcW w:w="60" w:type="dxa"/>
            <w:vAlign w:val="bottom"/>
          </w:tcPr>
          <w:p>
            <w:pPr>
              <w:spacing w:after="0"/>
              <w:rPr>
                <w:sz w:val="17"/>
                <w:szCs w:val="17"/>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 Ducommun Inc.</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858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77"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was insignificant.</w:t>
      </w: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was no related-party activity for the periods indicated.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Benefits</w:t>
      </w:r>
    </w:p>
    <w:p>
      <w:pPr>
        <w:spacing w:after="0" w:line="85"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2019 fiscal year end, the Company elected to settle the discretionary contributions liability in shares of the Company’s common stock, consistent with fiscal year 2018. Based on the closing price of the Company’s common stock at the 2019 fiscal year end, the Company would issue approximately 294,839 shares of common stock at this time. Discretionary contributions accrued by the Company as of March 31, 2019 and 2018 amounted to $22.9 million and $19.4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w:t>
      </w:r>
    </w:p>
    <w:p>
      <w:pPr>
        <w:spacing w:after="0" w:line="85" w:lineRule="exact"/>
        <w:rPr>
          <w:sz w:val="20"/>
          <w:szCs w:val="20"/>
          <w:color w:val="auto"/>
        </w:rPr>
      </w:pPr>
    </w:p>
    <w:p>
      <w:pPr>
        <w:ind w:right="40" w:firstLine="518"/>
        <w:spacing w:after="0" w:line="234" w:lineRule="auto"/>
        <w:rPr>
          <w:sz w:val="20"/>
          <w:szCs w:val="20"/>
          <w:color w:val="auto"/>
        </w:rPr>
      </w:pPr>
      <w:r>
        <w:rPr>
          <w:rFonts w:ascii="Arial" w:cs="Arial" w:eastAsia="Arial" w:hAnsi="Arial"/>
          <w:sz w:val="18"/>
          <w:szCs w:val="18"/>
          <w:color w:val="auto"/>
        </w:rPr>
        <w:t>In January 2008, the Company entered into several agreements with Space Systems/Loral, Inc. (SS/L), its former parent company Loral Space &amp; Communications, Inc. (Loral) and Telesat Canada related to the Company’s ViaSat-1 satellite, which was placed into service in January 2012. In May 2013, the Company entered into an agreement to purchase the ViaSat-2 satellite from The Boeing Company (Boeing), which satellite was placed into service during the fourth quarter of fiscal year 2018. The Company’s contracts with SS/L and Boeing require the Company to make monthly in-orbit satellite performance incentive payments, including interest through approximately fiscal year 2028, subject to the continued satisfactory performance of the satellites. The Company records the net present value of these expected future payments as a liability and as a component of the cost of the satellites. As of March 31, 2019, the Company’s estimated satellite performance incentive obligations and accrued interest for the ViaSat-1 and ViaSat-2 satellites were approximately $28.2 million, of which $2.9 million and $25.3 million have been classified as current in accrued liabilities and non-current in other liabilities, respectively. Under the satellite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construction contracts with SS/L and Boeing, the Company may incur up to $37.0 million in total costs for satellite performance incentive</w:t>
      </w:r>
    </w:p>
    <w:p>
      <w:pPr>
        <w:spacing w:after="0" w:line="234" w:lineRule="auto"/>
        <w:rPr>
          <w:sz w:val="20"/>
          <w:szCs w:val="20"/>
          <w:color w:val="auto"/>
        </w:rPr>
      </w:pPr>
      <w:r>
        <w:rPr>
          <w:rFonts w:ascii="Arial" w:cs="Arial" w:eastAsia="Arial" w:hAnsi="Arial"/>
          <w:sz w:val="18"/>
          <w:szCs w:val="18"/>
          <w:color w:val="auto"/>
        </w:rPr>
        <w:t>obligations and related interest earned through approximately fiscal year 2028 with potential future minimum payments of $2.6 million,</w:t>
      </w:r>
    </w:p>
    <w:p>
      <w:pPr>
        <w:spacing w:after="0" w:line="235" w:lineRule="auto"/>
        <w:rPr>
          <w:sz w:val="20"/>
          <w:szCs w:val="20"/>
          <w:color w:val="auto"/>
        </w:rPr>
      </w:pPr>
      <w:r>
        <w:rPr>
          <w:rFonts w:ascii="Arial" w:cs="Arial" w:eastAsia="Arial" w:hAnsi="Arial"/>
          <w:sz w:val="18"/>
          <w:szCs w:val="18"/>
          <w:color w:val="auto"/>
        </w:rPr>
        <w:t>$2.8 million, $3.3 million, $5.0 million and $5.3 million in fiscal years 2020, 2021, 2022, 2023 and 2024, respectively, with $18.0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commitments thereafter.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In July 2016, the Company entered into two separate agreements with Boeing for the construction and purchase of two ViaSat-3 class satellites and the integration of Viasat’s payload technologies into the satellites. Pursuant to these agreements, as amended, the aggregate purchase price for the two satellites is approximately $390.1 million (subject to purchase price adjustments based on factors such as launch delay and early delivery), plus an additional amount for launch support services to be performed by Boeing. In addition, under one of these agreements, the Company had the option to order one additional ViaSat-3 class satellite, with respect to which the Company signed an agreement to proceed in January 2019 for the third ViaSat-3 class satellite. The first ViaSat-3 class satellite is expected to provide broadband services over the Americas, the second is expected to provide broadband services over the Europe, Middle East and Africa (EMEA) region, and the third is expected to provide broadband services over Asia and Pacific (APAC) region, enabling the Company to deliver affordable connectivity worldwide.</w:t>
      </w:r>
    </w:p>
    <w:p>
      <w:pPr>
        <w:spacing w:after="0" w:line="194" w:lineRule="exact"/>
        <w:rPr>
          <w:sz w:val="20"/>
          <w:szCs w:val="20"/>
          <w:color w:val="auto"/>
        </w:rPr>
      </w:pPr>
    </w:p>
    <w:p>
      <w:pPr>
        <w:ind w:right="500" w:firstLine="518"/>
        <w:spacing w:after="0" w:line="239" w:lineRule="auto"/>
        <w:rPr>
          <w:sz w:val="20"/>
          <w:szCs w:val="20"/>
          <w:color w:val="auto"/>
        </w:rPr>
      </w:pPr>
      <w:r>
        <w:rPr>
          <w:rFonts w:ascii="Arial" w:cs="Arial" w:eastAsia="Arial" w:hAnsi="Arial"/>
          <w:sz w:val="18"/>
          <w:szCs w:val="18"/>
          <w:color w:val="auto"/>
        </w:rPr>
        <w:t>In addition to the satellite construction agreements described above, the Company also enters into various other satellite-related purchase commitments, including with respect to the provision of launch services, operation of our satellites and satellite insurance. As of March 31, 2019, future minimum payments under the Company’s satellite construction contracts and other satellite-related purchase commitments for the next five fiscal years and thereafter were as follows: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362,800</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2021</w:t>
            </w: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147,386</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162,091</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2023</w:t>
            </w: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107,304</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60" w:type="dxa"/>
            <w:vAlign w:val="bottom"/>
            <w:shd w:val="clear" w:color="auto" w:fill="CFF0FC"/>
          </w:tcPr>
          <w:p>
            <w:pPr>
              <w:spacing w:after="0"/>
              <w:rPr>
                <w:sz w:val="18"/>
                <w:szCs w:val="18"/>
                <w:color w:val="auto"/>
              </w:rPr>
            </w:pPr>
          </w:p>
        </w:tc>
      </w:tr>
      <w:tr>
        <w:trPr>
          <w:trHeight w:val="216"/>
        </w:trPr>
        <w:tc>
          <w:tcPr>
            <w:tcW w:w="3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60" w:type="dxa"/>
            <w:vAlign w:val="bottom"/>
            <w:tcBorders>
              <w:bottom w:val="single" w:sz="8" w:color="CFF0FC"/>
            </w:tcBorders>
          </w:tcPr>
          <w:p>
            <w:pPr>
              <w:spacing w:after="0"/>
              <w:rPr>
                <w:sz w:val="18"/>
                <w:szCs w:val="18"/>
                <w:color w:val="auto"/>
              </w:rPr>
            </w:pPr>
          </w:p>
        </w:tc>
      </w:tr>
      <w:tr>
        <w:trPr>
          <w:trHeight w:val="210"/>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800,993</w:t>
            </w:r>
          </w:p>
        </w:tc>
        <w:tc>
          <w:tcPr>
            <w:tcW w:w="60" w:type="dxa"/>
            <w:vAlign w:val="bottom"/>
            <w:shd w:val="clear" w:color="auto" w:fill="CFF0FC"/>
          </w:tcPr>
          <w:p>
            <w:pPr>
              <w:spacing w:after="0"/>
              <w:rPr>
                <w:sz w:val="18"/>
                <w:szCs w:val="18"/>
                <w:color w:val="auto"/>
              </w:rPr>
            </w:pP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$68.4 million, $53.0 million, $25.6 million, $19.8 million and $1.8 million in fiscal years 2020, 2021, 2022, 2023 and 2024, respectively, and no further minimum payments thereafter.</w:t>
      </w:r>
    </w:p>
    <w:p>
      <w:pPr>
        <w:spacing w:after="0" w:line="149" w:lineRule="exact"/>
        <w:rPr>
          <w:sz w:val="20"/>
          <w:szCs w:val="20"/>
          <w:color w:val="auto"/>
        </w:rPr>
      </w:pPr>
    </w:p>
    <w:p>
      <w:pPr>
        <w:jc w:val="both"/>
        <w:ind w:right="160" w:firstLine="518"/>
        <w:spacing w:after="0"/>
        <w:rPr>
          <w:sz w:val="20"/>
          <w:szCs w:val="20"/>
          <w:color w:val="auto"/>
        </w:rPr>
      </w:pPr>
      <w:r>
        <w:rPr>
          <w:rFonts w:ascii="Arial" w:cs="Arial" w:eastAsia="Arial" w:hAnsi="Arial"/>
          <w:sz w:val="18"/>
          <w:szCs w:val="18"/>
          <w:color w:val="auto"/>
        </w:rPr>
        <w:t>The Company leases office and other facilities under non-cancelable operating leases which expire between fiscal year 2020 and fiscal year 2033 with initial terms ranging from one to 15 years and which provide for pre-negotiated fixed rental rates during the terms of the lease. Certain of the Company’s facilities leases contain option provisions which allow for extension of the lease terms.</w:t>
      </w:r>
    </w:p>
    <w:p>
      <w:pPr>
        <w:spacing w:after="0" w:line="149"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$53.5 million, $41.2 million and $34.0 million in fiscal years 2019, 2018 and 2017, respectively.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future minimum lease payments for the next five fiscal years and thereafter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3"/>
          </w:tcPr>
          <w:p>
            <w:pPr>
              <w:ind w:left="2300"/>
              <w:spacing w:after="0"/>
              <w:rPr>
                <w:sz w:val="20"/>
                <w:szCs w:val="20"/>
                <w:color w:val="auto"/>
              </w:rPr>
            </w:pPr>
            <w:r>
              <w:rPr>
                <w:rFonts w:ascii="Arial" w:cs="Arial" w:eastAsia="Arial" w:hAnsi="Arial"/>
                <w:sz w:val="14"/>
                <w:szCs w:val="14"/>
                <w:b w:val="1"/>
                <w:bCs w:val="1"/>
                <w:color w:val="auto"/>
              </w:rPr>
              <w:t>Fiscal Years Ending</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13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4"/>
              </w:rPr>
              <w:t>2020</w:t>
            </w:r>
          </w:p>
        </w:tc>
        <w:tc>
          <w:tcPr>
            <w:tcW w:w="920" w:type="dxa"/>
            <w:vAlign w:val="bottom"/>
            <w:shd w:val="clear" w:color="auto" w:fill="CFF0FC"/>
          </w:tcPr>
          <w:p>
            <w:pPr>
              <w:spacing w:after="0"/>
              <w:rPr>
                <w:sz w:val="18"/>
                <w:szCs w:val="18"/>
                <w:color w:val="auto"/>
              </w:rPr>
            </w:pPr>
          </w:p>
        </w:tc>
        <w:tc>
          <w:tcPr>
            <w:tcW w:w="3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2280" w:type="dxa"/>
            <w:vAlign w:val="bottom"/>
          </w:tcPr>
          <w:p>
            <w:pPr>
              <w:spacing w:after="0"/>
              <w:rPr>
                <w:sz w:val="18"/>
                <w:szCs w:val="18"/>
                <w:color w:val="auto"/>
              </w:rPr>
            </w:pPr>
          </w:p>
        </w:tc>
      </w:tr>
      <w:tr>
        <w:trPr>
          <w:trHeight w:val="216"/>
        </w:trPr>
        <w:tc>
          <w:tcPr>
            <w:tcW w:w="3660" w:type="dxa"/>
            <w:vAlign w:val="bottom"/>
            <w:gridSpan w:val="2"/>
          </w:tcPr>
          <w:p>
            <w:pPr>
              <w:jc w:val="right"/>
              <w:ind w:right="87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59,452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4"/>
              </w:rPr>
              <w:t>2022</w:t>
            </w:r>
          </w:p>
        </w:tc>
        <w:tc>
          <w:tcPr>
            <w:tcW w:w="92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57,500</w:t>
            </w:r>
          </w:p>
        </w:tc>
        <w:tc>
          <w:tcPr>
            <w:tcW w:w="2280" w:type="dxa"/>
            <w:vAlign w:val="bottom"/>
          </w:tcPr>
          <w:p>
            <w:pPr>
              <w:spacing w:after="0"/>
              <w:rPr>
                <w:sz w:val="18"/>
                <w:szCs w:val="18"/>
                <w:color w:val="auto"/>
              </w:rPr>
            </w:pPr>
          </w:p>
        </w:tc>
      </w:tr>
      <w:tr>
        <w:trPr>
          <w:trHeight w:val="216"/>
        </w:trPr>
        <w:tc>
          <w:tcPr>
            <w:tcW w:w="3660" w:type="dxa"/>
            <w:vAlign w:val="bottom"/>
            <w:gridSpan w:val="2"/>
          </w:tcPr>
          <w:p>
            <w:pPr>
              <w:jc w:val="right"/>
              <w:ind w:right="870"/>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50,933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4"/>
              </w:rPr>
              <w:t>2024</w:t>
            </w:r>
          </w:p>
        </w:tc>
        <w:tc>
          <w:tcPr>
            <w:tcW w:w="92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2280" w:type="dxa"/>
            <w:vAlign w:val="bottom"/>
          </w:tcPr>
          <w:p>
            <w:pPr>
              <w:spacing w:after="0"/>
              <w:rPr>
                <w:sz w:val="18"/>
                <w:szCs w:val="18"/>
                <w:color w:val="auto"/>
              </w:rPr>
            </w:pPr>
          </w:p>
        </w:tc>
      </w:tr>
      <w:tr>
        <w:trPr>
          <w:trHeight w:val="216"/>
        </w:trPr>
        <w:tc>
          <w:tcPr>
            <w:tcW w:w="4580" w:type="dxa"/>
            <w:vAlign w:val="bottom"/>
            <w:gridSpan w:val="3"/>
          </w:tcPr>
          <w:p>
            <w:pPr>
              <w:ind w:left="2300"/>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183,077</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3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461,126</w:t>
            </w:r>
          </w:p>
        </w:tc>
        <w:tc>
          <w:tcPr>
            <w:tcW w:w="228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96"/>
        </w:trPr>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2"/>
          </w:tcPr>
          <w:p>
            <w:pPr>
              <w:jc w:val="right"/>
              <w:ind w:right="1970"/>
              <w:spacing w:after="0"/>
              <w:rPr>
                <w:sz w:val="20"/>
                <w:szCs w:val="20"/>
                <w:color w:val="auto"/>
              </w:rPr>
            </w:pPr>
            <w:r>
              <w:rPr>
                <w:rFonts w:ascii="Arial" w:cs="Arial" w:eastAsia="Arial" w:hAnsi="Arial"/>
                <w:sz w:val="18"/>
                <w:szCs w:val="18"/>
                <w:color w:val="auto"/>
              </w:rPr>
              <w:t>F-40</w:t>
            </w: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March 2016, the Company’s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 During the fourth quarter of fiscal year 2017, based on further developments in that investigation and TrellisWare’s discussions with the U.S. Attorney’s Office, the Company accrued a total loss contingency of $11.8 million in SG&amp;A expenses in its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As of March 31, 2017, the total loss contingency was recorded in accrued liabilities and other long term liabilities in the consolidated balance sheet in the amounts of $8.8 million and $3.0 million, respectively. In the fourth quarter of fiscal year 2018, the TrellisWare investigation was settled and the accrued amount of loss contingency was paid out in full.</w:t>
      </w:r>
    </w:p>
    <w:p>
      <w:pPr>
        <w:spacing w:after="0" w:line="149"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2019. As of March 31, 2019, the DCAA had completed its incurred cost audit for fiscal years 2004 and 2016 and approved the Company’s incurred costs for those fiscal years, as well as approved the Company’s incurred costs for fiscal years 2005 through 2015, 2017 and 2018 without further audit based on a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2019 and 2018, the Company had $4.9 million and $1.6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Product Warranty</w:t>
      </w:r>
    </w:p>
    <w:p>
      <w:pPr>
        <w:spacing w:after="0" w:line="85"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2019, 2018 and 2017.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2017</w:t>
            </w:r>
          </w:p>
        </w:tc>
      </w:tr>
      <w:tr>
        <w:trPr>
          <w:trHeight w:val="169"/>
        </w:trPr>
        <w:tc>
          <w:tcPr>
            <w:tcW w:w="5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Change in liability for warranties issued in period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 made (in cash or in kind) during the period</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(5,041)</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(8,191)</w:t>
            </w:r>
          </w:p>
        </w:tc>
      </w:tr>
      <w:tr>
        <w:trPr>
          <w:trHeight w:val="20"/>
        </w:trPr>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7,584</w:t>
            </w:r>
          </w:p>
        </w:tc>
        <w:tc>
          <w:tcPr>
            <w:tcW w:w="16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customers accessing our services via our Community and Urban Wi-Fi hotspot distribution channels,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Segment revenues and operating profits (losses) for the fiscal years ended March 31, 2019, March 31, 2018 and March 31, 2017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 (1)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684,205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588,623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589,287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198,034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233,221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556,849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215,268</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772,117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profits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Satellite services (1)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(64,321)</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(229,105)</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(180,496)</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systems (2)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137,131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Elimination of intersegment operating profits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(loss) profit before corporate and</w:t>
            </w: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(50,965)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(79,956)</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47,247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(9,655)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(12,231)</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(60,620)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(92,187)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jc w:val="both"/>
        <w:ind w:left="520" w:right="100" w:hanging="512"/>
        <w:spacing w:after="0" w:line="23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revenues and operating profits in the satellite services segment included $26.8 million for the fiscal year ended March 31, 2017, relating to amounts realized under the Company’s settlement agreement entered into in fiscal year 2015 with SS/L and its former parent company Loral. As of March 31, 2017, all payments pursuant to this settlement agreement had been recorded and no further impacts to the Company’s consolidated financial statements are anticipated related to this settlement agreement.</w:t>
      </w:r>
    </w:p>
    <w:p>
      <w:pPr>
        <w:spacing w:after="0" w:line="3" w:lineRule="exact"/>
        <w:rPr>
          <w:rFonts w:ascii="Arial" w:cs="Arial" w:eastAsia="Arial" w:hAnsi="Arial"/>
          <w:sz w:val="18"/>
          <w:szCs w:val="18"/>
          <w:color w:val="auto"/>
        </w:rPr>
      </w:pPr>
    </w:p>
    <w:p>
      <w:pPr>
        <w:ind w:left="520" w:right="20" w:hanging="512"/>
        <w:spacing w:after="0" w:line="239"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profits for the government systems segment reflected $11.8 million of SG&amp;A expenses for the fiscal year ended March 31, 2017, relating to uncharacterized damages and penalties in connection with the False Claims Act civil investigation related to the Company’s 52% majority-owned subsidiary TrellisWare. In the fourth quarter of fiscal year 2018, the TrellisWare investigation was settled and the accrued amount of loss contingency was paid out in full. See Note 12.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2019 and March 31, 2018 were as follows: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Satellite services</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85,907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networks</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211,447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Government systems</w:t>
            </w:r>
          </w:p>
        </w:tc>
        <w:tc>
          <w:tcPr>
            <w:tcW w:w="20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408,422</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337,451</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segment assets</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677,529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615,728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Corporate assets</w:t>
            </w:r>
          </w:p>
        </w:tc>
        <w:tc>
          <w:tcPr>
            <w:tcW w:w="20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3,237,758</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2,798,381</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8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March 31, 2019 and 2018 were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00"/>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As of</w:t>
            </w:r>
          </w:p>
        </w:tc>
      </w:tr>
      <w:tr>
        <w:trPr>
          <w:trHeight w:val="162"/>
        </w:trPr>
        <w:tc>
          <w:tcPr>
            <w:tcW w:w="3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169"/>
        </w:trPr>
        <w:tc>
          <w:tcPr>
            <w:tcW w:w="3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Commercial networks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44,011</w:t>
            </w:r>
          </w:p>
        </w:tc>
        <w:tc>
          <w:tcPr>
            <w:tcW w:w="100" w:type="dxa"/>
            <w:vAlign w:val="bottom"/>
          </w:tcPr>
          <w:p>
            <w:pPr>
              <w:spacing w:after="0"/>
              <w:rPr>
                <w:sz w:val="18"/>
                <w:szCs w:val="18"/>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8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11,942</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64,169</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63,083</w:t>
            </w:r>
          </w:p>
        </w:tc>
        <w:tc>
          <w:tcPr>
            <w:tcW w:w="100" w:type="dxa"/>
            <w:vAlign w:val="bottom"/>
            <w:shd w:val="clear" w:color="auto" w:fill="CFF0FC"/>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22,301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31,862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121,719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46" w:lineRule="auto"/>
        <w:rPr>
          <w:sz w:val="20"/>
          <w:szCs w:val="20"/>
          <w:color w:val="auto"/>
        </w:rPr>
      </w:pPr>
      <w:r>
        <w:rPr>
          <w:rFonts w:ascii="Arial" w:cs="Arial" w:eastAsia="Arial" w:hAnsi="Arial"/>
          <w:sz w:val="18"/>
          <w:szCs w:val="18"/>
          <w:color w:val="auto"/>
        </w:rPr>
        <w:t>Amortization of acquired intangible assets by segment for the fiscal years ended March 31, 2019, March 31, 2018 and March 31, 2017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6"/>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c>
          <w:tcPr>
            <w:tcW w:w="1140" w:type="dxa"/>
            <w:vAlign w:val="bottom"/>
          </w:tcPr>
          <w:p>
            <w:pPr>
              <w:spacing w:after="0"/>
              <w:rPr>
                <w:sz w:val="13"/>
                <w:szCs w:val="13"/>
                <w:color w:val="auto"/>
              </w:rPr>
            </w:pPr>
          </w:p>
        </w:tc>
      </w:tr>
      <w:tr>
        <w:trPr>
          <w:trHeight w:val="175"/>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3"/>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Commercial networks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Total amortization of acquired intangible assets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12,231</w:t>
            </w:r>
          </w:p>
        </w:tc>
        <w:tc>
          <w:tcPr>
            <w:tcW w:w="1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F-44</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by geographic area for the fiscal years ended March 31, 2019, March 31, 2018 and March 31, 2017 was as follows:</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1,836,304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1,403,473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1,352,002</w:t>
            </w:r>
          </w:p>
        </w:tc>
        <w:tc>
          <w:tcPr>
            <w:tcW w:w="80" w:type="dxa"/>
            <w:vAlign w:val="bottom"/>
            <w:shd w:val="clear" w:color="auto" w:fill="CFF0FC"/>
          </w:tcPr>
          <w:p>
            <w:pPr>
              <w:spacing w:after="0"/>
              <w:rPr>
                <w:sz w:val="18"/>
                <w:szCs w:val="18"/>
                <w:color w:val="auto"/>
              </w:rPr>
            </w:pPr>
          </w:p>
        </w:tc>
      </w:tr>
      <w:tr>
        <w:trPr>
          <w:trHeight w:val="215"/>
        </w:trPr>
        <w:tc>
          <w:tcPr>
            <w:tcW w:w="4540" w:type="dxa"/>
            <w:vAlign w:val="bottom"/>
            <w:gridSpan w:val="2"/>
          </w:tcPr>
          <w:p>
            <w:pPr>
              <w:spacing w:after="0"/>
              <w:rPr>
                <w:sz w:val="20"/>
                <w:szCs w:val="20"/>
                <w:color w:val="auto"/>
              </w:rPr>
            </w:pPr>
            <w:r>
              <w:rPr>
                <w:rFonts w:ascii="Arial" w:cs="Arial" w:eastAsia="Arial" w:hAnsi="Arial"/>
                <w:sz w:val="18"/>
                <w:szCs w:val="18"/>
                <w:color w:val="auto"/>
              </w:rPr>
              <w:t>Non U.S. customers (each country individually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insignificant)</w:t>
            </w:r>
          </w:p>
        </w:tc>
        <w:tc>
          <w:tcPr>
            <w:tcW w:w="8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231,954</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191,152</w:t>
            </w:r>
          </w:p>
        </w:tc>
        <w:tc>
          <w:tcPr>
            <w:tcW w:w="16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207,335</w:t>
            </w:r>
          </w:p>
        </w:tc>
        <w:tc>
          <w:tcPr>
            <w:tcW w:w="80" w:type="dxa"/>
            <w:vAlign w:val="bottom"/>
            <w:tcBorders>
              <w:bottom w:val="single" w:sz="8" w:color="CFF0FC"/>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1,559,337</w:t>
            </w:r>
          </w:p>
        </w:tc>
        <w:tc>
          <w:tcPr>
            <w:tcW w:w="8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right="520" w:firstLine="518"/>
        <w:spacing w:after="0" w:line="246" w:lineRule="auto"/>
        <w:rPr>
          <w:sz w:val="20"/>
          <w:szCs w:val="20"/>
          <w:color w:val="auto"/>
        </w:rPr>
      </w:pPr>
      <w:r>
        <w:rPr>
          <w:rFonts w:ascii="Arial" w:cs="Arial" w:eastAsia="Arial" w:hAnsi="Arial"/>
          <w:sz w:val="18"/>
          <w:szCs w:val="18"/>
          <w:color w:val="auto"/>
        </w:rPr>
        <w:t>The net book value of long-lived assets located outside the United States was $70.4 million at March 31, 2019 and $53.4 million at March 31, 2018.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Fiscal Years Ended March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Allowance for</w:t>
            </w:r>
          </w:p>
        </w:tc>
      </w:tr>
      <w:tr>
        <w:trPr>
          <w:trHeight w:val="175"/>
        </w:trPr>
        <w:tc>
          <w:tcPr>
            <w:tcW w:w="9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Doubtful Accounts</w:t>
            </w:r>
          </w:p>
        </w:tc>
        <w:tc>
          <w:tcPr>
            <w:tcW w:w="100" w:type="dxa"/>
            <w:vAlign w:val="bottom"/>
          </w:tcPr>
          <w:p>
            <w:pPr>
              <w:spacing w:after="0"/>
              <w:rPr>
                <w:sz w:val="15"/>
                <w:szCs w:val="15"/>
                <w:color w:val="auto"/>
              </w:rPr>
            </w:pPr>
          </w:p>
        </w:tc>
      </w:tr>
      <w:tr>
        <w:trPr>
          <w:trHeight w:val="169"/>
        </w:trPr>
        <w:tc>
          <w:tcPr>
            <w:tcW w:w="9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2016</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(6,822)</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Balance, March 31, 2017</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(7,800)</w:t>
            </w:r>
          </w:p>
        </w:tc>
      </w:tr>
      <w:tr>
        <w:trPr>
          <w:trHeight w:val="210"/>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40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(7,777)</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Balance, March 31, 2019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9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Deferred Tax</w:t>
            </w:r>
          </w:p>
        </w:tc>
      </w:tr>
      <w:tr>
        <w:trPr>
          <w:trHeight w:val="162"/>
        </w:trPr>
        <w:tc>
          <w:tcPr>
            <w:tcW w:w="9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 Valuation</w:t>
            </w:r>
          </w:p>
        </w:tc>
      </w:tr>
      <w:tr>
        <w:trPr>
          <w:trHeight w:val="175"/>
        </w:trPr>
        <w:tc>
          <w:tcPr>
            <w:tcW w:w="9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5"/>
                <w:szCs w:val="15"/>
                <w:color w:val="auto"/>
              </w:rPr>
            </w:pPr>
          </w:p>
        </w:tc>
      </w:tr>
      <w:tr>
        <w:trPr>
          <w:trHeight w:val="169"/>
        </w:trPr>
        <w:tc>
          <w:tcPr>
            <w:tcW w:w="9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2016</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Balance, March 31, 2017</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40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Balance, March 31, 2019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33,499</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3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gridSpan w:val="2"/>
          </w:tcPr>
          <w:p>
            <w:pPr>
              <w:spacing w:after="0"/>
              <w:rPr>
                <w:sz w:val="20"/>
                <w:szCs w:val="20"/>
                <w:color w:val="auto"/>
              </w:rPr>
            </w:pPr>
            <w:r>
              <w:rPr>
                <w:rFonts w:ascii="Arial" w:cs="Arial" w:eastAsia="Arial" w:hAnsi="Arial"/>
                <w:sz w:val="14"/>
                <w:szCs w:val="14"/>
                <w:color w:val="auto"/>
              </w:rPr>
              <w:t>Subsidiaries</w:t>
            </w:r>
          </w:p>
        </w:tc>
        <w:tc>
          <w:tcPr>
            <w:tcW w:w="180" w:type="dxa"/>
            <w:vAlign w:val="bottom"/>
          </w:tcPr>
          <w:p>
            <w:pPr>
              <w:spacing w:after="0"/>
              <w:rPr>
                <w:sz w:val="14"/>
                <w:szCs w:val="14"/>
                <w:color w:val="auto"/>
              </w:rPr>
            </w:pPr>
          </w:p>
        </w:tc>
        <w:tc>
          <w:tcPr>
            <w:tcW w:w="5680" w:type="dxa"/>
            <w:vAlign w:val="bottom"/>
          </w:tcPr>
          <w:p>
            <w:pPr>
              <w:ind w:left="1120"/>
              <w:spacing w:after="0"/>
              <w:rPr>
                <w:sz w:val="20"/>
                <w:szCs w:val="20"/>
                <w:color w:val="auto"/>
              </w:rPr>
            </w:pPr>
            <w:r>
              <w:rPr>
                <w:rFonts w:ascii="Arial" w:cs="Arial" w:eastAsia="Arial" w:hAnsi="Arial"/>
                <w:sz w:val="14"/>
                <w:szCs w:val="14"/>
                <w:color w:val="auto"/>
              </w:rPr>
              <w:t>State or Other Jurisdiction of Incorporation or Organization</w:t>
            </w:r>
          </w:p>
        </w:tc>
      </w:tr>
      <w:tr>
        <w:trPr>
          <w:trHeight w:val="195"/>
        </w:trPr>
        <w:tc>
          <w:tcPr>
            <w:tcW w:w="20" w:type="dxa"/>
            <w:vAlign w:val="bottom"/>
          </w:tcPr>
          <w:p>
            <w:pPr>
              <w:spacing w:after="0"/>
              <w:rPr>
                <w:sz w:val="16"/>
                <w:szCs w:val="16"/>
                <w:color w:val="auto"/>
              </w:rPr>
            </w:pPr>
          </w:p>
        </w:tc>
        <w:tc>
          <w:tcPr>
            <w:tcW w:w="5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Carmel Comunicaciones, S.A. de C.V.</w:t>
            </w:r>
          </w:p>
        </w:tc>
        <w:tc>
          <w:tcPr>
            <w:tcW w:w="180" w:type="dxa"/>
            <w:vAlign w:val="bottom"/>
          </w:tcPr>
          <w:p>
            <w:pPr>
              <w:spacing w:after="0"/>
              <w:rPr>
                <w:sz w:val="16"/>
                <w:szCs w:val="16"/>
                <w:color w:val="auto"/>
              </w:rPr>
            </w:pPr>
          </w:p>
        </w:tc>
        <w:tc>
          <w:tcPr>
            <w:tcW w:w="5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Mexico</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Engreen, Inc.</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Engreen India Private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India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Horsebridge Defence and Security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IOM Licensing Holding Company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Isle of Man</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MBC Croatia d.o.o</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Croatia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MBC Czech Republic s.r.o.</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Czech Republic</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MBC France S.A.S</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France</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MBC Netherlands B.V.</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MBC Poland LLC sp. z o.o.</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Poland</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MBC Switzerland Sàrl</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Switzerland</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mmWaveBroadband Co</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V3GS Austria GmbH</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Austria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V3GS MBC Hungary Ltd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Hungary</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V3GS SI d.o.o</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Slovenia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VGlobal Corp, S.A. de C.V.</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Mexico</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Isle of Man</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Switzerland</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Australia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Brasil Participações Limitada</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Brazil</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Brasil Serviços de Comunicações Limitada</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Brazil</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Broadband Holdings B.V.</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Canada Corp.</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Canada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Carrier Services, Inc.</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Colombia S.A.S</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Colombia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Europe Sarl (Switzerland)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Switzerland</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Germany GmbH</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Germany</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India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Ireland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Ireland</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Israel Ltd.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Israel</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Italy S.r.l.</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Italy</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Netherlands B.V.</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Peru</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Satellite Ventures Holdings Luxembourg S.a.r.l.</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Luxembourg</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Services Holding Co</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Technologies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Tecnologia S.A. de C.V.</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Mexico</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VS3 Holdings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Viasat Worldwide Limited</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VParent, Inc.</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VService, Inc.</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3"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2"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333-164556 and 333-229605) and Form S-8 (File Nos. 333-21113, 333-40396, 333-67010, 333-68757, 333-109959, 333-131382, 333-153828, 333-159708, 333-160361, 333-167379, 333-169593, 333-182015, 333-184029, 333-191326, 333-204440, 333-207064, 333-220556 and 333-228221) of Viasat, Inc. of our report dated May 28, 2019 relating to the financial statements, financial statement schedule and the effectiveness of internal control over financial reporting, which appears in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28, 2019</w:t>
      </w:r>
    </w:p>
    <w:p>
      <w:pPr>
        <w:sectPr>
          <w:pgSz w:w="11900" w:h="16838" w:orient="portrait"/>
          <w:cols w:equalWidth="0" w:num="1">
            <w:col w:w="11420"/>
          </w:cols>
          <w:pgMar w:left="240" w:top="34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Mark Dankberg</w:t>
      </w: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2019</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Shawn Duffy</w:t>
      </w: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260" w:firstLine="499"/>
        <w:spacing w:after="0"/>
        <w:tabs>
          <w:tab w:leader="none" w:pos="1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2019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120" w:firstLine="499"/>
        <w:spacing w:after="0" w:line="246" w:lineRule="auto"/>
        <w:tabs>
          <w:tab w:leader="none" w:pos="1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2019</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Mark Dankberg</w:t>
      </w:r>
    </w:p>
    <w:p>
      <w:pPr>
        <w:ind w:left="6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260" w:firstLine="499"/>
        <w:spacing w:after="0"/>
        <w:tabs>
          <w:tab w:leader="none" w:pos="1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2019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120" w:firstLine="499"/>
        <w:spacing w:after="0" w:line="246" w:lineRule="auto"/>
        <w:tabs>
          <w:tab w:leader="none" w:pos="1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2019</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Shawn Duffy</w:t>
      </w: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Roman"/>
      <w:start w:val="3"/>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2"/>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lowerLetter"/>
      <w:start w:val="1"/>
    </w:lvl>
    <w:lvl w:ilvl="1">
      <w:lvlJc w:val="left"/>
      <w:lvlText w:val="(%2)"/>
      <w:numFmt w:val="decimal"/>
      <w:start w:val="1"/>
    </w:lvl>
  </w:abstractNum>
  <w:abstractNum w:abstractNumId="34">
    <w:nsid w:val="3855585C"/>
    <w:multiLevelType w:val="hybridMultilevel"/>
    <w:lvl w:ilvl="0">
      <w:lvlJc w:val="left"/>
      <w:lvlText w:val="*"/>
      <w:numFmt w:val="bullet"/>
      <w:start w:val="1"/>
    </w:lvl>
    <w:lvl w:ilvl="1">
      <w:lvlJc w:val="left"/>
      <w:lvlText w:val="(%2)"/>
      <w:numFmt w:val="lowerLetter"/>
      <w:start w:val="16"/>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1)"/>
      <w:numFmt w:val="decimal"/>
      <w:start w:val="3"/>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7"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91" Type="http://schemas.openxmlformats.org/officeDocument/2006/relationships/hyperlink" Target="http://www.sec.gov/Archives/edgar/data/797721/000109581100004805/a66909ex3-1.txt" TargetMode="External"/><Relationship Id="rId92" Type="http://schemas.openxmlformats.org/officeDocument/2006/relationships/hyperlink" Target="http://www.sec.gov/Archives/edgar/data/797721/000119312512490491/d447607dex31.htm" TargetMode="External"/><Relationship Id="rId93" Type="http://schemas.openxmlformats.org/officeDocument/2006/relationships/hyperlink" Target="http://www.sec.gov/Archives/edgar/data/797721/000119312517290459/d414724dex41.htm" TargetMode="External"/><Relationship Id="rId94" Type="http://schemas.openxmlformats.org/officeDocument/2006/relationships/hyperlink" Target="http://www.sec.gov/Archives/edgar/data/797721/000119312519088484/d727895dex41.htm" TargetMode="External"/><Relationship Id="rId95" Type="http://schemas.openxmlformats.org/officeDocument/2006/relationships/hyperlink" Target="http://www.sec.gov/Archives/edgar/data/797721/000119312519034114/d671267ds3asr.htm" TargetMode="External"/><Relationship Id="rId96" Type="http://schemas.openxmlformats.org/officeDocument/2006/relationships/hyperlink" Target="http://www.sec.gov/Archives/edgar/data/797721/000093639208000182/a38834exv99w1.htm" TargetMode="External"/><Relationship Id="rId97" Type="http://schemas.openxmlformats.org/officeDocument/2006/relationships/hyperlink" Target="http://www.sec.gov/Archives/edgar/data/797721/000119312517280727/d455251dex101.htm" TargetMode="External"/><Relationship Id="rId98" Type="http://schemas.openxmlformats.org/officeDocument/2006/relationships/hyperlink" Target="http://www.sec.gov/Archives/edgar/data/797721/000119312518270027/d604589dex101.htm" TargetMode="External"/><Relationship Id="rId99" Type="http://schemas.openxmlformats.org/officeDocument/2006/relationships/hyperlink" Target="http://www.sec.gov/Archives/edgar/data/797721/000119312515199042/d875350dex104.htm" TargetMode="External"/><Relationship Id="rId100" Type="http://schemas.openxmlformats.org/officeDocument/2006/relationships/hyperlink" Target="http://www.sec.gov/Archives/edgar/data/797721/000119312518036708/d493158dex101.htm" TargetMode="External"/><Relationship Id="rId101" Type="http://schemas.openxmlformats.org/officeDocument/2006/relationships/hyperlink" Target="http://www.sec.gov/Archives/edgar/data/797721/000119312517182146/d351569dex105.htm" TargetMode="External"/><Relationship Id="rId102" Type="http://schemas.openxmlformats.org/officeDocument/2006/relationships/hyperlink" Target="http://www.sec.gov/Archives/edgar/data/797721/000119312515199042/d875350dex106.htm" TargetMode="External"/><Relationship Id="rId103" Type="http://schemas.openxmlformats.org/officeDocument/2006/relationships/hyperlink" Target="http://www.sec.gov/Archives/edgar/data/797721/000119312515199042/d875350dex107.htm" TargetMode="External"/><Relationship Id="rId104" Type="http://schemas.openxmlformats.org/officeDocument/2006/relationships/hyperlink" Target="http://www.sec.gov/Archives/edgar/data/797721/000095012310071941/a56801exv10w1.htm" TargetMode="External"/><Relationship Id="rId105" Type="http://schemas.openxmlformats.org/officeDocument/2006/relationships/hyperlink" Target="http://www.sec.gov/Archives/edgar/data/797721/000119312513454965/d636795dex101.htm" TargetMode="External"/><Relationship Id="rId106" Type="http://schemas.openxmlformats.org/officeDocument/2006/relationships/hyperlink" Target="http://www.sec.gov/Archives/edgar/data/797721/000119312515089537/d887434dex102.htm" TargetMode="External"/><Relationship Id="rId108" Type="http://schemas.openxmlformats.org/officeDocument/2006/relationships/hyperlink" Target="http://www.sec.gov/Archives/edgar/data/797721/000119312516600648/d198247dex101.htm" TargetMode="External"/><Relationship Id="rId109" Type="http://schemas.openxmlformats.org/officeDocument/2006/relationships/hyperlink" Target="http://www.sec.gov/Archives/edgar/data/797721/000156459018014641/vsat-ex10103_745.htm" TargetMode="External"/><Relationship Id="rId110" Type="http://schemas.openxmlformats.org/officeDocument/2006/relationships/hyperlink" Target="http://www.sec.gov/Archives/edgar/data/797721/000119312519014040/d684351dex101.htm" TargetMode="External"/><Relationship Id="rId111" Type="http://schemas.openxmlformats.org/officeDocument/2006/relationships/hyperlink" Target="http://www.sec.gov/Archives/edgar/data/797721/000119312515089537/d887434dex101.htm" TargetMode="External"/><Relationship Id="rId112" Type="http://schemas.openxmlformats.org/officeDocument/2006/relationships/hyperlink" Target="http://www.sec.gov/Archives/edgar/data/797721/000119312515284965/d933025dex101.htm" TargetMode="External"/><Relationship Id="rId113" Type="http://schemas.openxmlformats.org/officeDocument/2006/relationships/hyperlink" Target="http://www.sec.gov/Archives/edgar/data/797721/000119312516516584/d152081dex101.htm" TargetMode="External"/><Relationship Id="rId114" Type="http://schemas.openxmlformats.org/officeDocument/2006/relationships/hyperlink" Target="http://www.sec.gov/Archives/edgar/data/797721/000119312516736730/d259569dex101.htm" TargetMode="External"/><Relationship Id="rId115" Type="http://schemas.openxmlformats.org/officeDocument/2006/relationships/hyperlink" Target="http://www.sec.gov/Archives/edgar/data/797721/000119312518223698/d548983dex101.htm" TargetMode="External"/><Relationship Id="rId116" Type="http://schemas.openxmlformats.org/officeDocument/2006/relationships/hyperlink" Target="http://www.sec.gov/Archives/edgar/data/797721/000119312519057936/d71367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2019-12-28T11:39:48Z</dcterms:created>
  <dcterms:modified xsi:type="dcterms:W3CDTF">2019-12-28T11:39:48Z</dcterms:modified>
</cp:coreProperties>
</file>