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49530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89535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5" w:lineRule="exact"/>
        <w:rPr>
          <w:sz w:val="24"/>
          <w:szCs w:val="24"/>
          <w:color w:val="auto"/>
        </w:rPr>
      </w:pPr>
    </w:p>
    <w:p>
      <w:pPr>
        <w:ind w:left="3680" w:right="1600" w:hanging="3672"/>
        <w:spacing w:after="0" w:line="326" w:lineRule="auto"/>
        <w:tabs>
          <w:tab w:leader="none" w:pos="40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580"/>
        <w:spacing w:after="0"/>
        <w:tabs>
          <w:tab w:leader="none" w:pos="6780" w:val="left"/>
          <w:tab w:leader="none" w:pos="7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VIASAT,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tbl>
      <w:tblPr>
        <w:tblLayout w:type="fixed"/>
        <w:tblInd w:w="1860" w:type="dxa"/>
        <w:tblCellMar>
          <w:top w:w="0" w:type="dxa"/>
          <w:left w:w="0" w:type="dxa"/>
          <w:bottom w:w="0" w:type="dxa"/>
          <w:right w:w="0" w:type="dxa"/>
        </w:tblCellMar>
      </w:tblPr>
      <w:tr>
        <w:trPr>
          <w:trHeight w:val="209"/>
        </w:trPr>
        <w:tc>
          <w:tcPr>
            <w:tcW w:w="3960" w:type="dxa"/>
            <w:vAlign w:val="bottom"/>
          </w:tcPr>
          <w:p>
            <w:pPr>
              <w:jc w:val="center"/>
              <w:ind w:right="1965"/>
              <w:spacing w:after="0"/>
              <w:rPr>
                <w:sz w:val="20"/>
                <w:szCs w:val="20"/>
                <w:color w:val="auto"/>
              </w:rPr>
            </w:pPr>
            <w:r>
              <w:rPr>
                <w:rFonts w:ascii="Arial" w:cs="Arial" w:eastAsia="Arial" w:hAnsi="Arial"/>
                <w:sz w:val="18"/>
                <w:szCs w:val="18"/>
                <w:b w:val="1"/>
                <w:bCs w:val="1"/>
                <w:color w:val="auto"/>
              </w:rPr>
              <w:t>Delaware</w:t>
            </w:r>
          </w:p>
        </w:tc>
        <w:tc>
          <w:tcPr>
            <w:tcW w:w="3180" w:type="dxa"/>
            <w:vAlign w:val="bottom"/>
          </w:tcPr>
          <w:p>
            <w:pPr>
              <w:jc w:val="center"/>
              <w:ind w:left="1985"/>
              <w:spacing w:after="0"/>
              <w:rPr>
                <w:sz w:val="20"/>
                <w:szCs w:val="20"/>
                <w:color w:val="auto"/>
              </w:rPr>
            </w:pPr>
            <w:r>
              <w:rPr>
                <w:rFonts w:ascii="Arial" w:cs="Arial" w:eastAsia="Arial" w:hAnsi="Arial"/>
                <w:sz w:val="18"/>
                <w:szCs w:val="18"/>
                <w:b w:val="1"/>
                <w:bCs w:val="1"/>
                <w:color w:val="auto"/>
                <w:w w:val="99"/>
              </w:rPr>
              <w:t>33-0174996</w:t>
            </w:r>
          </w:p>
        </w:tc>
      </w:tr>
      <w:tr>
        <w:trPr>
          <w:trHeight w:val="148"/>
        </w:trPr>
        <w:tc>
          <w:tcPr>
            <w:tcW w:w="3960" w:type="dxa"/>
            <w:vAlign w:val="bottom"/>
          </w:tcPr>
          <w:p>
            <w:pPr>
              <w:jc w:val="center"/>
              <w:ind w:right="1985"/>
              <w:spacing w:after="0"/>
              <w:rPr>
                <w:sz w:val="20"/>
                <w:szCs w:val="20"/>
                <w:color w:val="auto"/>
              </w:rPr>
            </w:pPr>
            <w:r>
              <w:rPr>
                <w:rFonts w:ascii="Arial" w:cs="Arial" w:eastAsia="Arial" w:hAnsi="Arial"/>
                <w:sz w:val="13"/>
                <w:szCs w:val="13"/>
                <w:b w:val="1"/>
                <w:bCs w:val="1"/>
                <w:color w:val="auto"/>
              </w:rPr>
              <w:t>(State or other jurisdiction of</w:t>
            </w:r>
          </w:p>
        </w:tc>
        <w:tc>
          <w:tcPr>
            <w:tcW w:w="3180" w:type="dxa"/>
            <w:vAlign w:val="bottom"/>
          </w:tcPr>
          <w:p>
            <w:pPr>
              <w:jc w:val="center"/>
              <w:ind w:left="1965"/>
              <w:spacing w:after="0"/>
              <w:rPr>
                <w:sz w:val="20"/>
                <w:szCs w:val="20"/>
                <w:color w:val="auto"/>
              </w:rPr>
            </w:pPr>
            <w:r>
              <w:rPr>
                <w:rFonts w:ascii="Arial" w:cs="Arial" w:eastAsia="Arial" w:hAnsi="Arial"/>
                <w:sz w:val="13"/>
                <w:szCs w:val="13"/>
                <w:b w:val="1"/>
                <w:bCs w:val="1"/>
                <w:color w:val="auto"/>
              </w:rPr>
              <w:t>(I.R.S. Employer</w:t>
            </w:r>
          </w:p>
        </w:tc>
      </w:tr>
      <w:tr>
        <w:trPr>
          <w:trHeight w:val="178"/>
        </w:trPr>
        <w:tc>
          <w:tcPr>
            <w:tcW w:w="3960" w:type="dxa"/>
            <w:vAlign w:val="bottom"/>
          </w:tcPr>
          <w:p>
            <w:pPr>
              <w:jc w:val="center"/>
              <w:ind w:right="1965"/>
              <w:spacing w:after="0"/>
              <w:rPr>
                <w:sz w:val="20"/>
                <w:szCs w:val="20"/>
                <w:color w:val="auto"/>
              </w:rPr>
            </w:pPr>
            <w:r>
              <w:rPr>
                <w:rFonts w:ascii="Arial" w:cs="Arial" w:eastAsia="Arial" w:hAnsi="Arial"/>
                <w:sz w:val="13"/>
                <w:szCs w:val="13"/>
                <w:b w:val="1"/>
                <w:bCs w:val="1"/>
                <w:color w:val="auto"/>
              </w:rPr>
              <w:t>incorporation or organization)</w:t>
            </w:r>
          </w:p>
        </w:tc>
        <w:tc>
          <w:tcPr>
            <w:tcW w:w="3180" w:type="dxa"/>
            <w:vAlign w:val="bottom"/>
          </w:tcPr>
          <w:p>
            <w:pPr>
              <w:jc w:val="center"/>
              <w:ind w:left="1965"/>
              <w:spacing w:after="0"/>
              <w:rPr>
                <w:sz w:val="20"/>
                <w:szCs w:val="20"/>
                <w:color w:val="auto"/>
              </w:rPr>
            </w:pPr>
            <w:r>
              <w:rPr>
                <w:rFonts w:ascii="Arial" w:cs="Arial" w:eastAsia="Arial" w:hAnsi="Arial"/>
                <w:sz w:val="13"/>
                <w:szCs w:val="13"/>
                <w:b w:val="1"/>
                <w:bCs w:val="1"/>
                <w:color w:val="auto"/>
              </w:rPr>
              <w:t>Identification No.)</w:t>
            </w:r>
          </w:p>
        </w:tc>
      </w:tr>
    </w:tbl>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6155 El Camino Real</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Carlsbad, California 92009</w:t>
      </w:r>
    </w:p>
    <w:p>
      <w:pPr>
        <w:jc w:val="center"/>
        <w:spacing w:after="0"/>
        <w:rPr>
          <w:sz w:val="20"/>
          <w:szCs w:val="20"/>
          <w:color w:val="auto"/>
        </w:rPr>
      </w:pPr>
      <w:r>
        <w:rPr>
          <w:rFonts w:ascii="Arial" w:cs="Arial" w:eastAsia="Arial" w:hAnsi="Arial"/>
          <w:sz w:val="18"/>
          <w:szCs w:val="18"/>
          <w:b w:val="1"/>
          <w:bCs w:val="1"/>
          <w:color w:val="auto"/>
        </w:rPr>
        <w:t>(760) 476-2200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telephone number)</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3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(Title of Each Class)</w:t>
            </w:r>
          </w:p>
        </w:tc>
        <w:tc>
          <w:tcPr>
            <w:tcW w:w="3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(Trading Symbol)</w:t>
            </w:r>
          </w:p>
        </w:tc>
        <w:tc>
          <w:tcPr>
            <w:tcW w:w="3700" w:type="dxa"/>
            <w:vAlign w:val="bottom"/>
          </w:tcPr>
          <w:p>
            <w:pPr>
              <w:jc w:val="center"/>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96"/>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Common Stock, par value $0.0001 per share</w:t>
            </w: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VSAT</w:t>
            </w:r>
          </w:p>
        </w:tc>
        <w:tc>
          <w:tcPr>
            <w:tcW w:w="100" w:type="dxa"/>
            <w:vAlign w:val="bottom"/>
          </w:tcPr>
          <w:p>
            <w:pPr>
              <w:spacing w:after="0"/>
              <w:rPr>
                <w:sz w:val="17"/>
                <w:szCs w:val="17"/>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The Nasdaq Stock Market LLC</w:t>
            </w:r>
          </w:p>
        </w:tc>
      </w:tr>
    </w:tbl>
    <w:p>
      <w:pPr>
        <w:spacing w:after="0" w:line="40" w:lineRule="exact"/>
        <w:rPr>
          <w:sz w:val="24"/>
          <w:szCs w:val="24"/>
          <w:color w:val="auto"/>
        </w:rPr>
      </w:pPr>
    </w:p>
    <w:p>
      <w:pPr>
        <w:ind w:right="260" w:firstLine="510"/>
        <w:spacing w:after="0" w:line="23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640" w:val="left"/>
          <w:tab w:leader="none" w:pos="6400" w:val="left"/>
          <w:tab w:leader="none" w:pos="678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81" w:lineRule="exact"/>
        <w:rPr>
          <w:sz w:val="24"/>
          <w:szCs w:val="24"/>
          <w:color w:val="auto"/>
        </w:rPr>
      </w:pPr>
    </w:p>
    <w:p>
      <w:pPr>
        <w:jc w:val="both"/>
        <w:ind w:right="660" w:firstLine="51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440" w:firstLine="51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46" w:right="339" w:bottom="1440" w:gutter="0" w:footer="0" w:header="0"/>
        </w:sectPr>
      </w:pPr>
    </w:p>
    <w:p>
      <w:pPr>
        <w:spacing w:after="0" w:line="21" w:lineRule="exact"/>
        <w:rPr>
          <w:sz w:val="24"/>
          <w:szCs w:val="24"/>
          <w:color w:val="auto"/>
        </w:rPr>
      </w:pPr>
    </w:p>
    <w:p>
      <w:pPr>
        <w:spacing w:after="0" w:line="207" w:lineRule="exact"/>
        <w:tabs>
          <w:tab w:leader="none" w:pos="2580" w:val="left"/>
          <w:tab w:leader="none" w:pos="842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p>
    <w:p>
      <w:pPr>
        <w:spacing w:after="0" w:line="90" w:lineRule="exact"/>
        <w:rPr>
          <w:sz w:val="24"/>
          <w:szCs w:val="24"/>
          <w:color w:val="auto"/>
        </w:rPr>
      </w:pPr>
    </w:p>
    <w:p>
      <w:pPr>
        <w:spacing w:after="0" w:line="207" w:lineRule="exact"/>
        <w:tabs>
          <w:tab w:leader="none" w:pos="2580" w:val="left"/>
          <w:tab w:leader="none" w:pos="842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p>
    <w:p>
      <w:pPr>
        <w:spacing w:after="0" w:line="150" w:lineRule="exact"/>
        <w:rPr>
          <w:sz w:val="24"/>
          <w:szCs w:val="24"/>
          <w:color w:val="auto"/>
        </w:rPr>
      </w:pPr>
    </w:p>
    <w:p>
      <w:pPr>
        <w:ind w:left="8440"/>
        <w:spacing w:after="0"/>
        <w:rPr>
          <w:sz w:val="20"/>
          <w:szCs w:val="20"/>
          <w:color w:val="auto"/>
        </w:rPr>
      </w:pPr>
      <w:r>
        <w:rPr>
          <w:rFonts w:ascii="Arial" w:cs="Arial" w:eastAsia="Arial" w:hAnsi="Arial"/>
          <w:sz w:val="18"/>
          <w:szCs w:val="18"/>
          <w:color w:val="auto"/>
        </w:rPr>
        <w:t>Emerging growth company</w:t>
      </w:r>
    </w:p>
    <w:p>
      <w:pPr>
        <w:spacing w:after="0" w:line="77" w:lineRule="exact"/>
        <w:rPr>
          <w:sz w:val="24"/>
          <w:szCs w:val="24"/>
          <w:color w:val="auto"/>
        </w:rPr>
      </w:pPr>
    </w:p>
    <w:p>
      <w:pPr>
        <w:ind w:right="20" w:firstLine="51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spacing w:after="0" w:line="27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The number of shares outstanding of the registrant’s common stock, $0.0001 par value, as of July 24, 2020 was 67,501,560.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386715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right"/>
        <w:ind w:right="60"/>
        <w:spacing w:after="0" w:line="181" w:lineRule="exact"/>
        <w:rPr>
          <w:sz w:val="20"/>
          <w:szCs w:val="20"/>
          <w:color w:val="auto"/>
        </w:rPr>
      </w:pPr>
      <w:r>
        <w:rPr>
          <w:rFonts w:ascii="MS PGothic" w:cs="MS PGothic" w:eastAsia="MS PGothic" w:hAnsi="MS PGothic"/>
          <w:sz w:val="18"/>
          <w:szCs w:val="18"/>
          <w:color w:val="auto"/>
        </w:rPr>
        <w:t>☐</w:t>
      </w:r>
    </w:p>
    <w:p>
      <w:pPr>
        <w:spacing w:after="0" w:line="117" w:lineRule="exact"/>
        <w:rPr>
          <w:sz w:val="24"/>
          <w:szCs w:val="24"/>
          <w:color w:val="auto"/>
        </w:rPr>
      </w:pPr>
    </w:p>
    <w:p>
      <w:pPr>
        <w:jc w:val="right"/>
        <w:ind w:right="60"/>
        <w:spacing w:after="0" w:line="181" w:lineRule="exact"/>
        <w:rPr>
          <w:sz w:val="20"/>
          <w:szCs w:val="20"/>
          <w:color w:val="auto"/>
        </w:rPr>
      </w:pPr>
      <w:r>
        <w:rPr>
          <w:rFonts w:ascii="MS PGothic" w:cs="MS PGothic" w:eastAsia="MS PGothic" w:hAnsi="MS PGothic"/>
          <w:sz w:val="18"/>
          <w:szCs w:val="18"/>
          <w:color w:val="auto"/>
        </w:rPr>
        <w:t>☐</w:t>
      </w:r>
    </w:p>
    <w:p>
      <w:pPr>
        <w:spacing w:after="0" w:line="117" w:lineRule="exact"/>
        <w:rPr>
          <w:sz w:val="24"/>
          <w:szCs w:val="24"/>
          <w:color w:val="auto"/>
        </w:rPr>
      </w:pPr>
    </w:p>
    <w:p>
      <w:pPr>
        <w:jc w:val="right"/>
        <w:ind w:right="6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2">
            <w:col w:w="10700" w:space="100"/>
            <w:col w:w="440"/>
          </w:cols>
          <w:pgMar w:left="320" w:top="34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340" w:type="dxa"/>
            <w:vAlign w:val="bottom"/>
            <w:gridSpan w:val="2"/>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34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340" w:type="dxa"/>
            <w:vAlign w:val="bottom"/>
            <w:gridSpan w:val="2"/>
          </w:tcPr>
          <w:p>
            <w:pPr>
              <w:ind w:left="4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340" w:type="dxa"/>
            <w:vAlign w:val="bottom"/>
            <w:gridSpan w:val="2"/>
          </w:tcPr>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and Comprehensive Income (Loss)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340" w:type="dxa"/>
            <w:vAlign w:val="bottom"/>
            <w:gridSpan w:val="2"/>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340" w:type="dxa"/>
            <w:vAlign w:val="bottom"/>
            <w:gridSpan w:val="2"/>
          </w:tcPr>
          <w:p>
            <w:pPr>
              <w:ind w:left="4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Equity</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340" w:type="dxa"/>
            <w:vAlign w:val="bottom"/>
            <w:gridSpan w:val="2"/>
          </w:tcPr>
          <w:p>
            <w:pPr>
              <w:ind w:left="4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the Condensed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2. 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8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Item 3.</w:t>
              </w:r>
            </w:hyperlink>
          </w:p>
        </w:tc>
        <w:tc>
          <w:tcPr>
            <w:tcW w:w="9760" w:type="dxa"/>
            <w:vAlign w:val="bottom"/>
          </w:tcPr>
          <w:p>
            <w:pPr>
              <w:ind w:left="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Quantitative and Qualitative Disclosures About Market Risk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4"/>
        </w:trPr>
        <w:tc>
          <w:tcPr>
            <w:tcW w:w="580" w:type="dxa"/>
            <w:vAlign w:val="bottom"/>
          </w:tcPr>
          <w:p>
            <w:pPr>
              <w:spacing w:after="0" w:line="194" w:lineRule="exact"/>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4.</w:t>
              </w:r>
            </w:hyperlink>
          </w:p>
        </w:tc>
        <w:tc>
          <w:tcPr>
            <w:tcW w:w="9760" w:type="dxa"/>
            <w:vAlign w:val="bottom"/>
          </w:tcPr>
          <w:p>
            <w:pPr>
              <w:ind w:left="20"/>
              <w:spacing w:after="0" w:line="194" w:lineRule="exact"/>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Controls and Procedures</w:t>
              </w:r>
            </w:hyperlink>
          </w:p>
        </w:tc>
        <w:tc>
          <w:tcPr>
            <w:tcW w:w="900" w:type="dxa"/>
            <w:vAlign w:val="bottom"/>
          </w:tcPr>
          <w:p>
            <w:pPr>
              <w:jc w:val="right"/>
              <w:spacing w:after="0" w:line="194"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8"/>
        </w:trPr>
        <w:tc>
          <w:tcPr>
            <w:tcW w:w="10340" w:type="dxa"/>
            <w:vAlign w:val="bottom"/>
            <w:gridSpan w:val="2"/>
          </w:tcPr>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PART II. OTHER INFORMATION</w:t>
              </w:r>
            </w:hyperlink>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1.</w:t>
              </w:r>
            </w:hyperlink>
          </w:p>
        </w:tc>
        <w:tc>
          <w:tcPr>
            <w:tcW w:w="9760" w:type="dxa"/>
            <w:vAlign w:val="bottom"/>
          </w:tcPr>
          <w:p>
            <w:pPr>
              <w:ind w:left="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1A. 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8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Item 6.</w:t>
              </w:r>
            </w:hyperlink>
          </w:p>
        </w:tc>
        <w:tc>
          <w:tcPr>
            <w:tcW w:w="9760" w:type="dxa"/>
            <w:vAlign w:val="bottom"/>
          </w:tcPr>
          <w:p>
            <w:pPr>
              <w:ind w:left="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Exhibits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10340" w:type="dxa"/>
            <w:vAlign w:val="bottom"/>
            <w:gridSpan w:val="2"/>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634"/>
        </w:trPr>
        <w:tc>
          <w:tcPr>
            <w:tcW w:w="580" w:type="dxa"/>
            <w:vAlign w:val="bottom"/>
          </w:tcPr>
          <w:p>
            <w:pPr>
              <w:spacing w:after="0"/>
              <w:rPr>
                <w:sz w:val="24"/>
                <w:szCs w:val="24"/>
                <w:color w:val="auto"/>
              </w:rPr>
            </w:pPr>
          </w:p>
        </w:tc>
        <w:tc>
          <w:tcPr>
            <w:tcW w:w="9760" w:type="dxa"/>
            <w:vAlign w:val="bottom"/>
          </w:tcPr>
          <w:p>
            <w:pPr>
              <w:ind w:left="500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97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As of</w:t>
            </w:r>
          </w:p>
        </w:tc>
      </w:tr>
      <w:tr>
        <w:trPr>
          <w:trHeight w:val="175"/>
        </w:trPr>
        <w:tc>
          <w:tcPr>
            <w:tcW w:w="5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2020</w:t>
            </w:r>
          </w:p>
        </w:tc>
        <w:tc>
          <w:tcPr>
            <w:tcW w:w="360" w:type="dxa"/>
            <w:vAlign w:val="bottom"/>
          </w:tcPr>
          <w:p>
            <w:pPr>
              <w:spacing w:after="0"/>
              <w:rPr>
                <w:sz w:val="15"/>
                <w:szCs w:val="15"/>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2020</w:t>
            </w:r>
          </w:p>
        </w:tc>
      </w:tr>
      <w:tr>
        <w:trPr>
          <w:trHeight w:val="169"/>
        </w:trPr>
        <w:tc>
          <w:tcPr>
            <w:tcW w:w="5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1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920" w:type="dxa"/>
            <w:vAlign w:val="bottom"/>
            <w:shd w:val="clear" w:color="auto" w:fill="CFF0FC"/>
          </w:tcPr>
          <w:p>
            <w:pPr>
              <w:ind w:left="3160"/>
              <w:spacing w:after="0"/>
              <w:rPr>
                <w:sz w:val="20"/>
                <w:szCs w:val="20"/>
                <w:color w:val="auto"/>
              </w:rPr>
            </w:pPr>
            <w:r>
              <w:rPr>
                <w:rFonts w:ascii="Arial" w:cs="Arial" w:eastAsia="Arial" w:hAnsi="Arial"/>
                <w:sz w:val="18"/>
                <w:szCs w:val="18"/>
                <w:b w:val="1"/>
                <w:bCs w:val="1"/>
                <w:color w:val="auto"/>
              </w:rPr>
              <w:t>ASSETS</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Current assets: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232,418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304,309</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270,436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330,698</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312,686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294,416</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3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105,985</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116,281</w:t>
            </w:r>
          </w:p>
        </w:tc>
        <w:tc>
          <w:tcPr>
            <w:tcW w:w="100" w:type="dxa"/>
            <w:vAlign w:val="bottom"/>
            <w:tcBorders>
              <w:bottom w:val="single" w:sz="8" w:color="CFF0FC"/>
            </w:tcBorders>
          </w:tcPr>
          <w:p>
            <w:pPr>
              <w:spacing w:after="0"/>
              <w:rPr>
                <w:sz w:val="18"/>
                <w:szCs w:val="18"/>
                <w:color w:val="auto"/>
              </w:rPr>
            </w:pPr>
          </w:p>
        </w:tc>
      </w:tr>
      <w:tr>
        <w:trPr>
          <w:trHeight w:val="209"/>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921,525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1,045,704</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Property, equipment and satellites, net</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2,715,822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2,586,735</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304,975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308,441</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acquired intangible assets, net</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14,439</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Goodwill</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121,285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121,197</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3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827,726</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807,352</w:t>
            </w:r>
          </w:p>
        </w:tc>
        <w:tc>
          <w:tcPr>
            <w:tcW w:w="100" w:type="dxa"/>
            <w:vAlign w:val="bottom"/>
            <w:shd w:val="clear" w:color="auto" w:fill="CFF0FC"/>
          </w:tcPr>
          <w:p>
            <w:pPr>
              <w:spacing w:after="0"/>
              <w:rPr>
                <w:sz w:val="18"/>
                <w:szCs w:val="18"/>
                <w:color w:val="auto"/>
              </w:rPr>
            </w:pPr>
          </w:p>
        </w:tc>
      </w:tr>
      <w:tr>
        <w:trPr>
          <w:trHeight w:val="249"/>
        </w:trPr>
        <w:tc>
          <w:tcPr>
            <w:tcW w:w="592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4,904,374</w:t>
            </w:r>
          </w:p>
        </w:tc>
        <w:tc>
          <w:tcPr>
            <w:tcW w:w="2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4,883,868</w:t>
            </w:r>
          </w:p>
        </w:tc>
        <w:tc>
          <w:tcPr>
            <w:tcW w:w="100" w:type="dxa"/>
            <w:vAlign w:val="bottom"/>
          </w:tcPr>
          <w:p>
            <w:pPr>
              <w:spacing w:after="0"/>
              <w:rPr>
                <w:sz w:val="21"/>
                <w:szCs w:val="21"/>
                <w:color w:val="auto"/>
              </w:rPr>
            </w:pPr>
          </w:p>
        </w:tc>
      </w:tr>
      <w:tr>
        <w:trPr>
          <w:trHeight w:val="197"/>
        </w:trPr>
        <w:tc>
          <w:tcPr>
            <w:tcW w:w="5920" w:type="dxa"/>
            <w:vAlign w:val="bottom"/>
            <w:tcBorders>
              <w:top w:val="single" w:sz="8" w:color="CFF0FC"/>
            </w:tcBorders>
            <w:shd w:val="clear" w:color="auto" w:fill="CFF0FC"/>
          </w:tcPr>
          <w:p>
            <w:pPr>
              <w:ind w:left="244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3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Current liabilities: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175,955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183,601</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Accrued and other liabilities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359,762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391,190</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13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29,470</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29,788</w:t>
            </w:r>
          </w:p>
        </w:tc>
        <w:tc>
          <w:tcPr>
            <w:tcW w:w="100" w:type="dxa"/>
            <w:vAlign w:val="bottom"/>
            <w:shd w:val="clear" w:color="auto" w:fill="CFF0FC"/>
          </w:tcPr>
          <w:p>
            <w:pPr>
              <w:spacing w:after="0"/>
              <w:rPr>
                <w:sz w:val="18"/>
                <w:szCs w:val="18"/>
                <w:color w:val="auto"/>
              </w:rPr>
            </w:pPr>
          </w:p>
        </w:tc>
      </w:tr>
      <w:tr>
        <w:trPr>
          <w:trHeight w:val="209"/>
        </w:trPr>
        <w:tc>
          <w:tcPr>
            <w:tcW w:w="592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565,187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604,579</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Senior notes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1,680,902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1,285,497</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debt</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134,636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536,166</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281,937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286,550</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3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142,529</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120,934</w:t>
            </w:r>
          </w:p>
        </w:tc>
        <w:tc>
          <w:tcPr>
            <w:tcW w:w="100" w:type="dxa"/>
            <w:vAlign w:val="bottom"/>
            <w:shd w:val="clear" w:color="auto" w:fill="CFF0FC"/>
          </w:tcPr>
          <w:p>
            <w:pPr>
              <w:spacing w:after="0"/>
              <w:rPr>
                <w:sz w:val="18"/>
                <w:szCs w:val="18"/>
                <w:color w:val="auto"/>
              </w:rPr>
            </w:pPr>
          </w:p>
        </w:tc>
      </w:tr>
      <w:tr>
        <w:trPr>
          <w:trHeight w:val="210"/>
        </w:trPr>
        <w:tc>
          <w:tcPr>
            <w:tcW w:w="5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liabilities</w:t>
            </w:r>
          </w:p>
        </w:tc>
        <w:tc>
          <w:tcPr>
            <w:tcW w:w="13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2,805,191</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2,833,726</w:t>
            </w:r>
          </w:p>
        </w:tc>
        <w:tc>
          <w:tcPr>
            <w:tcW w:w="100" w:type="dxa"/>
            <w:vAlign w:val="bottom"/>
            <w:tcBorders>
              <w:bottom w:val="single" w:sz="8" w:color="CFF0FC"/>
            </w:tcBorders>
          </w:tcPr>
          <w:p>
            <w:pPr>
              <w:spacing w:after="0"/>
              <w:rPr>
                <w:sz w:val="18"/>
                <w:szCs w:val="18"/>
                <w:color w:val="auto"/>
              </w:rPr>
            </w:pPr>
          </w:p>
        </w:tc>
      </w:tr>
      <w:tr>
        <w:trPr>
          <w:trHeight w:val="21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Equity:</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Viasat, Inc. stockholders’ equity</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Paid-in capital</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1,846,827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1,788,456</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232,984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245,373</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(6,851)</w:t>
            </w:r>
          </w:p>
        </w:tc>
        <w:tc>
          <w:tcPr>
            <w:tcW w:w="3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(6,048)</w:t>
            </w:r>
          </w:p>
        </w:tc>
      </w:tr>
      <w:tr>
        <w:trPr>
          <w:trHeight w:val="210"/>
        </w:trPr>
        <w:tc>
          <w:tcPr>
            <w:tcW w:w="5920" w:type="dxa"/>
            <w:vAlign w:val="bottom"/>
          </w:tcPr>
          <w:p>
            <w:pPr>
              <w:ind w:left="260"/>
              <w:spacing w:after="0"/>
              <w:rPr>
                <w:sz w:val="20"/>
                <w:szCs w:val="20"/>
                <w:color w:val="auto"/>
              </w:rPr>
            </w:pPr>
            <w:r>
              <w:rPr>
                <w:rFonts w:ascii="Arial" w:cs="Arial" w:eastAsia="Arial" w:hAnsi="Arial"/>
                <w:sz w:val="18"/>
                <w:szCs w:val="18"/>
                <w:color w:val="auto"/>
              </w:rPr>
              <w:t>Total Viasat, Inc. stockholders’ equity</w:t>
            </w:r>
          </w:p>
        </w:tc>
        <w:tc>
          <w:tcPr>
            <w:tcW w:w="1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2,072,966</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2,027,787</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 in subsidiary</w:t>
            </w:r>
          </w:p>
        </w:tc>
        <w:tc>
          <w:tcPr>
            <w:tcW w:w="13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26,217</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22,355</w:t>
            </w:r>
          </w:p>
        </w:tc>
        <w:tc>
          <w:tcPr>
            <w:tcW w:w="100" w:type="dxa"/>
            <w:vAlign w:val="bottom"/>
            <w:shd w:val="clear" w:color="auto" w:fill="CFF0FC"/>
          </w:tcPr>
          <w:p>
            <w:pPr>
              <w:spacing w:after="0"/>
              <w:rPr>
                <w:sz w:val="18"/>
                <w:szCs w:val="18"/>
                <w:color w:val="auto"/>
              </w:rPr>
            </w:pPr>
          </w:p>
        </w:tc>
      </w:tr>
      <w:tr>
        <w:trPr>
          <w:trHeight w:val="210"/>
        </w:trPr>
        <w:tc>
          <w:tcPr>
            <w:tcW w:w="59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equity</w:t>
            </w:r>
          </w:p>
        </w:tc>
        <w:tc>
          <w:tcPr>
            <w:tcW w:w="13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2,099,183</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2,050,142</w:t>
            </w:r>
          </w:p>
        </w:tc>
        <w:tc>
          <w:tcPr>
            <w:tcW w:w="100" w:type="dxa"/>
            <w:vAlign w:val="bottom"/>
            <w:tcBorders>
              <w:bottom w:val="single" w:sz="8" w:color="CFF0FC"/>
            </w:tcBorders>
          </w:tcPr>
          <w:p>
            <w:pPr>
              <w:spacing w:after="0"/>
              <w:rPr>
                <w:sz w:val="18"/>
                <w:szCs w:val="18"/>
                <w:color w:val="auto"/>
              </w:rPr>
            </w:pPr>
          </w:p>
        </w:tc>
      </w:tr>
      <w:tr>
        <w:trPr>
          <w:trHeight w:val="210"/>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liabilities and equity</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4,904,374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4,883,868</w:t>
            </w:r>
          </w:p>
        </w:tc>
        <w:tc>
          <w:tcPr>
            <w:tcW w:w="100" w:type="dxa"/>
            <w:vAlign w:val="bottom"/>
            <w:shd w:val="clear" w:color="auto" w:fill="CFF0FC"/>
          </w:tcPr>
          <w:p>
            <w:pPr>
              <w:spacing w:after="0"/>
              <w:rPr>
                <w:sz w:val="18"/>
                <w:szCs w:val="18"/>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AND COMPREHENSIVE INCOME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4"/>
                <w:szCs w:val="14"/>
                <w:color w:val="auto"/>
              </w:rPr>
            </w:pPr>
          </w:p>
        </w:tc>
      </w:tr>
      <w:tr>
        <w:trPr>
          <w:trHeight w:val="169"/>
        </w:trPr>
        <w:tc>
          <w:tcPr>
            <w:tcW w:w="5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4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260"/>
              <w:spacing w:after="0"/>
              <w:rPr>
                <w:sz w:val="20"/>
                <w:szCs w:val="20"/>
                <w:color w:val="auto"/>
              </w:rPr>
            </w:pPr>
            <w:r>
              <w:rPr>
                <w:rFonts w:ascii="Arial" w:cs="Arial" w:eastAsia="Arial" w:hAnsi="Arial"/>
                <w:sz w:val="18"/>
                <w:szCs w:val="18"/>
                <w:color w:val="auto"/>
              </w:rPr>
              <w:t>Product revenues</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250,634</w:t>
            </w:r>
          </w:p>
        </w:tc>
        <w:tc>
          <w:tcPr>
            <w:tcW w:w="160" w:type="dxa"/>
            <w:vAlign w:val="bottom"/>
          </w:tcPr>
          <w:p>
            <w:pPr>
              <w:spacing w:after="0"/>
              <w:rPr>
                <w:sz w:val="18"/>
                <w:szCs w:val="18"/>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263,615</w:t>
            </w:r>
          </w:p>
        </w:tc>
        <w:tc>
          <w:tcPr>
            <w:tcW w:w="100" w:type="dxa"/>
            <w:vAlign w:val="bottom"/>
          </w:tcPr>
          <w:p>
            <w:pPr>
              <w:spacing w:after="0"/>
              <w:rPr>
                <w:sz w:val="18"/>
                <w:szCs w:val="18"/>
                <w:color w:val="auto"/>
              </w:rPr>
            </w:pPr>
          </w:p>
        </w:tc>
      </w:tr>
      <w:tr>
        <w:trPr>
          <w:trHeight w:val="216"/>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revenues</w:t>
            </w:r>
          </w:p>
        </w:tc>
        <w:tc>
          <w:tcPr>
            <w:tcW w:w="14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279,854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273,422</w:t>
            </w:r>
          </w:p>
        </w:tc>
        <w:tc>
          <w:tcPr>
            <w:tcW w:w="100" w:type="dxa"/>
            <w:vAlign w:val="bottom"/>
            <w:shd w:val="clear" w:color="auto" w:fill="CFF0FC"/>
          </w:tcPr>
          <w:p>
            <w:pPr>
              <w:spacing w:after="0"/>
              <w:rPr>
                <w:sz w:val="18"/>
                <w:szCs w:val="18"/>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Total revenues</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530,488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537,037</w:t>
            </w:r>
          </w:p>
        </w:tc>
        <w:tc>
          <w:tcPr>
            <w:tcW w:w="100" w:type="dxa"/>
            <w:vAlign w:val="bottom"/>
          </w:tcPr>
          <w:p>
            <w:pPr>
              <w:spacing w:after="0"/>
              <w:rPr>
                <w:sz w:val="18"/>
                <w:szCs w:val="18"/>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260"/>
              <w:spacing w:after="0"/>
              <w:rPr>
                <w:sz w:val="20"/>
                <w:szCs w:val="20"/>
                <w:color w:val="auto"/>
              </w:rPr>
            </w:pPr>
            <w:r>
              <w:rPr>
                <w:rFonts w:ascii="Arial" w:cs="Arial" w:eastAsia="Arial" w:hAnsi="Arial"/>
                <w:sz w:val="18"/>
                <w:szCs w:val="18"/>
                <w:color w:val="auto"/>
              </w:rPr>
              <w:t>Cost of product revenues</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187,892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196,940</w:t>
            </w:r>
          </w:p>
        </w:tc>
        <w:tc>
          <w:tcPr>
            <w:tcW w:w="100" w:type="dxa"/>
            <w:vAlign w:val="bottom"/>
          </w:tcPr>
          <w:p>
            <w:pPr>
              <w:spacing w:after="0"/>
              <w:rPr>
                <w:sz w:val="18"/>
                <w:szCs w:val="18"/>
                <w:color w:val="auto"/>
              </w:rPr>
            </w:pPr>
          </w:p>
        </w:tc>
      </w:tr>
      <w:tr>
        <w:trPr>
          <w:trHeight w:val="216"/>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 revenues</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197,677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187,519</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121,039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125,132</w:t>
            </w:r>
          </w:p>
        </w:tc>
        <w:tc>
          <w:tcPr>
            <w:tcW w:w="100" w:type="dxa"/>
            <w:vAlign w:val="bottom"/>
          </w:tcPr>
          <w:p>
            <w:pPr>
              <w:spacing w:after="0"/>
              <w:rPr>
                <w:sz w:val="18"/>
                <w:szCs w:val="18"/>
                <w:color w:val="auto"/>
              </w:rPr>
            </w:pPr>
          </w:p>
        </w:tc>
      </w:tr>
      <w:tr>
        <w:trPr>
          <w:trHeight w:val="216"/>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Independent research and development</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27,636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33,474</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14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Borders>
              <w:bottom w:val="single" w:sz="8" w:color="CFF0FC"/>
            </w:tcBorders>
          </w:tcPr>
          <w:p>
            <w:pPr>
              <w:spacing w:after="0"/>
              <w:rPr>
                <w:sz w:val="18"/>
                <w:szCs w:val="18"/>
                <w:color w:val="auto"/>
              </w:rPr>
            </w:pPr>
          </w:p>
        </w:tc>
      </w:tr>
      <w:tr>
        <w:trPr>
          <w:trHeight w:val="20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(5,314)</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(8,065)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(9,524)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(11,174)</w:t>
            </w:r>
          </w:p>
        </w:tc>
      </w:tr>
      <w:tr>
        <w:trPr>
          <w:trHeight w:val="20"/>
        </w:trPr>
        <w:tc>
          <w:tcPr>
            <w:tcW w:w="526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(14,606)</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(18,314)</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5,748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7,210</w:t>
            </w:r>
          </w:p>
        </w:tc>
        <w:tc>
          <w:tcPr>
            <w:tcW w:w="100" w:type="dxa"/>
            <w:vAlign w:val="bottom"/>
          </w:tcPr>
          <w:p>
            <w:pPr>
              <w:spacing w:after="0"/>
              <w:rPr>
                <w:sz w:val="18"/>
                <w:szCs w:val="18"/>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Equity in income of unconsolidated affiliate, net</w:t>
            </w:r>
          </w:p>
        </w:tc>
        <w:tc>
          <w:tcPr>
            <w:tcW w:w="14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FF0FC"/>
          </w:tcPr>
          <w:p>
            <w:pPr>
              <w:spacing w:after="0"/>
              <w:rPr>
                <w:sz w:val="18"/>
                <w:szCs w:val="18"/>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Net loss</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(8,527)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(9,737)</w:t>
            </w:r>
          </w:p>
        </w:tc>
      </w:tr>
      <w:tr>
        <w:trPr>
          <w:trHeight w:val="215"/>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Less: net income attributable to noncontrolling</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2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interest, net of tax</w:t>
            </w:r>
          </w:p>
        </w:tc>
        <w:tc>
          <w:tcPr>
            <w:tcW w:w="140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3,862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1,731</w:t>
            </w:r>
          </w:p>
        </w:tc>
        <w:tc>
          <w:tcPr>
            <w:tcW w:w="100" w:type="dxa"/>
            <w:vAlign w:val="bottom"/>
            <w:shd w:val="clear" w:color="auto" w:fill="CFF0FC"/>
          </w:tcPr>
          <w:p>
            <w:pPr>
              <w:spacing w:after="0"/>
              <w:rPr>
                <w:sz w:val="17"/>
                <w:szCs w:val="17"/>
                <w:color w:val="auto"/>
              </w:rPr>
            </w:pPr>
          </w:p>
        </w:tc>
      </w:tr>
      <w:tr>
        <w:trPr>
          <w:trHeight w:val="249"/>
        </w:trPr>
        <w:tc>
          <w:tcPr>
            <w:tcW w:w="5260" w:type="dxa"/>
            <w:vAlign w:val="bottom"/>
          </w:tcPr>
          <w:p>
            <w:pPr>
              <w:spacing w:after="0"/>
              <w:rPr>
                <w:sz w:val="20"/>
                <w:szCs w:val="20"/>
                <w:color w:val="auto"/>
              </w:rPr>
            </w:pPr>
            <w:r>
              <w:rPr>
                <w:rFonts w:ascii="Arial" w:cs="Arial" w:eastAsia="Arial" w:hAnsi="Arial"/>
                <w:sz w:val="18"/>
                <w:szCs w:val="18"/>
                <w:color w:val="auto"/>
              </w:rPr>
              <w:t>Net loss attributable to Viasat, Inc.</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(12,389)</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(11,468)</w:t>
            </w:r>
          </w:p>
        </w:tc>
      </w:tr>
      <w:tr>
        <w:trPr>
          <w:trHeight w:val="196"/>
        </w:trPr>
        <w:tc>
          <w:tcPr>
            <w:tcW w:w="52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Basic net loss per share attributable to</w:t>
            </w:r>
          </w:p>
        </w:tc>
        <w:tc>
          <w:tcPr>
            <w:tcW w:w="14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52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Viasat, Inc. common stockholders</w:t>
            </w:r>
          </w:p>
        </w:tc>
        <w:tc>
          <w:tcPr>
            <w:tcW w:w="17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92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(0.20)</w:t>
            </w:r>
          </w:p>
        </w:tc>
        <w:tc>
          <w:tcPr>
            <w:tcW w:w="680" w:type="dxa"/>
            <w:vAlign w:val="bottom"/>
            <w:gridSpan w:val="2"/>
            <w:shd w:val="clear" w:color="auto" w:fill="CFF0FC"/>
          </w:tcPr>
          <w:p>
            <w:pPr>
              <w:jc w:val="right"/>
              <w:ind w:right="460"/>
              <w:spacing w:after="0" w:line="203"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(0.19)</w:t>
            </w:r>
          </w:p>
        </w:tc>
      </w:tr>
      <w:tr>
        <w:trPr>
          <w:trHeight w:val="215"/>
        </w:trPr>
        <w:tc>
          <w:tcPr>
            <w:tcW w:w="5260" w:type="dxa"/>
            <w:vAlign w:val="bottom"/>
          </w:tcPr>
          <w:p>
            <w:pPr>
              <w:spacing w:after="0"/>
              <w:rPr>
                <w:sz w:val="20"/>
                <w:szCs w:val="20"/>
                <w:color w:val="auto"/>
              </w:rPr>
            </w:pPr>
            <w:r>
              <w:rPr>
                <w:rFonts w:ascii="Arial" w:cs="Arial" w:eastAsia="Arial" w:hAnsi="Arial"/>
                <w:sz w:val="18"/>
                <w:szCs w:val="18"/>
                <w:color w:val="auto"/>
              </w:rPr>
              <w:t>Diluted net loss per share attributable to</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260" w:type="dxa"/>
            <w:vAlign w:val="bottom"/>
          </w:tcPr>
          <w:p>
            <w:pPr>
              <w:ind w:left="160"/>
              <w:spacing w:after="0" w:line="203" w:lineRule="exact"/>
              <w:rPr>
                <w:sz w:val="20"/>
                <w:szCs w:val="20"/>
                <w:color w:val="auto"/>
              </w:rPr>
            </w:pPr>
            <w:r>
              <w:rPr>
                <w:rFonts w:ascii="Arial" w:cs="Arial" w:eastAsia="Arial" w:hAnsi="Arial"/>
                <w:sz w:val="18"/>
                <w:szCs w:val="18"/>
                <w:color w:val="auto"/>
              </w:rPr>
              <w:t>Viasat, Inc. common stockholders</w:t>
            </w:r>
          </w:p>
        </w:tc>
        <w:tc>
          <w:tcPr>
            <w:tcW w:w="17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(0.20)</w:t>
            </w:r>
          </w:p>
        </w:tc>
        <w:tc>
          <w:tcPr>
            <w:tcW w:w="68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(0.19)</w:t>
            </w:r>
          </w:p>
        </w:tc>
      </w:tr>
      <w:tr>
        <w:trPr>
          <w:trHeight w:val="215"/>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computing basic net loss</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2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per share</w:t>
            </w:r>
          </w:p>
        </w:tc>
        <w:tc>
          <w:tcPr>
            <w:tcW w:w="14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62,511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60,917</w:t>
            </w:r>
          </w:p>
        </w:tc>
        <w:tc>
          <w:tcPr>
            <w:tcW w:w="100" w:type="dxa"/>
            <w:vAlign w:val="bottom"/>
            <w:shd w:val="clear" w:color="auto" w:fill="CFF0FC"/>
          </w:tcPr>
          <w:p>
            <w:pPr>
              <w:spacing w:after="0"/>
              <w:rPr>
                <w:sz w:val="17"/>
                <w:szCs w:val="17"/>
                <w:color w:val="auto"/>
              </w:rPr>
            </w:pPr>
          </w:p>
        </w:tc>
      </w:tr>
      <w:tr>
        <w:trPr>
          <w:trHeight w:val="215"/>
        </w:trPr>
        <w:tc>
          <w:tcPr>
            <w:tcW w:w="5260" w:type="dxa"/>
            <w:vAlign w:val="bottom"/>
          </w:tcPr>
          <w:p>
            <w:pPr>
              <w:spacing w:after="0"/>
              <w:rPr>
                <w:sz w:val="20"/>
                <w:szCs w:val="20"/>
                <w:color w:val="auto"/>
              </w:rPr>
            </w:pPr>
            <w:r>
              <w:rPr>
                <w:rFonts w:ascii="Arial" w:cs="Arial" w:eastAsia="Arial" w:hAnsi="Arial"/>
                <w:sz w:val="18"/>
                <w:szCs w:val="18"/>
                <w:color w:val="auto"/>
              </w:rPr>
              <w:t>Shares used in computing diluted net loss</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260" w:type="dxa"/>
            <w:vAlign w:val="bottom"/>
          </w:tcPr>
          <w:p>
            <w:pPr>
              <w:ind w:left="160"/>
              <w:spacing w:after="0" w:line="203" w:lineRule="exact"/>
              <w:rPr>
                <w:sz w:val="20"/>
                <w:szCs w:val="20"/>
                <w:color w:val="auto"/>
              </w:rPr>
            </w:pPr>
            <w:r>
              <w:rPr>
                <w:rFonts w:ascii="Arial" w:cs="Arial" w:eastAsia="Arial" w:hAnsi="Arial"/>
                <w:sz w:val="18"/>
                <w:szCs w:val="18"/>
                <w:color w:val="auto"/>
              </w:rPr>
              <w:t>per share</w:t>
            </w: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Pr>
          <w:p>
            <w:pPr>
              <w:jc w:val="right"/>
              <w:spacing w:after="0" w:line="203" w:lineRule="exact"/>
              <w:rPr>
                <w:sz w:val="20"/>
                <w:szCs w:val="20"/>
                <w:color w:val="auto"/>
              </w:rPr>
            </w:pPr>
            <w:r>
              <w:rPr>
                <w:rFonts w:ascii="Arial" w:cs="Arial" w:eastAsia="Arial" w:hAnsi="Arial"/>
                <w:sz w:val="18"/>
                <w:szCs w:val="18"/>
                <w:color w:val="auto"/>
              </w:rPr>
              <w:t>62,511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60,917</w:t>
            </w:r>
          </w:p>
        </w:tc>
        <w:tc>
          <w:tcPr>
            <w:tcW w:w="100" w:type="dxa"/>
            <w:vAlign w:val="bottom"/>
          </w:tcPr>
          <w:p>
            <w:pPr>
              <w:spacing w:after="0"/>
              <w:rPr>
                <w:sz w:val="17"/>
                <w:szCs w:val="17"/>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loss</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(8,527)</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(9,737)</w:t>
            </w: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260"/>
              <w:spacing w:after="0"/>
              <w:rPr>
                <w:sz w:val="20"/>
                <w:szCs w:val="20"/>
                <w:color w:val="auto"/>
              </w:rPr>
            </w:pPr>
            <w:r>
              <w:rPr>
                <w:rFonts w:ascii="Arial" w:cs="Arial" w:eastAsia="Arial" w:hAnsi="Arial"/>
                <w:sz w:val="18"/>
                <w:szCs w:val="18"/>
                <w:color w:val="auto"/>
              </w:rPr>
              <w:t>Unrealized gain on hedging, net of tax</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r>
      <w:tr>
        <w:trPr>
          <w:trHeight w:val="215"/>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net</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26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of tax</w:t>
            </w:r>
          </w:p>
        </w:tc>
        <w:tc>
          <w:tcPr>
            <w:tcW w:w="14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(803)</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(2,284)</w:t>
            </w:r>
          </w:p>
        </w:tc>
      </w:tr>
      <w:tr>
        <w:trPr>
          <w:trHeight w:val="20"/>
        </w:trPr>
        <w:tc>
          <w:tcPr>
            <w:tcW w:w="5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26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(2,239)</w:t>
            </w:r>
          </w:p>
        </w:tc>
      </w:tr>
      <w:tr>
        <w:trPr>
          <w:trHeight w:val="20"/>
        </w:trPr>
        <w:tc>
          <w:tcPr>
            <w:tcW w:w="526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(9,330)</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(11,976)</w:t>
            </w:r>
          </w:p>
        </w:tc>
      </w:tr>
      <w:tr>
        <w:trPr>
          <w:trHeight w:val="215"/>
        </w:trPr>
        <w:tc>
          <w:tcPr>
            <w:tcW w:w="5260" w:type="dxa"/>
            <w:vAlign w:val="bottom"/>
          </w:tcPr>
          <w:p>
            <w:pPr>
              <w:spacing w:after="0"/>
              <w:rPr>
                <w:sz w:val="20"/>
                <w:szCs w:val="20"/>
                <w:color w:val="auto"/>
              </w:rPr>
            </w:pPr>
            <w:r>
              <w:rPr>
                <w:rFonts w:ascii="Arial" w:cs="Arial" w:eastAsia="Arial" w:hAnsi="Arial"/>
                <w:sz w:val="18"/>
                <w:szCs w:val="18"/>
                <w:color w:val="auto"/>
              </w:rPr>
              <w:t>Less: comprehensive income attributable to</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260" w:type="dxa"/>
            <w:vAlign w:val="bottom"/>
            <w:tcBorders>
              <w:bottom w:val="single" w:sz="8" w:color="CFF0FC"/>
            </w:tcBorders>
          </w:tcPr>
          <w:p>
            <w:pPr>
              <w:ind w:left="160"/>
              <w:spacing w:after="0" w:line="203" w:lineRule="exact"/>
              <w:rPr>
                <w:sz w:val="20"/>
                <w:szCs w:val="20"/>
                <w:color w:val="auto"/>
              </w:rPr>
            </w:pPr>
            <w:r>
              <w:rPr>
                <w:rFonts w:ascii="Arial" w:cs="Arial" w:eastAsia="Arial" w:hAnsi="Arial"/>
                <w:sz w:val="18"/>
                <w:szCs w:val="18"/>
                <w:color w:val="auto"/>
              </w:rPr>
              <w:t>noncontrolling interest, net of tax</w:t>
            </w:r>
          </w:p>
        </w:tc>
        <w:tc>
          <w:tcPr>
            <w:tcW w:w="14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3,862</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1,731</w:t>
            </w:r>
          </w:p>
        </w:tc>
        <w:tc>
          <w:tcPr>
            <w:tcW w:w="100" w:type="dxa"/>
            <w:vAlign w:val="bottom"/>
            <w:tcBorders>
              <w:bottom w:val="single" w:sz="8" w:color="CFF0FC"/>
            </w:tcBorders>
          </w:tcPr>
          <w:p>
            <w:pPr>
              <w:spacing w:after="0"/>
              <w:rPr>
                <w:sz w:val="17"/>
                <w:szCs w:val="17"/>
                <w:color w:val="auto"/>
              </w:rPr>
            </w:pPr>
          </w:p>
        </w:tc>
      </w:tr>
      <w:tr>
        <w:trPr>
          <w:trHeight w:val="20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 attributable to Viasat,</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2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Inc.</w:t>
            </w:r>
          </w:p>
        </w:tc>
        <w:tc>
          <w:tcPr>
            <w:tcW w:w="17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92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(13,192)</w:t>
            </w:r>
          </w:p>
        </w:tc>
        <w:tc>
          <w:tcPr>
            <w:tcW w:w="680" w:type="dxa"/>
            <w:vAlign w:val="bottom"/>
            <w:gridSpan w:val="2"/>
            <w:shd w:val="clear" w:color="auto" w:fill="CFF0FC"/>
          </w:tcPr>
          <w:p>
            <w:pPr>
              <w:jc w:val="right"/>
              <w:ind w:right="460"/>
              <w:spacing w:after="0" w:line="203"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(13,707)</w:t>
            </w:r>
          </w:p>
        </w:tc>
      </w:tr>
      <w:tr>
        <w:trPr>
          <w:trHeight w:val="20"/>
        </w:trPr>
        <w:tc>
          <w:tcPr>
            <w:tcW w:w="526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4"/>
          </w:tcPr>
          <w:p>
            <w:pPr>
              <w:jc w:val="right"/>
              <w:ind w:right="119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r>
      <w:tr>
        <w:trPr>
          <w:trHeight w:val="169"/>
        </w:trPr>
        <w:tc>
          <w:tcPr>
            <w:tcW w:w="7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June 30, 2020</w:t>
            </w:r>
          </w:p>
        </w:tc>
        <w:tc>
          <w:tcPr>
            <w:tcW w:w="400" w:type="dxa"/>
            <w:vAlign w:val="bottom"/>
          </w:tcPr>
          <w:p>
            <w:pPr>
              <w:spacing w:after="0"/>
              <w:rPr>
                <w:sz w:val="14"/>
                <w:szCs w:val="14"/>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 2019</w:t>
            </w:r>
          </w:p>
        </w:tc>
      </w:tr>
      <w:tr>
        <w:trPr>
          <w:trHeight w:val="169"/>
        </w:trPr>
        <w:tc>
          <w:tcPr>
            <w:tcW w:w="7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(8,527)</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(9,737)</w:t>
            </w:r>
          </w:p>
        </w:tc>
      </w:tr>
      <w:tr>
        <w:trPr>
          <w:trHeight w:val="193"/>
        </w:trPr>
        <w:tc>
          <w:tcPr>
            <w:tcW w:w="714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Adjustments to reconcile net loss to net cash provided by</w:t>
            </w:r>
          </w:p>
        </w:tc>
        <w:tc>
          <w:tcPr>
            <w:tcW w:w="28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714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77,760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68,802</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14,842</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15,210</w:t>
            </w: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20,942</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21,227</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disposition of fixed assets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6,689</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13,134</w:t>
            </w: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Other non-cash adjustments</w:t>
            </w:r>
          </w:p>
        </w:tc>
        <w:tc>
          <w:tcPr>
            <w:tcW w:w="28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(4,428)</w:t>
            </w:r>
          </w:p>
        </w:tc>
        <w:tc>
          <w:tcPr>
            <w:tcW w:w="4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(5,367)</w:t>
            </w:r>
          </w:p>
        </w:tc>
      </w:tr>
      <w:tr>
        <w:trPr>
          <w:trHeight w:val="215"/>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(decrease) in cash resulting from changes in operating</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14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assets and liabilities:</w:t>
            </w: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55,440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(5,472)</w:t>
            </w: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(18,118)</w:t>
            </w: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(29,252)</w:t>
            </w: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17,946</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(13,595)</w:t>
            </w: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(10,037)</w:t>
            </w: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(3,869)</w:t>
            </w:r>
          </w:p>
        </w:tc>
      </w:tr>
      <w:tr>
        <w:trPr>
          <w:trHeight w:val="216"/>
        </w:trPr>
        <w:tc>
          <w:tcPr>
            <w:tcW w:w="714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(4,903)</w:t>
            </w:r>
          </w:p>
        </w:tc>
        <w:tc>
          <w:tcPr>
            <w:tcW w:w="4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(8,000)</w:t>
            </w:r>
          </w:p>
        </w:tc>
      </w:tr>
      <w:tr>
        <w:trPr>
          <w:trHeight w:val="216"/>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9,301</w:t>
            </w:r>
          </w:p>
        </w:tc>
        <w:tc>
          <w:tcPr>
            <w:tcW w:w="28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3,383</w:t>
            </w:r>
          </w:p>
        </w:tc>
        <w:tc>
          <w:tcPr>
            <w:tcW w:w="120" w:type="dxa"/>
            <w:vAlign w:val="bottom"/>
            <w:shd w:val="clear" w:color="auto" w:fill="CFF0FC"/>
          </w:tcPr>
          <w:p>
            <w:pPr>
              <w:spacing w:after="0"/>
              <w:rPr>
                <w:sz w:val="18"/>
                <w:szCs w:val="18"/>
                <w:color w:val="auto"/>
              </w:rPr>
            </w:pPr>
          </w:p>
        </w:tc>
      </w:tr>
      <w:tr>
        <w:trPr>
          <w:trHeight w:val="210"/>
        </w:trPr>
        <w:tc>
          <w:tcPr>
            <w:tcW w:w="7140" w:type="dxa"/>
            <w:vAlign w:val="bottom"/>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156,907</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46,464</w:t>
            </w: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Purchase of property, equipment and satellites</w:t>
            </w:r>
          </w:p>
        </w:tc>
        <w:tc>
          <w:tcPr>
            <w:tcW w:w="28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(208,722)</w:t>
            </w:r>
          </w:p>
        </w:tc>
        <w:tc>
          <w:tcPr>
            <w:tcW w:w="4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(166,115)</w:t>
            </w:r>
          </w:p>
        </w:tc>
      </w:tr>
      <w:tr>
        <w:trPr>
          <w:trHeight w:val="216"/>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patents, licenses and other assets</w:t>
            </w:r>
          </w:p>
        </w:tc>
        <w:tc>
          <w:tcPr>
            <w:tcW w:w="2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(20,540)</w:t>
            </w: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(21,936)</w:t>
            </w:r>
          </w:p>
        </w:tc>
      </w:tr>
      <w:tr>
        <w:trPr>
          <w:trHeight w:val="216"/>
        </w:trPr>
        <w:tc>
          <w:tcPr>
            <w:tcW w:w="7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insurance claims on ViaSat-2 satellite</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w:t>
            </w:r>
          </w:p>
        </w:tc>
        <w:tc>
          <w:tcPr>
            <w:tcW w:w="120" w:type="dxa"/>
            <w:vAlign w:val="bottom"/>
            <w:tcBorders>
              <w:bottom w:val="single" w:sz="8" w:color="CFF0FC"/>
            </w:tcBorders>
          </w:tcPr>
          <w:p>
            <w:pPr>
              <w:spacing w:after="0"/>
              <w:rPr>
                <w:sz w:val="18"/>
                <w:szCs w:val="18"/>
                <w:color w:val="auto"/>
              </w:rPr>
            </w:pPr>
          </w:p>
        </w:tc>
      </w:tr>
      <w:tr>
        <w:trPr>
          <w:trHeight w:val="21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(229,262)</w:t>
            </w: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(185,774)</w:t>
            </w:r>
          </w:p>
        </w:tc>
      </w:tr>
      <w:tr>
        <w:trPr>
          <w:trHeight w:val="216"/>
        </w:trPr>
        <w:tc>
          <w:tcPr>
            <w:tcW w:w="71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debt borrowings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Payments of debt borrowings</w:t>
            </w:r>
          </w:p>
        </w:tc>
        <w:tc>
          <w:tcPr>
            <w:tcW w:w="28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(402,697)</w:t>
            </w:r>
          </w:p>
        </w:tc>
        <w:tc>
          <w:tcPr>
            <w:tcW w:w="4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(11,821)</w:t>
            </w:r>
          </w:p>
        </w:tc>
      </w:tr>
      <w:tr>
        <w:trPr>
          <w:trHeight w:val="216"/>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debt issuance costs</w:t>
            </w:r>
          </w:p>
        </w:tc>
        <w:tc>
          <w:tcPr>
            <w:tcW w:w="2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(3,790)</w:t>
            </w: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(2,479)</w:t>
            </w: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under equity plans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9,206</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24,377</w:t>
            </w:r>
          </w:p>
        </w:tc>
        <w:tc>
          <w:tcPr>
            <w:tcW w:w="120" w:type="dxa"/>
            <w:vAlign w:val="bottom"/>
          </w:tcPr>
          <w:p>
            <w:pPr>
              <w:spacing w:after="0"/>
              <w:rPr>
                <w:sz w:val="18"/>
                <w:szCs w:val="18"/>
                <w:color w:val="auto"/>
              </w:rPr>
            </w:pPr>
          </w:p>
        </w:tc>
      </w:tr>
      <w:tr>
        <w:trPr>
          <w:trHeight w:val="215"/>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common stock in treasury (immediately retired) related</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14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to tax withholdings for stock-based compensation</w:t>
            </w:r>
          </w:p>
        </w:tc>
        <w:tc>
          <w:tcPr>
            <w:tcW w:w="28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(401)</w:t>
            </w:r>
          </w:p>
        </w:tc>
        <w:tc>
          <w:tcPr>
            <w:tcW w:w="4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(2,328)</w:t>
            </w:r>
          </w:p>
        </w:tc>
      </w:tr>
      <w:tr>
        <w:trPr>
          <w:trHeight w:val="216"/>
        </w:trPr>
        <w:tc>
          <w:tcPr>
            <w:tcW w:w="7140" w:type="dxa"/>
            <w:vAlign w:val="bottom"/>
          </w:tcPr>
          <w:p>
            <w:pPr>
              <w:ind w:left="260"/>
              <w:spacing w:after="0"/>
              <w:rPr>
                <w:sz w:val="20"/>
                <w:szCs w:val="20"/>
                <w:color w:val="auto"/>
              </w:rPr>
            </w:pPr>
            <w:r>
              <w:rPr>
                <w:rFonts w:ascii="Arial" w:cs="Arial" w:eastAsia="Arial" w:hAnsi="Arial"/>
                <w:sz w:val="18"/>
                <w:szCs w:val="18"/>
                <w:color w:val="auto"/>
              </w:rPr>
              <w:t>Other financing activities</w:t>
            </w:r>
          </w:p>
        </w:tc>
        <w:tc>
          <w:tcPr>
            <w:tcW w:w="28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(2,178)</w:t>
            </w:r>
          </w:p>
        </w:tc>
        <w:tc>
          <w:tcPr>
            <w:tcW w:w="4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r>
      <w:tr>
        <w:trPr>
          <w:trHeight w:val="210"/>
        </w:trPr>
        <w:tc>
          <w:tcPr>
            <w:tcW w:w="71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8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0"/>
        </w:trPr>
        <w:tc>
          <w:tcPr>
            <w:tcW w:w="7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(71,891)</w:t>
            </w:r>
          </w:p>
        </w:tc>
        <w:tc>
          <w:tcPr>
            <w:tcW w:w="4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(131,818)</w:t>
            </w:r>
          </w:p>
        </w:tc>
      </w:tr>
      <w:tr>
        <w:trPr>
          <w:trHeight w:val="216"/>
        </w:trPr>
        <w:tc>
          <w:tcPr>
            <w:tcW w:w="7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304,309</w:t>
            </w:r>
          </w:p>
        </w:tc>
        <w:tc>
          <w:tcPr>
            <w:tcW w:w="28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261,701</w:t>
            </w:r>
          </w:p>
        </w:tc>
        <w:tc>
          <w:tcPr>
            <w:tcW w:w="120" w:type="dxa"/>
            <w:vAlign w:val="bottom"/>
            <w:tcBorders>
              <w:bottom w:val="single" w:sz="8" w:color="CFF0FC"/>
            </w:tcBorders>
          </w:tcPr>
          <w:p>
            <w:pPr>
              <w:spacing w:after="0"/>
              <w:rPr>
                <w:sz w:val="18"/>
                <w:szCs w:val="18"/>
                <w:color w:val="auto"/>
              </w:rPr>
            </w:pPr>
          </w:p>
        </w:tc>
      </w:tr>
      <w:tr>
        <w:trPr>
          <w:trHeight w:val="210"/>
        </w:trPr>
        <w:tc>
          <w:tcPr>
            <w:tcW w:w="7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232,418</w:t>
            </w: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129,883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3"/>
                <w:szCs w:val="13"/>
                <w:b w:val="1"/>
                <w:bCs w:val="1"/>
                <w:color w:val="auto"/>
              </w:rPr>
              <w:t>Viasat, Inc. Stockholders</w:t>
            </w: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206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8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Other</w:t>
            </w:r>
          </w:p>
        </w:tc>
        <w:tc>
          <w:tcPr>
            <w:tcW w:w="1200" w:type="dxa"/>
            <w:vAlign w:val="bottom"/>
            <w:gridSpan w:val="3"/>
          </w:tcPr>
          <w:p>
            <w:pPr>
              <w:spacing w:after="0"/>
              <w:rPr>
                <w:sz w:val="20"/>
                <w:szCs w:val="20"/>
                <w:color w:val="auto"/>
              </w:rPr>
            </w:pPr>
            <w:r>
              <w:rPr>
                <w:rFonts w:ascii="Arial" w:cs="Arial" w:eastAsia="Arial" w:hAnsi="Arial"/>
                <w:sz w:val="13"/>
                <w:szCs w:val="13"/>
                <w:b w:val="1"/>
                <w:bCs w:val="1"/>
                <w:color w:val="auto"/>
              </w:rPr>
              <w:t>Noncontrolling</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Retained</w:t>
            </w: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12"/>
                <w:szCs w:val="12"/>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Interest in</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8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Issued</w:t>
            </w:r>
          </w:p>
        </w:tc>
        <w:tc>
          <w:tcPr>
            <w:tcW w:w="10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Earnings</w:t>
            </w:r>
          </w:p>
        </w:tc>
        <w:tc>
          <w:tcPr>
            <w:tcW w:w="12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Income (Loss)</w:t>
            </w: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Subsidiary</w:t>
            </w:r>
          </w:p>
        </w:tc>
        <w:tc>
          <w:tcPr>
            <w:tcW w:w="8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86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3260" w:type="dxa"/>
            <w:vAlign w:val="bottom"/>
            <w:tcBorders>
              <w:top w:val="single" w:sz="8" w:color="auto"/>
              <w:bottom w:val="single" w:sz="8" w:color="auto"/>
            </w:tcBorders>
            <w:gridSpan w:val="9"/>
          </w:tcPr>
          <w:p>
            <w:pPr>
              <w:jc w:val="right"/>
              <w:ind w:right="600"/>
              <w:spacing w:after="0"/>
              <w:rPr>
                <w:sz w:val="20"/>
                <w:szCs w:val="20"/>
                <w:color w:val="auto"/>
              </w:rPr>
            </w:pPr>
            <w:r>
              <w:rPr>
                <w:rFonts w:ascii="Arial" w:cs="Arial" w:eastAsia="Arial" w:hAnsi="Arial"/>
                <w:sz w:val="13"/>
                <w:szCs w:val="13"/>
                <w:b w:val="1"/>
                <w:bCs w:val="1"/>
                <w:color w:val="auto"/>
              </w:rPr>
              <w:t>(In thousands, except share data)</w:t>
            </w: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8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For the Three Months Ended June 30, 2020</w:t>
            </w: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color w:val="auto"/>
              </w:rPr>
              <w:t>Balance at March 31, 2020</w:t>
            </w:r>
          </w:p>
        </w:tc>
        <w:tc>
          <w:tcPr>
            <w:tcW w:w="840" w:type="dxa"/>
            <w:vAlign w:val="bottom"/>
          </w:tcPr>
          <w:p>
            <w:pPr>
              <w:jc w:val="right"/>
              <w:spacing w:after="0"/>
              <w:rPr>
                <w:sz w:val="20"/>
                <w:szCs w:val="20"/>
                <w:color w:val="auto"/>
              </w:rPr>
            </w:pPr>
            <w:r>
              <w:rPr>
                <w:rFonts w:ascii="Arial" w:cs="Arial" w:eastAsia="Arial" w:hAnsi="Arial"/>
                <w:sz w:val="14"/>
                <w:szCs w:val="14"/>
                <w:color w:val="auto"/>
              </w:rPr>
              <w:t>62,147,140</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$ 1,788,456</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245,373</w:t>
            </w:r>
          </w:p>
        </w:tc>
        <w:tc>
          <w:tcPr>
            <w:tcW w:w="2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(6,048)</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22,355</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$ 2,050,142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Issuance of stock under Employee Stock Purchase</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Plan</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282,269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9,206</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9,206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24,160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24,160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Shares issued in settlement of certain accrued</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employee compensation liabilities</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580,846</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25,406</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25,406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60" w:type="dxa"/>
            <w:vAlign w:val="bottom"/>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60" w:type="dxa"/>
            <w:vAlign w:val="bottom"/>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15,746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(401)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8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Net (loss) income</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(12,389)</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3,862</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(8,527)</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(803)</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Balance at June 30, 2020</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63,026,001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$ 1,846,827</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232,984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(6,851)</w:t>
            </w: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26,217</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$ 2,099,183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For the Three Months Ended June 30, 2019</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tcPr>
          <w:p>
            <w:pPr>
              <w:spacing w:after="0"/>
              <w:rPr>
                <w:sz w:val="20"/>
                <w:szCs w:val="20"/>
                <w:color w:val="auto"/>
              </w:rPr>
            </w:pPr>
            <w:r>
              <w:rPr>
                <w:rFonts w:ascii="Arial" w:cs="Arial" w:eastAsia="Arial" w:hAnsi="Arial"/>
                <w:sz w:val="14"/>
                <w:szCs w:val="14"/>
                <w:color w:val="auto"/>
              </w:rPr>
              <w:t>Balance at March 31, 2019</w:t>
            </w:r>
          </w:p>
        </w:tc>
        <w:tc>
          <w:tcPr>
            <w:tcW w:w="840" w:type="dxa"/>
            <w:vAlign w:val="bottom"/>
          </w:tcPr>
          <w:p>
            <w:pPr>
              <w:jc w:val="right"/>
              <w:spacing w:after="0"/>
              <w:rPr>
                <w:sz w:val="20"/>
                <w:szCs w:val="20"/>
                <w:color w:val="auto"/>
              </w:rPr>
            </w:pPr>
            <w:r>
              <w:rPr>
                <w:rFonts w:ascii="Arial" w:cs="Arial" w:eastAsia="Arial" w:hAnsi="Arial"/>
                <w:sz w:val="14"/>
                <w:szCs w:val="14"/>
                <w:color w:val="auto"/>
              </w:rPr>
              <w:t>60,550,093</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$ 1,656,819</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245,585</w:t>
            </w:r>
          </w:p>
        </w:tc>
        <w:tc>
          <w:tcPr>
            <w:tcW w:w="2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5,338</w:t>
            </w:r>
          </w:p>
        </w:tc>
        <w:tc>
          <w:tcPr>
            <w:tcW w:w="2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8,330</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$ 1,916,078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259,125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16,071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16,071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60" w:type="dxa"/>
            <w:vAlign w:val="bottom"/>
          </w:tcPr>
          <w:p>
            <w:pPr>
              <w:spacing w:after="0"/>
              <w:rPr>
                <w:sz w:val="20"/>
                <w:szCs w:val="20"/>
                <w:color w:val="auto"/>
              </w:rPr>
            </w:pPr>
            <w:r>
              <w:rPr>
                <w:rFonts w:ascii="Arial" w:cs="Arial" w:eastAsia="Arial" w:hAnsi="Arial"/>
                <w:sz w:val="14"/>
                <w:szCs w:val="14"/>
                <w:color w:val="auto"/>
              </w:rPr>
              <w:t>Issuance of stock under Employee Stock Purchase</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60" w:type="dxa"/>
            <w:vAlign w:val="bottom"/>
          </w:tcPr>
          <w:p>
            <w:pPr>
              <w:ind w:left="120"/>
              <w:spacing w:after="0" w:line="157" w:lineRule="exact"/>
              <w:rPr>
                <w:sz w:val="20"/>
                <w:szCs w:val="20"/>
                <w:color w:val="auto"/>
              </w:rPr>
            </w:pPr>
            <w:r>
              <w:rPr>
                <w:rFonts w:ascii="Arial" w:cs="Arial" w:eastAsia="Arial" w:hAnsi="Arial"/>
                <w:sz w:val="14"/>
                <w:szCs w:val="14"/>
                <w:color w:val="auto"/>
              </w:rPr>
              <w:t>Plan</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165,770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8,306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8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8,306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24,312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24,312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60" w:type="dxa"/>
            <w:vAlign w:val="bottom"/>
          </w:tcPr>
          <w:p>
            <w:pPr>
              <w:spacing w:after="0"/>
              <w:rPr>
                <w:sz w:val="20"/>
                <w:szCs w:val="20"/>
                <w:color w:val="auto"/>
              </w:rPr>
            </w:pPr>
            <w:r>
              <w:rPr>
                <w:rFonts w:ascii="Arial" w:cs="Arial" w:eastAsia="Arial" w:hAnsi="Arial"/>
                <w:sz w:val="14"/>
                <w:szCs w:val="14"/>
                <w:color w:val="auto"/>
              </w:rPr>
              <w:t>Shares issued in settlement of certain accrued</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60" w:type="dxa"/>
            <w:vAlign w:val="bottom"/>
          </w:tcPr>
          <w:p>
            <w:pPr>
              <w:ind w:left="120"/>
              <w:spacing w:after="0" w:line="157" w:lineRule="exact"/>
              <w:rPr>
                <w:sz w:val="20"/>
                <w:szCs w:val="20"/>
                <w:color w:val="auto"/>
              </w:rPr>
            </w:pPr>
            <w:r>
              <w:rPr>
                <w:rFonts w:ascii="Arial" w:cs="Arial" w:eastAsia="Arial" w:hAnsi="Arial"/>
                <w:sz w:val="14"/>
                <w:szCs w:val="14"/>
                <w:color w:val="auto"/>
              </w:rPr>
              <w:t>employee compensation liabilities</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255,615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22,829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8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22,829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46,330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(2,328)</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0"/>
              <w:spacing w:after="0" w:line="157" w:lineRule="exact"/>
              <w:rPr>
                <w:sz w:val="20"/>
                <w:szCs w:val="20"/>
                <w:color w:val="auto"/>
              </w:rPr>
            </w:pPr>
            <w:r>
              <w:rPr>
                <w:rFonts w:ascii="Arial" w:cs="Arial" w:eastAsia="Arial" w:hAnsi="Arial"/>
                <w:sz w:val="14"/>
                <w:szCs w:val="14"/>
                <w:color w:val="auto"/>
              </w:rPr>
              <w:t>(2,328)</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20"/>
                <w:szCs w:val="20"/>
                <w:color w:val="auto"/>
              </w:rPr>
            </w:pPr>
            <w:r>
              <w:rPr>
                <w:rFonts w:ascii="Arial" w:cs="Arial" w:eastAsia="Arial" w:hAnsi="Arial"/>
                <w:sz w:val="14"/>
                <w:szCs w:val="14"/>
                <w:color w:val="auto"/>
              </w:rPr>
              <w:t>Net (loss) income</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(11,468)</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1,731</w:t>
            </w:r>
          </w:p>
        </w:tc>
        <w:tc>
          <w:tcPr>
            <w:tcW w:w="22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(9,737)</w:t>
            </w: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(2,239)</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(2,239)</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60" w:type="dxa"/>
            <w:vAlign w:val="bottom"/>
          </w:tcPr>
          <w:p>
            <w:pPr>
              <w:spacing w:after="0"/>
              <w:rPr>
                <w:sz w:val="20"/>
                <w:szCs w:val="20"/>
                <w:color w:val="auto"/>
              </w:rPr>
            </w:pPr>
            <w:r>
              <w:rPr>
                <w:rFonts w:ascii="Arial" w:cs="Arial" w:eastAsia="Arial" w:hAnsi="Arial"/>
                <w:sz w:val="14"/>
                <w:szCs w:val="14"/>
                <w:color w:val="auto"/>
              </w:rPr>
              <w:t>Balance at June 30, 2019</w:t>
            </w:r>
          </w:p>
        </w:tc>
        <w:tc>
          <w:tcPr>
            <w:tcW w:w="840" w:type="dxa"/>
            <w:vAlign w:val="bottom"/>
          </w:tcPr>
          <w:p>
            <w:pPr>
              <w:jc w:val="right"/>
              <w:spacing w:after="0"/>
              <w:rPr>
                <w:sz w:val="20"/>
                <w:szCs w:val="20"/>
                <w:color w:val="auto"/>
              </w:rPr>
            </w:pPr>
            <w:r>
              <w:rPr>
                <w:rFonts w:ascii="Arial" w:cs="Arial" w:eastAsia="Arial" w:hAnsi="Arial"/>
                <w:sz w:val="14"/>
                <w:szCs w:val="14"/>
                <w:color w:val="auto"/>
              </w:rPr>
              <w:t>61,276,933</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$ 1,726,009</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234,117</w:t>
            </w:r>
          </w:p>
        </w:tc>
        <w:tc>
          <w:tcPr>
            <w:tcW w:w="2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3,099</w:t>
            </w:r>
          </w:p>
        </w:tc>
        <w:tc>
          <w:tcPr>
            <w:tcW w:w="2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10,061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$ 1,973,292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9"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The accompanying condensed consolidated balance sheet at June 30, 2020, the condensed consolidated statements of operations and comprehensive income (loss) for the three months ended June 30, 2020 and 2019, the condensed consolidated statements of cash flows for the three months ended June 30, 2020 and 2019 and the condensed consolidated statements of equity for the three months ended June 30, 2020 and 2019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2020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2020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51" w:lineRule="exact"/>
        <w:rPr>
          <w:sz w:val="20"/>
          <w:szCs w:val="20"/>
          <w:color w:val="auto"/>
        </w:rPr>
      </w:pPr>
    </w:p>
    <w:p>
      <w:pPr>
        <w:ind w:right="80" w:firstLine="510"/>
        <w:spacing w:after="0" w:line="238" w:lineRule="auto"/>
        <w:rPr>
          <w:sz w:val="20"/>
          <w:szCs w:val="20"/>
          <w:color w:val="auto"/>
        </w:rPr>
      </w:pPr>
      <w:r>
        <w:rPr>
          <w:rFonts w:ascii="Arial" w:cs="Arial" w:eastAsia="Arial" w:hAnsi="Arial"/>
          <w:sz w:val="18"/>
          <w:szCs w:val="18"/>
          <w:color w:val="auto"/>
        </w:rPr>
        <w:t>The Company’s condensed consolidated financial statements include the assets, liabilities and results of operations of Viasat, its wholly owned subsidiaries and its majority-owned subsidiary, TrellisWare Technologies, Inc. (TrellisWare). 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spacing w:after="0" w:line="148"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contingencies and income taxes including the valuation allowance on deferred tax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The Company applies the five-step model under Accounting Standards Codification (ASC) 606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95" w:lineRule="exact"/>
        <w:rPr>
          <w:sz w:val="20"/>
          <w:szCs w:val="20"/>
          <w:color w:val="auto"/>
        </w:rPr>
      </w:pPr>
    </w:p>
    <w:p>
      <w:pPr>
        <w:ind w:right="40" w:firstLine="510"/>
        <w:spacing w:after="0" w:line="234" w:lineRule="auto"/>
        <w:rPr>
          <w:sz w:val="20"/>
          <w:szCs w:val="20"/>
          <w:color w:val="auto"/>
        </w:rPr>
      </w:pPr>
      <w:r>
        <w:rPr>
          <w:rFonts w:ascii="Arial" w:cs="Arial" w:eastAsia="Arial" w:hAnsi="Arial"/>
          <w:sz w:val="18"/>
          <w:szCs w:val="18"/>
          <w:color w:val="auto"/>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ASC</w:t>
      </w:r>
    </w:p>
    <w:p>
      <w:pPr>
        <w:spacing w:after="0" w:line="4" w:lineRule="exact"/>
        <w:rPr>
          <w:sz w:val="20"/>
          <w:szCs w:val="20"/>
          <w:color w:val="auto"/>
        </w:rPr>
      </w:pPr>
    </w:p>
    <w:p>
      <w:pPr>
        <w:jc w:val="both"/>
        <w:ind w:right="80" w:firstLine="8"/>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discussed further below under “Leases - Lessor accounting”, for broadband equipment leased to consumer broadband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spacing w:after="0" w:line="149" w:lineRule="exact"/>
        <w:rPr>
          <w:sz w:val="20"/>
          <w:szCs w:val="20"/>
          <w:color w:val="auto"/>
        </w:rPr>
      </w:pPr>
    </w:p>
    <w:p>
      <w:pPr>
        <w:ind w:right="100" w:firstLine="510"/>
        <w:spacing w:after="0" w:line="237" w:lineRule="auto"/>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49"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The vast majority of the Company’s revenues from long-term contracts to develop and deliver complex equipment built to customer specifications are derived from contracts with the U.S. government (including foreign military sales contracted through the U.S. government). 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100" w:firstLine="510"/>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p>
    <w:p>
      <w:pPr>
        <w:spacing w:after="0" w:line="190" w:lineRule="exact"/>
        <w:rPr>
          <w:sz w:val="20"/>
          <w:szCs w:val="20"/>
          <w:color w:val="auto"/>
        </w:rPr>
      </w:pPr>
    </w:p>
    <w:p>
      <w:pPr>
        <w:ind w:right="40" w:firstLine="510"/>
        <w:spacing w:after="0" w:line="234" w:lineRule="auto"/>
        <w:rPr>
          <w:sz w:val="20"/>
          <w:szCs w:val="20"/>
          <w:color w:val="auto"/>
        </w:rPr>
      </w:pPr>
      <w:r>
        <w:rPr>
          <w:rFonts w:ascii="Arial" w:cs="Arial" w:eastAsia="Arial" w:hAnsi="Arial"/>
          <w:sz w:val="18"/>
          <w:szCs w:val="18"/>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years 2019 or 2020. As of June 30, 2020, the DCAA had completed its incurred cost audit for fiscal years 2004 and 2016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2018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June 30, 2020 and March 31, 2020, the Company had $7.8 million in contract-related reserves for its estimate of potential refunds to customers for potential cost adjustments on several multi-year U.S. government cost reimbursable contracts (see Note 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Commitments and Contingencies for more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95"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200" w:lineRule="exact"/>
        <w:rPr>
          <w:sz w:val="20"/>
          <w:szCs w:val="20"/>
          <w:color w:val="auto"/>
        </w:rPr>
      </w:pPr>
    </w:p>
    <w:p>
      <w:pPr>
        <w:ind w:right="280" w:firstLine="510"/>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95" w:lineRule="exact"/>
        <w:rPr>
          <w:sz w:val="20"/>
          <w:szCs w:val="20"/>
          <w:color w:val="auto"/>
        </w:rPr>
      </w:pPr>
    </w:p>
    <w:p>
      <w:pPr>
        <w:ind w:right="80" w:firstLine="510"/>
        <w:spacing w:after="0" w:line="236" w:lineRule="auto"/>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(IFC) service contracts in its satellite services segment do not have minimum service purchase requirements and therefore are not included in the Company’s remaining performance obligations. As of June 30, 2020, the aggregate amount of the transaction price allocated to remaining performance obligations was $2.1 billion, of which the Company expects to recognize a little over half over the next twelve months, with the balance recognized thereafter.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95"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The Company operates and manages its business in three 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p>
    <w:p>
      <w:pPr>
        <w:spacing w:after="0" w:line="191" w:lineRule="exact"/>
        <w:rPr>
          <w:sz w:val="20"/>
          <w:szCs w:val="20"/>
          <w:color w:val="auto"/>
        </w:rPr>
      </w:pPr>
    </w:p>
    <w:p>
      <w:pPr>
        <w:ind w:right="260" w:firstLine="510"/>
        <w:spacing w:after="0" w:line="246" w:lineRule="auto"/>
        <w:rPr>
          <w:sz w:val="20"/>
          <w:szCs w:val="20"/>
          <w:color w:val="auto"/>
        </w:rPr>
      </w:pPr>
      <w:r>
        <w:rPr>
          <w:rFonts w:ascii="Arial" w:cs="Arial" w:eastAsia="Arial" w:hAnsi="Arial"/>
          <w:sz w:val="18"/>
          <w:szCs w:val="18"/>
          <w:color w:val="auto"/>
        </w:rPr>
        <w:t>The following sets forth disaggregated reported revenue by segment and product and services for the three months ended June 30, 2020 and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center"/>
              <w:ind w:right="117"/>
              <w:spacing w:after="0"/>
              <w:rPr>
                <w:sz w:val="20"/>
                <w:szCs w:val="20"/>
                <w:color w:val="auto"/>
              </w:rPr>
            </w:pPr>
            <w:r>
              <w:rPr>
                <w:rFonts w:ascii="Arial" w:cs="Arial" w:eastAsia="Arial" w:hAnsi="Arial"/>
                <w:sz w:val="14"/>
                <w:szCs w:val="14"/>
                <w:b w:val="1"/>
                <w:bCs w:val="1"/>
                <w:color w:val="auto"/>
              </w:rPr>
              <w:t>Three Months Ended June 30, 2020</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6" w:lineRule="exact"/>
              <w:rPr>
                <w:sz w:val="20"/>
                <w:szCs w:val="20"/>
                <w:color w:val="auto"/>
              </w:rPr>
            </w:pPr>
            <w:r>
              <w:rPr>
                <w:rFonts w:ascii="Arial" w:cs="Arial" w:eastAsia="Arial" w:hAnsi="Arial"/>
                <w:sz w:val="14"/>
                <w:szCs w:val="14"/>
                <w:b w:val="1"/>
                <w:bCs w:val="1"/>
                <w:color w:val="auto"/>
              </w:rPr>
              <w:t>Satellite</w:t>
            </w:r>
          </w:p>
        </w:tc>
        <w:tc>
          <w:tcPr>
            <w:tcW w:w="180" w:type="dxa"/>
            <w:vAlign w:val="bottom"/>
          </w:tcPr>
          <w:p>
            <w:pPr>
              <w:spacing w:after="0"/>
              <w:rPr>
                <w:sz w:val="13"/>
                <w:szCs w:val="13"/>
                <w:color w:val="auto"/>
              </w:rPr>
            </w:pPr>
          </w:p>
        </w:tc>
        <w:tc>
          <w:tcPr>
            <w:tcW w:w="1440" w:type="dxa"/>
            <w:vAlign w:val="bottom"/>
            <w:gridSpan w:val="2"/>
          </w:tcPr>
          <w:p>
            <w:pPr>
              <w:jc w:val="center"/>
              <w:ind w:right="460"/>
              <w:spacing w:after="0" w:line="156"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180" w:type="dxa"/>
            <w:vAlign w:val="bottom"/>
          </w:tcPr>
          <w:p>
            <w:pPr>
              <w:jc w:val="center"/>
              <w:ind w:right="117"/>
              <w:spacing w:after="0" w:line="156"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Total</w:t>
            </w:r>
          </w:p>
        </w:tc>
      </w:tr>
      <w:tr>
        <w:trPr>
          <w:trHeight w:val="175"/>
        </w:trPr>
        <w:tc>
          <w:tcPr>
            <w:tcW w:w="4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5"/>
                <w:szCs w:val="15"/>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18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Revenues</w:t>
            </w:r>
          </w:p>
        </w:tc>
      </w:tr>
      <w:tr>
        <w:trPr>
          <w:trHeight w:val="209"/>
        </w:trPr>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4"/>
          </w:tcPr>
          <w:p>
            <w:pPr>
              <w:jc w:val="center"/>
              <w:ind w:right="9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55,119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195,515</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250,634</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201,984</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12,043</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65,827</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279,854</w:t>
            </w:r>
          </w:p>
        </w:tc>
        <w:tc>
          <w:tcPr>
            <w:tcW w:w="100" w:type="dxa"/>
            <w:vAlign w:val="bottom"/>
            <w:tcBorders>
              <w:bottom w:val="single" w:sz="8" w:color="CFF0FC"/>
            </w:tcBorders>
          </w:tcPr>
          <w:p>
            <w:pPr>
              <w:spacing w:after="0"/>
              <w:rPr>
                <w:sz w:val="18"/>
                <w:szCs w:val="18"/>
                <w:color w:val="auto"/>
              </w:rPr>
            </w:pPr>
          </w:p>
        </w:tc>
      </w:tr>
      <w:tr>
        <w:trPr>
          <w:trHeight w:val="209"/>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201,984</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67,162</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261,342</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530,488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center"/>
              <w:ind w:right="117"/>
              <w:spacing w:after="0"/>
              <w:rPr>
                <w:sz w:val="20"/>
                <w:szCs w:val="20"/>
                <w:color w:val="auto"/>
              </w:rPr>
            </w:pPr>
            <w:r>
              <w:rPr>
                <w:rFonts w:ascii="Arial" w:cs="Arial" w:eastAsia="Arial" w:hAnsi="Arial"/>
                <w:sz w:val="14"/>
                <w:szCs w:val="14"/>
                <w:b w:val="1"/>
                <w:bCs w:val="1"/>
                <w:color w:val="auto"/>
              </w:rPr>
              <w:t>Three Months Ended June 30, 2019</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6" w:lineRule="exact"/>
              <w:rPr>
                <w:sz w:val="20"/>
                <w:szCs w:val="20"/>
                <w:color w:val="auto"/>
              </w:rPr>
            </w:pPr>
            <w:r>
              <w:rPr>
                <w:rFonts w:ascii="Arial" w:cs="Arial" w:eastAsia="Arial" w:hAnsi="Arial"/>
                <w:sz w:val="14"/>
                <w:szCs w:val="14"/>
                <w:b w:val="1"/>
                <w:bCs w:val="1"/>
                <w:color w:val="auto"/>
              </w:rPr>
              <w:t>Satellite</w:t>
            </w:r>
          </w:p>
        </w:tc>
        <w:tc>
          <w:tcPr>
            <w:tcW w:w="180" w:type="dxa"/>
            <w:vAlign w:val="bottom"/>
          </w:tcPr>
          <w:p>
            <w:pPr>
              <w:spacing w:after="0"/>
              <w:rPr>
                <w:sz w:val="13"/>
                <w:szCs w:val="13"/>
                <w:color w:val="auto"/>
              </w:rPr>
            </w:pPr>
          </w:p>
        </w:tc>
        <w:tc>
          <w:tcPr>
            <w:tcW w:w="1440" w:type="dxa"/>
            <w:vAlign w:val="bottom"/>
            <w:gridSpan w:val="2"/>
          </w:tcPr>
          <w:p>
            <w:pPr>
              <w:jc w:val="center"/>
              <w:ind w:right="460"/>
              <w:spacing w:after="0" w:line="156"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180" w:type="dxa"/>
            <w:vAlign w:val="bottom"/>
          </w:tcPr>
          <w:p>
            <w:pPr>
              <w:jc w:val="center"/>
              <w:ind w:right="117"/>
              <w:spacing w:after="0" w:line="156"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Total</w:t>
            </w:r>
          </w:p>
        </w:tc>
      </w:tr>
      <w:tr>
        <w:trPr>
          <w:trHeight w:val="175"/>
        </w:trPr>
        <w:tc>
          <w:tcPr>
            <w:tcW w:w="4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5"/>
                <w:szCs w:val="15"/>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18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Revenues</w:t>
            </w:r>
          </w:p>
        </w:tc>
      </w:tr>
      <w:tr>
        <w:trPr>
          <w:trHeight w:val="210"/>
        </w:trPr>
        <w:tc>
          <w:tcPr>
            <w:tcW w:w="4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4"/>
          </w:tcPr>
          <w:p>
            <w:pPr>
              <w:jc w:val="center"/>
              <w:ind w:right="9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64,901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198,714</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263,615</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196,815</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14,111</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62,496</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273,422</w:t>
            </w:r>
          </w:p>
        </w:tc>
        <w:tc>
          <w:tcPr>
            <w:tcW w:w="100" w:type="dxa"/>
            <w:vAlign w:val="bottom"/>
            <w:tcBorders>
              <w:bottom w:val="single" w:sz="8" w:color="CFF0FC"/>
            </w:tcBorders>
          </w:tcPr>
          <w:p>
            <w:pPr>
              <w:spacing w:after="0"/>
              <w:rPr>
                <w:sz w:val="18"/>
                <w:szCs w:val="18"/>
                <w:color w:val="auto"/>
              </w:rPr>
            </w:pPr>
          </w:p>
        </w:tc>
      </w:tr>
      <w:tr>
        <w:trPr>
          <w:trHeight w:val="21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196,815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79,012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261,210</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537,037</w:t>
            </w:r>
          </w:p>
        </w:tc>
        <w:tc>
          <w:tcPr>
            <w:tcW w:w="100" w:type="dxa"/>
            <w:vAlign w:val="bottom"/>
            <w:shd w:val="clear" w:color="auto" w:fill="CFF0FC"/>
          </w:tcPr>
          <w:p>
            <w:pPr>
              <w:spacing w:after="0"/>
              <w:rPr>
                <w:sz w:val="18"/>
                <w:szCs w:val="18"/>
                <w:color w:val="auto"/>
              </w:rPr>
            </w:pPr>
          </w:p>
        </w:tc>
      </w:tr>
      <w:tr>
        <w:trPr>
          <w:trHeight w:val="20"/>
        </w:trPr>
        <w:tc>
          <w:tcPr>
            <w:tcW w:w="4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Revenues from the U.S. government as an individual customer comprised approximately 31% and 30% of total revenues for the three months ended June 30, 2020 and 2019, respectively, mainly reported within the government systems segment. Revenues from the Company’s commercial customers, mainly reported within the commercial networks and satellite services segments, comprised approximately 69% and 70% of total revenues for the three months ended June 30, 2020 and 2019, respectively.</w:t>
      </w:r>
    </w:p>
    <w:p>
      <w:pPr>
        <w:spacing w:after="0" w:line="191" w:lineRule="exact"/>
        <w:rPr>
          <w:sz w:val="20"/>
          <w:szCs w:val="20"/>
          <w:color w:val="auto"/>
        </w:rPr>
      </w:pPr>
    </w:p>
    <w:p>
      <w:pPr>
        <w:ind w:right="200" w:firstLine="510"/>
        <w:spacing w:after="0" w:line="246" w:lineRule="auto"/>
        <w:rPr>
          <w:sz w:val="20"/>
          <w:szCs w:val="20"/>
          <w:color w:val="auto"/>
        </w:rPr>
      </w:pPr>
      <w:r>
        <w:rPr>
          <w:rFonts w:ascii="Arial" w:cs="Arial" w:eastAsia="Arial" w:hAnsi="Arial"/>
          <w:sz w:val="18"/>
          <w:szCs w:val="18"/>
          <w:color w:val="auto"/>
        </w:rPr>
        <w:t>The Company’s satellite services segment revenues are primarily derived from the Company’s fixed broadband services and in-flight services.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Revenues in the Company’s commercial networks and government systems segments are primarily derived from three types of contracts: fixed-price, cost-reimbursement and time-and-materials contracts. Fixed-price contracts (which require the Company to provide products and services under a contract at a specified price) comprised approximately 85% and 87% of the Company’s total revenues for these segments for the three months ended June 30, 2020 and 2019, respectively.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p>
    <w:p>
      <w:pPr>
        <w:spacing w:after="0" w:line="194"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27% and 23% of its total revenues for the three months ended June 30, 2020 and 2019,</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95"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p>
    <w:p>
      <w:pPr>
        <w:spacing w:after="0" w:line="189"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June 30, 2020 and March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jc w:val="right"/>
              <w:ind w:right="899"/>
              <w:spacing w:after="0"/>
              <w:rPr>
                <w:sz w:val="20"/>
                <w:szCs w:val="20"/>
                <w:color w:val="auto"/>
              </w:rPr>
            </w:pPr>
            <w:r>
              <w:rPr>
                <w:rFonts w:ascii="Arial" w:cs="Arial" w:eastAsia="Arial" w:hAnsi="Arial"/>
                <w:sz w:val="14"/>
                <w:szCs w:val="14"/>
                <w:b w:val="1"/>
                <w:bCs w:val="1"/>
                <w:color w:val="auto"/>
              </w:rPr>
              <w:t>As of</w:t>
            </w:r>
          </w:p>
        </w:tc>
        <w:tc>
          <w:tcPr>
            <w:tcW w:w="560" w:type="dxa"/>
            <w:vAlign w:val="bottom"/>
          </w:tcPr>
          <w:p>
            <w:pPr>
              <w:spacing w:after="0"/>
              <w:rPr>
                <w:sz w:val="14"/>
                <w:szCs w:val="14"/>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As of</w:t>
            </w:r>
          </w:p>
        </w:tc>
      </w:tr>
      <w:tr>
        <w:trPr>
          <w:trHeight w:val="175"/>
        </w:trPr>
        <w:tc>
          <w:tcPr>
            <w:tcW w:w="5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tcPr>
          <w:p>
            <w:pPr>
              <w:jc w:val="right"/>
              <w:ind w:right="599"/>
              <w:spacing w:after="0"/>
              <w:rPr>
                <w:sz w:val="20"/>
                <w:szCs w:val="20"/>
                <w:color w:val="auto"/>
              </w:rPr>
            </w:pPr>
            <w:r>
              <w:rPr>
                <w:rFonts w:ascii="Arial" w:cs="Arial" w:eastAsia="Arial" w:hAnsi="Arial"/>
                <w:sz w:val="14"/>
                <w:szCs w:val="14"/>
                <w:b w:val="1"/>
                <w:bCs w:val="1"/>
                <w:color w:val="auto"/>
              </w:rPr>
              <w:t>June 30, 2020</w:t>
            </w:r>
          </w:p>
        </w:tc>
        <w:tc>
          <w:tcPr>
            <w:tcW w:w="560" w:type="dxa"/>
            <w:vAlign w:val="bottom"/>
          </w:tcPr>
          <w:p>
            <w:pPr>
              <w:spacing w:after="0"/>
              <w:rPr>
                <w:sz w:val="15"/>
                <w:szCs w:val="15"/>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March 31, 2020</w:t>
            </w:r>
          </w:p>
        </w:tc>
      </w:tr>
      <w:tr>
        <w:trPr>
          <w:trHeight w:val="210"/>
        </w:trPr>
        <w:tc>
          <w:tcPr>
            <w:tcW w:w="5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Unbilled accounts receivable</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82,827</w:t>
            </w:r>
          </w:p>
        </w:tc>
        <w:tc>
          <w:tcPr>
            <w:tcW w:w="5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75,661</w:t>
            </w:r>
          </w:p>
        </w:tc>
        <w:tc>
          <w:tcPr>
            <w:tcW w:w="12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Collections in excess of revenues and deferred revenues</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ind w:right="59"/>
              <w:spacing w:after="0"/>
              <w:rPr>
                <w:sz w:val="20"/>
                <w:szCs w:val="20"/>
                <w:color w:val="auto"/>
              </w:rPr>
            </w:pPr>
            <w:r>
              <w:rPr>
                <w:rFonts w:ascii="Arial" w:cs="Arial" w:eastAsia="Arial" w:hAnsi="Arial"/>
                <w:sz w:val="18"/>
                <w:szCs w:val="18"/>
                <w:color w:val="auto"/>
              </w:rPr>
              <w:t>128,079</w:t>
            </w:r>
          </w:p>
        </w:tc>
        <w:tc>
          <w:tcPr>
            <w:tcW w:w="5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123,019</w:t>
            </w: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revenues, long-term portion</w:t>
            </w: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91,260</w:t>
            </w:r>
          </w:p>
        </w:tc>
        <w:tc>
          <w:tcPr>
            <w:tcW w:w="5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80,802</w:t>
            </w:r>
          </w:p>
        </w:tc>
        <w:tc>
          <w:tcPr>
            <w:tcW w:w="12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right="700" w:firstLine="510"/>
        <w:spacing w:after="0" w:line="246" w:lineRule="auto"/>
        <w:rPr>
          <w:sz w:val="20"/>
          <w:szCs w:val="20"/>
          <w:color w:val="auto"/>
        </w:rPr>
      </w:pPr>
      <w:r>
        <w:rPr>
          <w:rFonts w:ascii="Arial" w:cs="Arial" w:eastAsia="Arial" w:hAnsi="Arial"/>
          <w:sz w:val="18"/>
          <w:szCs w:val="18"/>
          <w:color w:val="auto"/>
        </w:rPr>
        <w:t>Unbilled accounts receivable increased $7.2 million during the three months ended June 30, 2020, primarily driven by revenue recognized in the Company’s government systems segment in excess of billings.</w:t>
      </w:r>
    </w:p>
    <w:p>
      <w:pPr>
        <w:spacing w:after="0" w:line="143" w:lineRule="exact"/>
        <w:rPr>
          <w:sz w:val="20"/>
          <w:szCs w:val="20"/>
          <w:color w:val="auto"/>
        </w:rPr>
      </w:pPr>
    </w:p>
    <w:p>
      <w:pPr>
        <w:ind w:right="380" w:firstLine="510"/>
        <w:spacing w:after="0"/>
        <w:rPr>
          <w:sz w:val="20"/>
          <w:szCs w:val="20"/>
          <w:color w:val="auto"/>
        </w:rPr>
      </w:pPr>
      <w:r>
        <w:rPr>
          <w:rFonts w:ascii="Arial" w:cs="Arial" w:eastAsia="Arial" w:hAnsi="Arial"/>
          <w:sz w:val="18"/>
          <w:szCs w:val="18"/>
          <w:color w:val="auto"/>
        </w:rPr>
        <w:t>Collections in excess of revenues and deferred revenues increased $5.1 million during the three months ended June 30, 2020, primarily driven by advances on goods or services received in excess of revenue recognized in the Company’s government systems and satellite services segments.</w:t>
      </w:r>
    </w:p>
    <w:p>
      <w:pPr>
        <w:spacing w:after="0" w:line="149" w:lineRule="exact"/>
        <w:rPr>
          <w:sz w:val="20"/>
          <w:szCs w:val="20"/>
          <w:color w:val="auto"/>
        </w:rPr>
      </w:pPr>
    </w:p>
    <w:p>
      <w:pPr>
        <w:jc w:val="both"/>
        <w:ind w:right="80" w:firstLine="510"/>
        <w:spacing w:after="0" w:line="238" w:lineRule="auto"/>
        <w:rPr>
          <w:sz w:val="20"/>
          <w:szCs w:val="20"/>
          <w:color w:val="auto"/>
        </w:rPr>
      </w:pPr>
      <w:r>
        <w:rPr>
          <w:rFonts w:ascii="Arial" w:cs="Arial" w:eastAsia="Arial" w:hAnsi="Arial"/>
          <w:sz w:val="18"/>
          <w:szCs w:val="18"/>
          <w:color w:val="auto"/>
        </w:rPr>
        <w:t>During the three months ended June 30, 2020, the Company recognized revenue of $57.6 million that was previously included in the Company’s collections in excess of revenues and deferred revenues at March 31, 2020. During the three months ended June 30, 2019, the Company recognized revenue of $52.6 million that was previously included in the Company’s collections in excess of revenues and deferred revenues at March 31,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85"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17 years. Leasehold improvements are capitalized and amortized using the straight-line method over the shorter of the lease term or the life of the improvement.</w:t>
      </w:r>
    </w:p>
    <w:p>
      <w:pPr>
        <w:spacing w:after="0" w:line="151" w:lineRule="exact"/>
        <w:rPr>
          <w:sz w:val="20"/>
          <w:szCs w:val="20"/>
          <w:color w:val="auto"/>
        </w:rPr>
      </w:pPr>
    </w:p>
    <w:p>
      <w:pPr>
        <w:ind w:right="180" w:firstLine="510"/>
        <w:spacing w:after="0"/>
        <w:rPr>
          <w:sz w:val="20"/>
          <w:szCs w:val="20"/>
          <w:color w:val="auto"/>
        </w:rPr>
      </w:pPr>
      <w:r>
        <w:rPr>
          <w:rFonts w:ascii="Arial" w:cs="Arial" w:eastAsia="Arial" w:hAnsi="Arial"/>
          <w:sz w:val="18"/>
          <w:szCs w:val="18"/>
          <w:color w:val="auto"/>
        </w:rPr>
        <w:t>Costs related to internally developed software for internal uses are capitalized after the preliminary project stage is complete and are amortized over the estimated useful lives of the assets, which are approximately three to seven years. Capitalized costs for internal-use software are included in property, equipment and satellites, net in the Company’s condensed consolidated balance sheets.</w:t>
      </w:r>
    </w:p>
    <w:p>
      <w:pPr>
        <w:spacing w:after="0" w:line="149"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With respect to the ViaSat-3 class satellites, gateway and networking equipment and other assets under construction, the Company capitalized $15.9 million and $11.3 million of interest expense for the three months ended June 30, 2020 and 2019, respectively.</w:t>
      </w:r>
    </w:p>
    <w:p>
      <w:pPr>
        <w:spacing w:after="0" w:line="151"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The Company owns three satellites in service (ViaSat-2, ViaSat-1 and WildBlue-1) and has lifetime leases of Ka-band capacity on two satellites. The Company also has a global constellation of three third-generation ViaSat-3 class satellites under construction. In addition, the Company owns related earth stations and networking equipment for all of its satellites. The Company procures indoor and outdoor CPE units leased to subscribers under a retail leasing program as part of the Company’s satellite services segment, which are reflected in investing activities and property, equipment and satellites, net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June 30, 2020 were $405.9 million and $172.8 million, respectively. The total cost and accumulated depreciation of CPE units included in property, equipment and satellites, net, as of March 31, 2020 were $399.3 million and $165.7 million, respectively.</w:t>
      </w:r>
    </w:p>
    <w:p>
      <w:pPr>
        <w:spacing w:after="0" w:line="153" w:lineRule="exact"/>
        <w:rPr>
          <w:sz w:val="20"/>
          <w:szCs w:val="20"/>
          <w:color w:val="auto"/>
        </w:rPr>
      </w:pPr>
    </w:p>
    <w:p>
      <w:pPr>
        <w:ind w:firstLine="510"/>
        <w:spacing w:after="0" w:line="234" w:lineRule="auto"/>
        <w:rPr>
          <w:sz w:val="20"/>
          <w:szCs w:val="20"/>
          <w:color w:val="auto"/>
        </w:rPr>
      </w:pPr>
      <w:r>
        <w:rPr>
          <w:rFonts w:ascii="Arial" w:cs="Arial" w:eastAsia="Arial" w:hAnsi="Arial"/>
          <w:sz w:val="18"/>
          <w:szCs w:val="18"/>
          <w:color w:val="auto"/>
        </w:rPr>
        <w:t>On June 1, 2017, the Company’s second-generation ViaSat-2 satellite was successfully launched into orbit. In the fourth quarter of fiscal year 2018, shortly before the launch of commercial broadband services on the satellite, the Company reported an antenna deployment issue. The Company worked with the satellite manufacturer to determine the root cause of the antenna deployment issue, potential corrective measures, and resulting damage. In the second quarter of fiscal year 2019, the root cause analysis was completed. Based on that analysis, during the second quarter of fiscal year 2019, the Company recorded a reduction to the carrying value of the ViaSat-2 satellite of $177.4 million, with a corresponding insurance receivable of $177.4 million, based on the Company’s estimated ViaSat-2 output capabilities as compared to the anticipated, potential and configured capacity of the ViaSat-2 satellite. During fiscal years 2019 and 2020, the Company received an aggregate of $188.0 million of insurance proceeds related to the ViaSat-2 satellite. The ViaSat-2 satellite was primarily financed by the Company’s direct loan facility with the Export-Import Bank of the United States for ViaSat-2 (the Ex-Im Credit Facility) (see Note 7</w:t>
      </w:r>
    </w:p>
    <w:p>
      <w:pPr>
        <w:spacing w:after="0" w:line="6"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 Senior Notes and Other Long-Term Debt for more information). Pursuant to the terms of the Ex-Im Credit Facility, the proceeds received from the insurance claims for ViaSat-2 were used to pay down outstanding borrowings under the Ex-Im Credit Facility.</w:t>
      </w:r>
    </w:p>
    <w:p>
      <w:pPr>
        <w:spacing w:after="0" w:line="143" w:lineRule="exact"/>
        <w:rPr>
          <w:sz w:val="20"/>
          <w:szCs w:val="20"/>
          <w:color w:val="auto"/>
        </w:rPr>
      </w:pPr>
    </w:p>
    <w:p>
      <w:pPr>
        <w:ind w:right="100" w:firstLine="510"/>
        <w:spacing w:after="0"/>
        <w:rPr>
          <w:sz w:val="20"/>
          <w:szCs w:val="20"/>
          <w:color w:val="auto"/>
        </w:rPr>
      </w:pPr>
      <w:r>
        <w:rPr>
          <w:rFonts w:ascii="Arial" w:cs="Arial" w:eastAsia="Arial" w:hAnsi="Arial"/>
          <w:sz w:val="18"/>
          <w:szCs w:val="18"/>
          <w:color w:val="auto"/>
        </w:rPr>
        <w:t>Occasionally, the Company may enter into finance lease arrangements for various machinery, equipment, computer-related equipment, software, furniture, fixtures, or satellites. The Company records amortization of assets leased under finance lease arrangements within depreciation expense (see Note 1 — Basis of Presentation – Leases and Note 6 – Leases for more information).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81"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For contracts entered into on or after April 1, 2019, the Company assesses at contract inception whether the contract is, or contains, a lease. Generally, the Company determines that a lease exists when (i) the contract involves the use of a distinct identified asset, (ii) the Company obtains the right to substantially all economic benefits from use of the asset, and (iii) the Company has the right to direct the use of the asset. A lease is classified as a finance lease when one or more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asset is of such a specialized nature that it is expected to have no alternative use to the lessor at the end of the lease term. A lease is classified as an operating lease if it does not meet any of these criteria.</w:t>
      </w:r>
    </w:p>
    <w:p>
      <w:pPr>
        <w:spacing w:after="0" w:line="154"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(i) fixed lease payments for the noncancelable lease term,</w:t>
      </w:r>
    </w:p>
    <w:p>
      <w:pPr>
        <w:ind w:right="180" w:firstLine="8"/>
        <w:spacing w:after="0" w:line="238" w:lineRule="auto"/>
        <w:tabs>
          <w:tab w:leader="none" w:pos="25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(iii)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48" w:lineRule="exact"/>
        <w:rPr>
          <w:sz w:val="20"/>
          <w:szCs w:val="20"/>
          <w:color w:val="auto"/>
        </w:rPr>
      </w:pPr>
    </w:p>
    <w:p>
      <w:pPr>
        <w:jc w:val="both"/>
        <w:ind w:right="80" w:firstLine="510"/>
        <w:spacing w:after="0" w:line="23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95" w:lineRule="exact"/>
        <w:rPr>
          <w:sz w:val="20"/>
          <w:szCs w:val="20"/>
          <w:color w:val="auto"/>
        </w:rPr>
      </w:pPr>
    </w:p>
    <w:p>
      <w:pPr>
        <w:ind w:right="60" w:firstLine="510"/>
        <w:spacing w:after="0" w:line="248" w:lineRule="auto"/>
        <w:rPr>
          <w:sz w:val="20"/>
          <w:szCs w:val="20"/>
          <w:color w:val="auto"/>
        </w:rPr>
      </w:pPr>
      <w:r>
        <w:rPr>
          <w:rFonts w:ascii="Arial" w:cs="Arial" w:eastAsia="Arial" w:hAnsi="Arial"/>
          <w:sz w:val="17"/>
          <w:szCs w:val="17"/>
          <w:color w:val="auto"/>
        </w:rPr>
        <w:t>For broadband equipment leased to fixed broadband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w:t>
      </w:r>
    </w:p>
    <w:p>
      <w:pPr>
        <w:spacing w:after="0" w:line="2" w:lineRule="exact"/>
        <w:rPr>
          <w:sz w:val="20"/>
          <w:szCs w:val="20"/>
          <w:color w:val="auto"/>
        </w:rPr>
      </w:pPr>
    </w:p>
    <w:p>
      <w:pPr>
        <w:ind w:right="300" w:firstLine="8"/>
        <w:spacing w:after="0" w:line="246" w:lineRule="auto"/>
        <w:tabs>
          <w:tab w:leader="none" w:pos="39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also a lessor for certain insignificant communications equipment. These leases meet the criteria for operating lease classification. Lease income associated with these leases is not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85"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$3.4 million and $3.3 million related to patents were included in other assets as of June 30, 2020 and March 31, 2020, respectively. The Company capitalized costs of $47.1 million and $39.5 million related to acquiring and obtaining orbital slots and other licenses included in other assets as of June 30, 2020 and March 31, 2020, respectively. Accumulated amortization related to these assets was $3.9 million and $3.7 million as of June 30, 2020 and March 31, 2020, respectively. Amortization expense related to these assets was an insignificant amount for the three months ended June 30, 2020 and 2019. If a patent, orbital slot or other license is rejected, abandoned or otherwise invalidated, the unamortized cost is expensed in that period. During the three months ended June 30, 2020 and 2019, the Company did not write off any significant costs due to abandonment or impairment.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9" w:lineRule="exact"/>
        <w:rPr>
          <w:sz w:val="20"/>
          <w:szCs w:val="20"/>
          <w:color w:val="auto"/>
        </w:rPr>
      </w:pPr>
    </w:p>
    <w:p>
      <w:pPr>
        <w:ind w:firstLine="510"/>
        <w:spacing w:after="0" w:line="251" w:lineRule="auto"/>
        <w:rPr>
          <w:sz w:val="20"/>
          <w:szCs w:val="20"/>
          <w:color w:val="auto"/>
        </w:rPr>
      </w:pPr>
      <w:r>
        <w:rPr>
          <w:rFonts w:ascii="Arial" w:cs="Arial" w:eastAsia="Arial" w:hAnsi="Arial"/>
          <w:sz w:val="17"/>
          <w:szCs w:val="17"/>
          <w:color w:val="auto"/>
        </w:rPr>
        <w:t>Debt issuance costs are amortized and recognized as interest expense using the effective interest rate method, or, when the results are not materially different, on a straight-line basis over the expected term of the related debt. During the three months ended June 30, 2020 and 2019, $5.1 million and no debt issuance costs were capitalized, respectively. Unamortized debt issuance costs related to extinguished debt are expensed at the time the debt is extinguished and recorded in loss on extinguishment of debt in the condensed consolidated statements of operations and comprehensive income (loss). Debt issuance costs related to the Company’s revolving credit facility (the Revolving Credit Facility) are recorded in prepaid expenses and other current assets and in other long-term assets in the condensed consolidated balance sheets in accordance with the authoritative guidance for imputation of interest (ASC 835-30). Debt issuance costs related to the Company’s 5.625% Senior Notes due 2025 (the 2025 Notes), the Company’s 5.625% Senior Secured Notes due 2027 (the 2027 Notes), the Company’s 6.500% Senior Notes due 2028 (the 2028 Notes) and the Ex-Im Credit Facility are recorded as a direct deduction from the carrying amount of the related debt, consistent with debt discounts, in accordance with the authoritative guidance for imputation of interest (ASC 835-30).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85"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Costs of developing software for sale are charged to independent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$243.9 million and $242.7 million related to software developed for resale were included in other assets as of June 30, 2020 and March 31, 2020, respectively. The Company capitalized $14.3 million and $9.7 million of costs related to software developed for resale for the three months ended June 30, 2020 and 2019, respectively. Amortization expense for capitalized software development costs was $13.1 million and $12.0 million for the three months ended June 30, 2020 and 2019,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85" w:lineRule="exact"/>
        <w:rPr>
          <w:sz w:val="20"/>
          <w:szCs w:val="20"/>
          <w:color w:val="auto"/>
        </w:rPr>
      </w:pPr>
    </w:p>
    <w:p>
      <w:pPr>
        <w:ind w:right="60" w:firstLine="510"/>
        <w:spacing w:after="0" w:line="236"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$ 6.4 million and $6.2 million in accrued and other liabilities in the condensed consolidated balance sheets as of June 30, 2020 and March 31, 2020,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accordance with the estimated timing of the projected payments.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9"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June 30, 2020 and March 31, 2020, no such amounts were accrued related to the aforementioned provisions.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9"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85" w:lineRule="exact"/>
        <w:rPr>
          <w:sz w:val="20"/>
          <w:szCs w:val="20"/>
          <w:color w:val="auto"/>
        </w:rPr>
      </w:pPr>
    </w:p>
    <w:p>
      <w:pPr>
        <w:ind w:right="20" w:firstLine="510"/>
        <w:spacing w:after="0" w:line="252" w:lineRule="auto"/>
        <w:rPr>
          <w:sz w:val="20"/>
          <w:szCs w:val="20"/>
          <w:color w:val="auto"/>
        </w:rPr>
      </w:pPr>
      <w:r>
        <w:rPr>
          <w:rFonts w:ascii="Arial" w:cs="Arial" w:eastAsia="Arial" w:hAnsi="Arial"/>
          <w:sz w:val="17"/>
          <w:szCs w:val="17"/>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income (loss)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2020 and March 31, 2020, the Company had no shares of common stock held in treasury.</w:t>
      </w:r>
    </w:p>
    <w:p>
      <w:pPr>
        <w:spacing w:after="0" w:line="158"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During the three months ended June 30, 2020 and 2019, the Company issued 24,294 and 72,193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during the three months ended June 30, 2020 and 2019, the Company repurchased 8,548 and 25,863 shares of common stock, respectively, at cost and with a total value of an insignificant amount and $2.3 million,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9" w:lineRule="exact"/>
        <w:rPr>
          <w:sz w:val="20"/>
          <w:szCs w:val="20"/>
          <w:color w:val="auto"/>
        </w:rPr>
      </w:pPr>
    </w:p>
    <w:p>
      <w:pPr>
        <w:ind w:right="200" w:firstLine="510"/>
        <w:spacing w:after="0" w:line="238"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total shareholder return (TSR) performance stock options that vest is recognized regardless of the actual TSR outcome achieved and is recognized on a graded-vesting basis. The</w:t>
      </w:r>
    </w:p>
    <w:p>
      <w:pPr>
        <w:spacing w:after="0" w:line="1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Company accounts for forfeitures as they occur. The Company recognized $20.9 million and $21.2 million of stock-based compensation expense for the three months ended June 30, 2020 and 2019,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85" w:lineRule="exact"/>
        <w:rPr>
          <w:sz w:val="20"/>
          <w:szCs w:val="20"/>
          <w:color w:val="auto"/>
        </w:rPr>
      </w:pPr>
    </w:p>
    <w:p>
      <w:pPr>
        <w:ind w:right="100" w:firstLine="510"/>
        <w:spacing w:after="0" w:line="236"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(discrete method) for the year-to-date period. The Company’s effective tax rate is highly influenced by the amount of its research and development (R&amp;D) tax credits. A small change in estimated annual pretax income (loss) can produce a significant variance in the annual effective tax rate given the Company’s expected amount of R&amp;D tax credits. This variability provides an unreliable estimate of the annual effective tax rate. As a result, and in accordance with the authoritative guidance for accounting for income taxes in interim periods, the Company has computed its provision for income taxes for the three months ended June 30, 2020 by applying the actual effective tax rate to the year-to-date loss for the three-month period.</w:t>
      </w:r>
    </w:p>
    <w:p>
      <w:pPr>
        <w:spacing w:after="0" w:line="154" w:lineRule="exact"/>
        <w:rPr>
          <w:sz w:val="20"/>
          <w:szCs w:val="20"/>
          <w:color w:val="auto"/>
        </w:rPr>
      </w:pPr>
    </w:p>
    <w:p>
      <w:pPr>
        <w:ind w:right="180" w:firstLine="510"/>
        <w:spacing w:after="0" w:line="238"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9" w:lineRule="exact"/>
        <w:rPr>
          <w:sz w:val="20"/>
          <w:szCs w:val="20"/>
          <w:color w:val="auto"/>
        </w:rPr>
      </w:pPr>
    </w:p>
    <w:p>
      <w:pPr>
        <w:ind w:right="60" w:firstLine="510"/>
        <w:spacing w:after="0" w:line="234" w:lineRule="auto"/>
        <w:rPr>
          <w:sz w:val="20"/>
          <w:szCs w:val="20"/>
          <w:color w:val="auto"/>
        </w:rPr>
      </w:pPr>
      <w:r>
        <w:rPr>
          <w:rFonts w:ascii="Arial" w:cs="Arial" w:eastAsia="Arial" w:hAnsi="Arial"/>
          <w:sz w:val="18"/>
          <w:szCs w:val="18"/>
          <w:color w:val="auto"/>
        </w:rPr>
        <w:t>In June 2016, the Financial Accounting Standards Board (FASB) issued Accounting Standards Update (ASU) 2016-13, Financial Instruments — Credit Losses (ASC 326). ASU 2016-13 requires credit losses on most financial assets measured at amortized cost and certain other instruments to be measured using an expected credit loss model (referred to as the current expected credit loss model). It also modifies the impairment model for available-for-sale debt securities and provides for a simplified accounting model for purchased financial assets with credit deterioration since their origination. In November 2018, the FASB issued ASU 2018-19, Codification Improvements to ASC 326, Financial Instruments — Credit Losses (ASC 326), which clarifies that impairment of receivables arising from operating leases should be accounted for in accordance with ASC 842, Leases. In April 2019, the FASB issued ASU 2019-04, Codification Improvements to ASC 326, Financial Instruments – Credit Losses, in May 2019, the FASB issued ASU 2019-05, Financial Instruments — Credit Losses (ASC</w:t>
      </w:r>
    </w:p>
    <w:p>
      <w:pPr>
        <w:spacing w:after="0" w:line="6" w:lineRule="exact"/>
        <w:rPr>
          <w:sz w:val="20"/>
          <w:szCs w:val="20"/>
          <w:color w:val="auto"/>
        </w:rPr>
      </w:pPr>
    </w:p>
    <w:p>
      <w:pPr>
        <w:ind w:right="20" w:firstLine="8"/>
        <w:spacing w:after="0" w:line="236" w:lineRule="auto"/>
        <w:tabs>
          <w:tab w:leader="none" w:pos="407" w:val="left"/>
        </w:tabs>
        <w:numPr>
          <w:ilvl w:val="0"/>
          <w:numId w:val="7"/>
        </w:numPr>
        <w:rPr>
          <w:rFonts w:ascii="Arial" w:cs="Arial" w:eastAsia="Arial" w:hAnsi="Arial"/>
          <w:sz w:val="18"/>
          <w:szCs w:val="18"/>
          <w:color w:val="auto"/>
        </w:rPr>
      </w:pPr>
      <w:r>
        <w:rPr>
          <w:rFonts w:ascii="Arial" w:cs="Arial" w:eastAsia="Arial" w:hAnsi="Arial"/>
          <w:sz w:val="18"/>
          <w:szCs w:val="18"/>
          <w:color w:val="auto"/>
        </w:rPr>
        <w:t>Targeted Relief, in November 2019, the FASB issued ASU 2019-11, Codification Improvements to ASC 326, Financial Instruments – Credit Losses, in February 2020, the FASB issued ASU 2020-02, Financial Instruments — Credit Losses (ASC 326) and Leases (ASC 842) Amendments to SEC Paragraphs Pursuant to SEC Staff Accounting Bulletin No. 119 and Update to SEC Section on Effective Date Related to ASU 2016-02, Leases (ASC 842) and in March 2020, the FASB issued ASU 2020-03, Codification Improvements to Financial Instruments. These recently issued ASUs do not change the core principle of the guidance in ASU 2016-13 but rather are intended to clarify and improve operability of certain topics included within ASU 2016-13. ASU 2018-19, ASU 2019-04, ASU 2019-05, ASU 2019-11, ASU 2020-02, and ASU 2020-03 have the same effective date and transition requirements as ASU 2016-13. The Company adopted the new guidance in the first quarter of fiscal year 2021 using the modified retrospective approach with application of the model to the Company’s accounts receivables. Under the new standard, the Company is required to recognize estimated credit losses expected to occur over the estimated life or remaining contractual life of an asset using a broader range of information including past events, current conditions and consideration of supportable forecasts about future economic conditions. The adoption of the standard had an insignificant impact on the Company’s consolidated financial statements and disclosures.</w:t>
      </w:r>
    </w:p>
    <w:p>
      <w:pPr>
        <w:spacing w:after="0" w:line="150"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color w:val="auto"/>
        </w:rPr>
        <w:t>In August 2018, the FASB issued ASU 2018-13, Fair Value Measurement (ASC 820): Disclosure Framework—Changes to the Disclosure Requirements for Fair Value Measurement, which modifies the disclosure requirements for fair value measurements by removing, modifying, or adding certain disclosures. The Company adopted the new guidance in the first quarter of fiscal year 2021 and the guidance did not have a material impact on the Company’s consolidated financial statements and disclosures.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In December 2019, the FASB issued ASU 2019-12, Income Taxes (ASC 740): Simplifying the Accounting for Income Taxes, which is intended to simplify various areas related to accounting for income taxes. ASU 2019-12 removes certain exceptions to the general principles in ASC 740 and also clarifies and amends existing guidance to improve consistent application. ASU 2019-12 is effective for the Company beginning in fiscal year 2022, with early adoption permitted. The Company is currently evaluating the impact of this standard on its consolidated financial statements and disclosures.</w:t>
      </w:r>
    </w:p>
    <w:p>
      <w:pPr>
        <w:spacing w:after="0" w:line="148" w:lineRule="exact"/>
        <w:rPr>
          <w:sz w:val="20"/>
          <w:szCs w:val="20"/>
          <w:color w:val="auto"/>
        </w:rPr>
      </w:pPr>
    </w:p>
    <w:p>
      <w:pPr>
        <w:ind w:right="100" w:firstLine="510"/>
        <w:spacing w:after="0" w:line="237" w:lineRule="auto"/>
        <w:rPr>
          <w:sz w:val="20"/>
          <w:szCs w:val="20"/>
          <w:color w:val="auto"/>
        </w:rPr>
      </w:pPr>
      <w:r>
        <w:rPr>
          <w:rFonts w:ascii="Arial" w:cs="Arial" w:eastAsia="Arial" w:hAnsi="Arial"/>
          <w:sz w:val="18"/>
          <w:szCs w:val="18"/>
          <w:color w:val="auto"/>
        </w:rPr>
        <w:t>In January 2020, the FASB issued ASU 2020-01, Investments – Equity Securities (ASC 321), Investments – Equity Method and Joint Ventures (ASC 323) and Derivatives and Hedging (ASC 815). ASU 2020-01 clarifies the interaction of the accounting for equity securities under ASC 321 and investments accounted for under the equity method of accounting under ASC 323, and the accounting for certain forward contracts and purchased options accounted for under ASC 815. The new standard will become effective for the Company beginning in fiscal year 2022, with early adoption permitted. The Company is currently evaluating the impact of this standard on its consolidated financial statements and disclosures.</w:t>
      </w:r>
    </w:p>
    <w:p>
      <w:pPr>
        <w:spacing w:after="0" w:line="151" w:lineRule="exact"/>
        <w:rPr>
          <w:sz w:val="20"/>
          <w:szCs w:val="20"/>
          <w:color w:val="auto"/>
        </w:rPr>
      </w:pPr>
    </w:p>
    <w:p>
      <w:pPr>
        <w:ind w:right="80" w:firstLine="510"/>
        <w:spacing w:after="0" w:line="238"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ASU 2020-04 provides temporary optional guidance to ease the potential accounting burden associated with the transition away from reference rates (such as the London Interbank Offered Rate) that are expected to be discontinued. ASU 2020-04 was effective upon issuance and can be applied for a limited time through December 31, 2022. The Company adopted the guidance upon issuance with no impact to the Company consolidated financial statements and disclosures.</w:t>
      </w:r>
    </w:p>
    <w:p>
      <w:pPr>
        <w:spacing w:after="0" w:line="148"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In May 2020, the SEC adopted Amendments to Financial Disclosures about Acquired and Disposed Businesses (“the Final Rule”). The Final Rule amends SEC rules related to separate financial statements of acquired businesses, and, among other things, revises the income test by adding a revenue component, which is one of the tests used to determine whether a subsidiary of an acquired or disposed business is significant. The Final Rule reduces the anomalous result that registrants with marginal or break-even net income (loss) may be more likely to have subsidiaries deemed significant where they otherwise would not. The Final Rule is effective on January 1, 2021, with early adoption permitted. The Company early adopted the provisions of the Final Rule in the first quarter of fiscal year 2021. The guidance did not have a material impact on the Company’s consolidated financial statements and disclosures.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3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gridSpan w:val="2"/>
          </w:tcPr>
          <w:p>
            <w:pPr>
              <w:jc w:val="right"/>
              <w:ind w:right="940"/>
              <w:spacing w:after="0"/>
              <w:rPr>
                <w:sz w:val="20"/>
                <w:szCs w:val="20"/>
                <w:color w:val="auto"/>
              </w:rPr>
            </w:pPr>
            <w:r>
              <w:rPr>
                <w:rFonts w:ascii="Arial" w:cs="Arial" w:eastAsia="Arial" w:hAnsi="Arial"/>
                <w:sz w:val="11"/>
                <w:szCs w:val="11"/>
                <w:b w:val="1"/>
                <w:bCs w:val="1"/>
                <w:color w:val="auto"/>
              </w:rPr>
              <w:t>As of</w:t>
            </w:r>
          </w:p>
        </w:tc>
        <w:tc>
          <w:tcPr>
            <w:tcW w:w="320" w:type="dxa"/>
            <w:vAlign w:val="bottom"/>
          </w:tcPr>
          <w:p>
            <w:pPr>
              <w:spacing w:after="0"/>
              <w:rPr>
                <w:sz w:val="10"/>
                <w:szCs w:val="10"/>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1"/>
                <w:szCs w:val="11"/>
                <w:b w:val="1"/>
                <w:bCs w:val="1"/>
                <w:color w:val="auto"/>
              </w:rPr>
              <w:t>As of</w:t>
            </w:r>
          </w:p>
        </w:tc>
        <w:tc>
          <w:tcPr>
            <w:tcW w:w="0" w:type="dxa"/>
            <w:vAlign w:val="bottom"/>
          </w:tcPr>
          <w:p>
            <w:pPr>
              <w:spacing w:after="0"/>
              <w:rPr>
                <w:sz w:val="1"/>
                <w:szCs w:val="1"/>
                <w:color w:val="auto"/>
              </w:rPr>
            </w:pPr>
          </w:p>
        </w:tc>
      </w:tr>
      <w:tr>
        <w:trPr>
          <w:trHeight w:val="137"/>
        </w:trPr>
        <w:tc>
          <w:tcPr>
            <w:tcW w:w="6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1"/>
                <w:szCs w:val="11"/>
                <w:b w:val="1"/>
                <w:bCs w:val="1"/>
                <w:color w:val="auto"/>
              </w:rPr>
              <w:t>June 30, 2020</w:t>
            </w:r>
          </w:p>
        </w:tc>
        <w:tc>
          <w:tcPr>
            <w:tcW w:w="320" w:type="dxa"/>
            <w:vAlign w:val="bottom"/>
          </w:tcPr>
          <w:p>
            <w:pPr>
              <w:spacing w:after="0"/>
              <w:rPr>
                <w:sz w:val="11"/>
                <w:szCs w:val="11"/>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March 31, 2020</w:t>
            </w:r>
          </w:p>
        </w:tc>
        <w:tc>
          <w:tcPr>
            <w:tcW w:w="0" w:type="dxa"/>
            <w:vAlign w:val="bottom"/>
          </w:tcPr>
          <w:p>
            <w:pPr>
              <w:spacing w:after="0"/>
              <w:rPr>
                <w:sz w:val="1"/>
                <w:szCs w:val="1"/>
                <w:color w:val="auto"/>
              </w:rPr>
            </w:pPr>
          </w:p>
        </w:tc>
      </w:tr>
      <w:tr>
        <w:trPr>
          <w:trHeight w:val="128"/>
        </w:trPr>
        <w:tc>
          <w:tcPr>
            <w:tcW w:w="6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gridSpan w:val="3"/>
          </w:tcPr>
          <w:p>
            <w:pPr>
              <w:jc w:val="right"/>
              <w:ind w:right="42"/>
              <w:spacing w:after="0"/>
              <w:rPr>
                <w:sz w:val="20"/>
                <w:szCs w:val="20"/>
                <w:color w:val="auto"/>
              </w:rPr>
            </w:pPr>
            <w:r>
              <w:rPr>
                <w:rFonts w:ascii="Arial" w:cs="Arial" w:eastAsia="Arial" w:hAnsi="Arial"/>
                <w:sz w:val="11"/>
                <w:szCs w:val="11"/>
                <w:b w:val="1"/>
                <w:bCs w:val="1"/>
                <w:color w:val="auto"/>
              </w:rPr>
              <w:t>(In thousands)</w:t>
            </w: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spacing w:after="0"/>
              <w:rPr>
                <w:sz w:val="20"/>
                <w:szCs w:val="20"/>
                <w:color w:val="auto"/>
              </w:rPr>
            </w:pPr>
            <w:r>
              <w:rPr>
                <w:rFonts w:ascii="Arial" w:cs="Arial" w:eastAsia="Arial" w:hAnsi="Arial"/>
                <w:sz w:val="12"/>
                <w:szCs w:val="12"/>
                <w:color w:val="auto"/>
              </w:rPr>
              <w:t>Accounts receivable, net:</w:t>
            </w:r>
          </w:p>
        </w:tc>
        <w:tc>
          <w:tcPr>
            <w:tcW w:w="1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Billed</w:t>
            </w:r>
          </w:p>
        </w:tc>
        <w:tc>
          <w:tcPr>
            <w:tcW w:w="1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196,234</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260,431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Unbilled</w:t>
            </w:r>
          </w:p>
        </w:tc>
        <w:tc>
          <w:tcPr>
            <w:tcW w:w="1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82,827</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75,661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Allowance for doubtful accounts</w:t>
            </w: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2"/>
                <w:szCs w:val="12"/>
                <w:color w:val="auto"/>
              </w:rPr>
              <w:t>(8,625)</w:t>
            </w:r>
          </w:p>
        </w:tc>
        <w:tc>
          <w:tcPr>
            <w:tcW w:w="320" w:type="dxa"/>
            <w:vAlign w:val="bottom"/>
          </w:tcPr>
          <w:p>
            <w:pPr>
              <w:spacing w:after="0"/>
              <w:rPr>
                <w:sz w:val="12"/>
                <w:szCs w:val="1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2"/>
                <w:szCs w:val="12"/>
                <w:color w:val="auto"/>
              </w:rPr>
              <w:t>(5,394)</w:t>
            </w:r>
          </w:p>
        </w:tc>
        <w:tc>
          <w:tcPr>
            <w:tcW w:w="0" w:type="dxa"/>
            <w:vAlign w:val="bottom"/>
          </w:tcPr>
          <w:p>
            <w:pPr>
              <w:spacing w:after="0"/>
              <w:rPr>
                <w:sz w:val="1"/>
                <w:szCs w:val="1"/>
                <w:color w:val="auto"/>
              </w:rPr>
            </w:pPr>
          </w:p>
        </w:tc>
      </w:tr>
      <w:tr>
        <w:trPr>
          <w:trHeight w:val="20"/>
        </w:trPr>
        <w:tc>
          <w:tcPr>
            <w:tcW w:w="63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8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270,436</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330,698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2"/>
                <w:szCs w:val="12"/>
                <w:color w:val="auto"/>
              </w:rPr>
              <w:t>Inventories:</w:t>
            </w:r>
          </w:p>
        </w:tc>
        <w:tc>
          <w:tcPr>
            <w:tcW w:w="13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8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Raw materials</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91,731</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83,353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Work in process</w:t>
            </w: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57,612</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59,429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Finished goods</w:t>
            </w:r>
          </w:p>
        </w:tc>
        <w:tc>
          <w:tcPr>
            <w:tcW w:w="134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163,343</w:t>
            </w:r>
          </w:p>
        </w:tc>
        <w:tc>
          <w:tcPr>
            <w:tcW w:w="3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151,634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rPr>
                <w:sz w:val="15"/>
                <w:szCs w:val="15"/>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312,686</w:t>
            </w:r>
          </w:p>
        </w:tc>
        <w:tc>
          <w:tcPr>
            <w:tcW w:w="300" w:type="dxa"/>
            <w:vAlign w:val="bottom"/>
          </w:tcPr>
          <w:p>
            <w:pPr>
              <w:spacing w:after="0"/>
              <w:rPr>
                <w:sz w:val="15"/>
                <w:szCs w:val="15"/>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294,416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8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Prepaid expenses and other current assets:</w:t>
            </w:r>
          </w:p>
        </w:tc>
        <w:tc>
          <w:tcPr>
            <w:tcW w:w="134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3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Prepaid expenses</w:t>
            </w:r>
          </w:p>
        </w:tc>
        <w:tc>
          <w:tcPr>
            <w:tcW w:w="1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81,747</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84,872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134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24,238</w:t>
            </w:r>
          </w:p>
        </w:tc>
        <w:tc>
          <w:tcPr>
            <w:tcW w:w="3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31,409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rPr>
                <w:sz w:val="15"/>
                <w:szCs w:val="15"/>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105,985</w:t>
            </w:r>
          </w:p>
        </w:tc>
        <w:tc>
          <w:tcPr>
            <w:tcW w:w="300" w:type="dxa"/>
            <w:vAlign w:val="bottom"/>
          </w:tcPr>
          <w:p>
            <w:pPr>
              <w:spacing w:after="0"/>
              <w:rPr>
                <w:sz w:val="15"/>
                <w:szCs w:val="15"/>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116,281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8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Property, equipment and satellites, net:</w:t>
            </w:r>
          </w:p>
        </w:tc>
        <w:tc>
          <w:tcPr>
            <w:tcW w:w="134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3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Equipment and software (estimated useful life of 3-7 years)</w:t>
            </w:r>
          </w:p>
        </w:tc>
        <w:tc>
          <w:tcPr>
            <w:tcW w:w="1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1,324,845</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1,229,926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CPE leased equipment (estimated useful life of 4-5 years)</w:t>
            </w:r>
          </w:p>
        </w:tc>
        <w:tc>
          <w:tcPr>
            <w:tcW w:w="1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405,874</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399,343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Furniture and fixtures (estimated useful life of 7 years)</w:t>
            </w: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56,134</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54,688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Leasehold improvements (estimated useful life of 2-17 years)</w:t>
            </w:r>
          </w:p>
        </w:tc>
        <w:tc>
          <w:tcPr>
            <w:tcW w:w="1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139,320</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137,287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Building (estimated useful life of 12 years)</w:t>
            </w: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8,923</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8,923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Land</w:t>
            </w:r>
          </w:p>
        </w:tc>
        <w:tc>
          <w:tcPr>
            <w:tcW w:w="1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2,291</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60"/>
              <w:spacing w:after="0"/>
              <w:rPr>
                <w:sz w:val="20"/>
                <w:szCs w:val="20"/>
                <w:color w:val="auto"/>
              </w:rPr>
            </w:pPr>
            <w:r>
              <w:rPr>
                <w:rFonts w:ascii="Arial" w:cs="Arial" w:eastAsia="Arial" w:hAnsi="Arial"/>
                <w:sz w:val="12"/>
                <w:szCs w:val="12"/>
                <w:color w:val="auto"/>
              </w:rPr>
              <w:t>Construction in progress</w:t>
            </w: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197,697</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220,703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Satellites (estimated useful life of 12-17 years)</w:t>
            </w:r>
          </w:p>
        </w:tc>
        <w:tc>
          <w:tcPr>
            <w:tcW w:w="1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969,952</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969,952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Satellite Ka-band capacity obtained under finance leases (estimated useful life of 7-11 years)</w:t>
            </w: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171,801</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171,801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Satellites under construction</w:t>
            </w:r>
          </w:p>
        </w:tc>
        <w:tc>
          <w:tcPr>
            <w:tcW w:w="134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1,022,474</w:t>
            </w:r>
          </w:p>
        </w:tc>
        <w:tc>
          <w:tcPr>
            <w:tcW w:w="3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906,720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4,299,311</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4,101,634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Less: accumulated depreciation and amortization</w:t>
            </w:r>
          </w:p>
        </w:tc>
        <w:tc>
          <w:tcPr>
            <w:tcW w:w="1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(1,583,489)</w:t>
            </w:r>
          </w:p>
        </w:tc>
        <w:tc>
          <w:tcPr>
            <w:tcW w:w="3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(1,514,899)</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80" w:type="dxa"/>
            <w:vAlign w:val="bottom"/>
          </w:tcPr>
          <w:p>
            <w:pPr>
              <w:spacing w:after="0"/>
              <w:rPr>
                <w:sz w:val="15"/>
                <w:szCs w:val="15"/>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2,715,822</w:t>
            </w:r>
          </w:p>
        </w:tc>
        <w:tc>
          <w:tcPr>
            <w:tcW w:w="300" w:type="dxa"/>
            <w:vAlign w:val="bottom"/>
          </w:tcPr>
          <w:p>
            <w:pPr>
              <w:spacing w:after="0"/>
              <w:rPr>
                <w:sz w:val="15"/>
                <w:szCs w:val="15"/>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2,586,735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8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Other acquired intangible assets, net:</w:t>
            </w:r>
          </w:p>
        </w:tc>
        <w:tc>
          <w:tcPr>
            <w:tcW w:w="134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3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Technology (weighted average useful life of 6 years)</w:t>
            </w:r>
          </w:p>
        </w:tc>
        <w:tc>
          <w:tcPr>
            <w:tcW w:w="1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89,546</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89,228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Contracts and customer relationships (weighted average useful life of 7 years)</w:t>
            </w:r>
          </w:p>
        </w:tc>
        <w:tc>
          <w:tcPr>
            <w:tcW w:w="1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103,200</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103,114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60"/>
              <w:spacing w:after="0"/>
              <w:rPr>
                <w:sz w:val="20"/>
                <w:szCs w:val="20"/>
                <w:color w:val="auto"/>
              </w:rPr>
            </w:pPr>
            <w:r>
              <w:rPr>
                <w:rFonts w:ascii="Arial" w:cs="Arial" w:eastAsia="Arial" w:hAnsi="Arial"/>
                <w:sz w:val="12"/>
                <w:szCs w:val="12"/>
                <w:color w:val="auto"/>
              </w:rPr>
              <w:t>Satellite co-location rights (weighted average useful life of 9 years)</w:t>
            </w: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8,600</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Trade name (weighted average useful life of 3 years)</w:t>
            </w:r>
          </w:p>
        </w:tc>
        <w:tc>
          <w:tcPr>
            <w:tcW w:w="1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5,940</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Borders>
              <w:bottom w:val="single" w:sz="8" w:color="CFF0FC"/>
            </w:tcBorders>
          </w:tcPr>
          <w:p>
            <w:pPr>
              <w:ind w:left="260"/>
              <w:spacing w:after="0"/>
              <w:rPr>
                <w:sz w:val="20"/>
                <w:szCs w:val="20"/>
                <w:color w:val="auto"/>
              </w:rPr>
            </w:pPr>
            <w:r>
              <w:rPr>
                <w:rFonts w:ascii="Arial" w:cs="Arial" w:eastAsia="Arial" w:hAnsi="Arial"/>
                <w:sz w:val="12"/>
                <w:szCs w:val="12"/>
                <w:color w:val="auto"/>
              </w:rPr>
              <w:t>Other (weighted average useful life of 8 years)</w:t>
            </w:r>
          </w:p>
        </w:tc>
        <w:tc>
          <w:tcPr>
            <w:tcW w:w="134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6,404</w:t>
            </w:r>
          </w:p>
        </w:tc>
        <w:tc>
          <w:tcPr>
            <w:tcW w:w="3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6,399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213,690</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213,281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60"/>
              <w:spacing w:after="0"/>
              <w:rPr>
                <w:sz w:val="20"/>
                <w:szCs w:val="20"/>
                <w:color w:val="auto"/>
              </w:rPr>
            </w:pPr>
            <w:r>
              <w:rPr>
                <w:rFonts w:ascii="Arial" w:cs="Arial" w:eastAsia="Arial" w:hAnsi="Arial"/>
                <w:sz w:val="12"/>
                <w:szCs w:val="12"/>
                <w:color w:val="auto"/>
              </w:rPr>
              <w:t>Less: accumulated amortization</w:t>
            </w: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2"/>
                <w:szCs w:val="12"/>
                <w:color w:val="auto"/>
              </w:rPr>
              <w:t>(200,649)</w:t>
            </w:r>
          </w:p>
        </w:tc>
        <w:tc>
          <w:tcPr>
            <w:tcW w:w="320" w:type="dxa"/>
            <w:vAlign w:val="bottom"/>
          </w:tcPr>
          <w:p>
            <w:pPr>
              <w:spacing w:after="0"/>
              <w:rPr>
                <w:sz w:val="12"/>
                <w:szCs w:val="1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2"/>
                <w:szCs w:val="12"/>
                <w:color w:val="auto"/>
              </w:rPr>
              <w:t>(198,842)</w:t>
            </w:r>
          </w:p>
        </w:tc>
        <w:tc>
          <w:tcPr>
            <w:tcW w:w="0" w:type="dxa"/>
            <w:vAlign w:val="bottom"/>
          </w:tcPr>
          <w:p>
            <w:pPr>
              <w:spacing w:after="0"/>
              <w:rPr>
                <w:sz w:val="1"/>
                <w:szCs w:val="1"/>
                <w:color w:val="auto"/>
              </w:rPr>
            </w:pPr>
          </w:p>
        </w:tc>
      </w:tr>
      <w:tr>
        <w:trPr>
          <w:trHeight w:val="20"/>
        </w:trPr>
        <w:tc>
          <w:tcPr>
            <w:tcW w:w="63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8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13,041</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2"/>
                <w:szCs w:val="12"/>
                <w:color w:val="auto"/>
              </w:rPr>
              <w:t>Other assets:</w:t>
            </w:r>
          </w:p>
        </w:tc>
        <w:tc>
          <w:tcPr>
            <w:tcW w:w="13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8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Investment in unconsolidated affiliate</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158,714</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160,204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60"/>
              <w:spacing w:after="0"/>
              <w:rPr>
                <w:sz w:val="20"/>
                <w:szCs w:val="20"/>
                <w:color w:val="auto"/>
              </w:rPr>
            </w:pPr>
            <w:r>
              <w:rPr>
                <w:rFonts w:ascii="Arial" w:cs="Arial" w:eastAsia="Arial" w:hAnsi="Arial"/>
                <w:sz w:val="12"/>
                <w:szCs w:val="12"/>
                <w:color w:val="auto"/>
              </w:rPr>
              <w:t>Deferred income taxes</w:t>
            </w: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286,235</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276,331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Capitalized software costs, net</w:t>
            </w:r>
          </w:p>
        </w:tc>
        <w:tc>
          <w:tcPr>
            <w:tcW w:w="1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243,943</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242,741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Patents, orbital slots and other licenses, net</w:t>
            </w: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46,565</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39,135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134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92,269</w:t>
            </w:r>
          </w:p>
        </w:tc>
        <w:tc>
          <w:tcPr>
            <w:tcW w:w="3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88,941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rPr>
                <w:sz w:val="15"/>
                <w:szCs w:val="15"/>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827,726</w:t>
            </w:r>
          </w:p>
        </w:tc>
        <w:tc>
          <w:tcPr>
            <w:tcW w:w="300" w:type="dxa"/>
            <w:vAlign w:val="bottom"/>
          </w:tcPr>
          <w:p>
            <w:pPr>
              <w:spacing w:after="0"/>
              <w:rPr>
                <w:sz w:val="15"/>
                <w:szCs w:val="15"/>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807,352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8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Accrued and other liabilities:</w:t>
            </w:r>
          </w:p>
        </w:tc>
        <w:tc>
          <w:tcPr>
            <w:tcW w:w="134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3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60"/>
              <w:spacing w:after="0"/>
              <w:rPr>
                <w:sz w:val="20"/>
                <w:szCs w:val="20"/>
                <w:color w:val="auto"/>
              </w:rPr>
            </w:pPr>
            <w:r>
              <w:rPr>
                <w:rFonts w:ascii="Arial" w:cs="Arial" w:eastAsia="Arial" w:hAnsi="Arial"/>
                <w:sz w:val="12"/>
                <w:szCs w:val="12"/>
                <w:color w:val="auto"/>
              </w:rPr>
              <w:t>Collections in excess of revenues and deferred revenues</w:t>
            </w:r>
          </w:p>
        </w:tc>
        <w:tc>
          <w:tcPr>
            <w:tcW w:w="1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128,079</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123,019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Accrued employee compensation</w:t>
            </w:r>
          </w:p>
        </w:tc>
        <w:tc>
          <w:tcPr>
            <w:tcW w:w="1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33,570</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72,654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Accrued vacation</w:t>
            </w: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53,060</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48,963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Warranty reserve, current portion</w:t>
            </w:r>
          </w:p>
        </w:tc>
        <w:tc>
          <w:tcPr>
            <w:tcW w:w="1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6,189</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6,233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Operating lease liabilities</w:t>
            </w: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44,035</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42,146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134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94,829</w:t>
            </w:r>
          </w:p>
        </w:tc>
        <w:tc>
          <w:tcPr>
            <w:tcW w:w="3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98,175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rPr>
                <w:sz w:val="15"/>
                <w:szCs w:val="15"/>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359,762</w:t>
            </w:r>
          </w:p>
        </w:tc>
        <w:tc>
          <w:tcPr>
            <w:tcW w:w="300" w:type="dxa"/>
            <w:vAlign w:val="bottom"/>
          </w:tcPr>
          <w:p>
            <w:pPr>
              <w:spacing w:after="0"/>
              <w:rPr>
                <w:sz w:val="15"/>
                <w:szCs w:val="15"/>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391,190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8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Other liabilities:</w:t>
            </w:r>
          </w:p>
        </w:tc>
        <w:tc>
          <w:tcPr>
            <w:tcW w:w="134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3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60"/>
              <w:spacing w:after="0"/>
              <w:rPr>
                <w:sz w:val="20"/>
                <w:szCs w:val="20"/>
                <w:color w:val="auto"/>
              </w:rPr>
            </w:pPr>
            <w:r>
              <w:rPr>
                <w:rFonts w:ascii="Arial" w:cs="Arial" w:eastAsia="Arial" w:hAnsi="Arial"/>
                <w:sz w:val="12"/>
                <w:szCs w:val="12"/>
                <w:color w:val="auto"/>
              </w:rPr>
              <w:t>Deferred revenues, long-term portion</w:t>
            </w:r>
          </w:p>
        </w:tc>
        <w:tc>
          <w:tcPr>
            <w:tcW w:w="1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91,260</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80,802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Warranty reserve, long-term portion</w:t>
            </w:r>
          </w:p>
        </w:tc>
        <w:tc>
          <w:tcPr>
            <w:tcW w:w="1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5,533</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60"/>
              <w:spacing w:after="0"/>
              <w:rPr>
                <w:sz w:val="20"/>
                <w:szCs w:val="20"/>
                <w:color w:val="auto"/>
              </w:rPr>
            </w:pPr>
            <w:r>
              <w:rPr>
                <w:rFonts w:ascii="Arial" w:cs="Arial" w:eastAsia="Arial" w:hAnsi="Arial"/>
                <w:sz w:val="12"/>
                <w:szCs w:val="12"/>
                <w:color w:val="auto"/>
              </w:rPr>
              <w:t>Satellite performance incentive obligations, long-term portion</w:t>
            </w: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24,580</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24,349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134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21,156</w:t>
            </w:r>
          </w:p>
        </w:tc>
        <w:tc>
          <w:tcPr>
            <w:tcW w:w="30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10,373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142,529</w:t>
            </w:r>
          </w:p>
        </w:tc>
        <w:tc>
          <w:tcPr>
            <w:tcW w:w="300" w:type="dxa"/>
            <w:vAlign w:val="bottom"/>
          </w:tcPr>
          <w:p>
            <w:pPr>
              <w:spacing w:after="0"/>
              <w:rPr>
                <w:sz w:val="12"/>
                <w:szCs w:val="12"/>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120,934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85"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97"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03" w:lineRule="exact"/>
        <w:rPr>
          <w:rFonts w:ascii="Arial" w:cs="Arial" w:eastAsia="Arial" w:hAnsi="Arial"/>
          <w:sz w:val="18"/>
          <w:szCs w:val="18"/>
          <w:color w:val="auto"/>
        </w:rPr>
      </w:pPr>
    </w:p>
    <w:p>
      <w:pPr>
        <w:jc w:val="both"/>
        <w:ind w:left="1000" w:right="4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94" w:lineRule="exact"/>
        <w:rPr>
          <w:rFonts w:ascii="Arial" w:cs="Arial" w:eastAsia="Arial" w:hAnsi="Arial"/>
          <w:sz w:val="18"/>
          <w:szCs w:val="18"/>
          <w:color w:val="auto"/>
        </w:rPr>
      </w:pPr>
    </w:p>
    <w:p>
      <w:pPr>
        <w:ind w:left="1000" w:right="80" w:hanging="493"/>
        <w:spacing w:after="0" w:line="246"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43" w:lineRule="exact"/>
        <w:rPr>
          <w:sz w:val="20"/>
          <w:szCs w:val="20"/>
          <w:color w:val="auto"/>
        </w:rPr>
      </w:pPr>
    </w:p>
    <w:p>
      <w:pPr>
        <w:ind w:right="280" w:firstLine="510"/>
        <w:spacing w:after="0" w:line="246" w:lineRule="auto"/>
        <w:rPr>
          <w:sz w:val="20"/>
          <w:szCs w:val="20"/>
          <w:color w:val="auto"/>
        </w:rPr>
      </w:pPr>
      <w:r>
        <w:rPr>
          <w:rFonts w:ascii="Arial" w:cs="Arial" w:eastAsia="Arial" w:hAnsi="Arial"/>
          <w:sz w:val="18"/>
          <w:szCs w:val="18"/>
          <w:color w:val="auto"/>
        </w:rPr>
        <w:t>The Company had $5.0 million in cash equivalents (Level 1) and no liabilities measured at fair value on a recurring basis as of June 30, 2020 and March 31, 2020.</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40" w:lineRule="exact"/>
        <w:rPr>
          <w:sz w:val="20"/>
          <w:szCs w:val="20"/>
          <w:color w:val="auto"/>
        </w:rPr>
      </w:pPr>
    </w:p>
    <w:p>
      <w:pPr>
        <w:ind w:right="220" w:firstLine="510"/>
        <w:spacing w:after="0" w:line="26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assets in an active market with sufficient volume and frequency of transactions (Level 1).</w:t>
      </w:r>
    </w:p>
    <w:p>
      <w:pPr>
        <w:spacing w:after="0" w:line="106" w:lineRule="exact"/>
        <w:rPr>
          <w:sz w:val="20"/>
          <w:szCs w:val="20"/>
          <w:color w:val="auto"/>
        </w:rPr>
      </w:pPr>
    </w:p>
    <w:p>
      <w:pPr>
        <w:ind w:right="180" w:firstLine="510"/>
        <w:spacing w:after="0" w:line="239" w:lineRule="auto"/>
        <w:rPr>
          <w:sz w:val="20"/>
          <w:szCs w:val="20"/>
          <w:color w:val="auto"/>
        </w:rPr>
      </w:pPr>
      <w:r>
        <w:rPr>
          <w:rFonts w:ascii="Arial" w:cs="Arial" w:eastAsia="Arial" w:hAnsi="Arial"/>
          <w:sz w:val="18"/>
          <w:szCs w:val="18"/>
          <w:i w:val="1"/>
          <w:iCs w:val="1"/>
          <w:color w:val="auto"/>
        </w:rPr>
        <w:t xml:space="preserve">Foreign currency forward contracts </w:t>
      </w:r>
      <w:r>
        <w:rPr>
          <w:rFonts w:ascii="Arial" w:cs="Arial" w:eastAsia="Arial" w:hAnsi="Arial"/>
          <w:sz w:val="18"/>
          <w:szCs w:val="18"/>
          <w:color w:val="auto"/>
        </w:rPr>
        <w:t>— The Company uses derivative financial instruments to manage foreign currency risk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33"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Company’s long-term debt consists of borrowings under its Revolving Credit Facility and Ex-Im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Credit Facilities), $700.0 million in aggregate principal amount of 2025 Notes, $600.0 million in aggregate principal amount of 2027 Notes, $400.0 million in aggregate principal amount of 2028 Notes and finance lease obligations reported at the present value of future minimum lease payments with current accrued interest. Long-term debt related to the Revolving Credit Facility is reported at the outstanding principal amount of borrowings, while long-term debt related to the Ex-Im Credit Facility, 2025 Notes, 2027 Notes and 2028 Notes is reported at amortized cost. However, for disclosure purposes, the Company is required to measure the fair value of outstanding debt on a recurring basis. The fair value of the Company’s long-term debt related to the Revolving Credit Facility approximates its carrying amount due to its variable interest rate, which approximates a market interest rate. As of June 30, 2020 and March 31, 2020, the fair value of the Company’s long-term debt related to the Ex-Im Credit Facility was determined based on a discounted cash flow analysis using observable market interest rates for instruments with similar terms (Level 2) and was approximately $111.2 million and $118.1 million, respectively. As of June 30, 2020 and March 31, 2020, the estimated fair value of the Company’s outstanding long-term debt related to the 2025 Notes was determined based on actual or estimated bids and offers for the 2025 Notes in an over-the-counter market (Level 2) and was $675.5 million and $653.6 million, respectively. As of June 30, 2020 and March 31, 2020, the estimated fair value of the Company’s outstanding long-term debt related to the 2027 Notes was determined based on actual or estimated bids and offers for the 2027 Notes in an over-the-counter market (Level 2) and was $615.0 million and $603.2 million, respectively. The fair value of the Company’s outstanding long-term debt as of June 30, 2020 related to the 2028 Notes approximated its carrying amount due to the proximity of the closing of the 2028 Notes compared to the reporting date. The fair value of the Company’s finance lease obligations is estimated at their carrying value based on current rates (Level 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ind w:right="100" w:firstLine="510"/>
        <w:spacing w:after="0" w:line="255" w:lineRule="auto"/>
        <w:rPr>
          <w:sz w:val="20"/>
          <w:szCs w:val="20"/>
          <w:color w:val="auto"/>
        </w:rPr>
      </w:pPr>
      <w:r>
        <w:rPr>
          <w:rFonts w:ascii="Arial" w:cs="Arial" w:eastAsia="Arial" w:hAnsi="Arial"/>
          <w:sz w:val="17"/>
          <w:szCs w:val="17"/>
          <w:i w:val="1"/>
          <w:iCs w:val="1"/>
          <w:color w:val="auto"/>
        </w:rPr>
        <w:t xml:space="preserve">Satellite performance incentive obligations </w:t>
      </w:r>
      <w:r>
        <w:rPr>
          <w:rFonts w:ascii="Arial" w:cs="Arial" w:eastAsia="Arial" w:hAnsi="Arial"/>
          <w:sz w:val="17"/>
          <w:szCs w:val="17"/>
          <w:color w:val="auto"/>
        </w:rPr>
        <w:t>— The Company’s contracts with the manufacturers of the ViaSat-1 and ViaSat-2 satellites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the Company to make monthly in-orbit satellite performance incentive payments, including interest, through fiscal year 2027 and fiscal year 2028, respectively,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June 30, 2020 and March 31, 2020, the Company’s estimated satellite performance incentive obligations relating to the ViaSat-1 and ViaSat-2 satellites, including accrued interest, were $29.4 million and $27.4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Loss Per Share</w:t>
      </w:r>
    </w:p>
    <w:p>
      <w:pPr>
        <w:spacing w:after="0" w:line="112"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the three months ended June 30, 2020 and 2019, as the Company incurred a net loss attributable to Viasat, Inc. common stockholders for such periods and inclusion of potentially dilutive weighted average shares of common stock would be antidilutive. Potentially dilutive weighted average shares excluded from the calculation for the three months ended June 30, 2020 and 2019, respectively, consisted of 1,225,233 and 314,113 shares related to stock options (other than TSR performance stock options), zero and 102,815 shares related to TSR performance stock options, 2,575,374 and 985,226 shares related to restricted stock units, and 529,909 and 282,410 shares related to certain terms of the ViaSat 401(k) Profit Sharing Plan and Employee Stock Purchase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85" w:lineRule="exact"/>
        <w:rPr>
          <w:sz w:val="20"/>
          <w:szCs w:val="20"/>
          <w:color w:val="auto"/>
        </w:rPr>
      </w:pPr>
    </w:p>
    <w:p>
      <w:pPr>
        <w:ind w:right="20" w:firstLine="510"/>
        <w:spacing w:after="0"/>
        <w:rPr>
          <w:sz w:val="20"/>
          <w:szCs w:val="20"/>
          <w:color w:val="auto"/>
        </w:rPr>
      </w:pPr>
      <w:r>
        <w:rPr>
          <w:rFonts w:ascii="Arial" w:cs="Arial" w:eastAsia="Arial" w:hAnsi="Arial"/>
          <w:sz w:val="18"/>
          <w:szCs w:val="18"/>
          <w:color w:val="auto"/>
        </w:rPr>
        <w:t>During the three months ended June 30, 2020, the insignificant increase in the Company’s goodwill related to the effects of foreign currency translation recorded within all three of the Company’s segments. During the three months ended June 30, 2019, the decrease in the Company’s goodwill related to the effects of foreign currency translation recorded within all three of the Company’s segments.</w:t>
      </w:r>
    </w:p>
    <w:p>
      <w:pPr>
        <w:spacing w:after="0" w:line="149" w:lineRule="exact"/>
        <w:rPr>
          <w:sz w:val="20"/>
          <w:szCs w:val="20"/>
          <w:color w:val="auto"/>
        </w:rPr>
      </w:pPr>
    </w:p>
    <w:p>
      <w:pPr>
        <w:ind w:right="60" w:firstLine="510"/>
        <w:spacing w:after="0"/>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ten years. Amortization expense related to other acquired intangible assets was $1.6 million and $2.0 million for the three months ended June 30, 2020 and 2019, respectively.</w:t>
      </w:r>
    </w:p>
    <w:p>
      <w:pPr>
        <w:spacing w:after="0" w:line="149" w:lineRule="exact"/>
        <w:rPr>
          <w:sz w:val="20"/>
          <w:szCs w:val="20"/>
          <w:color w:val="auto"/>
        </w:rPr>
      </w:pPr>
    </w:p>
    <w:p>
      <w:pPr>
        <w:ind w:right="280" w:firstLine="510"/>
        <w:spacing w:after="0"/>
        <w:rPr>
          <w:sz w:val="20"/>
          <w:szCs w:val="20"/>
          <w:color w:val="auto"/>
        </w:rPr>
      </w:pPr>
      <w:r>
        <w:rPr>
          <w:rFonts w:ascii="Arial" w:cs="Arial" w:eastAsia="Arial" w:hAnsi="Arial"/>
          <w:sz w:val="18"/>
          <w:szCs w:val="18"/>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6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Amortization</w:t>
            </w: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(In thousands)</w:t>
            </w: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For the three months ended June 30, 2020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2021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3,617</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ind w:left="2260"/>
              <w:spacing w:after="0"/>
              <w:rPr>
                <w:sz w:val="20"/>
                <w:szCs w:val="20"/>
                <w:color w:val="auto"/>
              </w:rPr>
            </w:pPr>
            <w:r>
              <w:rPr>
                <w:rFonts w:ascii="Arial" w:cs="Arial" w:eastAsia="Arial" w:hAnsi="Arial"/>
                <w:sz w:val="18"/>
                <w:szCs w:val="18"/>
                <w:color w:val="auto"/>
              </w:rPr>
              <w:t>Expected for fiscal year 2022</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3,297</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2023</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2,993</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ind w:left="2260"/>
              <w:spacing w:after="0"/>
              <w:rPr>
                <w:sz w:val="20"/>
                <w:szCs w:val="20"/>
                <w:color w:val="auto"/>
              </w:rPr>
            </w:pPr>
            <w:r>
              <w:rPr>
                <w:rFonts w:ascii="Arial" w:cs="Arial" w:eastAsia="Arial" w:hAnsi="Arial"/>
                <w:sz w:val="18"/>
                <w:szCs w:val="18"/>
                <w:color w:val="auto"/>
              </w:rPr>
              <w:t>Expected for fiscal year 2024</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2,472</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2025</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ind w:left="2260"/>
              <w:spacing w:after="0"/>
              <w:rPr>
                <w:sz w:val="20"/>
                <w:szCs w:val="20"/>
                <w:color w:val="auto"/>
              </w:rPr>
            </w:pPr>
            <w:r>
              <w:rPr>
                <w:rFonts w:ascii="Arial" w:cs="Arial" w:eastAsia="Arial" w:hAnsi="Arial"/>
                <w:sz w:val="18"/>
                <w:szCs w:val="18"/>
                <w:color w:val="auto"/>
              </w:rPr>
              <w:t>Thereafter</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45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tcPr>
          <w:p>
            <w:pPr>
              <w:spacing w:after="0"/>
              <w:rPr>
                <w:sz w:val="18"/>
                <w:szCs w:val="18"/>
                <w:color w:val="auto"/>
              </w:rPr>
            </w:pPr>
          </w:p>
        </w:tc>
        <w:tc>
          <w:tcPr>
            <w:tcW w:w="45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13,041</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line="20" w:lineRule="exact"/>
              <w:rPr>
                <w:sz w:val="1"/>
                <w:szCs w:val="1"/>
                <w:color w:val="auto"/>
              </w:rPr>
            </w:pPr>
          </w:p>
        </w:tc>
        <w:tc>
          <w:tcPr>
            <w:tcW w:w="4580" w:type="dxa"/>
            <w:vAlign w:val="bottom"/>
            <w:tcBorders>
              <w:top w:val="single" w:sz="8" w:color="CFF0FC"/>
              <w:bottom w:val="single" w:sz="8" w:color="CFF0FC"/>
            </w:tcBorders>
            <w:vMerge w:val="restart"/>
          </w:tcPr>
          <w:p>
            <w:pPr>
              <w:ind w:left="3260"/>
              <w:spacing w:after="0"/>
              <w:rPr>
                <w:sz w:val="20"/>
                <w:szCs w:val="20"/>
                <w:color w:val="auto"/>
              </w:rPr>
            </w:pPr>
            <w:r>
              <w:rPr>
                <w:rFonts w:ascii="Arial" w:cs="Arial" w:eastAsia="Arial" w:hAnsi="Arial"/>
                <w:sz w:val="18"/>
                <w:szCs w:val="18"/>
                <w:color w:val="auto"/>
              </w:rPr>
              <w:t>20</w:t>
            </w:r>
          </w:p>
        </w:tc>
        <w:tc>
          <w:tcPr>
            <w:tcW w:w="9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260" w:type="dxa"/>
            <w:vAlign w:val="bottom"/>
            <w:vMerge w:val="continue"/>
          </w:tcPr>
          <w:p>
            <w:pPr>
              <w:spacing w:after="0"/>
              <w:rPr>
                <w:sz w:val="24"/>
                <w:szCs w:val="24"/>
                <w:color w:val="auto"/>
              </w:rPr>
            </w:pPr>
          </w:p>
        </w:tc>
        <w:tc>
          <w:tcPr>
            <w:tcW w:w="45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260" w:type="dxa"/>
            <w:vAlign w:val="bottom"/>
            <w:tcBorders>
              <w:bottom w:val="single" w:sz="8" w:color="9A9A9A"/>
            </w:tcBorders>
          </w:tcPr>
          <w:p>
            <w:pPr>
              <w:spacing w:after="0"/>
              <w:rPr>
                <w:sz w:val="8"/>
                <w:szCs w:val="8"/>
                <w:color w:val="auto"/>
              </w:rPr>
            </w:pPr>
          </w:p>
        </w:tc>
        <w:tc>
          <w:tcPr>
            <w:tcW w:w="45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99" w:lineRule="exact"/>
        <w:rPr>
          <w:sz w:val="20"/>
          <w:szCs w:val="20"/>
          <w:color w:val="auto"/>
        </w:rPr>
      </w:pPr>
    </w:p>
    <w:p>
      <w:pPr>
        <w:ind w:right="20" w:firstLine="510"/>
        <w:spacing w:after="0" w:line="248" w:lineRule="auto"/>
        <w:rPr>
          <w:sz w:val="20"/>
          <w:szCs w:val="20"/>
          <w:color w:val="auto"/>
        </w:rPr>
      </w:pPr>
      <w:r>
        <w:rPr>
          <w:rFonts w:ascii="Arial" w:cs="Arial" w:eastAsia="Arial" w:hAnsi="Arial"/>
          <w:sz w:val="17"/>
          <w:szCs w:val="17"/>
          <w:color w:val="auto"/>
        </w:rPr>
        <w:t>The Company’s operating leases consist primarily of leases for office space, data centers and satellite ground facilities and have remaining terms from less than one year to ten years, some of which include renewal options, and some of which include options to terminate the leases within one year. 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recognized right-of-use assets and lease liabilities for such leases in connection with its adoption of ASC 842 as of April 1, 2019 (see Note 1 — Basis of Presentation</w:t>
      </w:r>
    </w:p>
    <w:p>
      <w:pPr>
        <w:spacing w:after="0" w:line="3" w:lineRule="exact"/>
        <w:rPr>
          <w:sz w:val="20"/>
          <w:szCs w:val="20"/>
          <w:color w:val="auto"/>
        </w:rPr>
      </w:pPr>
    </w:p>
    <w:p>
      <w:pPr>
        <w:jc w:val="both"/>
        <w:ind w:right="400"/>
        <w:spacing w:after="0"/>
        <w:rPr>
          <w:sz w:val="20"/>
          <w:szCs w:val="20"/>
          <w:color w:val="auto"/>
        </w:rPr>
      </w:pPr>
      <w:r>
        <w:rPr>
          <w:rFonts w:ascii="Arial" w:cs="Arial" w:eastAsia="Arial" w:hAnsi="Arial"/>
          <w:sz w:val="18"/>
          <w:szCs w:val="18"/>
          <w:color w:val="auto"/>
        </w:rPr>
        <w:t>— Leases for more information). The Company reports operating lease right-of-use assets in operating lease right-of-use assets and the current and non-current portions of its operating lease liabilities in accrued and other liabilities and non-current operating lease liabilities, respectively.</w:t>
      </w:r>
    </w:p>
    <w:p>
      <w:pPr>
        <w:spacing w:after="0" w:line="149" w:lineRule="exact"/>
        <w:rPr>
          <w:sz w:val="20"/>
          <w:szCs w:val="20"/>
          <w:color w:val="auto"/>
        </w:rPr>
      </w:pPr>
    </w:p>
    <w:p>
      <w:pPr>
        <w:jc w:val="both"/>
        <w:ind w:right="120" w:firstLine="510"/>
        <w:spacing w:after="0"/>
        <w:rPr>
          <w:sz w:val="20"/>
          <w:szCs w:val="20"/>
          <w:color w:val="auto"/>
        </w:rPr>
      </w:pPr>
      <w:r>
        <w:rPr>
          <w:rFonts w:ascii="Arial" w:cs="Arial" w:eastAsia="Arial" w:hAnsi="Arial"/>
          <w:sz w:val="18"/>
          <w:szCs w:val="18"/>
          <w:color w:val="auto"/>
        </w:rPr>
        <w:t>The Company’s finance leases consist primarily of satellite lifetime Ka-band capacity leases and have remaining terms from less than one year to six years. The Company reports assets obtained under finance leases in property, equipment and satellites, net and the current and non-current portions of its finance lease liabilities in current portion of long-term debt and other long-term debt, respectively.</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lease costs, weighted average lease terms and discount rates are presented in the tables below:</w:t>
      </w:r>
    </w:p>
    <w:p>
      <w:pPr>
        <w:spacing w:after="0" w:line="280"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4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June 30, 2019</w:t>
            </w:r>
          </w:p>
        </w:tc>
        <w:tc>
          <w:tcPr>
            <w:tcW w:w="80" w:type="dxa"/>
            <w:vAlign w:val="bottom"/>
          </w:tcPr>
          <w:p>
            <w:pPr>
              <w:spacing w:after="0"/>
              <w:rPr>
                <w:sz w:val="15"/>
                <w:szCs w:val="15"/>
                <w:color w:val="auto"/>
              </w:rPr>
            </w:pPr>
          </w:p>
        </w:tc>
      </w:tr>
      <w:tr>
        <w:trPr>
          <w:trHeight w:val="169"/>
        </w:trPr>
        <w:tc>
          <w:tcPr>
            <w:tcW w:w="4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00" w:type="dxa"/>
            <w:vAlign w:val="bottom"/>
            <w:gridSpan w:val="6"/>
          </w:tcPr>
          <w:p>
            <w:pPr>
              <w:ind w:left="1160"/>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Operating lease cost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15,870</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15,399</w:t>
            </w:r>
          </w:p>
        </w:tc>
        <w:tc>
          <w:tcPr>
            <w:tcW w:w="80" w:type="dxa"/>
            <w:vAlign w:val="bottom"/>
          </w:tcPr>
          <w:p>
            <w:pPr>
              <w:spacing w:after="0"/>
              <w:rPr>
                <w:sz w:val="18"/>
                <w:szCs w:val="18"/>
                <w:color w:val="auto"/>
              </w:rPr>
            </w:pPr>
          </w:p>
        </w:tc>
      </w:tr>
      <w:tr>
        <w:trPr>
          <w:trHeight w:val="216"/>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920" w:type="dxa"/>
            <w:vAlign w:val="bottom"/>
          </w:tcPr>
          <w:p>
            <w:pPr>
              <w:ind w:left="240"/>
              <w:spacing w:after="0"/>
              <w:rPr>
                <w:sz w:val="20"/>
                <w:szCs w:val="20"/>
                <w:color w:val="auto"/>
              </w:rPr>
            </w:pPr>
            <w:r>
              <w:rPr>
                <w:rFonts w:ascii="Arial" w:cs="Arial" w:eastAsia="Arial" w:hAnsi="Arial"/>
                <w:sz w:val="18"/>
                <w:szCs w:val="18"/>
                <w:color w:val="auto"/>
              </w:rPr>
              <w:t>Depreciation of assets obtained under finance leases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3,653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on lease liabilities</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Short-term lease cost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611</w:t>
            </w:r>
          </w:p>
        </w:tc>
        <w:tc>
          <w:tcPr>
            <w:tcW w:w="80" w:type="dxa"/>
            <w:vAlign w:val="bottom"/>
          </w:tcPr>
          <w:p>
            <w:pPr>
              <w:spacing w:after="0"/>
              <w:rPr>
                <w:sz w:val="18"/>
                <w:szCs w:val="18"/>
                <w:color w:val="auto"/>
              </w:rPr>
            </w:pPr>
          </w:p>
        </w:tc>
      </w:tr>
      <w:tr>
        <w:trPr>
          <w:trHeight w:val="216"/>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4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1,679</w:t>
            </w:r>
          </w:p>
        </w:tc>
        <w:tc>
          <w:tcPr>
            <w:tcW w:w="80" w:type="dxa"/>
            <w:vAlign w:val="bottom"/>
            <w:shd w:val="clear" w:color="auto" w:fill="CFF0FC"/>
          </w:tcPr>
          <w:p>
            <w:pPr>
              <w:spacing w:after="0"/>
              <w:rPr>
                <w:sz w:val="18"/>
                <w:szCs w:val="18"/>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Net lease cost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24,160</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17,689</w:t>
            </w:r>
          </w:p>
        </w:tc>
        <w:tc>
          <w:tcPr>
            <w:tcW w:w="8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84"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As of</w:t>
      </w:r>
    </w:p>
    <w:p>
      <w:pPr>
        <w:spacing w:after="0" w:line="29"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June 30, 2020</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ind w:right="1600"/>
        <w:spacing w:after="0"/>
        <w:rPr>
          <w:sz w:val="20"/>
          <w:szCs w:val="20"/>
          <w:color w:val="auto"/>
        </w:rPr>
      </w:pPr>
      <w:r>
        <w:rPr>
          <w:rFonts w:ascii="Arial" w:cs="Arial" w:eastAsia="Arial" w:hAnsi="Arial"/>
          <w:sz w:val="14"/>
          <w:szCs w:val="14"/>
          <w:b w:val="1"/>
          <w:bCs w:val="1"/>
          <w:color w:val="auto"/>
        </w:rPr>
        <w:t>As of</w:t>
      </w:r>
    </w:p>
    <w:p>
      <w:pPr>
        <w:spacing w:after="0" w:line="29" w:lineRule="exact"/>
        <w:rPr>
          <w:sz w:val="20"/>
          <w:szCs w:val="20"/>
          <w:color w:val="auto"/>
        </w:rPr>
      </w:pPr>
    </w:p>
    <w:p>
      <w:pPr>
        <w:jc w:val="center"/>
        <w:ind w:right="1600"/>
        <w:spacing w:after="0"/>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sectPr>
          <w:pgSz w:w="11900" w:h="16838" w:orient="portrait"/>
          <w:cols w:equalWidth="0" w:num="2">
            <w:col w:w="7900" w:space="720"/>
            <w:col w:w="262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1140" w:type="dxa"/>
            <w:vAlign w:val="bottom"/>
          </w:tcPr>
          <w:p>
            <w:pPr>
              <w:spacing w:after="0"/>
              <w:rPr>
                <w:sz w:val="18"/>
                <w:szCs w:val="18"/>
                <w:color w:val="auto"/>
              </w:rPr>
            </w:pPr>
          </w:p>
        </w:tc>
        <w:tc>
          <w:tcPr>
            <w:tcW w:w="4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Lease term and discount rate:</w:t>
            </w: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340" w:type="dxa"/>
            <w:vAlign w:val="bottom"/>
            <w:gridSpan w:val="2"/>
          </w:tcPr>
          <w:p>
            <w:pPr>
              <w:ind w:left="1140"/>
              <w:spacing w:after="0"/>
              <w:rPr>
                <w:sz w:val="20"/>
                <w:szCs w:val="20"/>
                <w:color w:val="auto"/>
              </w:rPr>
            </w:pPr>
            <w:r>
              <w:rPr>
                <w:rFonts w:ascii="Arial" w:cs="Arial" w:eastAsia="Arial" w:hAnsi="Arial"/>
                <w:sz w:val="18"/>
                <w:szCs w:val="18"/>
                <w:color w:val="auto"/>
              </w:rPr>
              <w:t>Weighted average remaining lease term (in years):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leases</w:t>
            </w:r>
          </w:p>
        </w:tc>
        <w:tc>
          <w:tcPr>
            <w:tcW w:w="2700" w:type="dxa"/>
            <w:vAlign w:val="bottom"/>
            <w:gridSpan w:val="3"/>
            <w:shd w:val="clear" w:color="auto" w:fill="CFF0FC"/>
          </w:tcPr>
          <w:p>
            <w:pPr>
              <w:ind w:left="2440"/>
              <w:spacing w:after="0"/>
              <w:rPr>
                <w:sz w:val="20"/>
                <w:szCs w:val="20"/>
                <w:color w:val="auto"/>
              </w:rPr>
            </w:pPr>
            <w:r>
              <w:rPr>
                <w:rFonts w:ascii="Arial" w:cs="Arial" w:eastAsia="Arial" w:hAnsi="Arial"/>
                <w:sz w:val="18"/>
                <w:szCs w:val="18"/>
                <w:color w:val="auto"/>
                <w:w w:val="95"/>
              </w:rPr>
              <w:t>6.8</w:t>
            </w: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ind w:left="1320"/>
              <w:spacing w:after="0"/>
              <w:rPr>
                <w:sz w:val="20"/>
                <w:szCs w:val="20"/>
                <w:color w:val="auto"/>
              </w:rPr>
            </w:pPr>
            <w:r>
              <w:rPr>
                <w:rFonts w:ascii="Arial" w:cs="Arial" w:eastAsia="Arial" w:hAnsi="Arial"/>
                <w:sz w:val="18"/>
                <w:szCs w:val="18"/>
                <w:color w:val="auto"/>
                <w:w w:val="95"/>
              </w:rPr>
              <w:t>7.0</w:t>
            </w:r>
          </w:p>
        </w:tc>
        <w:tc>
          <w:tcPr>
            <w:tcW w:w="1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2700" w:type="dxa"/>
            <w:vAlign w:val="bottom"/>
            <w:gridSpan w:val="3"/>
          </w:tcPr>
          <w:p>
            <w:pPr>
              <w:ind w:left="2440"/>
              <w:spacing w:after="0"/>
              <w:rPr>
                <w:sz w:val="20"/>
                <w:szCs w:val="20"/>
                <w:color w:val="auto"/>
              </w:rPr>
            </w:pPr>
            <w:r>
              <w:rPr>
                <w:rFonts w:ascii="Arial" w:cs="Arial" w:eastAsia="Arial" w:hAnsi="Arial"/>
                <w:sz w:val="18"/>
                <w:szCs w:val="18"/>
                <w:color w:val="auto"/>
                <w:w w:val="95"/>
              </w:rPr>
              <w:t>6.1</w:t>
            </w:r>
          </w:p>
        </w:tc>
        <w:tc>
          <w:tcPr>
            <w:tcW w:w="320" w:type="dxa"/>
            <w:vAlign w:val="bottom"/>
          </w:tcPr>
          <w:p>
            <w:pPr>
              <w:spacing w:after="0"/>
              <w:rPr>
                <w:sz w:val="18"/>
                <w:szCs w:val="18"/>
                <w:color w:val="auto"/>
              </w:rPr>
            </w:pPr>
          </w:p>
        </w:tc>
        <w:tc>
          <w:tcPr>
            <w:tcW w:w="1580" w:type="dxa"/>
            <w:vAlign w:val="bottom"/>
          </w:tcPr>
          <w:p>
            <w:pPr>
              <w:ind w:left="1320"/>
              <w:spacing w:after="0"/>
              <w:rPr>
                <w:sz w:val="20"/>
                <w:szCs w:val="20"/>
                <w:color w:val="auto"/>
              </w:rPr>
            </w:pPr>
            <w:r>
              <w:rPr>
                <w:rFonts w:ascii="Arial" w:cs="Arial" w:eastAsia="Arial" w:hAnsi="Arial"/>
                <w:sz w:val="18"/>
                <w:szCs w:val="18"/>
                <w:color w:val="auto"/>
                <w:w w:val="95"/>
              </w:rPr>
              <w:t>6.3</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340" w:type="dxa"/>
            <w:vAlign w:val="bottom"/>
            <w:gridSpan w:val="2"/>
          </w:tcPr>
          <w:p>
            <w:pPr>
              <w:ind w:left="1140"/>
              <w:spacing w:after="0"/>
              <w:rPr>
                <w:sz w:val="20"/>
                <w:szCs w:val="20"/>
                <w:color w:val="auto"/>
              </w:rPr>
            </w:pPr>
            <w:r>
              <w:rPr>
                <w:rFonts w:ascii="Arial" w:cs="Arial" w:eastAsia="Arial" w:hAnsi="Arial"/>
                <w:sz w:val="18"/>
                <w:szCs w:val="18"/>
                <w:color w:val="auto"/>
              </w:rPr>
              <w:t>Weighted average discount rate: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leases</w:t>
            </w:r>
          </w:p>
        </w:tc>
        <w:tc>
          <w:tcPr>
            <w:tcW w:w="3020" w:type="dxa"/>
            <w:vAlign w:val="bottom"/>
            <w:gridSpan w:val="4"/>
            <w:shd w:val="clear" w:color="auto" w:fill="CFF0FC"/>
          </w:tcPr>
          <w:p>
            <w:pPr>
              <w:ind w:left="2440"/>
              <w:spacing w:after="0"/>
              <w:rPr>
                <w:sz w:val="20"/>
                <w:szCs w:val="20"/>
                <w:color w:val="auto"/>
              </w:rPr>
            </w:pPr>
            <w:r>
              <w:rPr>
                <w:rFonts w:ascii="Arial" w:cs="Arial" w:eastAsia="Arial" w:hAnsi="Arial"/>
                <w:sz w:val="18"/>
                <w:szCs w:val="18"/>
                <w:color w:val="auto"/>
              </w:rPr>
              <w:t>5.4%</w:t>
            </w:r>
          </w:p>
        </w:tc>
        <w:tc>
          <w:tcPr>
            <w:tcW w:w="1760" w:type="dxa"/>
            <w:vAlign w:val="bottom"/>
            <w:gridSpan w:val="2"/>
            <w:shd w:val="clear" w:color="auto" w:fill="CFF0FC"/>
          </w:tcPr>
          <w:p>
            <w:pPr>
              <w:ind w:left="1320"/>
              <w:spacing w:after="0"/>
              <w:rPr>
                <w:sz w:val="20"/>
                <w:szCs w:val="20"/>
                <w:color w:val="auto"/>
              </w:rPr>
            </w:pPr>
            <w:r>
              <w:rPr>
                <w:rFonts w:ascii="Arial" w:cs="Arial" w:eastAsia="Arial" w:hAnsi="Arial"/>
                <w:sz w:val="18"/>
                <w:szCs w:val="18"/>
                <w:color w:val="auto"/>
              </w:rPr>
              <w:t>5.4%</w:t>
            </w:r>
          </w:p>
        </w:tc>
        <w:tc>
          <w:tcPr>
            <w:tcW w:w="112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3020" w:type="dxa"/>
            <w:vAlign w:val="bottom"/>
            <w:gridSpan w:val="4"/>
          </w:tcPr>
          <w:p>
            <w:pPr>
              <w:ind w:left="2440"/>
              <w:spacing w:after="0"/>
              <w:rPr>
                <w:sz w:val="20"/>
                <w:szCs w:val="20"/>
                <w:color w:val="auto"/>
              </w:rPr>
            </w:pPr>
            <w:r>
              <w:rPr>
                <w:rFonts w:ascii="Arial" w:cs="Arial" w:eastAsia="Arial" w:hAnsi="Arial"/>
                <w:sz w:val="18"/>
                <w:szCs w:val="18"/>
                <w:color w:val="auto"/>
              </w:rPr>
              <w:t>5.4%</w:t>
            </w:r>
          </w:p>
        </w:tc>
        <w:tc>
          <w:tcPr>
            <w:tcW w:w="1760" w:type="dxa"/>
            <w:vAlign w:val="bottom"/>
            <w:gridSpan w:val="2"/>
          </w:tcPr>
          <w:p>
            <w:pPr>
              <w:ind w:left="1320"/>
              <w:spacing w:after="0"/>
              <w:rPr>
                <w:sz w:val="20"/>
                <w:szCs w:val="20"/>
                <w:color w:val="auto"/>
              </w:rPr>
            </w:pPr>
            <w:r>
              <w:rPr>
                <w:rFonts w:ascii="Arial" w:cs="Arial" w:eastAsia="Arial" w:hAnsi="Arial"/>
                <w:sz w:val="18"/>
                <w:szCs w:val="18"/>
                <w:color w:val="auto"/>
              </w:rPr>
              <w:t>5.4%</w:t>
            </w:r>
          </w:p>
        </w:tc>
        <w:tc>
          <w:tcPr>
            <w:tcW w:w="1120" w:type="dxa"/>
            <w:vAlign w:val="bottom"/>
          </w:tcPr>
          <w:p>
            <w:pPr>
              <w:spacing w:after="0"/>
              <w:rPr>
                <w:sz w:val="19"/>
                <w:szCs w:val="19"/>
                <w:color w:val="auto"/>
              </w:rPr>
            </w:pPr>
          </w:p>
        </w:tc>
      </w:tr>
      <w:tr>
        <w:trPr>
          <w:trHeight w:val="621"/>
        </w:trPr>
        <w:tc>
          <w:tcPr>
            <w:tcW w:w="1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80" w:type="dxa"/>
            <w:vAlign w:val="bottom"/>
          </w:tcPr>
          <w:p>
            <w:pPr>
              <w:jc w:val="right"/>
              <w:ind w:right="5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4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details components of the condensed consolidated statements of cash flows for operating and finance leases:</w:t>
      </w:r>
    </w:p>
    <w:p>
      <w:pPr>
        <w:spacing w:after="0" w:line="280"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ind w:right="296"/>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240" w:type="dxa"/>
            <w:vAlign w:val="bottom"/>
            <w:tcBorders>
              <w:top w:val="single" w:sz="8" w:color="auto"/>
            </w:tcBorders>
            <w:shd w:val="clear" w:color="auto" w:fill="CFF0FC"/>
          </w:tcPr>
          <w:p>
            <w:pPr>
              <w:spacing w:after="0" w:line="187" w:lineRule="exact"/>
              <w:rPr>
                <w:sz w:val="20"/>
                <w:szCs w:val="20"/>
                <w:color w:val="auto"/>
              </w:rPr>
            </w:pPr>
            <w:r>
              <w:rPr>
                <w:rFonts w:ascii="Arial" w:cs="Arial" w:eastAsia="Arial" w:hAnsi="Arial"/>
                <w:sz w:val="18"/>
                <w:szCs w:val="18"/>
                <w:b w:val="1"/>
                <w:bCs w:val="1"/>
                <w:color w:val="auto"/>
              </w:rPr>
              <w:t>Cash paid for amounts included in the measurement</w:t>
            </w:r>
          </w:p>
        </w:tc>
        <w:tc>
          <w:tcPr>
            <w:tcW w:w="1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5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15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4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of lease liabilities: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15,482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14,914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2,583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w w:val="99"/>
              </w:rPr>
              <w:t>Right-of-use assets obtained in exchange for lease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leases</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maturities of the Company’s lease liabilities as of June 30, 2020:</w:t>
      </w:r>
    </w:p>
    <w:p>
      <w:pPr>
        <w:spacing w:after="0" w:line="280"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Operating Leases</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Finance Leases</w:t>
            </w:r>
          </w:p>
        </w:tc>
        <w:tc>
          <w:tcPr>
            <w:tcW w:w="80" w:type="dxa"/>
            <w:vAlign w:val="bottom"/>
          </w:tcPr>
          <w:p>
            <w:pPr>
              <w:spacing w:after="0"/>
              <w:rPr>
                <w:sz w:val="15"/>
                <w:szCs w:val="15"/>
                <w:color w:val="auto"/>
              </w:rPr>
            </w:pPr>
          </w:p>
        </w:tc>
      </w:tr>
      <w:tr>
        <w:trPr>
          <w:trHeight w:val="169"/>
        </w:trPr>
        <w:tc>
          <w:tcPr>
            <w:tcW w:w="4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60" w:type="dxa"/>
            <w:vAlign w:val="bottom"/>
            <w:gridSpan w:val="5"/>
          </w:tcPr>
          <w:p>
            <w:pPr>
              <w:ind w:left="1140"/>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2021</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44,488</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9,900</w:t>
            </w:r>
          </w:p>
        </w:tc>
        <w:tc>
          <w:tcPr>
            <w:tcW w:w="80" w:type="dxa"/>
            <w:vAlign w:val="bottom"/>
            <w:shd w:val="clear" w:color="auto" w:fill="CFF0FC"/>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Expected for fiscal year 2022</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60,739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19"/>
                <w:szCs w:val="19"/>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2023</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56,773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80" w:type="dxa"/>
            <w:vAlign w:val="bottom"/>
            <w:shd w:val="clear" w:color="auto" w:fill="CFF0FC"/>
          </w:tcPr>
          <w:p>
            <w:pPr>
              <w:spacing w:after="0"/>
              <w:rPr>
                <w:sz w:val="19"/>
                <w:szCs w:val="19"/>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Expected for fiscal year 2024</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55,533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19"/>
                <w:szCs w:val="19"/>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2025</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51,456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80" w:type="dxa"/>
            <w:vAlign w:val="bottom"/>
            <w:shd w:val="clear" w:color="auto" w:fill="CFF0FC"/>
          </w:tcPr>
          <w:p>
            <w:pPr>
              <w:spacing w:after="0"/>
              <w:rPr>
                <w:sz w:val="19"/>
                <w:szCs w:val="19"/>
                <w:color w:val="auto"/>
              </w:rPr>
            </w:pPr>
          </w:p>
        </w:tc>
      </w:tr>
      <w:tr>
        <w:trPr>
          <w:trHeight w:val="229"/>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7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122,896</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Borders>
              <w:bottom w:val="single" w:sz="8" w:color="CFF0FC"/>
            </w:tcBorders>
          </w:tcPr>
          <w:p>
            <w:pPr>
              <w:spacing w:after="0"/>
              <w:rPr>
                <w:sz w:val="19"/>
                <w:szCs w:val="19"/>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future lease payments required</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391,885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72,900</w:t>
            </w:r>
          </w:p>
        </w:tc>
        <w:tc>
          <w:tcPr>
            <w:tcW w:w="80" w:type="dxa"/>
            <w:vAlign w:val="bottom"/>
            <w:shd w:val="clear" w:color="auto" w:fill="CFF0FC"/>
          </w:tcPr>
          <w:p>
            <w:pPr>
              <w:spacing w:after="0"/>
              <w:rPr>
                <w:sz w:val="19"/>
                <w:szCs w:val="19"/>
                <w:color w:val="auto"/>
              </w:rPr>
            </w:pPr>
          </w:p>
        </w:tc>
      </w:tr>
      <w:tr>
        <w:trPr>
          <w:trHeight w:val="229"/>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interest</w:t>
            </w:r>
          </w:p>
        </w:tc>
        <w:tc>
          <w:tcPr>
            <w:tcW w:w="7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65,913</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10,539</w:t>
            </w:r>
          </w:p>
        </w:tc>
        <w:tc>
          <w:tcPr>
            <w:tcW w:w="80" w:type="dxa"/>
            <w:vAlign w:val="bottom"/>
            <w:tcBorders>
              <w:bottom w:val="single" w:sz="8" w:color="CFF0FC"/>
            </w:tcBorders>
          </w:tcPr>
          <w:p>
            <w:pPr>
              <w:spacing w:after="0"/>
              <w:rPr>
                <w:sz w:val="19"/>
                <w:szCs w:val="19"/>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325,972</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62,361</w:t>
            </w:r>
          </w:p>
        </w:tc>
        <w:tc>
          <w:tcPr>
            <w:tcW w:w="80" w:type="dxa"/>
            <w:vAlign w:val="bottom"/>
            <w:shd w:val="clear" w:color="auto" w:fill="CFF0FC"/>
          </w:tcPr>
          <w:p>
            <w:pPr>
              <w:spacing w:after="0"/>
              <w:rPr>
                <w:sz w:val="19"/>
                <w:szCs w:val="19"/>
                <w:color w:val="auto"/>
              </w:rPr>
            </w:pP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160" w:firstLine="510"/>
        <w:spacing w:after="0" w:line="246" w:lineRule="auto"/>
        <w:rPr>
          <w:sz w:val="20"/>
          <w:szCs w:val="20"/>
          <w:color w:val="auto"/>
        </w:rPr>
      </w:pPr>
      <w:r>
        <w:rPr>
          <w:rFonts w:ascii="Arial" w:cs="Arial" w:eastAsia="Arial" w:hAnsi="Arial"/>
          <w:sz w:val="18"/>
          <w:szCs w:val="18"/>
          <w:color w:val="auto"/>
        </w:rPr>
        <w:t>As of June 30, 2020, the Company had $ 88.9 million of additional lease commitments that will commence in the future between fiscal years 2021 and 2022 with lease terms of two to 12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Senior Notes and Other Long-Term Debt</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June 30, 2020 and March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 of</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2028 Notes</w:t>
            </w:r>
          </w:p>
        </w:tc>
        <w:tc>
          <w:tcPr>
            <w:tcW w:w="17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1700"/>
              <w:spacing w:after="0"/>
              <w:rPr>
                <w:sz w:val="20"/>
                <w:szCs w:val="20"/>
                <w:color w:val="auto"/>
              </w:rPr>
            </w:pPr>
            <w:r>
              <w:rPr>
                <w:rFonts w:ascii="Arial" w:cs="Arial" w:eastAsia="Arial" w:hAnsi="Arial"/>
                <w:sz w:val="18"/>
                <w:szCs w:val="18"/>
                <w:color w:val="auto"/>
              </w:rPr>
              <w:t>2027 Notes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2025 Notes</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1700"/>
              <w:spacing w:after="0"/>
              <w:rPr>
                <w:sz w:val="20"/>
                <w:szCs w:val="20"/>
                <w:color w:val="auto"/>
              </w:rPr>
            </w:pPr>
            <w:r>
              <w:rPr>
                <w:rFonts w:ascii="Arial" w:cs="Arial" w:eastAsia="Arial" w:hAnsi="Arial"/>
                <w:sz w:val="18"/>
                <w:szCs w:val="18"/>
                <w:color w:val="auto"/>
              </w:rPr>
              <w:t>Revolving Credit Facility</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390,000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Ex-Im Credit Facility</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108,087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117,913</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1700"/>
              <w:spacing w:after="0"/>
              <w:rPr>
                <w:sz w:val="20"/>
                <w:szCs w:val="20"/>
                <w:color w:val="auto"/>
              </w:rPr>
            </w:pPr>
            <w:r>
              <w:rPr>
                <w:rFonts w:ascii="Arial" w:cs="Arial" w:eastAsia="Arial" w:hAnsi="Arial"/>
                <w:sz w:val="18"/>
                <w:szCs w:val="18"/>
                <w:color w:val="auto"/>
              </w:rPr>
              <w:t>Finance lease obligations (see Note 6)</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62,361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64,956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15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1,870,448</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1,872,869</w:t>
            </w:r>
          </w:p>
        </w:tc>
        <w:tc>
          <w:tcPr>
            <w:tcW w:w="80" w:type="dxa"/>
            <w:vAlign w:val="bottom"/>
            <w:tcBorders>
              <w:top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1700"/>
              <w:spacing w:after="0"/>
              <w:rPr>
                <w:sz w:val="20"/>
                <w:szCs w:val="20"/>
                <w:color w:val="auto"/>
              </w:rPr>
            </w:pPr>
            <w:r>
              <w:rPr>
                <w:rFonts w:ascii="Arial" w:cs="Arial" w:eastAsia="Arial" w:hAnsi="Arial"/>
                <w:sz w:val="18"/>
                <w:szCs w:val="18"/>
                <w:color w:val="auto"/>
              </w:rPr>
              <w:t>Unamortized discount and debt issuance costs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(25,440)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(21,418)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15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29,470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29,788</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gridSpan w:val="2"/>
          </w:tcPr>
          <w:p>
            <w:pPr>
              <w:ind w:left="1700"/>
              <w:spacing w:after="0"/>
              <w:rPr>
                <w:sz w:val="20"/>
                <w:szCs w:val="20"/>
                <w:color w:val="auto"/>
              </w:rPr>
            </w:pPr>
            <w:r>
              <w:rPr>
                <w:rFonts w:ascii="Arial" w:cs="Arial" w:eastAsia="Arial" w:hAnsi="Arial"/>
                <w:sz w:val="18"/>
                <w:szCs w:val="18"/>
                <w:color w:val="auto"/>
              </w:rPr>
              <w:t>Total long-term debt</w:t>
            </w:r>
          </w:p>
        </w:tc>
        <w:tc>
          <w:tcPr>
            <w:tcW w:w="17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1,815,538</w:t>
            </w:r>
          </w:p>
        </w:tc>
        <w:tc>
          <w:tcPr>
            <w:tcW w:w="140" w:type="dxa"/>
            <w:vAlign w:val="bottom"/>
          </w:tcPr>
          <w:p>
            <w:pPr>
              <w:spacing w:after="0"/>
              <w:rPr>
                <w:sz w:val="18"/>
                <w:szCs w:val="18"/>
                <w:color w:val="auto"/>
              </w:rPr>
            </w:pPr>
          </w:p>
        </w:tc>
        <w:tc>
          <w:tcPr>
            <w:tcW w:w="2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1,821,663</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00" w:type="dxa"/>
            <w:vAlign w:val="bottom"/>
            <w:vMerge w:val="restart"/>
          </w:tcPr>
          <w:p>
            <w:pPr>
              <w:jc w:val="right"/>
              <w:ind w:right="1170"/>
              <w:spacing w:after="0"/>
              <w:rPr>
                <w:sz w:val="20"/>
                <w:szCs w:val="20"/>
                <w:color w:val="auto"/>
              </w:rPr>
            </w:pPr>
            <w:r>
              <w:rPr>
                <w:rFonts w:ascii="Arial" w:cs="Arial" w:eastAsia="Arial" w:hAnsi="Arial"/>
                <w:sz w:val="18"/>
                <w:szCs w:val="18"/>
                <w:color w:val="auto"/>
              </w:rPr>
              <w:t>22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7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9" w:lineRule="exact"/>
        <w:rPr>
          <w:sz w:val="20"/>
          <w:szCs w:val="20"/>
          <w:color w:val="auto"/>
        </w:rPr>
      </w:pPr>
    </w:p>
    <w:p>
      <w:pPr>
        <w:ind w:right="300" w:firstLine="510"/>
        <w:spacing w:after="0" w:line="238" w:lineRule="auto"/>
        <w:rPr>
          <w:sz w:val="20"/>
          <w:szCs w:val="20"/>
          <w:color w:val="auto"/>
        </w:rPr>
      </w:pPr>
      <w:r>
        <w:rPr>
          <w:rFonts w:ascii="Arial" w:cs="Arial" w:eastAsia="Arial" w:hAnsi="Arial"/>
          <w:sz w:val="18"/>
          <w:szCs w:val="18"/>
          <w:color w:val="auto"/>
        </w:rPr>
        <w:t>As of June 30, 2020, the Revolving Credit Facility provided a $700.0 million revolving line of credit (including up to $ 150.0 million of letters of credit), with a maturity date of January 18, 2024. At June 30, 2020, the Company had no outstanding borrowings under the Revolving Credit Facility and $31.3 million outstanding under standby letters of credit, leaving borrowing availability under the Revolving Credit Facility as of June 30, 2020 of $668.7 million.</w:t>
      </w:r>
    </w:p>
    <w:p>
      <w:pPr>
        <w:spacing w:after="0" w:line="151" w:lineRule="exact"/>
        <w:rPr>
          <w:sz w:val="20"/>
          <w:szCs w:val="20"/>
          <w:color w:val="auto"/>
        </w:rPr>
      </w:pPr>
    </w:p>
    <w:p>
      <w:pPr>
        <w:ind w:right="140" w:firstLine="510"/>
        <w:spacing w:after="0" w:line="237" w:lineRule="auto"/>
        <w:rPr>
          <w:sz w:val="20"/>
          <w:szCs w:val="20"/>
          <w:color w:val="auto"/>
        </w:rPr>
      </w:pPr>
      <w:r>
        <w:rPr>
          <w:rFonts w:ascii="Arial" w:cs="Arial" w:eastAsia="Arial" w:hAnsi="Arial"/>
          <w:sz w:val="18"/>
          <w:szCs w:val="18"/>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June 30, 2020, none of the Company’s subsidiaries guaranteed the Revolving Credit Facility.</w:t>
      </w:r>
    </w:p>
    <w:p>
      <w:pPr>
        <w:spacing w:after="0" w:line="14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Revolving Credit Facility as of June 30,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85"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$ 41.2 million used to finance the total exposure fees incurred under the Ex-Im Credit Facility (which included all previously accrued completion exposure fees). As of June 30, 2020, the Company had $108.1 million in principal amount of outstanding borrowings under the Ex-Im Credit Facility.</w:t>
      </w:r>
    </w:p>
    <w:p>
      <w:pPr>
        <w:spacing w:after="0" w:line="151"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Pursuant to the terms of the Ex-Im Credit Facility, certain insurance proceeds related to the ViaSat-2 satellite must be used to pay down outstanding borrowings under the Ex-Im Credit Facility upon receipt. During fiscal years 2019 and 2020, the Company received an aggregate of $ 188.0 million of insurance proceeds related to the ViaSat-2 satellite, all of which were used to pay down outstanding borrowings under the Ex-Im Credit Facility upon receipt (see Note 1 — Basis of Presentation – Property, equipment and satellites for more information). The Ex-Im Credit Facility is guaranteed by Viasat and is secured by first-priority liens on the ViaSat-2 satellite and related assets, as well as a pledge of the capital stock of the borrower under the facility.</w:t>
      </w:r>
    </w:p>
    <w:p>
      <w:pPr>
        <w:spacing w:after="0" w:line="152"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June 30, 2020.</w:t>
      </w:r>
    </w:p>
    <w:p>
      <w:pPr>
        <w:spacing w:after="0" w:line="151"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Borrowings under the Ex-Im Credit Facility are recorded as current portion of long-term debt and as other long-term debt, net of unamortized discount and debt issuance costs, in the Company’s condensed consolidated financial statements. The discount of $42.3 million (consisting of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2028</w:t>
      </w:r>
    </w:p>
    <w:p>
      <w:pPr>
        <w:spacing w:after="0" w:line="81"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In June 2020, the Company issued $400.0 million in principal amount of 2028 Notes in a private placement to institutional buyers. The 2028 Notes were issued at face value and are recorded as long-term debt, net of debt issuance costs, in the Company’s condensed consolidated financial statements. The 2028 Notes bear interest at the rate of 6.500% per year, payable semi-annually in cash in arrears, which interest payments will commence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spacing w:after="0" w:line="151" w:lineRule="exact"/>
        <w:rPr>
          <w:sz w:val="20"/>
          <w:szCs w:val="20"/>
          <w:color w:val="auto"/>
        </w:rPr>
      </w:pPr>
    </w:p>
    <w:p>
      <w:pPr>
        <w:ind w:right="100" w:firstLine="510"/>
        <w:spacing w:after="0" w:line="237" w:lineRule="auto"/>
        <w:rPr>
          <w:sz w:val="20"/>
          <w:szCs w:val="20"/>
          <w:color w:val="auto"/>
        </w:rPr>
      </w:pPr>
      <w:r>
        <w:rPr>
          <w:rFonts w:ascii="Arial" w:cs="Arial" w:eastAsia="Arial" w:hAnsi="Arial"/>
          <w:sz w:val="18"/>
          <w:szCs w:val="18"/>
          <w:color w:val="auto"/>
        </w:rPr>
        <w:t>The 2028 Notes are required to be guaranteed on an unsecured senior basis by each of the Company’s existing and future subsidiaries that guarantees the Revolving Credit Facility. As of June 30, 2020,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spacing w:after="0" w:line="149" w:lineRule="exact"/>
        <w:rPr>
          <w:sz w:val="20"/>
          <w:szCs w:val="20"/>
          <w:color w:val="auto"/>
        </w:rPr>
      </w:pPr>
    </w:p>
    <w:p>
      <w:pPr>
        <w:ind w:right="380" w:firstLine="510"/>
        <w:spacing w:after="0" w:line="238" w:lineRule="auto"/>
        <w:rPr>
          <w:sz w:val="20"/>
          <w:szCs w:val="20"/>
          <w:color w:val="auto"/>
        </w:rPr>
      </w:pPr>
      <w:r>
        <w:rPr>
          <w:rFonts w:ascii="Arial" w:cs="Arial" w:eastAsia="Arial" w:hAnsi="Arial"/>
          <w:sz w:val="18"/>
          <w:szCs w:val="18"/>
          <w:color w:val="auto"/>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8" w:lineRule="exact"/>
        <w:rPr>
          <w:sz w:val="20"/>
          <w:szCs w:val="20"/>
          <w:color w:val="auto"/>
        </w:rPr>
      </w:pPr>
    </w:p>
    <w:p>
      <w:pPr>
        <w:ind w:right="380" w:firstLine="510"/>
        <w:spacing w:after="0" w:line="265" w:lineRule="auto"/>
        <w:rPr>
          <w:sz w:val="20"/>
          <w:szCs w:val="20"/>
          <w:color w:val="auto"/>
        </w:rPr>
      </w:pPr>
      <w:r>
        <w:rPr>
          <w:rFonts w:ascii="Arial" w:cs="Arial" w:eastAsia="Arial" w:hAnsi="Arial"/>
          <w:sz w:val="17"/>
          <w:szCs w:val="17"/>
          <w:color w:val="auto"/>
        </w:rPr>
        <w:t>Prior to July 15, 2023, the Company may redeem up to 40% of the 2028 Notes at a redemption price of 106.500% of the principal amount thereof, plus accrued and unpaid interest, if any, thereon to the redemption date, from the net cash proceeds of specified equity</w:t>
      </w:r>
    </w:p>
    <w:p>
      <w:pPr>
        <w:ind w:right="20"/>
        <w:spacing w:after="0" w:line="238" w:lineRule="auto"/>
        <w:rPr>
          <w:sz w:val="20"/>
          <w:szCs w:val="20"/>
          <w:color w:val="auto"/>
        </w:rPr>
      </w:pPr>
      <w:r>
        <w:rPr>
          <w:rFonts w:ascii="Arial" w:cs="Arial" w:eastAsia="Arial" w:hAnsi="Arial"/>
          <w:sz w:val="18"/>
          <w:szCs w:val="18"/>
          <w:color w:val="auto"/>
        </w:rPr>
        <w:t>offerings. The Company may also redeem the 2028 Notes prior to July 15, 2023,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2028 Notes and (ii) the excess, if any, of (a) the present value at such date of redemption of (1) the redemption price of such 2028 Notes on July 15, 2023 plus (2) all required interest payments due on such 2028 Notes through July 15, 2023 (excluding accrued but unpaid interest to the date of redemption), computed using a discount rate equal to the treasury rate (as defined under the indenture governing the 2028 Notes) plus 50 basis points, over (b) the then-outstanding principal amount of such 2028 Notes. The 2028 Notes may be redeemed, in whole or in part, at any time during the 12 months beginning on July 15, 2023 at a redemption price of 103.250%, during the 12 months beginning on July 15, 2024 at a redemption price of 101.625%, and at any time on or after July 15, 2025 at a redemption price of 100%, in each case plus accrued and unpaid interest, if any, thereon to the redemption date.</w:t>
      </w:r>
    </w:p>
    <w:p>
      <w:pPr>
        <w:spacing w:after="0" w:line="148" w:lineRule="exact"/>
        <w:rPr>
          <w:sz w:val="20"/>
          <w:szCs w:val="20"/>
          <w:color w:val="auto"/>
        </w:rPr>
      </w:pPr>
    </w:p>
    <w:p>
      <w:pPr>
        <w:jc w:val="both"/>
        <w:ind w:right="6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81"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In March 2019, the Company issued $600.0 million in principal amount of 2027 Notes in a private placement to institutional buyers. The 2027 Notes were issued at face value and are recorded as long-term debt, net of debt issuance costs, in the Company’s condensed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51"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The 2027 Notes are required to be guaranteed on a senior secured basis by each of the Company’s existing and future subsidiaries that guarantees the Revolving Credit Facility. As of June 30, 2020, none of the Company’s subsidiaries guaranteed the 2027 Notes. The 2027 Notes are secured, equally and ratably with the Revolving Credit Facility and any future parity lien debt, by liens on substantially all of the Company’s assets.</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and the 2028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the Company’s subsidiaries that do not guarantee the 2027 Notes (including obligations of the borrower under the Ex-Im Credit Facility), and are senior in right of payment to all of the Company’s existing and future subordinated indebtedness.</w:t>
      </w:r>
    </w:p>
    <w:p>
      <w:pPr>
        <w:spacing w:after="0" w:line="154" w:lineRule="exact"/>
        <w:rPr>
          <w:sz w:val="20"/>
          <w:szCs w:val="20"/>
          <w:color w:val="auto"/>
        </w:rPr>
      </w:pPr>
    </w:p>
    <w:p>
      <w:pPr>
        <w:ind w:right="440" w:firstLine="510"/>
        <w:spacing w:after="0" w:line="238" w:lineRule="auto"/>
        <w:rPr>
          <w:sz w:val="20"/>
          <w:szCs w:val="20"/>
          <w:color w:val="auto"/>
        </w:rPr>
      </w:pPr>
      <w:r>
        <w:rPr>
          <w:rFonts w:ascii="Arial" w:cs="Arial" w:eastAsia="Arial" w:hAnsi="Arial"/>
          <w:sz w:val="18"/>
          <w:szCs w:val="18"/>
          <w:color w:val="auto"/>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8"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Prior to April 15, 2022, the Company may redeem up to 40% of the 2027 Notes at a redemption price of 105.625% of the principal amount thereof, plus accrued and unpaid interest, if any, thereon to the redemption date, from the net cash proceeds of specified equity offerings. The Company may also redeem the 2027 Notes prior to April 15, 2022,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2027 Notes and (ii) the excess, if any, of (a) the present value at such date of redemption of (1) the redemption price of such 2027 Notes on April 15, 2022 plus (2) all required interest payments due on such 2027 Notes through April 15, 2022 (excluding accrued but unpaid interest to the date of redemption), computed using a discount rate equal to the treasury rate (as defined under the indenture governing the 2027 Notes) plus 50 basis points, over (b) the then-outstanding principal amount of such 2027 Notes. The 2027 Notes may be redeemed, in whole or in part, at any time during the 12 months beginning on April 15, 2022 at a redemption price of 102.813%, during the 12 months beginning on April 15, 2023 at a redemption price of 101.406%, and at any time on or after April 15, 2024 at a redemption price of 100%, in each case plus accrued and unpaid interest, if any, thereon to the redemption date.</w:t>
      </w:r>
    </w:p>
    <w:p>
      <w:pPr>
        <w:spacing w:after="0" w:line="150" w:lineRule="exact"/>
        <w:rPr>
          <w:sz w:val="20"/>
          <w:szCs w:val="20"/>
          <w:color w:val="auto"/>
        </w:rPr>
      </w:pPr>
    </w:p>
    <w:p>
      <w:pPr>
        <w:jc w:val="both"/>
        <w:ind w:right="12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81"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The 2025 Notes were issued at face value and are recorded as long-term debt, net of debt issuance costs, in the Company’s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51" w:lineRule="exact"/>
        <w:rPr>
          <w:sz w:val="20"/>
          <w:szCs w:val="20"/>
          <w:color w:val="auto"/>
        </w:rPr>
      </w:pPr>
    </w:p>
    <w:p>
      <w:pPr>
        <w:ind w:right="160" w:firstLine="510"/>
        <w:spacing w:after="0" w:line="237" w:lineRule="auto"/>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Revolving Credit Facility. As of June 30, 2020,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2025 Notes, and are senior in right of payment to all of the Company’s existing and future subordinated indebtedness.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460" w:firstLine="510"/>
        <w:spacing w:after="0" w:line="238"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8"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Prior to September 15, 2020, the Company may redeem up to 40% of the 2025 Notes at a redemption price of 105.625% of the principal amount thereof, plus accrued and unpaid interest, if any, thereon to the redemption date, from the net cash proceeds of specified equity offerings. The Company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 (1) 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governing the 2025 Notes) plus 50 basis points, over (b) the then-outstanding principal amount of such 2025 Notes. The 2025 Notes may be redeemed, in whole or in part, at any time during the 12 months beginning on September 15, 2020 at a redemption price of 102.813%,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150" w:lineRule="exact"/>
        <w:rPr>
          <w:sz w:val="20"/>
          <w:szCs w:val="20"/>
          <w:color w:val="auto"/>
        </w:rPr>
      </w:pPr>
    </w:p>
    <w:p>
      <w:pPr>
        <w:jc w:val="both"/>
        <w:ind w:right="14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Product Warranty</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three months ended June 30, 2020 and 2019:</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r>
      <w:tr>
        <w:trPr>
          <w:trHeight w:val="156"/>
        </w:trPr>
        <w:tc>
          <w:tcPr>
            <w:tcW w:w="4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600"/>
              <w:spacing w:after="0" w:line="156" w:lineRule="exact"/>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3"/>
                <w:szCs w:val="13"/>
                <w:color w:val="auto"/>
              </w:rPr>
            </w:pPr>
          </w:p>
        </w:tc>
        <w:tc>
          <w:tcPr>
            <w:tcW w:w="1060" w:type="dxa"/>
            <w:vAlign w:val="bottom"/>
            <w:gridSpan w:val="2"/>
          </w:tcPr>
          <w:p>
            <w:pPr>
              <w:jc w:val="right"/>
              <w:ind w:right="480"/>
              <w:spacing w:after="0" w:line="156" w:lineRule="exact"/>
              <w:rPr>
                <w:sz w:val="20"/>
                <w:szCs w:val="20"/>
                <w:color w:val="auto"/>
              </w:rPr>
            </w:pPr>
            <w:r>
              <w:rPr>
                <w:rFonts w:ascii="Arial" w:cs="Arial" w:eastAsia="Arial" w:hAnsi="Arial"/>
                <w:sz w:val="14"/>
                <w:szCs w:val="14"/>
                <w:b w:val="1"/>
                <w:bCs w:val="1"/>
                <w:color w:val="auto"/>
                <w:w w:val="99"/>
              </w:rPr>
              <w:t>June 30,</w:t>
            </w:r>
          </w:p>
        </w:tc>
      </w:tr>
      <w:tr>
        <w:trPr>
          <w:trHeight w:val="175"/>
        </w:trPr>
        <w:tc>
          <w:tcPr>
            <w:tcW w:w="4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r>
      <w:tr>
        <w:trPr>
          <w:trHeight w:val="169"/>
        </w:trPr>
        <w:tc>
          <w:tcPr>
            <w:tcW w:w="4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11,643</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7,584</w:t>
            </w:r>
          </w:p>
        </w:tc>
        <w:tc>
          <w:tcPr>
            <w:tcW w:w="80" w:type="dxa"/>
            <w:vAlign w:val="bottom"/>
            <w:shd w:val="clear" w:color="auto" w:fill="CFF0FC"/>
          </w:tcPr>
          <w:p>
            <w:pPr>
              <w:spacing w:after="0"/>
              <w:rPr>
                <w:sz w:val="18"/>
                <w:szCs w:val="18"/>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8"/>
                <w:szCs w:val="18"/>
                <w:color w:val="auto"/>
              </w:rPr>
              <w:t>Change in liability for warranties issued in period</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2,182</w:t>
            </w:r>
          </w:p>
        </w:tc>
        <w:tc>
          <w:tcPr>
            <w:tcW w:w="80" w:type="dxa"/>
            <w:vAlign w:val="bottom"/>
          </w:tcPr>
          <w:p>
            <w:pPr>
              <w:spacing w:after="0"/>
              <w:rPr>
                <w:sz w:val="18"/>
                <w:szCs w:val="18"/>
                <w:color w:val="auto"/>
              </w:rPr>
            </w:pPr>
          </w:p>
        </w:tc>
      </w:tr>
      <w:tr>
        <w:trPr>
          <w:trHeight w:val="215"/>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Settlements made (in cash or in kind) during the</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84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period</w:t>
            </w:r>
          </w:p>
        </w:tc>
        <w:tc>
          <w:tcPr>
            <w:tcW w:w="2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(1,123)</w:t>
            </w:r>
          </w:p>
        </w:tc>
        <w:tc>
          <w:tcPr>
            <w:tcW w:w="4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(1,316)</w:t>
            </w: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11,722</w:t>
            </w:r>
          </w:p>
        </w:tc>
        <w:tc>
          <w:tcPr>
            <w:tcW w:w="2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8,450</w:t>
            </w:r>
          </w:p>
        </w:tc>
        <w:tc>
          <w:tcPr>
            <w:tcW w:w="8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85" w:lineRule="exact"/>
        <w:rPr>
          <w:sz w:val="20"/>
          <w:szCs w:val="20"/>
          <w:color w:val="auto"/>
        </w:rPr>
      </w:pPr>
    </w:p>
    <w:p>
      <w:pPr>
        <w:ind w:right="260" w:firstLine="510"/>
        <w:spacing w:after="0" w:line="238" w:lineRule="auto"/>
        <w:rPr>
          <w:sz w:val="20"/>
          <w:szCs w:val="20"/>
          <w:color w:val="auto"/>
        </w:rPr>
      </w:pPr>
      <w:r>
        <w:rPr>
          <w:rFonts w:ascii="Arial" w:cs="Arial" w:eastAsia="Arial" w:hAnsi="Arial"/>
          <w:sz w:val="18"/>
          <w:szCs w:val="18"/>
          <w:color w:val="auto"/>
        </w:rPr>
        <w:t>In July 2016, the Company entered into two separate agreements with The Boeing Company (Boeing) for the construction and purchase of the Company’s first two ViaSat-3 class satellites and the integration of Viasat’s payload technologies into the satellites. In July 2019, the Company entered into an agreement with Boeing for the construction and purchase of a third ViaSat-3 class satellite and the integration of Viasat’s payload technologies into the satellite.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49"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years 2019 or 2020. As of June 30, 2020, the DCAA had completed its incurred cost audit for fiscal years 2004 and 2016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2018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June 30, 2020 and March 31, 2020, the Company had $7.8 million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85" w:lineRule="exact"/>
        <w:rPr>
          <w:sz w:val="20"/>
          <w:szCs w:val="20"/>
          <w:color w:val="auto"/>
        </w:rPr>
      </w:pPr>
    </w:p>
    <w:p>
      <w:pPr>
        <w:ind w:right="100" w:firstLine="510"/>
        <w:spacing w:after="0" w:line="236" w:lineRule="auto"/>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(discrete method) for the year-to-date period. The Company’s effective tax rate is highly influenced by the amount of its R&amp;D tax credits. A small change in estimated annual pretax income (loss) can produce a significant variance in the annual effective tax rate given the Company’s expected amount of R&amp;D tax credits. This variability provides an unreliable estimate of the annual effective tax rate. As a result, and in accordance with the authoritative guidance for accounting for income taxes in interim periods, the Company has computed its provision for income taxes for the three months ended June 30, 2020 by applying the actual effective tax rate to the year-to-date loss for the three-month period.</w:t>
      </w:r>
    </w:p>
    <w:p>
      <w:pPr>
        <w:spacing w:after="0" w:line="154" w:lineRule="exact"/>
        <w:rPr>
          <w:sz w:val="20"/>
          <w:szCs w:val="20"/>
          <w:color w:val="auto"/>
        </w:rPr>
      </w:pPr>
    </w:p>
    <w:p>
      <w:pPr>
        <w:ind w:right="60" w:firstLine="510"/>
        <w:spacing w:after="0"/>
        <w:rPr>
          <w:sz w:val="20"/>
          <w:szCs w:val="20"/>
          <w:color w:val="auto"/>
        </w:rPr>
      </w:pPr>
      <w:r>
        <w:rPr>
          <w:rFonts w:ascii="Arial" w:cs="Arial" w:eastAsia="Arial" w:hAnsi="Arial"/>
          <w:sz w:val="18"/>
          <w:szCs w:val="18"/>
          <w:color w:val="auto"/>
        </w:rPr>
        <w:t>For the three months ended June 30, 2020, the Company recorded an income tax benefit of $5.7 million resulting in an effective tax benefit rate of 39%. The effective tax benefit rate for the period differed from the U.S. statutory rate due primarily to the benefit of federal and state R&amp;D tax credits.</w:t>
      </w:r>
    </w:p>
    <w:p>
      <w:pPr>
        <w:spacing w:after="0" w:line="149" w:lineRule="exact"/>
        <w:rPr>
          <w:sz w:val="20"/>
          <w:szCs w:val="20"/>
          <w:color w:val="auto"/>
        </w:rPr>
      </w:pPr>
    </w:p>
    <w:p>
      <w:pPr>
        <w:ind w:right="60" w:firstLine="510"/>
        <w:spacing w:after="0"/>
        <w:rPr>
          <w:sz w:val="20"/>
          <w:szCs w:val="20"/>
          <w:color w:val="auto"/>
        </w:rPr>
      </w:pPr>
      <w:r>
        <w:rPr>
          <w:rFonts w:ascii="Arial" w:cs="Arial" w:eastAsia="Arial" w:hAnsi="Arial"/>
          <w:sz w:val="18"/>
          <w:szCs w:val="18"/>
          <w:color w:val="auto"/>
        </w:rPr>
        <w:t>For the three months ended June 30, 2019, the Company recorded an income tax benefit of $7.2 million resulting in an effective tax benefit rate of 39%. The effective tax benefit rate for the period differed from the U.S. statutory rate due primarily to the benefit of federal and state R&amp;D tax credits.</w:t>
      </w:r>
    </w:p>
    <w:p>
      <w:pPr>
        <w:spacing w:after="0" w:line="149"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180" w:firstLine="510"/>
        <w:spacing w:after="0" w:line="246" w:lineRule="auto"/>
        <w:rPr>
          <w:sz w:val="20"/>
          <w:szCs w:val="20"/>
          <w:color w:val="auto"/>
        </w:rPr>
      </w:pPr>
      <w:r>
        <w:rPr>
          <w:rFonts w:ascii="Arial" w:cs="Arial" w:eastAsia="Arial" w:hAnsi="Arial"/>
          <w:sz w:val="18"/>
          <w:szCs w:val="18"/>
          <w:color w:val="auto"/>
        </w:rPr>
        <w:t>For the three months ended June 30, 2020, the Company’s gross unrecognized tax benefits increased by $3.2 million. In the next 12 months it is reasonably possible that the amount of unrecognized tax benefits will not change significantly.</w:t>
      </w:r>
    </w:p>
    <w:p>
      <w:pPr>
        <w:spacing w:after="0" w:line="188" w:lineRule="exact"/>
        <w:rPr>
          <w:sz w:val="20"/>
          <w:szCs w:val="20"/>
          <w:color w:val="auto"/>
        </w:rPr>
      </w:pPr>
    </w:p>
    <w:p>
      <w:pPr>
        <w:ind w:right="5200"/>
        <w:spacing w:after="0" w:line="333" w:lineRule="auto"/>
        <w:rPr>
          <w:sz w:val="20"/>
          <w:szCs w:val="20"/>
          <w:color w:val="auto"/>
        </w:rPr>
      </w:pPr>
      <w:r>
        <w:rPr>
          <w:rFonts w:ascii="Arial" w:cs="Arial" w:eastAsia="Arial" w:hAnsi="Arial"/>
          <w:sz w:val="18"/>
          <w:szCs w:val="18"/>
          <w:b w:val="1"/>
          <w:bCs w:val="1"/>
          <w:color w:val="auto"/>
        </w:rPr>
        <w:t xml:space="preserve">Note 11 — Equity Method Investments and Related-Party Transactions </w:t>
      </w:r>
      <w:r>
        <w:rPr>
          <w:rFonts w:ascii="Arial" w:cs="Arial" w:eastAsia="Arial" w:hAnsi="Arial"/>
          <w:sz w:val="18"/>
          <w:szCs w:val="18"/>
          <w:b w:val="1"/>
          <w:bCs w:val="1"/>
          <w:i w:val="1"/>
          <w:iCs w:val="1"/>
          <w:color w:val="auto"/>
        </w:rPr>
        <w:t>Eutelsat strategic partnering arrangement</w:t>
      </w:r>
    </w:p>
    <w:p>
      <w:pPr>
        <w:spacing w:after="0" w:line="1"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In March 2017, the Company acquired a 49% interest in Euro Broadband Infrastructure Sàrl (Euro Infrastructure Co.) for $139.5 million as part of the consummation of the Company’s strategic partnering arrangement with Eutelsat. The Company’s investment in Euro Infrastructure Co. is accounted for under the equity method and the total investment, including basis difference allocated to tangible assets, identifiable intangible assets, deferred income taxes and goodwill, is classified as a single line item, as an investment in unconsolidated affiliate, on the Company’s condensed consolidated balance sheets. Because the underlying net assets in Euro Infrastructure Co. and the related excess carrying value of investment over the proportionate share of net assets are denominated in Euros, foreign currency translation gains or losses impact the recorded value of the Company’s investment. The Company recorded foreign currency translation losses, net of tax, of approximately $1.4 million and $2.5 million for the three months ended June 30, 2020 and 2019, respectively, in accumulated other comprehensive income (loss). The Company records its proportionate share of the results of Euro Infrastructure Co., and any related basis difference amortization expense, within equity in income (loss) of unconsolidated affiliate, net, one quarter in arrears. Accordingly, the Company included its share of the results of Euro Infrastructure Co. for the three months ended March 31, 2020 and March 31, 2019 in its condensed consolidated financial statements for the three months ended June 30, 2020 and 2019, respectively. The Company’s investment in Euro Infrastructure Co. is presented at cost of investment plus its accumulated proportional share of income or loss, including amortization of the difference in the historical basis of the Company’s contribution, less any distributions it has received.</w:t>
      </w:r>
    </w:p>
    <w:p>
      <w:pPr>
        <w:spacing w:after="0" w:line="160"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The difference between the Company’s carrying value of its investment in Euro Infrastructure Co. and its proportionate share of the net assets of Euro Infrastructure Co. as of June 30, 2020 and March 31, 2020 is summarized as follows:</w:t>
      </w:r>
    </w:p>
    <w:p>
      <w:pPr>
        <w:spacing w:after="0" w:line="184"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5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2"/>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Carrying value of investment in Euro Infrastructure Co.</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158,714</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160,204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20"/>
                <w:szCs w:val="20"/>
                <w:color w:val="auto"/>
              </w:rPr>
            </w:pPr>
            <w:r>
              <w:rPr>
                <w:rFonts w:ascii="Arial" w:cs="Arial" w:eastAsia="Arial" w:hAnsi="Arial"/>
                <w:sz w:val="17"/>
                <w:szCs w:val="17"/>
                <w:color w:val="auto"/>
              </w:rPr>
              <w:t>Less: proportionate share of net assets of Euro</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0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Infrastructure Co.</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143,397</w:t>
            </w:r>
          </w:p>
        </w:tc>
        <w:tc>
          <w:tcPr>
            <w:tcW w:w="2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144,769</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shd w:val="clear" w:color="auto" w:fill="CFF0FC"/>
          </w:tcPr>
          <w:p>
            <w:pPr>
              <w:ind w:left="240"/>
              <w:spacing w:after="0" w:line="190" w:lineRule="exact"/>
              <w:rPr>
                <w:sz w:val="20"/>
                <w:szCs w:val="20"/>
                <w:color w:val="auto"/>
              </w:rPr>
            </w:pPr>
            <w:r>
              <w:rPr>
                <w:rFonts w:ascii="Arial" w:cs="Arial" w:eastAsia="Arial" w:hAnsi="Arial"/>
                <w:sz w:val="17"/>
                <w:szCs w:val="17"/>
                <w:color w:val="auto"/>
              </w:rPr>
              <w:t>Excess carrying value of investment over</w:t>
            </w: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7"/>
                <w:szCs w:val="17"/>
                <w:color w:val="auto"/>
              </w:rPr>
              <w:t>proportionate share of net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15,317</w:t>
            </w: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15,435</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7"/>
                <w:szCs w:val="17"/>
                <w:color w:val="auto"/>
              </w:rPr>
              <w:t>The excess carrying value has been primarily</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Arial" w:cs="Arial" w:eastAsia="Arial" w:hAnsi="Arial"/>
                <w:sz w:val="17"/>
                <w:szCs w:val="17"/>
                <w:color w:val="auto"/>
              </w:rPr>
              <w:t>assigned to:</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Goodwill</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21,530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21,777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240"/>
              <w:spacing w:after="0"/>
              <w:rPr>
                <w:sz w:val="20"/>
                <w:szCs w:val="20"/>
                <w:color w:val="auto"/>
              </w:rPr>
            </w:pPr>
            <w:r>
              <w:rPr>
                <w:rFonts w:ascii="Arial" w:cs="Arial" w:eastAsia="Arial" w:hAnsi="Arial"/>
                <w:sz w:val="17"/>
                <w:szCs w:val="17"/>
                <w:color w:val="auto"/>
              </w:rPr>
              <w:t>Identifiable intangible assets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8,318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8,799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Tangible assets</w:t>
            </w: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(15,511)</w:t>
            </w: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(16,142)</w:t>
            </w:r>
          </w:p>
        </w:tc>
        <w:tc>
          <w:tcPr>
            <w:tcW w:w="0" w:type="dxa"/>
            <w:vAlign w:val="bottom"/>
          </w:tcPr>
          <w:p>
            <w:pPr>
              <w:spacing w:after="0"/>
              <w:rPr>
                <w:sz w:val="1"/>
                <w:szCs w:val="1"/>
                <w:color w:val="auto"/>
              </w:rPr>
            </w:pPr>
          </w:p>
        </w:tc>
      </w:tr>
      <w:tr>
        <w:trPr>
          <w:trHeight w:val="203"/>
        </w:trPr>
        <w:tc>
          <w:tcPr>
            <w:tcW w:w="50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Deferred income taxes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980</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1,001</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15,317</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15,435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firstLine="510"/>
        <w:spacing w:after="0" w:line="248" w:lineRule="auto"/>
        <w:rPr>
          <w:sz w:val="20"/>
          <w:szCs w:val="20"/>
          <w:color w:val="auto"/>
        </w:rPr>
      </w:pPr>
      <w:r>
        <w:rPr>
          <w:rFonts w:ascii="Arial" w:cs="Arial" w:eastAsia="Arial" w:hAnsi="Arial"/>
          <w:sz w:val="18"/>
          <w:szCs w:val="18"/>
          <w:color w:val="auto"/>
        </w:rPr>
        <w:t>The identifiable intangible assets have useful lives of up to 11 years and a weighted average useful life of approximately ten years, and tangible assets have useful lives of up to 11 years and a weighted average useful life of approximately 11 years. Goodwill is not deductible for tax purposes.</w:t>
      </w:r>
    </w:p>
    <w:p>
      <w:pPr>
        <w:spacing w:after="0" w:line="141" w:lineRule="exact"/>
        <w:rPr>
          <w:sz w:val="20"/>
          <w:szCs w:val="20"/>
          <w:color w:val="auto"/>
        </w:rPr>
      </w:pPr>
    </w:p>
    <w:p>
      <w:pPr>
        <w:ind w:right="60" w:firstLine="510"/>
        <w:spacing w:after="0"/>
        <w:rPr>
          <w:sz w:val="20"/>
          <w:szCs w:val="20"/>
          <w:color w:val="auto"/>
        </w:rPr>
      </w:pPr>
      <w:r>
        <w:rPr>
          <w:rFonts w:ascii="Arial" w:cs="Arial" w:eastAsia="Arial" w:hAnsi="Arial"/>
          <w:sz w:val="18"/>
          <w:szCs w:val="18"/>
          <w:color w:val="auto"/>
        </w:rPr>
        <w:t>The Company’s share of income on its investment in Euro Infrastructure Co. was an insignificant amount and $1.4 million for the three months ended June 30, 2020 and 2019, respectively, consisting of the Company’s share of equity in Euro Infrastructure Co.’s income, including amortization of the difference in the historical basis of the Company’s contribution.</w:t>
      </w:r>
    </w:p>
    <w:p>
      <w:pPr>
        <w:spacing w:after="0" w:line="149" w:lineRule="exact"/>
        <w:rPr>
          <w:sz w:val="20"/>
          <w:szCs w:val="20"/>
          <w:color w:val="auto"/>
        </w:rPr>
      </w:pPr>
    </w:p>
    <w:p>
      <w:pPr>
        <w:ind w:right="300" w:firstLine="510"/>
        <w:spacing w:after="0" w:line="246" w:lineRule="auto"/>
        <w:rPr>
          <w:sz w:val="20"/>
          <w:szCs w:val="20"/>
          <w:color w:val="auto"/>
        </w:rPr>
      </w:pPr>
      <w:r>
        <w:rPr>
          <w:rFonts w:ascii="Arial" w:cs="Arial" w:eastAsia="Arial" w:hAnsi="Arial"/>
          <w:sz w:val="18"/>
          <w:szCs w:val="18"/>
          <w:color w:val="auto"/>
        </w:rPr>
        <w:t>Since acquiring its interest in Euro Infrastructure Co., the Company has recorded $11.1 million in retained earnings of undistributed cumulative earnings in equity interests, net of tax, as of June 30, 2020.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99" w:lineRule="exact"/>
        <w:rPr>
          <w:sz w:val="20"/>
          <w:szCs w:val="20"/>
          <w:color w:val="auto"/>
        </w:rPr>
      </w:pPr>
    </w:p>
    <w:p>
      <w:pPr>
        <w:jc w:val="both"/>
        <w:ind w:right="380" w:firstLine="510"/>
        <w:spacing w:after="0"/>
        <w:rPr>
          <w:sz w:val="20"/>
          <w:szCs w:val="20"/>
          <w:color w:val="auto"/>
        </w:rPr>
      </w:pPr>
      <w:r>
        <w:rPr>
          <w:rFonts w:ascii="Arial" w:cs="Arial" w:eastAsia="Arial" w:hAnsi="Arial"/>
          <w:sz w:val="18"/>
          <w:szCs w:val="18"/>
          <w:color w:val="auto"/>
        </w:rPr>
        <w:t>Transactions with the equity method investee are considered related-party transactions. The following tables set forth the material related-party transactions entered into between Euro Infrastructure Co. and its subsidiaries, on the one hand, and the Company and its subsidiaries, on the other hand, in the ordinary course of business for the time periods presented:</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2"/>
          </w:tcPr>
          <w:p>
            <w:pPr>
              <w:jc w:val="center"/>
              <w:ind w:right="13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6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June 30, 2020</w:t>
            </w:r>
          </w:p>
        </w:tc>
        <w:tc>
          <w:tcPr>
            <w:tcW w:w="13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4"/>
                <w:szCs w:val="14"/>
                <w:color w:val="auto"/>
              </w:rPr>
            </w:pPr>
          </w:p>
        </w:tc>
      </w:tr>
      <w:tr>
        <w:trPr>
          <w:trHeight w:val="169"/>
        </w:trPr>
        <w:tc>
          <w:tcPr>
            <w:tcW w:w="6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Revenue – Euro Infrastructure Co.</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center"/>
              <w:ind w:left="1098"/>
              <w:spacing w:after="0"/>
              <w:rPr>
                <w:sz w:val="20"/>
                <w:szCs w:val="20"/>
                <w:color w:val="auto"/>
              </w:rPr>
            </w:pPr>
            <w:r>
              <w:rPr>
                <w:rFonts w:ascii="Arial" w:cs="Arial" w:eastAsia="Arial" w:hAnsi="Arial"/>
                <w:sz w:val="18"/>
                <w:szCs w:val="18"/>
                <w:color w:val="auto"/>
              </w:rPr>
              <w:t>*   $</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3,753</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Expense – Euro Infrastructure Co.</w:t>
            </w:r>
          </w:p>
        </w:tc>
        <w:tc>
          <w:tcPr>
            <w:tcW w:w="200" w:type="dxa"/>
            <w:vAlign w:val="bottom"/>
          </w:tcPr>
          <w:p>
            <w:pPr>
              <w:spacing w:after="0"/>
              <w:rPr>
                <w:sz w:val="18"/>
                <w:szCs w:val="18"/>
                <w:color w:val="auto"/>
              </w:rPr>
            </w:pPr>
          </w:p>
        </w:tc>
        <w:tc>
          <w:tcPr>
            <w:tcW w:w="1860" w:type="dxa"/>
            <w:vAlign w:val="bottom"/>
          </w:tcPr>
          <w:p>
            <w:pPr>
              <w:jc w:val="right"/>
              <w:ind w:right="398"/>
              <w:spacing w:after="0"/>
              <w:rPr>
                <w:sz w:val="20"/>
                <w:szCs w:val="20"/>
                <w:color w:val="auto"/>
              </w:rPr>
            </w:pPr>
            <w:r>
              <w:rPr>
                <w:rFonts w:ascii="Arial" w:cs="Arial" w:eastAsia="Arial" w:hAnsi="Arial"/>
                <w:sz w:val="18"/>
                <w:szCs w:val="18"/>
                <w:color w:val="auto"/>
              </w:rPr>
              <w:t>4,164</w:t>
            </w:r>
          </w:p>
        </w:tc>
        <w:tc>
          <w:tcPr>
            <w:tcW w:w="1380" w:type="dxa"/>
            <w:vAlign w:val="bottom"/>
          </w:tcPr>
          <w:p>
            <w:pPr>
              <w:jc w:val="right"/>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Cash received – Euro Infrastructure Co.</w:t>
            </w:r>
          </w:p>
        </w:tc>
        <w:tc>
          <w:tcPr>
            <w:tcW w:w="20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98"/>
              <w:spacing w:after="0"/>
              <w:rPr>
                <w:sz w:val="20"/>
                <w:szCs w:val="20"/>
                <w:color w:val="auto"/>
              </w:rPr>
            </w:pPr>
            <w:r>
              <w:rPr>
                <w:rFonts w:ascii="Arial" w:cs="Arial" w:eastAsia="Arial" w:hAnsi="Arial"/>
                <w:sz w:val="18"/>
                <w:szCs w:val="18"/>
                <w:color w:val="auto"/>
              </w:rPr>
              <w:t>3,402</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Cash paid – Euro Infrastructure Co.</w:t>
            </w:r>
          </w:p>
        </w:tc>
        <w:tc>
          <w:tcPr>
            <w:tcW w:w="200" w:type="dxa"/>
            <w:vAlign w:val="bottom"/>
          </w:tcPr>
          <w:p>
            <w:pPr>
              <w:spacing w:after="0"/>
              <w:rPr>
                <w:sz w:val="19"/>
                <w:szCs w:val="19"/>
                <w:color w:val="auto"/>
              </w:rPr>
            </w:pPr>
          </w:p>
        </w:tc>
        <w:tc>
          <w:tcPr>
            <w:tcW w:w="1860" w:type="dxa"/>
            <w:vAlign w:val="bottom"/>
          </w:tcPr>
          <w:p>
            <w:pPr>
              <w:jc w:val="right"/>
              <w:ind w:right="398"/>
              <w:spacing w:after="0"/>
              <w:rPr>
                <w:sz w:val="20"/>
                <w:szCs w:val="20"/>
                <w:color w:val="auto"/>
              </w:rPr>
            </w:pPr>
            <w:r>
              <w:rPr>
                <w:rFonts w:ascii="Arial" w:cs="Arial" w:eastAsia="Arial" w:hAnsi="Arial"/>
                <w:sz w:val="18"/>
                <w:szCs w:val="18"/>
                <w:color w:val="auto"/>
              </w:rPr>
              <w:t>8,194</w:t>
            </w:r>
          </w:p>
        </w:tc>
        <w:tc>
          <w:tcPr>
            <w:tcW w:w="1380" w:type="dxa"/>
            <w:vAlign w:val="bottom"/>
          </w:tcPr>
          <w:p>
            <w:pPr>
              <w:jc w:val="right"/>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19"/>
                <w:szCs w:val="19"/>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581"/>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1220" w:type="dxa"/>
            <w:vAlign w:val="bottom"/>
            <w:gridSpan w:val="2"/>
          </w:tcPr>
          <w:p>
            <w:pPr>
              <w:ind w:left="320"/>
              <w:spacing w:after="0"/>
              <w:rPr>
                <w:sz w:val="20"/>
                <w:szCs w:val="20"/>
                <w:color w:val="auto"/>
              </w:rPr>
            </w:pPr>
            <w:r>
              <w:rPr>
                <w:rFonts w:ascii="Arial" w:cs="Arial" w:eastAsia="Arial" w:hAnsi="Arial"/>
                <w:sz w:val="14"/>
                <w:szCs w:val="14"/>
                <w:b w:val="1"/>
                <w:bCs w:val="1"/>
                <w:color w:val="auto"/>
              </w:rPr>
              <w:t>As of</w:t>
            </w:r>
          </w:p>
        </w:tc>
      </w:tr>
      <w:tr>
        <w:trPr>
          <w:trHeight w:val="175"/>
        </w:trPr>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Pr>
          <w:p>
            <w:pPr>
              <w:spacing w:after="0"/>
              <w:rPr>
                <w:sz w:val="15"/>
                <w:szCs w:val="15"/>
                <w:color w:val="auto"/>
              </w:rPr>
            </w:pPr>
          </w:p>
        </w:tc>
      </w:tr>
      <w:tr>
        <w:trPr>
          <w:trHeight w:val="169"/>
        </w:trPr>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gridSpan w:val="4"/>
          </w:tcPr>
          <w:p>
            <w:pPr>
              <w:ind w:left="800"/>
              <w:spacing w:after="0"/>
              <w:rPr>
                <w:sz w:val="20"/>
                <w:szCs w:val="20"/>
                <w:color w:val="auto"/>
              </w:rPr>
            </w:pPr>
            <w:r>
              <w:rPr>
                <w:rFonts w:ascii="Arial" w:cs="Arial" w:eastAsia="Arial" w:hAnsi="Arial"/>
                <w:sz w:val="14"/>
                <w:szCs w:val="14"/>
                <w:b w:val="1"/>
                <w:bCs w:val="1"/>
                <w:color w:val="auto"/>
              </w:rPr>
              <w:t>(In thousands)</w:t>
            </w:r>
          </w:p>
        </w:tc>
      </w:tr>
      <w:tr>
        <w:trPr>
          <w:trHeight w:val="215"/>
        </w:trPr>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Collections in excess of revenues and deferred</w:t>
            </w: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4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revenues – Euro Infrastructure Co.</w:t>
            </w:r>
          </w:p>
        </w:tc>
        <w:tc>
          <w:tcPr>
            <w:tcW w:w="128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41"/>
              <w:spacing w:after="0" w:line="203" w:lineRule="exact"/>
              <w:rPr>
                <w:sz w:val="20"/>
                <w:szCs w:val="20"/>
                <w:color w:val="auto"/>
              </w:rPr>
            </w:pPr>
            <w:r>
              <w:rPr>
                <w:rFonts w:ascii="Arial" w:cs="Arial" w:eastAsia="Arial" w:hAnsi="Arial"/>
                <w:sz w:val="18"/>
                <w:szCs w:val="18"/>
                <w:color w:val="auto"/>
              </w:rPr>
              <w:t>8,662</w:t>
            </w:r>
          </w:p>
        </w:tc>
        <w:tc>
          <w:tcPr>
            <w:tcW w:w="2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5,832</w:t>
            </w:r>
          </w:p>
        </w:tc>
        <w:tc>
          <w:tcPr>
            <w:tcW w:w="80" w:type="dxa"/>
            <w:vAlign w:val="bottom"/>
            <w:shd w:val="clear" w:color="auto" w:fill="CFF0FC"/>
          </w:tcPr>
          <w:p>
            <w:pPr>
              <w:spacing w:after="0"/>
              <w:rPr>
                <w:sz w:val="17"/>
                <w:szCs w:val="17"/>
                <w:color w:val="auto"/>
              </w:rPr>
            </w:pPr>
          </w:p>
        </w:tc>
      </w:tr>
      <w:tr>
        <w:trPr>
          <w:trHeight w:val="230"/>
        </w:trPr>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900" w:type="dxa"/>
            <w:vAlign w:val="bottom"/>
            <w:gridSpan w:val="2"/>
          </w:tcPr>
          <w:p>
            <w:pPr>
              <w:ind w:left="60"/>
              <w:spacing w:after="0"/>
              <w:rPr>
                <w:sz w:val="20"/>
                <w:szCs w:val="20"/>
                <w:color w:val="auto"/>
              </w:rPr>
            </w:pPr>
            <w:r>
              <w:rPr>
                <w:rFonts w:ascii="Arial" w:cs="Arial" w:eastAsia="Arial" w:hAnsi="Arial"/>
                <w:sz w:val="18"/>
                <w:szCs w:val="18"/>
                <w:color w:val="auto"/>
              </w:rPr>
              <w:t>Accounts payable – Euro Infrastructure Co.</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41"/>
              <w:spacing w:after="0"/>
              <w:rPr>
                <w:sz w:val="20"/>
                <w:szCs w:val="20"/>
                <w:color w:val="auto"/>
              </w:rPr>
            </w:pPr>
            <w:r>
              <w:rPr>
                <w:rFonts w:ascii="Arial" w:cs="Arial" w:eastAsia="Arial" w:hAnsi="Arial"/>
                <w:sz w:val="18"/>
                <w:szCs w:val="18"/>
                <w:color w:val="auto"/>
              </w:rPr>
              <w:t>1,416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5,446</w:t>
            </w:r>
          </w:p>
        </w:tc>
        <w:tc>
          <w:tcPr>
            <w:tcW w:w="80" w:type="dxa"/>
            <w:vAlign w:val="bottom"/>
          </w:tcPr>
          <w:p>
            <w:pPr>
              <w:spacing w:after="0"/>
              <w:rPr>
                <w:sz w:val="19"/>
                <w:szCs w:val="19"/>
                <w:color w:val="auto"/>
              </w:rPr>
            </w:pPr>
          </w:p>
        </w:tc>
      </w:tr>
      <w:tr>
        <w:trPr>
          <w:trHeight w:val="108"/>
        </w:trPr>
        <w:tc>
          <w:tcPr>
            <w:tcW w:w="4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900" w:type="dxa"/>
            <w:vAlign w:val="bottom"/>
            <w:gridSpan w:val="2"/>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64"/>
        </w:trPr>
        <w:tc>
          <w:tcPr>
            <w:tcW w:w="400" w:type="dxa"/>
            <w:vAlign w:val="bottom"/>
          </w:tcPr>
          <w:p>
            <w:pPr>
              <w:jc w:val="right"/>
              <w:ind w:right="230"/>
              <w:spacing w:after="0"/>
              <w:rPr>
                <w:sz w:val="20"/>
                <w:szCs w:val="20"/>
                <w:color w:val="auto"/>
              </w:rPr>
            </w:pPr>
            <w:r>
              <w:rPr>
                <w:rFonts w:ascii="Arial" w:cs="Arial" w:eastAsia="Arial" w:hAnsi="Arial"/>
                <w:sz w:val="18"/>
                <w:szCs w:val="18"/>
                <w:color w:val="auto"/>
                <w:w w:val="84"/>
              </w:rPr>
              <w:t>*</w:t>
            </w:r>
          </w:p>
        </w:tc>
        <w:tc>
          <w:tcPr>
            <w:tcW w:w="5580" w:type="dxa"/>
            <w:vAlign w:val="bottom"/>
            <w:gridSpan w:val="3"/>
          </w:tcPr>
          <w:p>
            <w:pPr>
              <w:ind w:left="320"/>
              <w:spacing w:after="0"/>
              <w:rPr>
                <w:sz w:val="20"/>
                <w:szCs w:val="20"/>
                <w:color w:val="auto"/>
              </w:rPr>
            </w:pPr>
            <w:r>
              <w:rPr>
                <w:rFonts w:ascii="Arial" w:cs="Arial" w:eastAsia="Arial" w:hAnsi="Arial"/>
                <w:sz w:val="18"/>
                <w:szCs w:val="18"/>
                <w:color w:val="auto"/>
              </w:rPr>
              <w:t>Amount was insignificant.</w:t>
            </w: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9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residential customers, Community Internet hotspot users, enterprises, commercial airlines and other mobile broadband customers. The Company’s commercial networks segment develops and offers advanced satellite and wireless broadband platforms, ground networking equipment, radio frequency and advanced microwave solutions, Application-Specific Integrated Circuit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internet protocol-based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revenues and operating profits (losses) for the three months ended June 30, 2020 and 2019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6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606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June 30, 2020</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June 30, 2019</w:t>
            </w:r>
          </w:p>
        </w:tc>
      </w:tr>
      <w:tr>
        <w:trPr>
          <w:trHeight w:val="169"/>
        </w:trPr>
        <w:tc>
          <w:tcPr>
            <w:tcW w:w="606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060" w:type="dxa"/>
            <w:vAlign w:val="bottom"/>
          </w:tcPr>
          <w:p>
            <w:pPr>
              <w:ind w:left="260"/>
              <w:spacing w:after="0"/>
              <w:rPr>
                <w:sz w:val="20"/>
                <w:szCs w:val="20"/>
                <w:color w:val="auto"/>
              </w:rPr>
            </w:pPr>
            <w:r>
              <w:rPr>
                <w:rFonts w:ascii="Arial" w:cs="Arial" w:eastAsia="Arial" w:hAnsi="Arial"/>
                <w:sz w:val="18"/>
                <w:szCs w:val="18"/>
                <w:color w:val="auto"/>
              </w:rPr>
              <w:t>Satellite services</w:t>
            </w:r>
          </w:p>
        </w:tc>
        <w:tc>
          <w:tcPr>
            <w:tcW w:w="1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680" w:type="dxa"/>
            <w:vAlign w:val="bottom"/>
            <w:shd w:val="clear" w:color="auto" w:fill="CFF0FC"/>
          </w:tcPr>
          <w:p>
            <w:pPr>
              <w:jc w:val="right"/>
              <w:ind w:right="1494"/>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201,984</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196,815</w:t>
            </w:r>
          </w:p>
        </w:tc>
        <w:tc>
          <w:tcPr>
            <w:tcW w:w="120" w:type="dxa"/>
            <w:vAlign w:val="bottom"/>
            <w:tcBorders>
              <w:bottom w:val="single" w:sz="8" w:color="CFF0FC"/>
            </w:tcBorders>
          </w:tcPr>
          <w:p>
            <w:pPr>
              <w:spacing w:after="0"/>
              <w:rPr>
                <w:sz w:val="18"/>
                <w:szCs w:val="18"/>
                <w:color w:val="auto"/>
              </w:rPr>
            </w:pPr>
          </w:p>
        </w:tc>
      </w:tr>
      <w:tr>
        <w:trPr>
          <w:trHeight w:val="210"/>
        </w:trPr>
        <w:tc>
          <w:tcPr>
            <w:tcW w:w="60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201,984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196,815</w:t>
            </w:r>
          </w:p>
        </w:tc>
        <w:tc>
          <w:tcPr>
            <w:tcW w:w="120" w:type="dxa"/>
            <w:vAlign w:val="bottom"/>
            <w:shd w:val="clear" w:color="auto" w:fill="CFF0FC"/>
          </w:tcPr>
          <w:p>
            <w:pPr>
              <w:spacing w:after="0"/>
              <w:rPr>
                <w:sz w:val="18"/>
                <w:szCs w:val="18"/>
                <w:color w:val="auto"/>
              </w:rPr>
            </w:pPr>
          </w:p>
        </w:tc>
      </w:tr>
      <w:tr>
        <w:trPr>
          <w:trHeight w:val="216"/>
        </w:trPr>
        <w:tc>
          <w:tcPr>
            <w:tcW w:w="6060" w:type="dxa"/>
            <w:vAlign w:val="bottom"/>
          </w:tcPr>
          <w:p>
            <w:pPr>
              <w:ind w:left="260"/>
              <w:spacing w:after="0"/>
              <w:rPr>
                <w:sz w:val="20"/>
                <w:szCs w:val="20"/>
                <w:color w:val="auto"/>
              </w:rPr>
            </w:pPr>
            <w:r>
              <w:rPr>
                <w:rFonts w:ascii="Arial" w:cs="Arial" w:eastAsia="Arial" w:hAnsi="Arial"/>
                <w:sz w:val="18"/>
                <w:szCs w:val="18"/>
                <w:color w:val="auto"/>
              </w:rPr>
              <w:t>Commercial networks</w:t>
            </w:r>
          </w:p>
        </w:tc>
        <w:tc>
          <w:tcPr>
            <w:tcW w:w="1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6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55,119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64,901</w:t>
            </w:r>
          </w:p>
        </w:tc>
        <w:tc>
          <w:tcPr>
            <w:tcW w:w="120" w:type="dxa"/>
            <w:vAlign w:val="bottom"/>
            <w:shd w:val="clear" w:color="auto" w:fill="CFF0FC"/>
          </w:tcPr>
          <w:p>
            <w:pPr>
              <w:spacing w:after="0"/>
              <w:rPr>
                <w:sz w:val="18"/>
                <w:szCs w:val="18"/>
                <w:color w:val="auto"/>
              </w:rPr>
            </w:pPr>
          </w:p>
        </w:tc>
      </w:tr>
      <w:tr>
        <w:trPr>
          <w:trHeight w:val="216"/>
        </w:trPr>
        <w:tc>
          <w:tcPr>
            <w:tcW w:w="6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12,043</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14,111</w:t>
            </w:r>
          </w:p>
        </w:tc>
        <w:tc>
          <w:tcPr>
            <w:tcW w:w="120" w:type="dxa"/>
            <w:vAlign w:val="bottom"/>
            <w:tcBorders>
              <w:bottom w:val="single" w:sz="8" w:color="CFF0FC"/>
            </w:tcBorders>
          </w:tcPr>
          <w:p>
            <w:pPr>
              <w:spacing w:after="0"/>
              <w:rPr>
                <w:sz w:val="18"/>
                <w:szCs w:val="18"/>
                <w:color w:val="auto"/>
              </w:rPr>
            </w:pPr>
          </w:p>
        </w:tc>
      </w:tr>
      <w:tr>
        <w:trPr>
          <w:trHeight w:val="210"/>
        </w:trPr>
        <w:tc>
          <w:tcPr>
            <w:tcW w:w="60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67,162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79,012</w:t>
            </w:r>
          </w:p>
        </w:tc>
        <w:tc>
          <w:tcPr>
            <w:tcW w:w="120" w:type="dxa"/>
            <w:vAlign w:val="bottom"/>
            <w:shd w:val="clear" w:color="auto" w:fill="CFF0FC"/>
          </w:tcPr>
          <w:p>
            <w:pPr>
              <w:spacing w:after="0"/>
              <w:rPr>
                <w:sz w:val="18"/>
                <w:szCs w:val="18"/>
                <w:color w:val="auto"/>
              </w:rPr>
            </w:pPr>
          </w:p>
        </w:tc>
      </w:tr>
      <w:tr>
        <w:trPr>
          <w:trHeight w:val="216"/>
        </w:trPr>
        <w:tc>
          <w:tcPr>
            <w:tcW w:w="6060" w:type="dxa"/>
            <w:vAlign w:val="bottom"/>
          </w:tcPr>
          <w:p>
            <w:pPr>
              <w:ind w:left="260"/>
              <w:spacing w:after="0"/>
              <w:rPr>
                <w:sz w:val="20"/>
                <w:szCs w:val="20"/>
                <w:color w:val="auto"/>
              </w:rPr>
            </w:pPr>
            <w:r>
              <w:rPr>
                <w:rFonts w:ascii="Arial" w:cs="Arial" w:eastAsia="Arial" w:hAnsi="Arial"/>
                <w:sz w:val="18"/>
                <w:szCs w:val="18"/>
                <w:color w:val="auto"/>
              </w:rPr>
              <w:t>Government systems</w:t>
            </w:r>
          </w:p>
        </w:tc>
        <w:tc>
          <w:tcPr>
            <w:tcW w:w="1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6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195,515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198,714</w:t>
            </w:r>
          </w:p>
        </w:tc>
        <w:tc>
          <w:tcPr>
            <w:tcW w:w="120" w:type="dxa"/>
            <w:vAlign w:val="bottom"/>
            <w:shd w:val="clear" w:color="auto" w:fill="CFF0FC"/>
          </w:tcPr>
          <w:p>
            <w:pPr>
              <w:spacing w:after="0"/>
              <w:rPr>
                <w:sz w:val="18"/>
                <w:szCs w:val="18"/>
                <w:color w:val="auto"/>
              </w:rPr>
            </w:pPr>
          </w:p>
        </w:tc>
      </w:tr>
      <w:tr>
        <w:trPr>
          <w:trHeight w:val="216"/>
        </w:trPr>
        <w:tc>
          <w:tcPr>
            <w:tcW w:w="6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65,827</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62,496</w:t>
            </w:r>
          </w:p>
        </w:tc>
        <w:tc>
          <w:tcPr>
            <w:tcW w:w="120" w:type="dxa"/>
            <w:vAlign w:val="bottom"/>
            <w:tcBorders>
              <w:bottom w:val="single" w:sz="8" w:color="CFF0FC"/>
            </w:tcBorders>
          </w:tcPr>
          <w:p>
            <w:pPr>
              <w:spacing w:after="0"/>
              <w:rPr>
                <w:sz w:val="18"/>
                <w:szCs w:val="18"/>
                <w:color w:val="auto"/>
              </w:rPr>
            </w:pPr>
          </w:p>
        </w:tc>
      </w:tr>
      <w:tr>
        <w:trPr>
          <w:trHeight w:val="210"/>
        </w:trPr>
        <w:tc>
          <w:tcPr>
            <w:tcW w:w="60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261,342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261,210</w:t>
            </w:r>
          </w:p>
        </w:tc>
        <w:tc>
          <w:tcPr>
            <w:tcW w:w="120" w:type="dxa"/>
            <w:vAlign w:val="bottom"/>
            <w:shd w:val="clear" w:color="auto" w:fill="CFF0FC"/>
          </w:tcPr>
          <w:p>
            <w:pPr>
              <w:spacing w:after="0"/>
              <w:rPr>
                <w:sz w:val="18"/>
                <w:szCs w:val="18"/>
                <w:color w:val="auto"/>
              </w:rPr>
            </w:pPr>
          </w:p>
        </w:tc>
      </w:tr>
      <w:tr>
        <w:trPr>
          <w:trHeight w:val="216"/>
        </w:trPr>
        <w:tc>
          <w:tcPr>
            <w:tcW w:w="6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Elimination of intersegment revenues</w:t>
            </w:r>
          </w:p>
        </w:tc>
        <w:tc>
          <w:tcPr>
            <w:tcW w:w="1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r>
      <w:tr>
        <w:trPr>
          <w:trHeight w:val="209"/>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680" w:type="dxa"/>
            <w:vAlign w:val="bottom"/>
            <w:shd w:val="clear" w:color="auto" w:fill="CFF0FC"/>
          </w:tcPr>
          <w:p>
            <w:pPr>
              <w:jc w:val="right"/>
              <w:ind w:right="1494"/>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530,488</w:t>
            </w:r>
          </w:p>
        </w:tc>
        <w:tc>
          <w:tcPr>
            <w:tcW w:w="1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537,037</w:t>
            </w:r>
          </w:p>
        </w:tc>
        <w:tc>
          <w:tcPr>
            <w:tcW w:w="120" w:type="dxa"/>
            <w:vAlign w:val="bottom"/>
            <w:shd w:val="clear" w:color="auto" w:fill="CFF0FC"/>
          </w:tcPr>
          <w:p>
            <w:pPr>
              <w:spacing w:after="0"/>
              <w:rPr>
                <w:sz w:val="18"/>
                <w:szCs w:val="18"/>
                <w:color w:val="auto"/>
              </w:rPr>
            </w:pPr>
          </w:p>
        </w:tc>
      </w:tr>
      <w:tr>
        <w:trPr>
          <w:trHeight w:val="20"/>
        </w:trPr>
        <w:tc>
          <w:tcPr>
            <w:tcW w:w="606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197"/>
        </w:trPr>
        <w:tc>
          <w:tcPr>
            <w:tcW w:w="6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profits (losses):</w:t>
            </w:r>
          </w:p>
        </w:tc>
        <w:tc>
          <w:tcPr>
            <w:tcW w:w="1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060" w:type="dxa"/>
            <w:vAlign w:val="bottom"/>
          </w:tcPr>
          <w:p>
            <w:pPr>
              <w:ind w:left="260"/>
              <w:spacing w:after="0"/>
              <w:rPr>
                <w:sz w:val="20"/>
                <w:szCs w:val="20"/>
                <w:color w:val="auto"/>
              </w:rPr>
            </w:pPr>
            <w:r>
              <w:rPr>
                <w:rFonts w:ascii="Arial" w:cs="Arial" w:eastAsia="Arial" w:hAnsi="Arial"/>
                <w:sz w:val="18"/>
                <w:szCs w:val="18"/>
                <w:color w:val="auto"/>
              </w:rPr>
              <w:t>Satellite services</w:t>
            </w:r>
          </w:p>
        </w:tc>
        <w:tc>
          <w:tcPr>
            <w:tcW w:w="1680" w:type="dxa"/>
            <w:vAlign w:val="bottom"/>
          </w:tcPr>
          <w:p>
            <w:pPr>
              <w:jc w:val="right"/>
              <w:ind w:right="1494"/>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(1,857)</w:t>
            </w:r>
          </w:p>
        </w:tc>
        <w:tc>
          <w:tcPr>
            <w:tcW w:w="7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(2,070)</w:t>
            </w:r>
          </w:p>
        </w:tc>
      </w:tr>
      <w:tr>
        <w:trPr>
          <w:trHeight w:val="216"/>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networks</w:t>
            </w:r>
          </w:p>
        </w:tc>
        <w:tc>
          <w:tcPr>
            <w:tcW w:w="16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(51,394)</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(49,861)</w:t>
            </w:r>
          </w:p>
        </w:tc>
      </w:tr>
      <w:tr>
        <w:trPr>
          <w:trHeight w:val="216"/>
        </w:trPr>
        <w:tc>
          <w:tcPr>
            <w:tcW w:w="6060" w:type="dxa"/>
            <w:vAlign w:val="bottom"/>
          </w:tcPr>
          <w:p>
            <w:pPr>
              <w:ind w:left="260"/>
              <w:spacing w:after="0"/>
              <w:rPr>
                <w:sz w:val="20"/>
                <w:szCs w:val="20"/>
                <w:color w:val="auto"/>
              </w:rPr>
            </w:pPr>
            <w:r>
              <w:rPr>
                <w:rFonts w:ascii="Arial" w:cs="Arial" w:eastAsia="Arial" w:hAnsi="Arial"/>
                <w:sz w:val="18"/>
                <w:szCs w:val="18"/>
                <w:color w:val="auto"/>
              </w:rPr>
              <w:t>Government systems</w:t>
            </w:r>
          </w:p>
        </w:tc>
        <w:tc>
          <w:tcPr>
            <w:tcW w:w="1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49,495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45,903</w:t>
            </w:r>
          </w:p>
        </w:tc>
        <w:tc>
          <w:tcPr>
            <w:tcW w:w="120" w:type="dxa"/>
            <w:vAlign w:val="bottom"/>
          </w:tcPr>
          <w:p>
            <w:pPr>
              <w:spacing w:after="0"/>
              <w:rPr>
                <w:sz w:val="18"/>
                <w:szCs w:val="18"/>
                <w:color w:val="auto"/>
              </w:rPr>
            </w:pPr>
          </w:p>
        </w:tc>
      </w:tr>
      <w:tr>
        <w:trPr>
          <w:trHeight w:val="215"/>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Elimination of intersegment operating</w:t>
            </w:r>
          </w:p>
        </w:tc>
        <w:tc>
          <w:tcPr>
            <w:tcW w:w="1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606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profits</w:t>
            </w:r>
          </w:p>
        </w:tc>
        <w:tc>
          <w:tcPr>
            <w:tcW w:w="16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Segment operating loss before corporate</w:t>
            </w:r>
          </w:p>
        </w:tc>
        <w:tc>
          <w:tcPr>
            <w:tcW w:w="16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6060" w:type="dxa"/>
            <w:vAlign w:val="bottom"/>
          </w:tcPr>
          <w:p>
            <w:pPr>
              <w:ind w:left="100"/>
              <w:spacing w:after="0" w:line="202" w:lineRule="exact"/>
              <w:rPr>
                <w:sz w:val="20"/>
                <w:szCs w:val="20"/>
                <w:color w:val="auto"/>
              </w:rPr>
            </w:pPr>
            <w:r>
              <w:rPr>
                <w:rFonts w:ascii="Arial" w:cs="Arial" w:eastAsia="Arial" w:hAnsi="Arial"/>
                <w:sz w:val="18"/>
                <w:szCs w:val="18"/>
                <w:color w:val="auto"/>
              </w:rPr>
              <w:t>and amortization of acquired intangible</w:t>
            </w:r>
          </w:p>
        </w:tc>
        <w:tc>
          <w:tcPr>
            <w:tcW w:w="1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060" w:type="dxa"/>
            <w:vAlign w:val="bottom"/>
          </w:tcPr>
          <w:p>
            <w:pPr>
              <w:ind w:left="100"/>
              <w:spacing w:after="0" w:line="203" w:lineRule="exact"/>
              <w:rPr>
                <w:sz w:val="20"/>
                <w:szCs w:val="20"/>
                <w:color w:val="auto"/>
              </w:rPr>
            </w:pPr>
            <w:r>
              <w:rPr>
                <w:rFonts w:ascii="Arial" w:cs="Arial" w:eastAsia="Arial" w:hAnsi="Arial"/>
                <w:sz w:val="18"/>
                <w:szCs w:val="18"/>
                <w:color w:val="auto"/>
              </w:rPr>
              <w:t>assets</w:t>
            </w:r>
          </w:p>
        </w:tc>
        <w:tc>
          <w:tcPr>
            <w:tcW w:w="1680" w:type="dxa"/>
            <w:vAlign w:val="bottom"/>
          </w:tcPr>
          <w:p>
            <w:pPr>
              <w:spacing w:after="0"/>
              <w:rPr>
                <w:sz w:val="17"/>
                <w:szCs w:val="17"/>
                <w:color w:val="auto"/>
              </w:rPr>
            </w:pPr>
          </w:p>
        </w:tc>
        <w:tc>
          <w:tcPr>
            <w:tcW w:w="8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(3,756)</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(6,028)</w:t>
            </w:r>
          </w:p>
        </w:tc>
      </w:tr>
      <w:tr>
        <w:trPr>
          <w:trHeight w:val="216"/>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w:t>
            </w:r>
          </w:p>
        </w:tc>
        <w:tc>
          <w:tcPr>
            <w:tcW w:w="16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060" w:type="dxa"/>
            <w:vAlign w:val="bottom"/>
          </w:tcPr>
          <w:p>
            <w:pPr>
              <w:ind w:left="260"/>
              <w:spacing w:after="0"/>
              <w:rPr>
                <w:sz w:val="20"/>
                <w:szCs w:val="20"/>
                <w:color w:val="auto"/>
              </w:rPr>
            </w:pPr>
            <w:r>
              <w:rPr>
                <w:rFonts w:ascii="Arial" w:cs="Arial" w:eastAsia="Arial" w:hAnsi="Arial"/>
                <w:sz w:val="18"/>
                <w:szCs w:val="18"/>
                <w:color w:val="auto"/>
              </w:rPr>
              <w:t>Amortization of acquired intangible</w:t>
            </w:r>
          </w:p>
        </w:tc>
        <w:tc>
          <w:tcPr>
            <w:tcW w:w="1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6060" w:type="dxa"/>
            <w:vAlign w:val="bottom"/>
          </w:tcPr>
          <w:p>
            <w:pPr>
              <w:ind w:left="400"/>
              <w:spacing w:after="0" w:line="203" w:lineRule="exact"/>
              <w:rPr>
                <w:sz w:val="20"/>
                <w:szCs w:val="20"/>
                <w:color w:val="auto"/>
              </w:rPr>
            </w:pPr>
            <w:r>
              <w:rPr>
                <w:rFonts w:ascii="Arial" w:cs="Arial" w:eastAsia="Arial" w:hAnsi="Arial"/>
                <w:sz w:val="18"/>
                <w:szCs w:val="18"/>
                <w:color w:val="auto"/>
              </w:rPr>
              <w:t>assets</w:t>
            </w:r>
          </w:p>
        </w:tc>
        <w:tc>
          <w:tcPr>
            <w:tcW w:w="1680" w:type="dxa"/>
            <w:vAlign w:val="bottom"/>
          </w:tcPr>
          <w:p>
            <w:pPr>
              <w:spacing w:after="0"/>
              <w:rPr>
                <w:sz w:val="17"/>
                <w:szCs w:val="17"/>
                <w:color w:val="auto"/>
              </w:rPr>
            </w:pPr>
          </w:p>
        </w:tc>
        <w:tc>
          <w:tcPr>
            <w:tcW w:w="8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(1,558)</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(2,037)</w:t>
            </w:r>
          </w:p>
        </w:tc>
      </w:tr>
      <w:tr>
        <w:trPr>
          <w:trHeight w:val="20"/>
        </w:trPr>
        <w:tc>
          <w:tcPr>
            <w:tcW w:w="606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680" w:type="dxa"/>
            <w:vAlign w:val="bottom"/>
            <w:shd w:val="clear" w:color="auto" w:fill="CFF0FC"/>
          </w:tcPr>
          <w:p>
            <w:pPr>
              <w:jc w:val="right"/>
              <w:ind w:right="1494"/>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(5,314)</w:t>
            </w:r>
          </w:p>
        </w:tc>
        <w:tc>
          <w:tcPr>
            <w:tcW w:w="74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(8,065)</w:t>
            </w:r>
          </w:p>
        </w:tc>
      </w:tr>
      <w:tr>
        <w:trPr>
          <w:trHeight w:val="20"/>
        </w:trPr>
        <w:tc>
          <w:tcPr>
            <w:tcW w:w="606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220" w:firstLine="510"/>
        <w:spacing w:after="0" w:line="238"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June 30, 2020 and March 31, 2020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496"/>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340"/>
              <w:spacing w:after="0"/>
              <w:rPr>
                <w:sz w:val="20"/>
                <w:szCs w:val="20"/>
                <w:color w:val="auto"/>
              </w:rPr>
            </w:pPr>
            <w:r>
              <w:rPr>
                <w:rFonts w:ascii="Arial" w:cs="Arial" w:eastAsia="Arial" w:hAnsi="Arial"/>
                <w:sz w:val="14"/>
                <w:szCs w:val="14"/>
                <w:b w:val="1"/>
                <w:bCs w:val="1"/>
                <w:color w:val="auto"/>
              </w:rPr>
              <w:t>As of</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Segment assets:</w:t>
            </w:r>
          </w:p>
        </w:tc>
        <w:tc>
          <w:tcPr>
            <w:tcW w:w="2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Satellite services</w:t>
            </w:r>
          </w:p>
        </w:tc>
        <w:tc>
          <w:tcPr>
            <w:tcW w:w="2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79,180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86,252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networks</w:t>
            </w:r>
          </w:p>
        </w:tc>
        <w:tc>
          <w:tcPr>
            <w:tcW w:w="2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177,768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188,269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Government systems</w:t>
            </w:r>
          </w:p>
        </w:tc>
        <w:tc>
          <w:tcPr>
            <w:tcW w:w="27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460,086</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484,237</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segment assets</w:t>
            </w:r>
          </w:p>
        </w:tc>
        <w:tc>
          <w:tcPr>
            <w:tcW w:w="2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717,034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758,758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Corporate assets</w:t>
            </w:r>
          </w:p>
        </w:tc>
        <w:tc>
          <w:tcPr>
            <w:tcW w:w="27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4,187,340</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4,125,110</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4,904,374</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4,883,868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80" w:type="dxa"/>
            <w:vAlign w:val="bottom"/>
            <w:tcBorders>
              <w:top w:val="single" w:sz="8" w:color="CFF0FC"/>
            </w:tcBorders>
          </w:tcPr>
          <w:p>
            <w:pPr>
              <w:spacing w:after="0" w:line="20" w:lineRule="exact"/>
              <w:rPr>
                <w:sz w:val="1"/>
                <w:szCs w:val="1"/>
                <w:color w:val="auto"/>
              </w:rPr>
            </w:pPr>
          </w:p>
        </w:tc>
        <w:tc>
          <w:tcPr>
            <w:tcW w:w="2720" w:type="dxa"/>
            <w:vAlign w:val="bottom"/>
            <w:tcBorders>
              <w:top w:val="single" w:sz="8" w:color="CFF0FC"/>
              <w:bottom w:val="single" w:sz="8" w:color="CFF0FC"/>
            </w:tcBorders>
            <w:vMerge w:val="restart"/>
          </w:tcPr>
          <w:p>
            <w:pPr>
              <w:jc w:val="right"/>
              <w:ind w:right="1230"/>
              <w:spacing w:after="0"/>
              <w:rPr>
                <w:sz w:val="20"/>
                <w:szCs w:val="20"/>
                <w:color w:val="auto"/>
              </w:rPr>
            </w:pPr>
            <w:r>
              <w:rPr>
                <w:rFonts w:ascii="Arial" w:cs="Arial" w:eastAsia="Arial" w:hAnsi="Arial"/>
                <w:sz w:val="18"/>
                <w:szCs w:val="18"/>
                <w:color w:val="auto"/>
              </w:rPr>
              <w:t>30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3180" w:type="dxa"/>
            <w:vAlign w:val="bottom"/>
            <w:tcBorders>
              <w:bottom w:val="single" w:sz="8" w:color="9A9A9A"/>
            </w:tcBorders>
          </w:tcPr>
          <w:p>
            <w:pPr>
              <w:spacing w:after="0"/>
              <w:rPr>
                <w:sz w:val="8"/>
                <w:szCs w:val="8"/>
                <w:color w:val="auto"/>
              </w:rPr>
            </w:pPr>
          </w:p>
        </w:tc>
        <w:tc>
          <w:tcPr>
            <w:tcW w:w="27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460" w:firstLine="510"/>
        <w:spacing w:after="0" w:line="246" w:lineRule="auto"/>
        <w:rPr>
          <w:sz w:val="20"/>
          <w:szCs w:val="20"/>
          <w:color w:val="auto"/>
        </w:rPr>
      </w:pPr>
      <w:r>
        <w:rPr>
          <w:rFonts w:ascii="Arial" w:cs="Arial" w:eastAsia="Arial" w:hAnsi="Arial"/>
          <w:sz w:val="18"/>
          <w:szCs w:val="18"/>
          <w:color w:val="auto"/>
        </w:rPr>
        <w:t>Other acquired intangible assets, net and goodwill included in segment assets as of June 30, 2020 and March 31, 2020 were as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Other Acquired Intangible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3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Assets, Net</w:t>
            </w: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Goodwill</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3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As of</w:t>
            </w:r>
          </w:p>
        </w:tc>
        <w:tc>
          <w:tcPr>
            <w:tcW w:w="340" w:type="dxa"/>
            <w:vAlign w:val="bottom"/>
          </w:tcPr>
          <w:p>
            <w:pPr>
              <w:spacing w:after="0"/>
              <w:rPr>
                <w:sz w:val="13"/>
                <w:szCs w:val="13"/>
                <w:color w:val="auto"/>
              </w:rPr>
            </w:pPr>
          </w:p>
        </w:tc>
        <w:tc>
          <w:tcPr>
            <w:tcW w:w="860" w:type="dxa"/>
            <w:vAlign w:val="bottom"/>
          </w:tcPr>
          <w:p>
            <w:pPr>
              <w:jc w:val="right"/>
              <w:ind w:right="336"/>
              <w:spacing w:after="0" w:line="156"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3"/>
                <w:szCs w:val="13"/>
                <w:color w:val="auto"/>
              </w:rPr>
            </w:pPr>
          </w:p>
        </w:tc>
        <w:tc>
          <w:tcPr>
            <w:tcW w:w="102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As of</w:t>
            </w:r>
          </w:p>
        </w:tc>
      </w:tr>
      <w:tr>
        <w:trPr>
          <w:trHeight w:val="175"/>
        </w:trPr>
        <w:tc>
          <w:tcPr>
            <w:tcW w:w="3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June 30, 2020</w:t>
            </w:r>
          </w:p>
        </w:tc>
        <w:tc>
          <w:tcPr>
            <w:tcW w:w="120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June 30, 2020</w:t>
            </w: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March 31, 2020</w:t>
            </w:r>
          </w:p>
        </w:tc>
      </w:tr>
      <w:tr>
        <w:trPr>
          <w:trHeight w:val="169"/>
        </w:trPr>
        <w:tc>
          <w:tcPr>
            <w:tcW w:w="3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480" w:type="dxa"/>
            <w:vAlign w:val="bottom"/>
            <w:tcBorders>
              <w:top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7,024</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13,620</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13,489</w:t>
            </w:r>
          </w:p>
        </w:tc>
        <w:tc>
          <w:tcPr>
            <w:tcW w:w="120" w:type="dxa"/>
            <w:vAlign w:val="bottom"/>
            <w:shd w:val="clear" w:color="auto" w:fill="CFF0FC"/>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Commercial networks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44,021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43,981</w:t>
            </w:r>
          </w:p>
        </w:tc>
        <w:tc>
          <w:tcPr>
            <w:tcW w:w="120" w:type="dxa"/>
            <w:vAlign w:val="bottom"/>
          </w:tcPr>
          <w:p>
            <w:pPr>
              <w:spacing w:after="0"/>
              <w:rPr>
                <w:sz w:val="18"/>
                <w:szCs w:val="18"/>
                <w:color w:val="auto"/>
              </w:rPr>
            </w:pPr>
          </w:p>
        </w:tc>
      </w:tr>
      <w:tr>
        <w:trPr>
          <w:trHeight w:val="216"/>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14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6,017</w:t>
            </w:r>
          </w:p>
        </w:tc>
        <w:tc>
          <w:tcPr>
            <w:tcW w:w="2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6,814</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63,644</w:t>
            </w:r>
          </w:p>
        </w:tc>
        <w:tc>
          <w:tcPr>
            <w:tcW w:w="2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63,727</w:t>
            </w:r>
          </w:p>
        </w:tc>
        <w:tc>
          <w:tcPr>
            <w:tcW w:w="120" w:type="dxa"/>
            <w:vAlign w:val="bottom"/>
            <w:shd w:val="clear" w:color="auto" w:fill="CFF0FC"/>
          </w:tcPr>
          <w:p>
            <w:pPr>
              <w:spacing w:after="0"/>
              <w:rPr>
                <w:sz w:val="18"/>
                <w:szCs w:val="18"/>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8"/>
                <w:szCs w:val="18"/>
                <w:color w:val="auto"/>
              </w:rPr>
              <w:t>Total</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13,041</w:t>
            </w:r>
          </w:p>
        </w:tc>
        <w:tc>
          <w:tcPr>
            <w:tcW w:w="200" w:type="dxa"/>
            <w:vAlign w:val="bottom"/>
          </w:tcPr>
          <w:p>
            <w:pPr>
              <w:spacing w:after="0"/>
              <w:rPr>
                <w:sz w:val="18"/>
                <w:szCs w:val="18"/>
                <w:color w:val="auto"/>
              </w:rPr>
            </w:pP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14,439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121,285</w:t>
            </w:r>
          </w:p>
        </w:tc>
        <w:tc>
          <w:tcPr>
            <w:tcW w:w="200" w:type="dxa"/>
            <w:vAlign w:val="bottom"/>
          </w:tcPr>
          <w:p>
            <w:pPr>
              <w:spacing w:after="0"/>
              <w:rPr>
                <w:sz w:val="18"/>
                <w:szCs w:val="18"/>
                <w:color w:val="auto"/>
              </w:rPr>
            </w:pP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121,197</w:t>
            </w:r>
          </w:p>
        </w:tc>
        <w:tc>
          <w:tcPr>
            <w:tcW w:w="120" w:type="dxa"/>
            <w:vAlign w:val="bottom"/>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of acquired intangible assets by segment for the three months ended June 30, 2020 and 2019 was as follows:</w:t>
      </w:r>
    </w:p>
    <w:p>
      <w:pPr>
        <w:spacing w:after="0" w:line="28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4"/>
          </w:tcPr>
          <w:p>
            <w:pPr>
              <w:jc w:val="right"/>
              <w:ind w:right="105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r>
      <w:tr>
        <w:trPr>
          <w:trHeight w:val="169"/>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2020</w:t>
            </w:r>
          </w:p>
        </w:tc>
        <w:tc>
          <w:tcPr>
            <w:tcW w:w="38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June 30, 2019</w:t>
            </w:r>
          </w:p>
        </w:tc>
      </w:tr>
      <w:tr>
        <w:trPr>
          <w:trHeight w:val="169"/>
        </w:trPr>
        <w:tc>
          <w:tcPr>
            <w:tcW w:w="62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12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Commercial networks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2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2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FF0FC"/>
          </w:tcPr>
          <w:p>
            <w:pPr>
              <w:spacing w:after="0"/>
              <w:rPr>
                <w:sz w:val="18"/>
                <w:szCs w:val="18"/>
                <w:color w:val="auto"/>
              </w:rPr>
            </w:pPr>
          </w:p>
        </w:tc>
      </w:tr>
      <w:tr>
        <w:trPr>
          <w:trHeight w:val="210"/>
        </w:trPr>
        <w:tc>
          <w:tcPr>
            <w:tcW w:w="6280" w:type="dxa"/>
            <w:vAlign w:val="bottom"/>
          </w:tcPr>
          <w:p>
            <w:pPr>
              <w:spacing w:after="0"/>
              <w:rPr>
                <w:sz w:val="20"/>
                <w:szCs w:val="20"/>
                <w:color w:val="auto"/>
              </w:rPr>
            </w:pPr>
            <w:r>
              <w:rPr>
                <w:rFonts w:ascii="Arial" w:cs="Arial" w:eastAsia="Arial" w:hAnsi="Arial"/>
                <w:sz w:val="18"/>
                <w:szCs w:val="18"/>
                <w:color w:val="auto"/>
              </w:rPr>
              <w:t>Total amortization of acquired intangible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24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12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area for the three months ended June 30, 2020 and 2019 were as follows:</w:t>
      </w:r>
    </w:p>
    <w:p>
      <w:pPr>
        <w:spacing w:after="0" w:line="28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gridSpan w:val="4"/>
          </w:tcPr>
          <w:p>
            <w:pPr>
              <w:jc w:val="right"/>
              <w:ind w:right="11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jc w:val="right"/>
              <w:ind w:right="379"/>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2019</w:t>
            </w:r>
          </w:p>
        </w:tc>
      </w:tr>
      <w:tr>
        <w:trPr>
          <w:trHeight w:val="169"/>
        </w:trPr>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2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498,515</w:t>
            </w: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461,283</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Non-U.S. customers (each country individually insignificant)</w:t>
            </w:r>
          </w:p>
        </w:tc>
        <w:tc>
          <w:tcPr>
            <w:tcW w:w="6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31,973</w:t>
            </w:r>
          </w:p>
        </w:tc>
        <w:tc>
          <w:tcPr>
            <w:tcW w:w="24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75,754</w:t>
            </w:r>
          </w:p>
        </w:tc>
        <w:tc>
          <w:tcPr>
            <w:tcW w:w="100" w:type="dxa"/>
            <w:vAlign w:val="bottom"/>
            <w:tcBorders>
              <w:bottom w:val="single" w:sz="8" w:color="CFF0FC"/>
            </w:tcBorders>
          </w:tcPr>
          <w:p>
            <w:pPr>
              <w:spacing w:after="0"/>
              <w:rPr>
                <w:sz w:val="18"/>
                <w:szCs w:val="18"/>
                <w:color w:val="auto"/>
              </w:rPr>
            </w:pPr>
          </w:p>
        </w:tc>
      </w:tr>
      <w:tr>
        <w:trPr>
          <w:trHeight w:val="20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530,488</w:t>
            </w: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537,037</w:t>
            </w:r>
          </w:p>
        </w:tc>
        <w:tc>
          <w:tcPr>
            <w:tcW w:w="100" w:type="dxa"/>
            <w:vAlign w:val="bottom"/>
            <w:shd w:val="clear" w:color="auto" w:fill="CFF0FC"/>
          </w:tcPr>
          <w:p>
            <w:pPr>
              <w:spacing w:after="0"/>
              <w:rPr>
                <w:sz w:val="18"/>
                <w:szCs w:val="18"/>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85"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On July 23, 2020, the Company issued and sold an aggregate of 4,474,559 shares of the Company’s common stock at a purchase price of $39.11 per share to certain accredited investors in a private placement transaction exempt from registration under the Securities Act of 1933, as amended, resulting in aggregate gross proceeds of approximately $175.0 million. The Company intends to use the proceeds for general corporate purposes, which may include financing costs related to the purchase, launch and operation of satellites, potential acquisitions, joint ventures and strategic alliances, working capital or capital expenditures.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31" w:name="page32"/>
    <w:bookmarkEnd w:id="31"/>
    <w:p>
      <w:pPr>
        <w:ind w:right="2960"/>
        <w:spacing w:after="0" w:line="333"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the impact of the novel coronavirus (COVID-19) pandemic on our business;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the performance and anticipated benefits of our ViaSat-2 and ViaSat-3 class satellites and any future satellite we may construct or acquire; the impacts on overall coverage area, planned services and financial results of the identified antenna deployment issue on the ViaSat-2 satellite; the expected completion, capacity, service, coverage, service speeds and other features of our satellites, and the timing, cost, economics and other benefits associated therewith; anticipated subscriber growth; plans, objectives and strategies for future operations; the number of in - flight connectivity (IFC) systems anticipated to be activated under existing contracts with commercial airlines;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the ViaSat-2 and ViaSat-3 class satellites and any future satellite we may construct or acquire; unexpected expenses related to our satellite projects; our ability to successfully implement our business plan for our broadband services on our anticipated timeline or at all; risks associated with the construction, launch and operation of satellites, including the effect of any anomaly, operational failure or degradation in satellite performance; the impact of the COVID-19 pandemic on our business, suppliers, consumers, customers, and employees or the overall economy; our ability to realize the anticipated benefits of our acquisitions or strategic partnering arrangements;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recent changes to U.S.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2020,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Company Overview</w:t>
      </w:r>
    </w:p>
    <w:p>
      <w:pPr>
        <w:spacing w:after="0" w:line="99" w:lineRule="exact"/>
        <w:rPr>
          <w:sz w:val="20"/>
          <w:szCs w:val="20"/>
          <w:color w:val="auto"/>
        </w:rPr>
      </w:pPr>
    </w:p>
    <w:p>
      <w:pPr>
        <w:ind w:right="60" w:firstLine="510"/>
        <w:spacing w:after="0" w:line="236" w:lineRule="auto"/>
        <w:rPr>
          <w:sz w:val="20"/>
          <w:szCs w:val="20"/>
          <w:color w:val="auto"/>
        </w:rPr>
      </w:pPr>
      <w:r>
        <w:rPr>
          <w:rFonts w:ascii="Arial" w:cs="Arial" w:eastAsia="Arial" w:hAnsi="Arial"/>
          <w:sz w:val="18"/>
          <w:szCs w:val="18"/>
          <w:color w:val="auto"/>
        </w:rPr>
        <w:t>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vertical integration strategy and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85"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On July 23, 2020, we issued and sold an aggregate of 4,474,559 shares of our common stock at a purchase price of $39.11 per share to certain accredited investors in a private placement transaction exempt from registration under the Securities Act of 1933, as amended, resulting in aggregate gross proceeds of approximately $175.0 million. We intend to use the proceeds for general corporate purposes, which may include financing costs related to the purchase, launch and operation of satellites, potential acquisitions, joint ventures and strategic alliances, working capital or capital expenditures.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85" w:lineRule="exact"/>
        <w:rPr>
          <w:sz w:val="20"/>
          <w:szCs w:val="20"/>
          <w:color w:val="auto"/>
        </w:rPr>
      </w:pPr>
    </w:p>
    <w:p>
      <w:pPr>
        <w:ind w:right="220" w:firstLine="510"/>
        <w:spacing w:after="0" w:line="236" w:lineRule="auto"/>
        <w:rPr>
          <w:sz w:val="20"/>
          <w:szCs w:val="20"/>
          <w:color w:val="auto"/>
        </w:rPr>
      </w:pPr>
      <w:r>
        <w:rPr>
          <w:rFonts w:ascii="Arial" w:cs="Arial" w:eastAsia="Arial" w:hAnsi="Arial"/>
          <w:sz w:val="18"/>
          <w:szCs w:val="18"/>
          <w:color w:val="auto"/>
        </w:rPr>
        <w:t>In March 2020, the global outbreak of COVID-19 was declared a pandemic by the World Health Organization and a national emergency by the U.S. Government. The COVID-19 pandemic and attempts to contain it, such as mandatory closures, “shelter-in-place” orders and travel restrictions, have caused significant disruptions and adverse effects on U.S. and global economies, including impacts to supply chains, customer demand and financial markets. We have taken measures to protect the health and safety of our employees and to work with our customers, employees, suppliers, subcontractors, distributors, resellers and communities to address the disruptions from the pandemic. At the end of the fourth quarter of fiscal year 2020, we began to see the impacts of the evolving COVID-19 pandemic. Although our financial results for the quarter ended June 30, 2020 continued to be impacted by the pandemic, the impact was not material to our financial position, results of operations or cash flows in the first quarter of fiscal year 2021, with negative impacts particularly in our commercial air business offset by strong performance in other parts of our business. We continue to expect our diversified businesses to provide resiliency for the remainder of fiscal year 2021.</w:t>
      </w:r>
    </w:p>
    <w:p>
      <w:pPr>
        <w:spacing w:after="0" w:line="152"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Our government systems segment, which represented 49% of our total revenues during the quarter ended June 30, 2020, continued to perform in line with our expectations, with the U.S. Government identifying the Defense Industrial Base as a critical infrastructure sector. Demand for products and services in our government systems segment remained strong despite the evolving COVID-19 pandemic, although our government business continued to experience some administrative delays on certain contractual vehicles as government customers adjust to the challenges inherent in the remote work environment resulting from the COVID-19 pandemic. As a result, we anticipate that contract awards in our government systems segment in fiscal year 2021 may be more heavily weighted towards the second half of our fiscal year.</w:t>
      </w:r>
    </w:p>
    <w:p>
      <w:pPr>
        <w:spacing w:after="0" w:line="149" w:lineRule="exact"/>
        <w:rPr>
          <w:sz w:val="20"/>
          <w:szCs w:val="20"/>
          <w:color w:val="auto"/>
        </w:rPr>
      </w:pPr>
    </w:p>
    <w:p>
      <w:pPr>
        <w:ind w:right="80" w:firstLine="510"/>
        <w:spacing w:after="0" w:line="236" w:lineRule="auto"/>
        <w:rPr>
          <w:sz w:val="20"/>
          <w:szCs w:val="20"/>
          <w:color w:val="auto"/>
        </w:rPr>
      </w:pPr>
      <w:r>
        <w:rPr>
          <w:rFonts w:ascii="Arial" w:cs="Arial" w:eastAsia="Arial" w:hAnsi="Arial"/>
          <w:sz w:val="18"/>
          <w:szCs w:val="18"/>
          <w:color w:val="auto"/>
        </w:rPr>
        <w:t>Since mid-March 2020, we have experienced an uptick in demand for our fixed broadband services, including increased demand for our premium highest speed plans, as a result of the COVID-19 pandemic, and we continue to participate in certain federal and state programs to ensure our residential and small business customers in the United States have access to connectivity during the pandemic. However, the COVID-19 pandemic continues to impact our higher-margin in-flight services business and our mobile broadband satellite communications system business in our satellite services and commercial networks segments, respectively, due to the severe decline in global air traffic and resulting downturn in the commercial aviation market. We expect this negative impact on revenues and operating cash flows from our in-flight connectivity businesses to continue in fiscal year 2021, but to lessen over time with increases in passenger air traffic. In fiscal year 2020, less than 10% of our total revenues were generated by services and products provided to commercial airlines reported in our satellite services and commercial networks segments.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3" w:name="page34"/>
    <w:bookmarkEnd w:id="33"/>
    <w:p>
      <w:pPr>
        <w:ind w:right="20" w:firstLine="510"/>
        <w:spacing w:after="0" w:line="238" w:lineRule="auto"/>
        <w:rPr>
          <w:sz w:val="20"/>
          <w:szCs w:val="20"/>
          <w:color w:val="auto"/>
        </w:rPr>
      </w:pPr>
      <w:r>
        <w:rPr>
          <w:rFonts w:ascii="Arial" w:cs="Arial" w:eastAsia="Arial" w:hAnsi="Arial"/>
          <w:sz w:val="18"/>
          <w:szCs w:val="18"/>
          <w:color w:val="auto"/>
        </w:rPr>
        <w:t>The extent of the impact of the COVID-19 pandemic on our business in fiscal year 2021 and beyond will depend on many factors, including the duration and scope of the public health emergency, the extent, duration and effectiveness of containment actions taken, the extent of its disruption to important global, regional and local supply chains and economic markets and the impact of the pandemic on overall supply and demand, global air travel, consumer confidence, discretionary spending levels and levels of economic activity.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99" w:lineRule="exact"/>
        <w:rPr>
          <w:sz w:val="20"/>
          <w:szCs w:val="20"/>
          <w:color w:val="auto"/>
        </w:rPr>
      </w:pPr>
    </w:p>
    <w:p>
      <w:pPr>
        <w:ind w:right="80" w:firstLine="510"/>
        <w:spacing w:after="0" w:line="236" w:lineRule="auto"/>
        <w:rPr>
          <w:sz w:val="20"/>
          <w:szCs w:val="20"/>
          <w:color w:val="auto"/>
        </w:rPr>
      </w:pPr>
      <w:r>
        <w:rPr>
          <w:rFonts w:ascii="Arial" w:cs="Arial" w:eastAsia="Arial" w:hAnsi="Arial"/>
          <w:sz w:val="18"/>
          <w:szCs w:val="18"/>
          <w:color w:val="auto"/>
        </w:rPr>
        <w:t>Our satellite services segment uses our proprietary technology platform to provide satellite-based high-speed broadband services around the globe for use in commercial applications. Our proprietary Ka-band satellites are at the core of our technology platform. We own three satellites in service over North America: our second-generation ViaSat-2 satellite (launched in 2017), our first-generation ViaSat-1 satellite (launched in 2011) and the WildBlue-1 satellite (launched in 2007), have lifetime leases of Ka-band capacity on two satellites, jointly own the KA-SAT satellite over Europe, Middle East and Africa (EMEA), and have access to additional Ka-band capacity on partner satellites around the globe through various arrangements with third parties. We also have a global constellation of three third-generation ViaSat-3 class satellites under construction. We expect our ViaSat-3 constellation, once in service, to enable us to deliver affordable connectivity across most of the world. The primary services offered by our satellite services segment are comprised of:</w:t>
      </w:r>
    </w:p>
    <w:p>
      <w:pPr>
        <w:spacing w:after="0" w:line="100" w:lineRule="exact"/>
        <w:rPr>
          <w:sz w:val="20"/>
          <w:szCs w:val="20"/>
          <w:color w:val="auto"/>
        </w:rPr>
      </w:pPr>
    </w:p>
    <w:p>
      <w:pPr>
        <w:ind w:left="1000" w:right="40" w:hanging="493"/>
        <w:spacing w:after="0" w:line="23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Fixed broadband services, which provide consumers and businesses with high-speed, high-quality broadband internet access and Voice over Internet Protocol (VoIP) services. As of June 30, 2020, we provided fixed broadband services to approximately 599,000 U.S. subscribers (excluding subscribers whose service would have ordinarily been terminated in the absence of the federal FCC Pledge and similar state programs we are currently participating in to ensure our customers have access to connectivity during the COVID-19 pandemic). For the three months ended June 30, 2020, average revenue per fixed broadband subscriber in the United States (ARPU) was $99.33.</w:t>
      </w:r>
    </w:p>
    <w:p>
      <w:pPr>
        <w:spacing w:after="0" w:line="96" w:lineRule="exact"/>
        <w:rPr>
          <w:rFonts w:ascii="Arial" w:cs="Arial" w:eastAsia="Arial" w:hAnsi="Arial"/>
          <w:sz w:val="18"/>
          <w:szCs w:val="18"/>
          <w:color w:val="auto"/>
        </w:rPr>
      </w:pPr>
    </w:p>
    <w:p>
      <w:pPr>
        <w:ind w:left="1000" w:hanging="493"/>
        <w:spacing w:after="0" w:line="236"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In-flight services, which provide industry-leading IFC, wireless in-flight entertainment and aviation software services. As of June 30, 2020, we had our IFC systems installed and in service on approximately 1,390 commercial aircraft, of which, due to impacts of the COVID-19 pandemic approximately 630 were inactive at quarter end. Our in-flight services business began to be negatively impacted by the COVID-19 pandemic in the fourth quarter of fiscal year 2020 with continued impact throughout the first quarter of fiscal year 2021. We expect this negative impact to continue through the remainder of fiscal year 2021 and potentially beyond due to the severe decline in global air traffic and the associated grounding of installed aircraft, but to lessen over time with increases in passenger air traffic. We anticipate our IFC services will be activated on approximately 750 additional commercial aircraft under existing customer agreements with commercial airlines. However, the timing of installation and entry into service for additional aircraft under existing customer agreements may be delayed due to COVID-19 impacts. There can be no assurance that anticipated IFC services will be activated on all such additional commercial aircraft.</w:t>
      </w:r>
    </w:p>
    <w:p>
      <w:pPr>
        <w:spacing w:after="0" w:line="124" w:lineRule="exact"/>
        <w:rPr>
          <w:rFonts w:ascii="Arial" w:cs="Arial" w:eastAsia="Arial" w:hAnsi="Arial"/>
          <w:sz w:val="18"/>
          <w:szCs w:val="18"/>
          <w:color w:val="auto"/>
        </w:rPr>
      </w:pPr>
    </w:p>
    <w:p>
      <w:pPr>
        <w:ind w:left="1000" w:hanging="493"/>
        <w:spacing w:after="0" w:line="241"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Community Internet services, which offer innovative, affordable, satellite-based connectivity in communities with poor or no other means of internet access. The services help foster digital inclusion by enabling millions of people to connect to affordable high-quality internet services via a centralized community hotspot connected to the internet via satellite. Since launch, our Community Internet services have reached approximately 2 million people living and working in thousands of rural, suburban and urban communities in Mexico and we are trialing services in advance of full commercial launch in other countries, including Brazil.</w:t>
      </w:r>
    </w:p>
    <w:p>
      <w:pPr>
        <w:spacing w:after="0" w:line="94" w:lineRule="exact"/>
        <w:rPr>
          <w:rFonts w:ascii="Arial" w:cs="Arial" w:eastAsia="Arial" w:hAnsi="Arial"/>
          <w:sz w:val="18"/>
          <w:szCs w:val="18"/>
          <w:color w:val="auto"/>
        </w:rPr>
      </w:pPr>
    </w:p>
    <w:p>
      <w:pPr>
        <w:ind w:left="1000" w:right="220" w:hanging="493"/>
        <w:spacing w:after="0" w:line="238"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mobile broadband services, which include high-speed, satellite-based internet services to seagoing vessels (such as energy offshore vessels, cruise ships, consumer ferries and yachts), as well as L-band managed services enabling real-time machine-to-machine (M2M) position tracking, management of remote assets and operations, and visibility into critical areas of the supply chain.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85" w:lineRule="exact"/>
        <w:rPr>
          <w:sz w:val="20"/>
          <w:szCs w:val="20"/>
          <w:color w:val="auto"/>
        </w:rPr>
      </w:pPr>
    </w:p>
    <w:p>
      <w:pPr>
        <w:ind w:right="100" w:firstLine="510"/>
        <w:spacing w:after="0" w:line="237" w:lineRule="auto"/>
        <w:rPr>
          <w:sz w:val="20"/>
          <w:szCs w:val="20"/>
          <w:color w:val="auto"/>
        </w:rPr>
      </w:pPr>
      <w:r>
        <w:rPr>
          <w:rFonts w:ascii="Arial" w:cs="Arial" w:eastAsia="Arial" w:hAnsi="Arial"/>
          <w:sz w:val="18"/>
          <w:szCs w:val="18"/>
          <w:color w:val="auto"/>
        </w:rPr>
        <w:t>We are a leading end-to-end network technology and equipment supplier in broadband satellite markets. In addition to developing our own proprietary high-capacity Ka-band satellite systems, our commercial networks segment develops and sells a wide array of advanced satellite and wireless products, antenna systems and terminal solutions that support or enable the provision of high-speed fixed and mobile broadband services. We design, develop and produce space system solutions for multiple orbital regimes, including geostationary (GEO), mid earth orbit (MEO) and low earth orbit (LEO). The primary products, systems, solutions and services offered by our commercial networks segment are comprised of:</w:t>
      </w:r>
    </w:p>
    <w:p>
      <w:pPr>
        <w:spacing w:after="0" w:line="97"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and seagoing vessels.</w:t>
      </w:r>
    </w:p>
    <w:p>
      <w:pPr>
        <w:spacing w:after="0" w:line="117" w:lineRule="exact"/>
        <w:rPr>
          <w:rFonts w:ascii="Arial" w:cs="Arial" w:eastAsia="Arial" w:hAnsi="Arial"/>
          <w:sz w:val="18"/>
          <w:szCs w:val="18"/>
          <w:color w:val="auto"/>
        </w:rPr>
      </w:pPr>
    </w:p>
    <w:p>
      <w:pPr>
        <w:ind w:left="1000" w:right="720" w:hanging="493"/>
        <w:spacing w:after="0" w:line="246"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Fixed broadband satellite communication systems, including next-generation satellite network infrastructure and ground terminals.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4" w:name="page35"/>
    <w:bookmarkEnd w:id="34"/>
    <w:p>
      <w:pPr>
        <w:ind w:left="1000" w:right="1140" w:hanging="493"/>
        <w:spacing w:after="0" w:line="246"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Antenna systems, including ground terminals and antennas for terrestrial and satellite applications, mobile satellite communication, Ka-band earth stations and other multi-band antennas.</w:t>
      </w:r>
    </w:p>
    <w:p>
      <w:pPr>
        <w:spacing w:after="0" w:line="88" w:lineRule="exact"/>
        <w:rPr>
          <w:rFonts w:ascii="Arial" w:cs="Arial" w:eastAsia="Arial" w:hAnsi="Arial"/>
          <w:sz w:val="18"/>
          <w:szCs w:val="18"/>
          <w:color w:val="auto"/>
        </w:rPr>
      </w:pPr>
    </w:p>
    <w:p>
      <w:pPr>
        <w:ind w:left="1000" w:right="780" w:hanging="493"/>
        <w:spacing w:after="0" w:line="246"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Satellite networking development, including specialized design and technology services covering all aspects of satellite communication system architecture and technology.</w:t>
      </w:r>
    </w:p>
    <w:p>
      <w:pPr>
        <w:spacing w:after="0" w:line="88" w:lineRule="exact"/>
        <w:rPr>
          <w:rFonts w:ascii="Arial" w:cs="Arial" w:eastAsia="Arial" w:hAnsi="Arial"/>
          <w:sz w:val="18"/>
          <w:szCs w:val="18"/>
          <w:color w:val="auto"/>
        </w:rPr>
      </w:pPr>
    </w:p>
    <w:p>
      <w:pPr>
        <w:ind w:left="1000" w:right="80" w:hanging="493"/>
        <w:spacing w:after="0" w:line="246"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Space systems, including the design and development of high-capacity Ka-band satellites and associated payload technologies for our own satellite fleet as well as for third parties.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85" w:lineRule="exact"/>
        <w:rPr>
          <w:sz w:val="20"/>
          <w:szCs w:val="20"/>
          <w:color w:val="auto"/>
        </w:rPr>
      </w:pPr>
    </w:p>
    <w:p>
      <w:pPr>
        <w:ind w:right="160" w:firstLine="510"/>
        <w:spacing w:after="0" w:line="238" w:lineRule="auto"/>
        <w:rPr>
          <w:sz w:val="20"/>
          <w:szCs w:val="20"/>
          <w:color w:val="auto"/>
        </w:rPr>
      </w:pPr>
      <w:r>
        <w:rPr>
          <w:rFonts w:ascii="Arial" w:cs="Arial" w:eastAsia="Arial" w:hAnsi="Arial"/>
          <w:sz w:val="18"/>
          <w:szCs w:val="18"/>
          <w:color w:val="auto"/>
        </w:rPr>
        <w:t>We are a leading provider of innovative communications and cybersecurity products and solutions to the U.S. Government and other military and government users around the world. Our government systems segment offers a broad array of products and services designed to enable the collection and transmission of secure real-time digital information and communications between fixed and mobile command centers, intelligence and defense platforms and individuals in the field. The primary products and services of our government systems segment include:</w:t>
      </w:r>
    </w:p>
    <w:p>
      <w:pPr>
        <w:spacing w:after="0" w:line="94" w:lineRule="exact"/>
        <w:rPr>
          <w:sz w:val="20"/>
          <w:szCs w:val="20"/>
          <w:color w:val="auto"/>
        </w:rPr>
      </w:pPr>
    </w:p>
    <w:p>
      <w:pPr>
        <w:jc w:val="both"/>
        <w:ind w:left="1000" w:right="12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 as well as line-of-sight and beyond-line-of-sight Intelligence Surveillance and Reconnaissance missions.</w:t>
      </w:r>
    </w:p>
    <w:p>
      <w:pPr>
        <w:spacing w:after="0" w:line="94" w:lineRule="exact"/>
        <w:rPr>
          <w:rFonts w:ascii="Arial" w:cs="Arial" w:eastAsia="Arial" w:hAnsi="Arial"/>
          <w:sz w:val="18"/>
          <w:szCs w:val="18"/>
          <w:color w:val="auto"/>
        </w:rPr>
      </w:pPr>
    </w:p>
    <w:p>
      <w:pPr>
        <w:ind w:left="1000" w:right="8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 satellite communication systems, which offer an array of portable, mobile and fixed broadband modems, terminals, network access control systems and antenna systems, and include products designed for manpacks, aircraft, unmanned aerial vehicles, seagoing vessels, ground-mobile vehicles and fixed applications.</w:t>
      </w:r>
    </w:p>
    <w:p>
      <w:pPr>
        <w:spacing w:after="0" w:line="94" w:lineRule="exact"/>
        <w:rPr>
          <w:rFonts w:ascii="Arial" w:cs="Arial" w:eastAsia="Arial" w:hAnsi="Arial"/>
          <w:sz w:val="18"/>
          <w:szCs w:val="18"/>
          <w:color w:val="auto"/>
        </w:rPr>
      </w:pPr>
    </w:p>
    <w:p>
      <w:pPr>
        <w:ind w:left="1000" w:right="220" w:hanging="493"/>
        <w:spacing w:after="0" w:line="238"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Secure networking, cybersecurity and information assurance products and services, which provide advanced, high-speed IP-based “Type 1” and High Assurance Internet Protocol Encryption (HAIPE</w:t>
      </w:r>
      <w:r>
        <w:rPr>
          <w:rFonts w:ascii="Arial" w:cs="Arial" w:eastAsia="Arial" w:hAnsi="Arial"/>
          <w:sz w:val="15"/>
          <w:szCs w:val="15"/>
          <w:color w:val="auto"/>
        </w:rPr>
        <w:t>®</w:t>
      </w:r>
      <w:r>
        <w:rPr>
          <w:rFonts w:ascii="Arial" w:cs="Arial" w:eastAsia="Arial" w:hAnsi="Arial"/>
          <w:sz w:val="18"/>
          <w:szCs w:val="18"/>
          <w:color w:val="auto"/>
        </w:rPr>
        <w:t>)-compliant encryption solutions that enable military and government users to communicate information securely over networks, and that protect the integrity of data stored on computers and storage devices.</w:t>
      </w:r>
    </w:p>
    <w:p>
      <w:pPr>
        <w:spacing w:after="0" w:line="96" w:lineRule="exact"/>
        <w:rPr>
          <w:rFonts w:ascii="Arial" w:cs="Arial" w:eastAsia="Arial" w:hAnsi="Arial"/>
          <w:sz w:val="18"/>
          <w:szCs w:val="18"/>
          <w:color w:val="auto"/>
        </w:rPr>
      </w:pPr>
    </w:p>
    <w:p>
      <w:pPr>
        <w:ind w:left="1000" w:hanging="493"/>
        <w:spacing w:after="0" w:line="238"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Tactical data links, including our Battlefield Awareness and Targeting System — Dismounted (BATS-D) handheld Link 16 radios, our Small Tactical Terminal (STT) 2-channel radios for manned and unmanned applications, “disposable” defense data links, and our Multifunctional Information Distribution System (MIDS) and MIDS Joint Tactical Radio Systems (MIDS-JTRS) terminals for military fighter jets.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satellite services segment revenues are primarily derived from our fixed broadband services and in-flight services.</w:t>
      </w:r>
    </w:p>
    <w:p>
      <w:pPr>
        <w:spacing w:after="0" w:line="158" w:lineRule="exact"/>
        <w:rPr>
          <w:sz w:val="20"/>
          <w:szCs w:val="20"/>
          <w:color w:val="auto"/>
        </w:rPr>
      </w:pPr>
    </w:p>
    <w:p>
      <w:pPr>
        <w:ind w:right="80" w:firstLine="510"/>
        <w:spacing w:after="0" w:line="236" w:lineRule="auto"/>
        <w:rPr>
          <w:sz w:val="20"/>
          <w:szCs w:val="20"/>
          <w:color w:val="auto"/>
        </w:rPr>
      </w:pPr>
      <w:r>
        <w:rPr>
          <w:rFonts w:ascii="Arial" w:cs="Arial" w:eastAsia="Arial" w:hAnsi="Arial"/>
          <w:sz w:val="18"/>
          <w:szCs w:val="18"/>
          <w:color w:val="auto"/>
        </w:rPr>
        <w:t>Revenues in our commercial networks and government systems segments are primarily derived from three types of contracts: fixed-price, cost-reimbursement and time-and-materials contracts. Fixed-price contracts (which require us to provide products and services under a contract at a specified price) comprised approximately 85% and 87% of our total revenues for these segments for the three months ended June 30, 2020 and 2019, respectively. The remainder of our revenues in these segments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54" w:lineRule="exact"/>
        <w:rPr>
          <w:sz w:val="20"/>
          <w:szCs w:val="20"/>
          <w:color w:val="auto"/>
        </w:rPr>
      </w:pPr>
    </w:p>
    <w:p>
      <w:pPr>
        <w:ind w:right="160" w:firstLine="510"/>
        <w:spacing w:after="0" w:line="238" w:lineRule="auto"/>
        <w:rPr>
          <w:sz w:val="20"/>
          <w:szCs w:val="20"/>
          <w:color w:val="auto"/>
        </w:rPr>
      </w:pPr>
      <w:r>
        <w:rPr>
          <w:rFonts w:ascii="Arial" w:cs="Arial" w:eastAsia="Arial" w:hAnsi="Arial"/>
          <w:sz w:val="18"/>
          <w:szCs w:val="18"/>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51" w:lineRule="exact"/>
        <w:rPr>
          <w:sz w:val="20"/>
          <w:szCs w:val="20"/>
          <w:color w:val="auto"/>
        </w:rPr>
      </w:pPr>
    </w:p>
    <w:p>
      <w:pPr>
        <w:ind w:right="240" w:firstLine="510"/>
        <w:spacing w:after="0" w:line="238" w:lineRule="auto"/>
        <w:rPr>
          <w:sz w:val="20"/>
          <w:szCs w:val="20"/>
          <w:color w:val="auto"/>
        </w:rPr>
      </w:pPr>
      <w:r>
        <w:rPr>
          <w:rFonts w:ascii="Arial" w:cs="Arial" w:eastAsia="Arial" w:hAnsi="Arial"/>
          <w:sz w:val="18"/>
          <w:szCs w:val="18"/>
          <w:color w:val="auto"/>
        </w:rPr>
        <w:t>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development from our customer contracts were approximately 27% and 23% of our total revenues for the three months ended June 30, 2020 and 2019, respectively.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5" w:name="page36"/>
    <w:bookmarkEnd w:id="35"/>
    <w:p>
      <w:pPr>
        <w:ind w:right="20" w:firstLine="510"/>
        <w:spacing w:after="0" w:line="238" w:lineRule="auto"/>
        <w:rPr>
          <w:sz w:val="20"/>
          <w:szCs w:val="20"/>
          <w:color w:val="auto"/>
        </w:rPr>
      </w:pPr>
      <w:r>
        <w:rPr>
          <w:rFonts w:ascii="Arial" w:cs="Arial" w:eastAsia="Arial" w:hAnsi="Arial"/>
          <w:sz w:val="18"/>
          <w:szCs w:val="18"/>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(R&amp;D) projects. IR&amp;D expenses were approximately 5% and 6% of total revenues during the three months ended June 30, 2020 and 2019, respectively. As a government contractor, we are able to recover a portion of our IR&amp;D expenses pursuant to our government contracts.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9"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right="160" w:firstLine="510"/>
        <w:spacing w:after="0" w:line="237" w:lineRule="auto"/>
        <w:rPr>
          <w:sz w:val="20"/>
          <w:szCs w:val="20"/>
          <w:color w:val="auto"/>
        </w:rPr>
      </w:pPr>
      <w:r>
        <w:rPr>
          <w:rFonts w:ascii="Arial" w:cs="Arial" w:eastAsia="Arial" w:hAnsi="Arial"/>
          <w:sz w:val="18"/>
          <w:szCs w:val="18"/>
          <w:color w:val="auto"/>
        </w:rPr>
        <w:t>We apply the five-step revenue recognition model under Accounting Standards Update (ASU) 2014-09, Revenue from Contracts with Customers (commonly referred to as Accounting Standards Codification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189" w:lineRule="exact"/>
        <w:rPr>
          <w:sz w:val="20"/>
          <w:szCs w:val="20"/>
          <w:color w:val="auto"/>
        </w:rPr>
      </w:pPr>
    </w:p>
    <w:p>
      <w:pPr>
        <w:ind w:right="180" w:firstLine="510"/>
        <w:spacing w:after="0" w:line="236" w:lineRule="auto"/>
        <w:rPr>
          <w:sz w:val="20"/>
          <w:szCs w:val="20"/>
          <w:color w:val="auto"/>
        </w:rPr>
      </w:pPr>
      <w:r>
        <w:rPr>
          <w:rFonts w:ascii="Arial" w:cs="Arial" w:eastAsia="Arial" w:hAnsi="Arial"/>
          <w:sz w:val="18"/>
          <w:szCs w:val="18"/>
          <w:color w:val="auto"/>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 as part of the delivery of connectivity services represents a lease in accordance with ASC 842. As discussed in Note 1 – Basis of Presentation – Leases to our condensed consolidated financial statements, for broadband equipment leased to fixed broadband customers in conjunction with the delivery of connectivity services, we account for the lease and non-lease components of connectivity services arrangement as a single performance obligation as the connectivity services represent the predominant component.</w:t>
      </w:r>
    </w:p>
    <w:p>
      <w:pPr>
        <w:spacing w:after="0" w:line="153"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8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vast majority of our revenues from long-term contracts to develop and deliver complex equipment built to customer specifications are derived from contracts with the U.S. government (including foreign military sales contracted through the U.S. government). 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6" w:name="page37"/>
    <w:bookmarkEnd w:id="36"/>
    <w:p>
      <w:pPr>
        <w:ind w:right="20"/>
        <w:spacing w:after="0" w:line="236" w:lineRule="auto"/>
        <w:rPr>
          <w:sz w:val="20"/>
          <w:szCs w:val="20"/>
          <w:color w:val="auto"/>
        </w:rPr>
      </w:pPr>
      <w:r>
        <w:rPr>
          <w:rFonts w:ascii="Arial" w:cs="Arial" w:eastAsia="Arial" w:hAnsi="Arial"/>
          <w:sz w:val="18"/>
          <w:szCs w:val="18"/>
          <w:color w:val="auto"/>
        </w:rPr>
        <w:t>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94" w:lineRule="exact"/>
        <w:rPr>
          <w:sz w:val="20"/>
          <w:szCs w:val="20"/>
          <w:color w:val="auto"/>
        </w:rPr>
      </w:pPr>
    </w:p>
    <w:p>
      <w:pPr>
        <w:ind w:right="80" w:firstLine="510"/>
        <w:spacing w:after="0" w:line="251" w:lineRule="auto"/>
        <w:rPr>
          <w:sz w:val="20"/>
          <w:szCs w:val="20"/>
          <w:color w:val="auto"/>
        </w:rPr>
      </w:pPr>
      <w:r>
        <w:rPr>
          <w:rFonts w:ascii="Arial" w:cs="Arial" w:eastAsia="Arial" w:hAnsi="Arial"/>
          <w:sz w:val="17"/>
          <w:szCs w:val="17"/>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June 30, 2020 would change our loss before income taxes by an insignificant amount.</w:t>
      </w:r>
    </w:p>
    <w:p>
      <w:pPr>
        <w:spacing w:after="0" w:line="179"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200"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9"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spacing w:after="0" w:line="152"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We own three satellites in service (ViaSat-2, ViaSat-1 and WildBlue-1) and have lifetime leases of Ka-band capacity on two satellites. We also have a global constellation of three third-generation ViaSat-3 class satellites under construction. In addition, we own related earth stations and networking equipment for all of our satellites. Property, equipment and satellites, net also includes the customer premise equipment units leased to subscribers under a retail leasing program as part of our satellite services segment.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85" w:lineRule="exact"/>
        <w:rPr>
          <w:sz w:val="20"/>
          <w:szCs w:val="20"/>
          <w:color w:val="auto"/>
        </w:rPr>
      </w:pPr>
    </w:p>
    <w:p>
      <w:pPr>
        <w:ind w:right="200" w:firstLine="510"/>
        <w:spacing w:after="0" w:line="234" w:lineRule="auto"/>
        <w:rPr>
          <w:sz w:val="20"/>
          <w:szCs w:val="20"/>
          <w:color w:val="auto"/>
        </w:rPr>
      </w:pPr>
      <w:r>
        <w:rPr>
          <w:rFonts w:ascii="Arial" w:cs="Arial" w:eastAsia="Arial" w:hAnsi="Arial"/>
          <w:sz w:val="18"/>
          <w:szCs w:val="18"/>
          <w:color w:val="auto"/>
        </w:rPr>
        <w:t>For contracts entered into on or after April 1, 2019, we assess at contract inception whether the contract is, or contains, a lease. Generally, we determine that a lease exists when (i) the contract involves the use of a distinct identified asset, (ii) we obtain the right to substantially all economic benefits from use of the asset, and (iii) we have the right to direct the use of the asset. A lease is classified as a finance lease when one or more of the following criteria are met: (i) the lease transfers ownership of the asset by the end of the lease term,</w:t>
      </w:r>
    </w:p>
    <w:p>
      <w:pPr>
        <w:spacing w:after="0" w:line="3" w:lineRule="exact"/>
        <w:rPr>
          <w:sz w:val="20"/>
          <w:szCs w:val="20"/>
          <w:color w:val="auto"/>
        </w:rPr>
      </w:pPr>
    </w:p>
    <w:p>
      <w:pPr>
        <w:ind w:right="20" w:firstLine="8"/>
        <w:spacing w:after="0" w:line="238" w:lineRule="auto"/>
        <w:tabs>
          <w:tab w:leader="none" w:pos="2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asset is of such a specialized nature that it is expected to have no alternative use to the lessor at the end of the lease term. A lease is classified as an operating lease if it does not meet any of these criteria.</w:t>
      </w:r>
    </w:p>
    <w:p>
      <w:pPr>
        <w:spacing w:after="0" w:line="151"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Starting at April 1, 2019, 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(i) fixed lease payments for the noncancelable lease term,</w:t>
      </w:r>
    </w:p>
    <w:p>
      <w:pPr>
        <w:ind w:right="120" w:firstLine="8"/>
        <w:spacing w:after="0" w:line="238" w:lineRule="auto"/>
        <w:tabs>
          <w:tab w:leader="none" w:pos="2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(iii) variable 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51" w:lineRule="exact"/>
        <w:rPr>
          <w:sz w:val="20"/>
          <w:szCs w:val="20"/>
          <w:color w:val="auto"/>
        </w:rPr>
      </w:pPr>
    </w:p>
    <w:p>
      <w:pPr>
        <w:jc w:val="both"/>
        <w:ind w:right="120" w:firstLine="510"/>
        <w:spacing w:after="0" w:line="23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51"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For broadband equipment leased to fixed broadband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9"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months ended June 30, 2020 and 2019.</w:t>
      </w:r>
    </w:p>
    <w:p>
      <w:pPr>
        <w:spacing w:after="0" w:line="149"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and the provisions of ASU 2017-04, Simplifying the Test for Goodwill Impairment, which we early adopted in fiscal year 2020. ASU 2017-04 simplifies how we test goodwill for impairment by removing Step 2 from the goodwill impairment test.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 value of the reporting unit to its carrying value.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spacing w:after="0" w:line="152"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51" w:lineRule="exact"/>
        <w:rPr>
          <w:sz w:val="20"/>
          <w:szCs w:val="20"/>
          <w:color w:val="auto"/>
        </w:rPr>
      </w:pPr>
    </w:p>
    <w:p>
      <w:pPr>
        <w:ind w:right="120" w:firstLine="510"/>
        <w:spacing w:after="0" w:line="237" w:lineRule="auto"/>
        <w:rPr>
          <w:sz w:val="20"/>
          <w:szCs w:val="20"/>
          <w:color w:val="auto"/>
        </w:rPr>
      </w:pPr>
      <w:r>
        <w:rPr>
          <w:rFonts w:ascii="Arial" w:cs="Arial" w:eastAsia="Arial" w:hAnsi="Arial"/>
          <w:sz w:val="18"/>
          <w:szCs w:val="18"/>
          <w:color w:val="auto"/>
        </w:rPr>
        <w:t>Furthermore, in addition to qualitative analysis, we believe it is appropriate to conduct a quantitative analysis periodically as a prudent review of our reporting unit goodwill fair values. We performed this analysis as of December 31, 2019, our annual impairment test date. Our quantitative analysis estimates the fair values of the reporting units using discounted cash flows and other indicators of fair value. The forecast of future cash flow is based on our best estimate of each reporting unit’s future revenue and operating costs, based primarily on existing firm orders, expected future orders, contracts with suppliers, labor resources, general market conditions, and other relevant factors. Based on a quantitative analysis for fiscal year 2020, we concluded that estimated fair values of our reporting units significantly exceed their respective carrying values.</w:t>
      </w:r>
    </w:p>
    <w:p>
      <w:pPr>
        <w:spacing w:after="0" w:line="149"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Based on our qualitative and quantitative assessment performed during the fourth quarter of fiscal year 2020 and the additional qualitative and quantitative considerations as of March 31, 2020 in light of the significant decline in our market capitalization following the COVID-19 outbreak, we concluded that it was more likely than not that the estimated fair value of our reporting units exceeded their carrying value as of March 31,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$42.6 million at March 31, 2020 to $44.1 million at June 30, 2020. The valuation allowance relates to state and foreign net operating loss carryforwards, state R&amp;D tax credit carryforwards and foreign tax credit carryforwards.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9" w:name="page40"/>
    <w:bookmarkEnd w:id="39"/>
    <w:p>
      <w:pPr>
        <w:ind w:right="20" w:firstLine="510"/>
        <w:spacing w:after="0" w:line="238"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148"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49"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80"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Three Months Ended</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6800" w:type="dxa"/>
            <w:vAlign w:val="bottom"/>
          </w:tcPr>
          <w:p>
            <w:pPr>
              <w:spacing w:after="0"/>
              <w:rPr>
                <w:sz w:val="13"/>
                <w:szCs w:val="13"/>
                <w:color w:val="auto"/>
              </w:rPr>
            </w:pPr>
          </w:p>
        </w:tc>
        <w:tc>
          <w:tcPr>
            <w:tcW w:w="1020" w:type="dxa"/>
            <w:vAlign w:val="bottom"/>
            <w:tcBorders>
              <w:top w:val="single" w:sz="8" w:color="auto"/>
            </w:tcBorders>
          </w:tcPr>
          <w:p>
            <w:pPr>
              <w:jc w:val="center"/>
              <w:ind w:left="288"/>
              <w:spacing w:after="0" w:line="156" w:lineRule="exact"/>
              <w:rPr>
                <w:sz w:val="20"/>
                <w:szCs w:val="20"/>
                <w:color w:val="auto"/>
              </w:rPr>
            </w:pPr>
            <w:r>
              <w:rPr>
                <w:rFonts w:ascii="Arial" w:cs="Arial" w:eastAsia="Arial" w:hAnsi="Arial"/>
                <w:sz w:val="14"/>
                <w:szCs w:val="14"/>
                <w:b w:val="1"/>
                <w:bCs w:val="1"/>
                <w:color w:val="auto"/>
              </w:rPr>
              <w:t>June 30,</w:t>
            </w:r>
          </w:p>
        </w:tc>
        <w:tc>
          <w:tcPr>
            <w:tcW w:w="3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332"/>
              <w:spacing w:after="0" w:line="156"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r>
      <w:tr>
        <w:trPr>
          <w:trHeight w:val="175"/>
        </w:trPr>
        <w:tc>
          <w:tcPr>
            <w:tcW w:w="68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340" w:type="dxa"/>
            <w:vAlign w:val="bottom"/>
            <w:tcBorders>
              <w:bottom w:val="single" w:sz="8" w:color="CFF0FC"/>
            </w:tcBorders>
          </w:tcPr>
          <w:p>
            <w:pPr>
              <w:spacing w:after="0"/>
              <w:rPr>
                <w:sz w:val="15"/>
                <w:szCs w:val="15"/>
                <w:color w:val="auto"/>
              </w:rPr>
            </w:pPr>
          </w:p>
        </w:tc>
        <w:tc>
          <w:tcPr>
            <w:tcW w:w="14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r>
      <w:tr>
        <w:trPr>
          <w:trHeight w:val="209"/>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Revenues:</w:t>
            </w: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7820" w:type="dxa"/>
            <w:vAlign w:val="bottom"/>
            <w:gridSpan w:val="2"/>
          </w:tcPr>
          <w:p>
            <w:pPr>
              <w:ind w:left="240"/>
              <w:spacing w:after="0"/>
              <w:rPr>
                <w:sz w:val="20"/>
                <w:szCs w:val="20"/>
                <w:color w:val="auto"/>
              </w:rPr>
            </w:pPr>
            <w:r>
              <w:rPr>
                <w:rFonts w:ascii="Arial" w:cs="Arial" w:eastAsia="Arial" w:hAnsi="Arial"/>
                <w:sz w:val="18"/>
                <w:szCs w:val="18"/>
                <w:color w:val="auto"/>
              </w:rPr>
              <w:t>Product revenues</w:t>
            </w: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r>
      <w:tr>
        <w:trPr>
          <w:trHeight w:val="216"/>
        </w:trPr>
        <w:tc>
          <w:tcPr>
            <w:tcW w:w="7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Service revenues</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FF0FC"/>
          </w:tcPr>
          <w:p>
            <w:pPr>
              <w:spacing w:after="0"/>
              <w:rPr>
                <w:sz w:val="18"/>
                <w:szCs w:val="18"/>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Cost of product revenues</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8"/>
                <w:szCs w:val="18"/>
                <w:color w:val="auto"/>
              </w:rPr>
            </w:pPr>
          </w:p>
        </w:tc>
      </w:tr>
      <w:tr>
        <w:trPr>
          <w:trHeight w:val="216"/>
        </w:trPr>
        <w:tc>
          <w:tcPr>
            <w:tcW w:w="7820" w:type="dxa"/>
            <w:vAlign w:val="bottom"/>
            <w:gridSpan w:val="2"/>
          </w:tcPr>
          <w:p>
            <w:pPr>
              <w:ind w:left="240"/>
              <w:spacing w:after="0"/>
              <w:rPr>
                <w:sz w:val="20"/>
                <w:szCs w:val="20"/>
                <w:color w:val="auto"/>
              </w:rPr>
            </w:pPr>
            <w:r>
              <w:rPr>
                <w:rFonts w:ascii="Arial" w:cs="Arial" w:eastAsia="Arial" w:hAnsi="Arial"/>
                <w:sz w:val="18"/>
                <w:szCs w:val="18"/>
                <w:color w:val="auto"/>
              </w:rPr>
              <w:t>Cost of service revenues</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r>
      <w:tr>
        <w:trPr>
          <w:trHeight w:val="216"/>
        </w:trPr>
        <w:tc>
          <w:tcPr>
            <w:tcW w:w="7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8"/>
                <w:szCs w:val="18"/>
                <w:color w:val="auto"/>
              </w:rPr>
            </w:pPr>
          </w:p>
        </w:tc>
      </w:tr>
      <w:tr>
        <w:trPr>
          <w:trHeight w:val="216"/>
        </w:trPr>
        <w:tc>
          <w:tcPr>
            <w:tcW w:w="7820" w:type="dxa"/>
            <w:vAlign w:val="bottom"/>
            <w:gridSpan w:val="2"/>
          </w:tcPr>
          <w:p>
            <w:pPr>
              <w:ind w:left="240"/>
              <w:spacing w:after="0"/>
              <w:rPr>
                <w:sz w:val="20"/>
                <w:szCs w:val="20"/>
                <w:color w:val="auto"/>
              </w:rPr>
            </w:pPr>
            <w:r>
              <w:rPr>
                <w:rFonts w:ascii="Arial" w:cs="Arial" w:eastAsia="Arial" w:hAnsi="Arial"/>
                <w:sz w:val="18"/>
                <w:szCs w:val="18"/>
                <w:color w:val="auto"/>
              </w:rPr>
              <w:t>Independent research and development</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r>
      <w:tr>
        <w:trPr>
          <w:trHeight w:val="216"/>
        </w:trPr>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acquired intangible assets</w:t>
            </w:r>
          </w:p>
        </w:tc>
        <w:tc>
          <w:tcPr>
            <w:tcW w:w="10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r>
      <w:tr>
        <w:trPr>
          <w:trHeight w:val="210"/>
        </w:trPr>
        <w:tc>
          <w:tcPr>
            <w:tcW w:w="78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10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w:t>
            </w: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r>
      <w:tr>
        <w:trPr>
          <w:trHeight w:val="20"/>
        </w:trPr>
        <w:tc>
          <w:tcPr>
            <w:tcW w:w="68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68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8"/>
                <w:szCs w:val="18"/>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attributable to Viasat, Inc.</w:t>
            </w:r>
          </w:p>
        </w:tc>
        <w:tc>
          <w:tcPr>
            <w:tcW w:w="7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w:t>
            </w: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r>
    </w:tbl>
    <w:p>
      <w:pPr>
        <w:spacing w:after="0" w:line="247" w:lineRule="exact"/>
        <w:rPr>
          <w:sz w:val="20"/>
          <w:szCs w:val="20"/>
          <w:color w:val="auto"/>
        </w:rPr>
      </w:pPr>
    </w:p>
    <w:p>
      <w:pPr>
        <w:ind w:right="4880"/>
        <w:spacing w:after="0" w:line="350" w:lineRule="auto"/>
        <w:rPr>
          <w:sz w:val="20"/>
          <w:szCs w:val="20"/>
          <w:color w:val="auto"/>
        </w:rPr>
      </w:pPr>
      <w:r>
        <w:rPr>
          <w:rFonts w:ascii="Arial" w:cs="Arial" w:eastAsia="Arial" w:hAnsi="Arial"/>
          <w:sz w:val="18"/>
          <w:szCs w:val="18"/>
          <w:b w:val="1"/>
          <w:bCs w:val="1"/>
          <w:color w:val="auto"/>
        </w:rPr>
        <w:t xml:space="preserve">Three Months Ended June 30, 2020 vs. Three Months Ended June 30, 2019 </w:t>
      </w:r>
      <w:r>
        <w:rPr>
          <w:rFonts w:ascii="Arial" w:cs="Arial" w:eastAsia="Arial" w:hAnsi="Arial"/>
          <w:sz w:val="18"/>
          <w:szCs w:val="18"/>
          <w:i w:val="1"/>
          <w:iCs w:val="1"/>
          <w:color w:val="auto"/>
        </w:rPr>
        <w:t>Revenues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159"/>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36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16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(13.0)</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3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6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530.5</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r>
      <w:tr>
        <w:trPr>
          <w:trHeight w:val="635"/>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0" w:name="page41"/>
    <w:bookmarkEnd w:id="40"/>
    <w:p>
      <w:pPr>
        <w:jc w:val="both"/>
        <w:ind w:right="380" w:firstLine="510"/>
        <w:spacing w:after="0" w:line="238" w:lineRule="auto"/>
        <w:rPr>
          <w:sz w:val="20"/>
          <w:szCs w:val="20"/>
          <w:color w:val="auto"/>
        </w:rPr>
      </w:pPr>
      <w:r>
        <w:rPr>
          <w:rFonts w:ascii="Arial" w:cs="Arial" w:eastAsia="Arial" w:hAnsi="Arial"/>
          <w:sz w:val="18"/>
          <w:szCs w:val="18"/>
          <w:color w:val="auto"/>
        </w:rPr>
        <w:t>Our total revenues decreased by $ 6.5 million as a result of a $13.0 million decrease in product revenues, partially offset by a $6.4 million increase in service revenues. The product revenue decrease was driven primarily by decreases of $9.8 million in our commercial networks segment and $3.2 million in our government systems segment. The service revenue increase was primarily due to increases of $5.2 million in our satellite services segment and $3.3 million in our government systems segment, partially offset by a decrease of $2.1 million in our commercial networks segment.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159"/>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5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service revenues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0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385.6</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slight increase in cost of revenues compared to the prior year period was due to an increase of $10.2 million in cost of service revenues, partially offset by a decrease of $9.0 million in cost of product revenues. The cost of service revenue increase partially related to lower margins in our satellite services segment, driven by the negative impact of the COVID-19 pandemic on our in-flight services business in the first quarter of fiscal year 2021, as well as an increase in costs related to our investments in emerging global broadband businesses in our satellite services segment. The increase in cost of service revenues was also due to increased revenues, mainly from our satellite services segment, causing a $4.4 million increase in cost of service revenues on a constant margin basis. The cost of product revenue decrease was primarily related to decreased revenues, primarily in our commercial networks segment, causing a $9.7 million decrease in cost of product revenues on a constant margin basis.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104"/>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w w:val="99"/>
              </w:rPr>
              <w:t>June 30,</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The $4.1 million decrease in selling, general and administrative (SG&amp;A) expenses was driven by a decrease of $2.9 million in selling costs, primarily in our satellite services segment, and a decrease in bid and proposal costs of $2.5 million, primarily in our government systems segment. SG&amp;A expenses consisted primarily of personnel costs and expenses for business development, marketing and sales, bid and proposal, facilities, finance, contract administration and general management.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104"/>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w w:val="99"/>
              </w:rPr>
              <w:t>June 30,</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r>
    </w:tbl>
    <w:p>
      <w:pPr>
        <w:spacing w:after="0" w:line="202" w:lineRule="exact"/>
        <w:rPr>
          <w:sz w:val="20"/>
          <w:szCs w:val="20"/>
          <w:color w:val="auto"/>
        </w:rPr>
      </w:pPr>
    </w:p>
    <w:p>
      <w:pPr>
        <w:ind w:right="320" w:firstLine="510"/>
        <w:spacing w:after="0" w:line="238" w:lineRule="auto"/>
        <w:rPr>
          <w:sz w:val="20"/>
          <w:szCs w:val="20"/>
          <w:color w:val="auto"/>
        </w:rPr>
      </w:pPr>
      <w:r>
        <w:rPr>
          <w:rFonts w:ascii="Arial" w:cs="Arial" w:eastAsia="Arial" w:hAnsi="Arial"/>
          <w:sz w:val="18"/>
          <w:szCs w:val="18"/>
          <w:color w:val="auto"/>
        </w:rPr>
        <w:t>The $5.8 million decrease in IR&amp;D expenses was mainly the result of a decrease of $4.5 million in IR&amp;D efforts in our commercial networks segment (primarily related to a decrease in IR&amp;D expenses related to next-generation satellite payload technologies) and a decrease of $1.3 million in our government systems segment (primarily related to a decrease in expenses related to development of next-generation dual band mobility solutions).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5"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insignificant decrease in amortization of acquired intangible assets in the first quarter of fiscal year 2021 compared to the prior year period was primarily the result of certain acquired intangibles in our satellite services segment becoming fully amortized during the prior fiscal year. Current and expected amortization expense for acquired intangible assets for each of the following periods is as follows:</w:t>
      </w:r>
    </w:p>
    <w:p>
      <w:pPr>
        <w:spacing w:after="0" w:line="274" w:lineRule="exact"/>
        <w:rPr>
          <w:sz w:val="20"/>
          <w:szCs w:val="20"/>
          <w:color w:val="auto"/>
        </w:rPr>
      </w:pPr>
    </w:p>
    <w:tbl>
      <w:tblPr>
        <w:tblLayout w:type="fixed"/>
        <w:tblInd w:w="226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5"/>
                <w:szCs w:val="15"/>
                <w:color w:val="auto"/>
              </w:rPr>
            </w:pPr>
          </w:p>
        </w:tc>
      </w:tr>
      <w:tr>
        <w:trPr>
          <w:trHeight w:val="169"/>
        </w:trPr>
        <w:tc>
          <w:tcPr>
            <w:tcW w:w="4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For the three months ended June 30, 2020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6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2021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3,617</w:t>
            </w:r>
          </w:p>
        </w:tc>
        <w:tc>
          <w:tcPr>
            <w:tcW w:w="6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Expected for fiscal year 2022</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3,297</w:t>
            </w:r>
          </w:p>
        </w:tc>
        <w:tc>
          <w:tcPr>
            <w:tcW w:w="6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2023</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2,993</w:t>
            </w:r>
          </w:p>
        </w:tc>
        <w:tc>
          <w:tcPr>
            <w:tcW w:w="6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Expected for fiscal year 2024</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2,472</w:t>
            </w:r>
          </w:p>
        </w:tc>
        <w:tc>
          <w:tcPr>
            <w:tcW w:w="6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2025</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60" w:type="dxa"/>
            <w:vAlign w:val="bottom"/>
            <w:shd w:val="clear" w:color="auto" w:fill="CFF0FC"/>
          </w:tcPr>
          <w:p>
            <w:pPr>
              <w:spacing w:after="0"/>
              <w:rPr>
                <w:sz w:val="18"/>
                <w:szCs w:val="18"/>
                <w:color w:val="auto"/>
              </w:rPr>
            </w:pPr>
          </w:p>
        </w:tc>
      </w:tr>
      <w:tr>
        <w:trPr>
          <w:trHeight w:val="216"/>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9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8"/>
                <w:szCs w:val="18"/>
                <w:color w:val="auto"/>
              </w:rPr>
            </w:pPr>
          </w:p>
        </w:tc>
      </w:tr>
      <w:tr>
        <w:trPr>
          <w:trHeight w:val="209"/>
        </w:trPr>
        <w:tc>
          <w:tcPr>
            <w:tcW w:w="45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13,041</w:t>
            </w:r>
          </w:p>
        </w:tc>
        <w:tc>
          <w:tcPr>
            <w:tcW w:w="60" w:type="dxa"/>
            <w:vAlign w:val="bottom"/>
            <w:shd w:val="clear" w:color="auto" w:fill="CFF0FC"/>
          </w:tcPr>
          <w:p>
            <w:pPr>
              <w:spacing w:after="0"/>
              <w:rPr>
                <w:sz w:val="18"/>
                <w:szCs w:val="18"/>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81" w:lineRule="exact"/>
        <w:rPr>
          <w:sz w:val="20"/>
          <w:szCs w:val="20"/>
          <w:color w:val="auto"/>
        </w:rPr>
      </w:pPr>
    </w:p>
    <w:p>
      <w:pPr>
        <w:ind w:right="220" w:firstLine="510"/>
        <w:spacing w:after="0" w:line="246" w:lineRule="auto"/>
        <w:rPr>
          <w:sz w:val="20"/>
          <w:szCs w:val="20"/>
          <w:color w:val="auto"/>
        </w:rPr>
      </w:pPr>
      <w:r>
        <w:rPr>
          <w:rFonts w:ascii="Arial" w:cs="Arial" w:eastAsia="Arial" w:hAnsi="Arial"/>
          <w:sz w:val="18"/>
          <w:szCs w:val="18"/>
          <w:color w:val="auto"/>
        </w:rPr>
        <w:t>The slight decrease in interest income for the three months ended June 30, 2020 compared to the prior year period was the result of lower average invested cash balances during the first quarter of fiscal year 2021 compared to the prior year period.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81" w:lineRule="exact"/>
        <w:rPr>
          <w:sz w:val="20"/>
          <w:szCs w:val="20"/>
          <w:color w:val="auto"/>
        </w:rPr>
      </w:pPr>
    </w:p>
    <w:p>
      <w:pPr>
        <w:ind w:right="60" w:firstLine="510"/>
        <w:spacing w:after="0"/>
        <w:rPr>
          <w:sz w:val="20"/>
          <w:szCs w:val="20"/>
          <w:color w:val="auto"/>
        </w:rPr>
      </w:pPr>
      <w:r>
        <w:rPr>
          <w:rFonts w:ascii="Arial" w:cs="Arial" w:eastAsia="Arial" w:hAnsi="Arial"/>
          <w:sz w:val="18"/>
          <w:szCs w:val="18"/>
          <w:color w:val="auto"/>
        </w:rPr>
        <w:t>The $1.7 million decrease in interest expense for the three months ended June 30, 2020 compared to the prior year period was primarily due to an increase in the amount of interest capitalized during the first quarter of fiscal year 2021 compared to the prior year period, partially offset by higher outstanding borrowings under our Revolving Credit Facility (which outstanding borrowings were repaid prior to June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30, 2020 with proceeds from the issuance of our 6.500% Senior Notes due 2028 (the 2028 Notes) in June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5"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For the three months ended June 30, 2020, we recorded an income tax benefit of $5.7 million, resulting in an effective tax benefit rate of 39%. For the three months ended June 30, 2019, we recorded an income tax benefit of $7.2 million, resulting in an effective tax benefit rate of 39%. The effective tax rates for the periods differed from the U.S. statutory rate due primarily to the benefit of federal and state R&amp;D tax credits.</w:t>
      </w:r>
    </w:p>
    <w:p>
      <w:pPr>
        <w:spacing w:after="0" w:line="151"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(discrete method) for the year-to-date period. Our effective tax rate is highly influenced by the amount of our R&amp;D tax credits. A small change in estimated annual pretax income (loss) can produce a significant variance in the annual effective tax rate given our expected amount of R&amp;D tax credits. This variability provides an unreliable estimate of the annual effective tax rate. As a result, and in accordance with the authoritative guidance for accounting for income taxes in interim periods, we have computed our provisions for income taxes for the three months ended June 30, 2020 and June 30, 2019, respectively, by applying the actual effective tax rates to the year-to-date losses for the three-month periods.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Segment Results for the Three Months Ended June 30, 2020 vs. Three Months Ended June 30, 2019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880" w:type="dxa"/>
            <w:vAlign w:val="bottom"/>
          </w:tcPr>
          <w:p>
            <w:pPr>
              <w:jc w:val="right"/>
              <w:ind w:right="157"/>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3%</w:t>
            </w: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ind w:right="40" w:firstLine="510"/>
        <w:spacing w:after="0" w:line="235" w:lineRule="auto"/>
        <w:rPr>
          <w:sz w:val="20"/>
          <w:szCs w:val="20"/>
          <w:color w:val="auto"/>
        </w:rPr>
      </w:pPr>
      <w:r>
        <w:rPr>
          <w:rFonts w:ascii="Arial" w:cs="Arial" w:eastAsia="Arial" w:hAnsi="Arial"/>
          <w:sz w:val="18"/>
          <w:szCs w:val="18"/>
          <w:color w:val="auto"/>
        </w:rPr>
        <w:t>Our satellite services segment revenues increased by $5.2 million due to an increase in service revenues. The increase in service revenues was primarily driven by the expansion of our fixed broadband services and higher ARPU when compared to the prior year period, partially offset by a decrease in our IFC services. Since mid-March 2020, we have experienced an uptick in demand for our fixed broadband services as a result of the COVID-19 pandemic, and we are currently participating in certain federal and state programs to ensure our residential and small business customers have access to connectivity during the pandemic. Total subscribers at June 30, 2020 were approximately 599,000 (excluding subscribers whose service would have ordinarily been terminated in the absence of the federal FCC Pledge and similar state programs we are currently participating in related to the COVID-19 pandemic) compared to 587,000 subscribers at June 30, 2019. The increase in ARPU reflected a higher mix of new and existing subscribers choosing Viasat’s premium highest speed plans. The in-flight service revenue decrease was driven primarily by a 45% decrease in the number of commercial aircraft using in-flight services through our IFC systems as of quarter end as a result of the COVID-19 pandemic. In addition, our first quarter fiscal year 2021 in-flight service revenues were also impacted by reduced passenger air traffic and lower capacity on active installed aircraft as a result of the COVID-19 pandemic. Our in-flight services business began to be negatively impacted by the COVID-19 pandemic in the fourth quarter of fiscal year 2020 with continued impact throughout the first quarter of fiscal year 2021. We expect this negative impact to continue through the remainder of fiscal year 2021 and potentially beyond due to the severe decline in global air traffic and the associated grounding of installed aircraft, but to lessen over time with increases in passenger air traffic.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60"/>
              <w:spacing w:after="0" w:line="156"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540"/>
              <w:spacing w:after="0" w:line="156" w:lineRule="exact"/>
              <w:rPr>
                <w:sz w:val="20"/>
                <w:szCs w:val="20"/>
                <w:color w:val="auto"/>
              </w:rPr>
            </w:pPr>
            <w:r>
              <w:rPr>
                <w:rFonts w:ascii="Arial" w:cs="Arial" w:eastAsia="Arial" w:hAnsi="Arial"/>
                <w:sz w:val="14"/>
                <w:szCs w:val="14"/>
                <w:b w:val="1"/>
                <w:bCs w:val="1"/>
                <w:color w:val="auto"/>
                <w:w w:val="99"/>
              </w:rPr>
              <w:t>June 30,</w:t>
            </w: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right="380" w:firstLine="510"/>
        <w:spacing w:after="0" w:line="238" w:lineRule="auto"/>
        <w:rPr>
          <w:sz w:val="20"/>
          <w:szCs w:val="20"/>
          <w:color w:val="auto"/>
        </w:rPr>
      </w:pPr>
      <w:r>
        <w:rPr>
          <w:rFonts w:ascii="Arial" w:cs="Arial" w:eastAsia="Arial" w:hAnsi="Arial"/>
          <w:sz w:val="18"/>
          <w:szCs w:val="18"/>
          <w:color w:val="auto"/>
        </w:rPr>
        <w:t>Our satellite services segment operating loss was relatively flat year-over-year. The slight decrease in operating loss was driven primarily by increased revenues and improved margins from our fixed broadband services, and lower support and selling costs. This was partially offset by lower margins resulting from the negative impact of the COVID-19 pandemic on our in-flight services business and an increase in costs related to our investments in emerging global broadband businesses.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159"/>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36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09"/>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6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(9.8)</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Segment service revenues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5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6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(11.9)</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r>
      <w:tr>
        <w:trPr>
          <w:trHeight w:val="635"/>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43</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3" w:name="page44"/>
    <w:bookmarkEnd w:id="43"/>
    <w:p>
      <w:pPr>
        <w:ind w:right="100" w:firstLine="510"/>
        <w:spacing w:after="0" w:line="237" w:lineRule="auto"/>
        <w:rPr>
          <w:sz w:val="20"/>
          <w:szCs w:val="20"/>
          <w:color w:val="auto"/>
        </w:rPr>
      </w:pPr>
      <w:r>
        <w:rPr>
          <w:rFonts w:ascii="Arial" w:cs="Arial" w:eastAsia="Arial" w:hAnsi="Arial"/>
          <w:sz w:val="18"/>
          <w:szCs w:val="18"/>
          <w:color w:val="auto"/>
        </w:rPr>
        <w:t>Our commercial networks segment revenues decreased by $11.9 million, primarily due to a $9.8 million decrease in product revenues and a $2.1 million decrease in service revenues. The decrease in product revenues was primarily due to a decrease of $16.3 million in mobile broadband satellite communication systems products due to decreased IFC terminal deliveries resulting from the severe decline in global air traffic and resulting downturn in the commercial aviation market as a result of the COVID-19 pandemic, partially offset by an increase of $10.3 million in antenna systems products. The decrease in service revenues was primarily driven by a decrease in mobile broadband satellite communication systems services.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60"/>
              <w:spacing w:after="0" w:line="156"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540"/>
              <w:spacing w:after="0" w:line="156" w:lineRule="exact"/>
              <w:rPr>
                <w:sz w:val="20"/>
                <w:szCs w:val="20"/>
                <w:color w:val="auto"/>
              </w:rPr>
            </w:pPr>
            <w:r>
              <w:rPr>
                <w:rFonts w:ascii="Arial" w:cs="Arial" w:eastAsia="Arial" w:hAnsi="Arial"/>
                <w:sz w:val="14"/>
                <w:szCs w:val="14"/>
                <w:b w:val="1"/>
                <w:bCs w:val="1"/>
                <w:color w:val="auto"/>
                <w:w w:val="99"/>
              </w:rPr>
              <w:t>June 30,</w:t>
            </w: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(51.4)</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(49.9)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right="220" w:firstLine="510"/>
        <w:spacing w:after="0" w:line="238" w:lineRule="auto"/>
        <w:rPr>
          <w:sz w:val="20"/>
          <w:szCs w:val="20"/>
          <w:color w:val="auto"/>
        </w:rPr>
      </w:pPr>
      <w:r>
        <w:rPr>
          <w:rFonts w:ascii="Arial" w:cs="Arial" w:eastAsia="Arial" w:hAnsi="Arial"/>
          <w:sz w:val="18"/>
          <w:szCs w:val="18"/>
          <w:color w:val="auto"/>
        </w:rPr>
        <w:t>Our commercial networks segment operating loss was relatively flat year-over-year. The slight increase in operating loss was driven primarily by lower earnings contributions of $6.8 million, primarily due to a decrease in revenues of our mobile broadband satellite communication systems products. The decrease in earnings contributions was partially offset by a $4.5 million decrease in IR&amp;D expenses (primarily related to next-generation satellite payload technologies).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159"/>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0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5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Segment service revenues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0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261.3</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The slight increase in our government systems segment revenues was due to an increase of $3.3 million in service revenues offset by a decrease of $3.2 million in product revenues. The service revenue increase was primarily due to a $1.4 million increase in government mobile broadband services and a $1.1 million increase in tactical data link services. The product revenue decrease was due to a $10.3 million decrease in government mobile broadband products and a $9.0 million decrease in government satellite communication systems products, partially offset by a $9.6 million increase in tactical satcom radio products and a $7.3 million increase in tactical data link systems products.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460"/>
              <w:spacing w:after="0" w:line="156"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6"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621"/>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ind w:right="140" w:firstLine="510"/>
        <w:spacing w:after="0"/>
        <w:rPr>
          <w:sz w:val="20"/>
          <w:szCs w:val="20"/>
          <w:color w:val="auto"/>
        </w:rPr>
      </w:pPr>
      <w:r>
        <w:rPr>
          <w:rFonts w:ascii="Arial" w:cs="Arial" w:eastAsia="Arial" w:hAnsi="Arial"/>
          <w:sz w:val="18"/>
          <w:szCs w:val="18"/>
          <w:color w:val="auto"/>
        </w:rPr>
        <w:t>The $ 3.6 million increase in our government systems segment operating profit was primarily due to higher earnings contributions of $2.0 million, primarily due to an increase in revenues and improved margins from our tactical satcom radio products. The increase was also driven by lower IR&amp;D costs of $1.3 million (primarily related to development of next-generation dual band mobility solutions).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reflected in the table below, our overall firm and funded backlog increased during the first three months of fiscal year 2021.</w:t>
      </w:r>
    </w:p>
    <w:p>
      <w:pPr>
        <w:spacing w:after="0" w:line="199"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380" w:type="dxa"/>
            <w:vAlign w:val="bottom"/>
            <w:gridSpan w:val="2"/>
          </w:tcPr>
          <w:p>
            <w:pPr>
              <w:ind w:left="3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March 31, 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0" w:type="dxa"/>
            <w:vAlign w:val="bottom"/>
            <w:gridSpan w:val="5"/>
          </w:tcPr>
          <w:p>
            <w:pPr>
              <w:ind w:left="9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Firm backlog</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644.8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Commercial networks segment</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546.7</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Government systems segment</w:t>
            </w:r>
          </w:p>
        </w:tc>
        <w:tc>
          <w:tcPr>
            <w:tcW w:w="5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923.1</w:t>
            </w:r>
          </w:p>
        </w:tc>
        <w:tc>
          <w:tcPr>
            <w:tcW w:w="1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851.3</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2,114.6</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5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 segment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644.8</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 segment</w:t>
            </w:r>
          </w:p>
        </w:tc>
        <w:tc>
          <w:tcPr>
            <w:tcW w:w="5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827.4</w:t>
            </w:r>
          </w:p>
        </w:tc>
        <w:tc>
          <w:tcPr>
            <w:tcW w:w="1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2,007.3</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1,878.1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510"/>
        <w:spacing w:after="0" w:line="236" w:lineRule="auto"/>
        <w:rPr>
          <w:sz w:val="20"/>
          <w:szCs w:val="20"/>
          <w:color w:val="auto"/>
        </w:rPr>
      </w:pPr>
      <w:r>
        <w:rPr>
          <w:rFonts w:ascii="Arial" w:cs="Arial" w:eastAsia="Arial" w:hAnsi="Arial"/>
          <w:sz w:val="18"/>
          <w:szCs w:val="18"/>
          <w:color w:val="auto"/>
        </w:rPr>
        <w:t>The firm backlog does not include contract options. Of the $2.1 billion in firm backlog, a little over half is expected to be delivered during the next twelve months, with the balance delivered thereafter. We include in our backlog only those orders for which we have accepted purchase orders, and not anticipated purchase orders and requests. In our satellite services segment, our backlog includes fixed broadband service revenues under our subscriber agreements, but does not include future recurring IFC service revenues under our agreements with commercial airlines. As of June 30, 2020, we had our IFC systems installed and in service on approximately 1,390 commercial aircraft, of which, due to impacts of the COVID-19 pandemic, approximately 630 were inactive at quarter end. We expect the negative impact on our IFC business from the pandemic to continue through the remainder of fiscal year 2021 and potentially beyond due to the severe decline in global air traffic and associated grounding of installed aircraft, but to lessen over time with increases in passenger air traffic. We anticipate our IFC services will be activated on approximately 750 additional commercial aircraft under existing customer agreements with commercial airlines. However, the timing of installation and entry into service of IFC systems on additional aircraft under existing customer agreements may be delayed as a result of the impact of the COVID-19 pandemic on the global airline industry. Accordingly, there can be no assurance that all anticipated purchase orders and requests will be placed or that anticipated IFC services will be activated.</w:t>
      </w:r>
    </w:p>
    <w:p>
      <w:pPr>
        <w:spacing w:after="0" w:line="149" w:lineRule="exact"/>
        <w:rPr>
          <w:sz w:val="20"/>
          <w:szCs w:val="20"/>
          <w:color w:val="auto"/>
        </w:rPr>
      </w:pPr>
    </w:p>
    <w:p>
      <w:pPr>
        <w:ind w:right="860" w:firstLine="510"/>
        <w:spacing w:after="0" w:line="246" w:lineRule="auto"/>
        <w:rPr>
          <w:sz w:val="20"/>
          <w:szCs w:val="20"/>
          <w:color w:val="auto"/>
        </w:rPr>
      </w:pPr>
      <w:r>
        <w:rPr>
          <w:rFonts w:ascii="Arial" w:cs="Arial" w:eastAsia="Arial" w:hAnsi="Arial"/>
          <w:sz w:val="18"/>
          <w:szCs w:val="18"/>
          <w:color w:val="auto"/>
        </w:rPr>
        <w:t>Our total new awards exclude future revenue under recurring consumer commitment arrangements and were approximately $736.9 million and $505.8 million for the three months ended June 30, 2020 and 2019, respectively.</w:t>
      </w:r>
    </w:p>
    <w:p>
      <w:pPr>
        <w:spacing w:after="0" w:line="143" w:lineRule="exact"/>
        <w:rPr>
          <w:sz w:val="20"/>
          <w:szCs w:val="20"/>
          <w:color w:val="auto"/>
        </w:rPr>
      </w:pPr>
    </w:p>
    <w:p>
      <w:pPr>
        <w:ind w:right="80" w:firstLine="510"/>
        <w:spacing w:after="0" w:line="238"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51"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June 30, 2020, we had $232.4 million in cash and cash equivalents, $356.3 million in working capital, no outstanding borrowings and borrowing availability of $668.7 million under our Revolving Credit Facility. Subsequent to fiscal quarter end, on July 23, 2020, we issued and sold an aggregate of 4,474,559 shares of our common stock at a purchase price of $39.11 per share to certain accredited investors in a private placement transaction exempt from registration under the Securities Act of 1933, as amended, resulting in aggregate gross proceeds of approximately $175.0 million. At March 31, 2020, we had $ 304.3 million in cash and cash equivalents, $ 441.1 million in working capital, and $390.0 million in principal amount of outstanding borrowings and borrowing availability of $292.7 million under our Revolving Credit Facility. We invest our cash in excess of current operating requirements in short-term, highly liquid bank money market accounts.</w:t>
      </w:r>
    </w:p>
    <w:p>
      <w:pPr>
        <w:spacing w:after="0" w:line="153" w:lineRule="exact"/>
        <w:rPr>
          <w:sz w:val="20"/>
          <w:szCs w:val="20"/>
          <w:color w:val="auto"/>
        </w:rPr>
      </w:pPr>
    </w:p>
    <w:p>
      <w:pPr>
        <w:ind w:right="320" w:firstLine="510"/>
        <w:spacing w:after="0" w:line="238"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satellite projects and any future broadband satellite projects we may engage in, expansion of our R&amp;D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51" w:lineRule="exact"/>
        <w:rPr>
          <w:sz w:val="20"/>
          <w:szCs w:val="20"/>
          <w:color w:val="auto"/>
        </w:rPr>
      </w:pPr>
    </w:p>
    <w:p>
      <w:pPr>
        <w:ind w:right="120" w:firstLine="510"/>
        <w:spacing w:after="0" w:line="236" w:lineRule="auto"/>
        <w:rPr>
          <w:sz w:val="20"/>
          <w:szCs w:val="20"/>
          <w:color w:val="auto"/>
        </w:rPr>
      </w:pPr>
      <w:r>
        <w:rPr>
          <w:rFonts w:ascii="Arial" w:cs="Arial" w:eastAsia="Arial" w:hAnsi="Arial"/>
          <w:sz w:val="18"/>
          <w:szCs w:val="18"/>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and investments in ground infrastructure roll-out), investments in joint ventures, strategic partnering arrangements and network expansion activities, as well as the quality of customer, type of contract and payment terms.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50" w:lineRule="exact"/>
        <w:rPr>
          <w:sz w:val="20"/>
          <w:szCs w:val="20"/>
          <w:color w:val="auto"/>
        </w:rPr>
      </w:pPr>
    </w:p>
    <w:p>
      <w:pPr>
        <w:ind w:firstLine="510"/>
        <w:spacing w:after="0" w:line="253" w:lineRule="auto"/>
        <w:rPr>
          <w:sz w:val="20"/>
          <w:szCs w:val="20"/>
          <w:color w:val="auto"/>
        </w:rPr>
      </w:pPr>
      <w:r>
        <w:rPr>
          <w:rFonts w:ascii="Arial" w:cs="Arial" w:eastAsia="Arial" w:hAnsi="Arial"/>
          <w:sz w:val="17"/>
          <w:szCs w:val="17"/>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In February 2019,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141" w:lineRule="exact"/>
        <w:rPr>
          <w:sz w:val="20"/>
          <w:szCs w:val="20"/>
          <w:color w:val="auto"/>
        </w:rPr>
      </w:pPr>
    </w:p>
    <w:p>
      <w:pPr>
        <w:ind w:right="80" w:firstLine="510"/>
        <w:spacing w:after="0" w:line="253" w:lineRule="auto"/>
        <w:rPr>
          <w:sz w:val="20"/>
          <w:szCs w:val="20"/>
          <w:color w:val="auto"/>
        </w:rPr>
      </w:pPr>
      <w:r>
        <w:rPr>
          <w:rFonts w:ascii="Arial" w:cs="Arial" w:eastAsia="Arial" w:hAnsi="Arial"/>
          <w:sz w:val="17"/>
          <w:szCs w:val="17"/>
          <w:color w:val="auto"/>
        </w:rPr>
        <w:t>To date, COVID-19 has not had a significant impact on our liquidity, cash flows or capital resources. However, we have taken measures to mitigate the impact of COVID-19 on our business and financial position, including deferring certain capital expenditures, reducing discretionary expenditures and undertaking cost-reduction actions. Given our current cash position, outlook for funds generated from operations, borrowing availability under our Revolving Credit Facility of $668.7 million, cash needs and debt structure, we have not experienced to date, and do not expect to experience, any material issues with liquidity. Although we can give no assurances concerning our future liquidity, we believe that our current cash balances and net cash expected to be provided by operating activities along with availability under our Revolving Credit Facility will be sufficient to meet our anticipated operating requirements for at least the next 12 months.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Cash provided by operating activities for the first three months of fiscal year 2021 was $156.9 million compared to $46.5 million in the prior year period. This $ 110.4 million increase was primarily driven by a $106.4 million year-over-year decrease in cash used to fund net operating assets. When compared to the prior year period, the decrease in cash used to fund net operating assets during the first three months of fiscal year 2021 was primarily due to an increase in cash inflows year-over-year from combined billed and unbilled accounts receivable, net, attributable to the timing of contractual milestones for certain larger development programs in our government systems segment and due to lower cash outflows year-over-year from lower prepaid expenses payments. The increase in cash was also driven by our operating results (net loss adjusted for depreciation, amortization and other non-cash charges) which resulted in $4.0 million of higher cash provided by operating activities year-over-year.</w:t>
      </w:r>
    </w:p>
    <w:p>
      <w:pPr>
        <w:spacing w:after="0" w:line="154"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Cash used in investing activities for the first three months of fiscal year 2021 was $229.3 million compared to $185.8 million in the prior year period. This $43.5 million increase in cash used in investing activities year-over-year reflects an increase of $39.5 million in cash used for satellite construction.</w:t>
      </w:r>
    </w:p>
    <w:p>
      <w:pPr>
        <w:spacing w:after="0" w:line="149"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Cash provided by financing activities for the first three months of fiscal year 2021 was an insignificant amount compared to $7.5 million for the prior year period. Cash provided by financing activities for the first quarter of fiscal year 2021 included the receipt of $400.0 million in gross proceeds from the issuance and sale of our 2028 Notes and payments on borrowings under our Revolving Credit Facility of $390.0 million. Cash provided by financing activities for both periods included cash received from employee stock purchase plan purchases, and for the first quarter of fiscal year 2020 also included cash received from stock option exercises, which combined were $15.2 million lower in the current year period when compared to the prior year period. Both periods also included the repurchase of common stock related to net share settlement of certain employee tax liabilities in connection with the vesting of restricted stock unit awards.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In connection with the development of any new generation satellite design, and the launch of any new satellite and the commencement of the related service, we expect to incur additional operating costs that negatively impact our financial results. For example, when ViaSat-2 was placed in service in the fourth quarter of fiscal year 2018, this resulted in additional operating costs in our satellite services segment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service. However, as the services we provide using the new satellite continue to scale, we expect to continue to expand the revenue base for our broadband services and gain operating cost efficiencies, which together we expect will yield incremental segment earnings contributions, partially offset by investments associated with our global business and emerging markets growth. However, there can be no assurance that we will be successful in significantly increasing revenues or achieving operating profit in our satellite services segment. We anticipate that we will incur a similar cycle of increased operating costs as we prepare for and launch commercial services on future satellites, including our ViaSat-3 constellation, followed by increases in revenue base and in scale.</w:t>
      </w:r>
    </w:p>
    <w:p>
      <w:pPr>
        <w:spacing w:after="0" w:line="14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Our first two ViaSat-3 class satellites, which are expected to cover the Americas and the EMEA region, respectively, entered the phase of full construction during the second half of fiscal year 2018. In July 2019, we entered into an agreement with The Boeing Company for the construction and purchase of a third ViaSat-3 class satellite and the integration of our payload technologies into the satellite. This satellite is expected to cover the Asia and Pacific region. We expect our ViaSat-3 constellation, once in service, to provide a substantial amount of capacity and to enable us to deliver affordable connectivity across most of the world. While we are making good progress on our ViaSat-3 constellation, we are seeing certain personnel impacts from COVID-19 affecting both our and contract manufacturer personnel, subcontractors, and other third-party service providers. Increases in the severity or frequency of these personnel impacts may adversely affect our targeted launch dates. We believe we have adequate sources of funding for the ViaSat-3 class satellites, which include, but are not limited to, our cash on hand, borrowing capacity and the cash we expect to generate from operations over the next few years. Our total cash funding may be reduced through various third-party agreements, including potential joint service offerings and other strategic partnering arrangements.</w:t>
      </w:r>
    </w:p>
    <w:p>
      <w:pPr>
        <w:spacing w:after="0" w:line="151" w:lineRule="exact"/>
        <w:rPr>
          <w:sz w:val="20"/>
          <w:szCs w:val="20"/>
          <w:color w:val="auto"/>
        </w:rPr>
      </w:pPr>
    </w:p>
    <w:p>
      <w:pPr>
        <w:ind w:right="220" w:firstLine="510"/>
        <w:spacing w:after="0" w:line="238" w:lineRule="auto"/>
        <w:rPr>
          <w:sz w:val="20"/>
          <w:szCs w:val="20"/>
          <w:color w:val="auto"/>
        </w:rPr>
      </w:pPr>
      <w:r>
        <w:rPr>
          <w:rFonts w:ascii="Arial" w:cs="Arial" w:eastAsia="Arial" w:hAnsi="Arial"/>
          <w:sz w:val="18"/>
          <w:szCs w:val="18"/>
          <w:color w:val="auto"/>
        </w:rPr>
        <w:t>Our IR&amp;D investments are expected to continue through fiscal year 2021 and beyond relating to ViaSat-3 ground infrastructure and support of our government and commercial air mobility businesses. We expect to continue to invest in IR&amp;D at a significant level as we continue our focus on leadership and innovation in satellite and space technologies. However, the level of investment in a given fiscal year will depend on a variety of factors, including the stage of development of our satellite projects, new market opportunities and our overall</w:t>
      </w:r>
    </w:p>
    <w:p>
      <w:pPr>
        <w:spacing w:after="0" w:line="1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operating performance. In fiscal year 2021, capital expenditures are expected to increase when compared to fiscal year 2020, as we have a third ViaSat-3 class satellite under construction, as well as increased ground network investments related to international expansion.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9" w:lineRule="exact"/>
        <w:rPr>
          <w:sz w:val="20"/>
          <w:szCs w:val="20"/>
          <w:color w:val="auto"/>
        </w:rPr>
      </w:pPr>
    </w:p>
    <w:p>
      <w:pPr>
        <w:ind w:right="160" w:firstLine="510"/>
        <w:spacing w:after="0" w:line="238" w:lineRule="auto"/>
        <w:rPr>
          <w:sz w:val="20"/>
          <w:szCs w:val="20"/>
          <w:color w:val="auto"/>
        </w:rPr>
      </w:pPr>
      <w:r>
        <w:rPr>
          <w:rFonts w:ascii="Arial" w:cs="Arial" w:eastAsia="Arial" w:hAnsi="Arial"/>
          <w:sz w:val="18"/>
          <w:szCs w:val="18"/>
          <w:color w:val="auto"/>
        </w:rPr>
        <w:t>As of June 30, 2020, the Revolving Credit Facility provided a $700.0 million revolving line of credit (including up to $150.0 million of letters of credit), with a maturity date of January 18, 2024. As of June 30, 2020, we had no outstanding borrowings under the Revolving Credit Facility and $ 31.3 million outstanding under standby letters of credit, leaving borrowing availability under the Revolving Credit Facility as of June 30, 2020 of $668.7 million.</w:t>
      </w:r>
    </w:p>
    <w:p>
      <w:pPr>
        <w:spacing w:after="0" w:line="151"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Borrowings under the Revolving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The Revolving Credit Facility is required to be guaranteed by certain significant domestic subsidiaries of Viasat (as defined in the Revolving Credit Facility) and secured by substantially all of our assets. As of June 30, 2020, none of our subsidiaries guaranteed the Revolving Credit Facility.</w:t>
      </w:r>
    </w:p>
    <w:p>
      <w:pPr>
        <w:spacing w:after="0" w:line="148" w:lineRule="exact"/>
        <w:rPr>
          <w:sz w:val="20"/>
          <w:szCs w:val="20"/>
          <w:color w:val="auto"/>
        </w:rPr>
      </w:pPr>
    </w:p>
    <w:p>
      <w:pPr>
        <w:ind w:right="100" w:firstLine="510"/>
        <w:spacing w:after="0"/>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85"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$ 41.2 million used to finance the total exposure fees incurred under the Ex-Im Credit Facility (which included all previously accrued completion exposure fees). As of June 30, 2020, we had $108.1 million in principal amount of outstanding borrowings under the Ex-Im Credit Facility.</w:t>
      </w:r>
    </w:p>
    <w:p>
      <w:pPr>
        <w:spacing w:after="0" w:line="151" w:lineRule="exact"/>
        <w:rPr>
          <w:sz w:val="20"/>
          <w:szCs w:val="20"/>
          <w:color w:val="auto"/>
        </w:rPr>
      </w:pPr>
    </w:p>
    <w:p>
      <w:pPr>
        <w:ind w:right="60" w:firstLine="510"/>
        <w:spacing w:after="0" w:line="236"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our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Pursuant to the terms of the Ex-Im Credit Facility, certain insurance proceeds related to the ViaSat-2 satellite must be used to pay down outstanding borrowings under the Ex-Im Credit Facility upon receipt. During fiscal years 2019 and 2020, we received an aggregate of $188.0 million of insurance proceeds related to the ViaSat-2 satellite, all of which were used to pay down outstanding borrowings under the Ex-Im Credit Facility upon receipt. The Ex-Im Credit Facility is guaranteed by Viasat and is secured by first-priority liens on the ViaSat-2 satellite and related assets as well as a pledge of the capital stock of the borrower under the facility.</w:t>
      </w:r>
    </w:p>
    <w:p>
      <w:pPr>
        <w:spacing w:after="0" w:line="153" w:lineRule="exact"/>
        <w:rPr>
          <w:sz w:val="20"/>
          <w:szCs w:val="20"/>
          <w:color w:val="auto"/>
        </w:rPr>
      </w:pPr>
    </w:p>
    <w:p>
      <w:pPr>
        <w:ind w:right="40" w:firstLine="510"/>
        <w:spacing w:after="0"/>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49"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color w:val="auto"/>
        </w:rPr>
        <w:t>The borrowings under the Ex-Im Credit Facility are recorded as current portion of long-term debt and as other long-term debt, net of unamortized discount and debt issuance costs, in our condensed consolidated financial statements. The discount of $42.3 million (consisting of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2028</w:t>
      </w:r>
    </w:p>
    <w:p>
      <w:pPr>
        <w:spacing w:after="0" w:line="81" w:lineRule="exact"/>
        <w:rPr>
          <w:sz w:val="20"/>
          <w:szCs w:val="20"/>
          <w:color w:val="auto"/>
        </w:rPr>
      </w:pPr>
    </w:p>
    <w:p>
      <w:pPr>
        <w:ind w:right="80" w:firstLine="510"/>
        <w:spacing w:after="0" w:line="238" w:lineRule="auto"/>
        <w:rPr>
          <w:sz w:val="20"/>
          <w:szCs w:val="20"/>
          <w:color w:val="auto"/>
        </w:rPr>
      </w:pPr>
      <w:r>
        <w:rPr>
          <w:rFonts w:ascii="Arial" w:cs="Arial" w:eastAsia="Arial" w:hAnsi="Arial"/>
          <w:sz w:val="18"/>
          <w:szCs w:val="18"/>
          <w:color w:val="auto"/>
        </w:rPr>
        <w:t>In June 2020, we issued $400.0 million in principal amount of 2028 Notes in a private placement to institutional buyers. The 2028 Notes were issued at face value and are recorded as long-term debt, net of debt issuance costs, in our condensed consolidated financial statements. The 2028 Notes bear interest at the rate of 6.500% per year, payable semi-annually in cash in arrears, which interest payments will commence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8" w:name="page49"/>
    <w:bookmarkEnd w:id="48"/>
    <w:p>
      <w:pPr>
        <w:ind w:right="60" w:firstLine="510"/>
        <w:spacing w:after="0" w:line="237" w:lineRule="auto"/>
        <w:rPr>
          <w:sz w:val="20"/>
          <w:szCs w:val="20"/>
          <w:color w:val="auto"/>
        </w:rPr>
      </w:pPr>
      <w:r>
        <w:rPr>
          <w:rFonts w:ascii="Arial" w:cs="Arial" w:eastAsia="Arial" w:hAnsi="Arial"/>
          <w:sz w:val="18"/>
          <w:szCs w:val="18"/>
          <w:color w:val="auto"/>
        </w:rPr>
        <w:t>The 2028 Notes are required to be guaranteed on an unsecured senior basis by each of our existing and future subsidiaries that guarantees the Revolving Credit Facility. As of June 30, 2020, none of our subsidiaries guaranteed the 2028 Notes. The 2028 Notes are our general senior unsecured obligations and rank equally in right of payment with all of our existing and future unsecured unsubordinated debt. The 2028 Notes are effectively junior in right of payment to our existing and future secured debt, including under the Revolving Credit Facility and the Ex-Im Credit Facility (collectively, our Credit Facilities) and the 2027 Notes (to the extent of the value of the assets securing such debt), are structurally subordinated to all existing and future liabilities (including trade payables) of our subsidiaries that do not guarantee the 2028 Notes, and are senior in right of payment to all of our existing and future subordinated indebtedness.</w:t>
      </w:r>
    </w:p>
    <w:p>
      <w:pPr>
        <w:spacing w:after="0" w:line="149"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The indenture governing the 2028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our assets to, another person.</w:t>
      </w:r>
    </w:p>
    <w:p>
      <w:pPr>
        <w:spacing w:after="0" w:line="148"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Prior to July 15, 2023, we may redeem up to 40% of the 2028 Notes at a redemption price of 106.500% of the principal amount thereof, plus accrued and unpaid interest, if any, thereon to the redemption date, from the net cash proceeds of specified equity offerings. We may also redeem the 2028 Notes prior to July 15, 2023,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2028 Notes and (ii) the excess, if any, of (a) the present value at such date of redemption of (1) the redemption price of such 2028 Notes on July 15, 2023 plus (2) all required interest payments due on such 2028 Notes through July 15, 2023 (excluding accrued but unpaid interest to the date of redemption), computed using a discount rate equal to the treasury rate (as defined under the indenture governing the 2028 Notes) plus 50 basis points, over (b) the then-outstanding principal amount of such 2028 Notes. The 2028 Notes may be redeemed, in whole or in part, at any time during the 12 months beginning on July 15, 2023 at a redemption price of 103.250%, during the 12 months beginning on July 15, 2024 at a redemption price of 101.625%, and at any time on or after July 15, 2025 at a redemption price of 100%, in each case plus accrued and unpaid interest, if any, thereon to the redemption date.</w:t>
      </w:r>
    </w:p>
    <w:p>
      <w:pPr>
        <w:spacing w:after="0" w:line="151"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2028 Notes), each holder will have the right to require us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81" w:lineRule="exact"/>
        <w:rPr>
          <w:sz w:val="20"/>
          <w:szCs w:val="20"/>
          <w:color w:val="auto"/>
        </w:rPr>
      </w:pPr>
    </w:p>
    <w:p>
      <w:pPr>
        <w:ind w:right="160" w:firstLine="510"/>
        <w:spacing w:after="0" w:line="255" w:lineRule="auto"/>
        <w:rPr>
          <w:sz w:val="20"/>
          <w:szCs w:val="20"/>
          <w:color w:val="auto"/>
        </w:rPr>
      </w:pPr>
      <w:r>
        <w:rPr>
          <w:rFonts w:ascii="Arial" w:cs="Arial" w:eastAsia="Arial" w:hAnsi="Arial"/>
          <w:sz w:val="17"/>
          <w:szCs w:val="17"/>
          <w:color w:val="auto"/>
        </w:rPr>
        <w:t>In March 2019, we issued $600.0 million in principal amount of 2027 Notes in a private placement to institutional buyers. The 2027 Notes were issued at face value and are recorded as long-term debt, net of debt issuance costs, in our condensed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36" w:lineRule="exact"/>
        <w:rPr>
          <w:sz w:val="20"/>
          <w:szCs w:val="20"/>
          <w:color w:val="auto"/>
        </w:rPr>
      </w:pPr>
    </w:p>
    <w:p>
      <w:pPr>
        <w:ind w:right="440" w:firstLine="510"/>
        <w:spacing w:after="0" w:line="261" w:lineRule="auto"/>
        <w:rPr>
          <w:sz w:val="20"/>
          <w:szCs w:val="20"/>
          <w:color w:val="auto"/>
        </w:rPr>
      </w:pPr>
      <w:r>
        <w:rPr>
          <w:rFonts w:ascii="Arial" w:cs="Arial" w:eastAsia="Arial" w:hAnsi="Arial"/>
          <w:sz w:val="17"/>
          <w:szCs w:val="17"/>
          <w:color w:val="auto"/>
        </w:rPr>
        <w:t>The 2027 Notes are required to be guaranteed on a senior secured basis by each of our existing and future subsidiaries that guarantees the Revolving Credit Facility. As of June 30, 2020, none of our subsidiaries guaranteed the 2027 Notes. The 2027 Notes are secured, equally and ratably with the Revolving Credit Facility and any future parity lien debt, by liens on substantially all of our assets.</w:t>
      </w:r>
    </w:p>
    <w:p>
      <w:pPr>
        <w:spacing w:after="0" w:line="132" w:lineRule="exact"/>
        <w:rPr>
          <w:sz w:val="20"/>
          <w:szCs w:val="20"/>
          <w:color w:val="auto"/>
        </w:rPr>
      </w:pPr>
    </w:p>
    <w:p>
      <w:pPr>
        <w:ind w:right="120" w:firstLine="510"/>
        <w:spacing w:after="0" w:line="237" w:lineRule="auto"/>
        <w:rPr>
          <w:sz w:val="20"/>
          <w:szCs w:val="20"/>
          <w:color w:val="auto"/>
        </w:rPr>
      </w:pPr>
      <w:r>
        <w:rPr>
          <w:rFonts w:ascii="Arial" w:cs="Arial" w:eastAsia="Arial" w:hAnsi="Arial"/>
          <w:sz w:val="18"/>
          <w:szCs w:val="18"/>
          <w:color w:val="auto"/>
        </w:rPr>
        <w:t>The 2027 Notes are our general senior secured obligations and rank equally in right of payment with all of our existing and future unsubordinated debt. The 2027 Notes are effectively senior to all of our existing and future unsecured debt (including our 5.625% Senior Notes due 2025 (the 2025 Notes) and the 2028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our subsidiaries that do not guarantee the 2027 Notes (including obligations of the borrower under the Ex-Im Credit Facility), and are senior in right of payment to all of our existing and future subordinated indebtedness.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9" w:name="page50"/>
    <w:bookmarkEnd w:id="49"/>
    <w:p>
      <w:pPr>
        <w:ind w:right="20" w:firstLine="510"/>
        <w:spacing w:after="0" w:line="238" w:lineRule="auto"/>
        <w:rPr>
          <w:sz w:val="20"/>
          <w:szCs w:val="20"/>
          <w:color w:val="auto"/>
        </w:rPr>
      </w:pPr>
      <w:r>
        <w:rPr>
          <w:rFonts w:ascii="Arial" w:cs="Arial" w:eastAsia="Arial" w:hAnsi="Arial"/>
          <w:sz w:val="18"/>
          <w:szCs w:val="18"/>
          <w:color w:val="auto"/>
        </w:rPr>
        <w:t>The indenture governing the 2027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our assets to, another person.</w:t>
      </w:r>
    </w:p>
    <w:p>
      <w:pPr>
        <w:spacing w:after="0" w:line="148"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Prior to April 15, 2022, we may redeem up to 40% of the 2027 Notes at a redemption price of 105.625% of the principal amount thereof, plus accrued and unpaid interest, if any, thereon to the redemption date, from the net cash proceeds of specified equity offerings. We may also redeem the 2027 Notes prior to April 15, 2022,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2027 Notes and (ii) the excess, if any, of (a) the present value at such date of redemption of (1) the redemption price of such 2027 Notes on April 15, 2022 plus (2) all required interest payments due on such 2027 Notes through April 15, 2022 (excluding accrued but unpaid interest to the date of redemption), computed using a discount rate equal to the treasury rate (as defined under the indenture governing the 2027 Notes) plus 50 basis points, over (b) the then-outstanding principal amount of such 2027 Notes. The 2027 Notes may be redeemed, in whole or in part, at any time during the 12 months beginning on April 15, 2022 at a redemption price of 102.813%, during the 12 months beginning on April 15, 2023 at a redemption price of 101.406%, and at any time on or after April 15, 2024 at a redemption price of 100%, in each case plus accrued and unpaid interest, if any, thereon to the redemption date.</w:t>
      </w:r>
    </w:p>
    <w:p>
      <w:pPr>
        <w:spacing w:after="0" w:line="151"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us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81" w:lineRule="exact"/>
        <w:rPr>
          <w:sz w:val="20"/>
          <w:szCs w:val="20"/>
          <w:color w:val="auto"/>
        </w:rPr>
      </w:pPr>
    </w:p>
    <w:p>
      <w:pPr>
        <w:ind w:right="260" w:firstLine="510"/>
        <w:spacing w:after="0" w:line="237" w:lineRule="auto"/>
        <w:rPr>
          <w:sz w:val="20"/>
          <w:szCs w:val="20"/>
          <w:color w:val="auto"/>
        </w:rPr>
      </w:pPr>
      <w:r>
        <w:rPr>
          <w:rFonts w:ascii="Arial" w:cs="Arial" w:eastAsia="Arial" w:hAnsi="Arial"/>
          <w:sz w:val="18"/>
          <w:szCs w:val="18"/>
          <w:color w:val="auto"/>
        </w:rPr>
        <w:t>In September 2017, we issued $700.0 million in principal amount of 2025 Notes in a private placement to institutional buyers. The 2025 Notes were issued at face value and are recorded as long-term debt, net of debt issuance costs, in our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51"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The 2025 Notes are required to be guaranteed on an unsecured senior basis by each of our existing and future subsidiaries that guarantees the Revolving Credit Facility. As of June 30, 2020, none of our subsidiaries guaranteed the 2025 Notes. The 2025 Notes are our general senior unsecured obligations and rank equally in right of payment with all of our existing and future unsecured unsubordinated debt. The 2025 Notes are effectively junior in right of payment to our existing and future secured debt, including under our Credit Facilities and the 2027 Notes (to the extent of the value of the assets securing such debt), are structurally subordinated to all existing and future liabilities (including trade payables) of our subsidiaries that do not guarantee the 2025 Notes, and are senior in right of payment to all of our existing and future subordinated indebtedness.</w:t>
      </w:r>
    </w:p>
    <w:p>
      <w:pPr>
        <w:spacing w:after="0" w:line="149"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The indenture governing the 2025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our assets to, another person.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50" w:name="page51"/>
    <w:bookmarkEnd w:id="50"/>
    <w:p>
      <w:pPr>
        <w:ind w:right="20" w:firstLine="510"/>
        <w:spacing w:after="0" w:line="236" w:lineRule="auto"/>
        <w:rPr>
          <w:sz w:val="20"/>
          <w:szCs w:val="20"/>
          <w:color w:val="auto"/>
        </w:rPr>
      </w:pPr>
      <w:r>
        <w:rPr>
          <w:rFonts w:ascii="Arial" w:cs="Arial" w:eastAsia="Arial" w:hAnsi="Arial"/>
          <w:sz w:val="18"/>
          <w:szCs w:val="18"/>
          <w:color w:val="auto"/>
        </w:rPr>
        <w:t>Prior to September 15, 2020, we may redeem up to 40% of the 2025 Notes at a redemption price of 105.625% of the principal amount thereof, plus accrued and unpaid interest, if any, thereon to the redemption date, from the net cash proceeds of specified equity offerings. We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 (1) 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governing the 2025 Notes) plus 50 basis points, over (b) the then-outstanding principal amount of such 2025 Notes. The 2025 Notes may be redeemed, in whole or in part, at any time during the 12 months beginning on September 15, 2020 at a redemption price of 102.813%,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150"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us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obligations at June 30,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For the</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Remainder of</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7"/>
          </w:tcPr>
          <w:p>
            <w:pPr>
              <w:jc w:val="right"/>
              <w:ind w:right="732"/>
              <w:spacing w:after="0"/>
              <w:rPr>
                <w:sz w:val="20"/>
                <w:szCs w:val="20"/>
                <w:color w:val="auto"/>
              </w:rPr>
            </w:pPr>
            <w:r>
              <w:rPr>
                <w:rFonts w:ascii="Arial" w:cs="Arial" w:eastAsia="Arial" w:hAnsi="Arial"/>
                <w:sz w:val="14"/>
                <w:szCs w:val="14"/>
                <w:b w:val="1"/>
                <w:bCs w:val="1"/>
                <w:color w:val="auto"/>
              </w:rPr>
              <w:t>For the Fiscal Years Ending</w:t>
            </w:r>
          </w:p>
        </w:tc>
        <w:tc>
          <w:tcPr>
            <w:tcW w:w="100" w:type="dxa"/>
            <w:vAlign w:val="bottom"/>
          </w:tcPr>
          <w:p>
            <w:pPr>
              <w:spacing w:after="0"/>
              <w:rPr>
                <w:sz w:val="15"/>
                <w:szCs w:val="15"/>
                <w:color w:val="auto"/>
              </w:rPr>
            </w:pPr>
          </w:p>
        </w:tc>
      </w:tr>
      <w:tr>
        <w:trPr>
          <w:trHeight w:val="169"/>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2022-2023</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2024-2025</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FF0FC"/>
            </w:tcBorders>
          </w:tcPr>
          <w:p>
            <w:pPr>
              <w:spacing w:after="0"/>
              <w:rPr>
                <w:sz w:val="14"/>
                <w:szCs w:val="14"/>
                <w:color w:val="auto"/>
              </w:rPr>
            </w:pPr>
          </w:p>
        </w:tc>
      </w:tr>
      <w:tr>
        <w:trPr>
          <w:trHeight w:val="209"/>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480,762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46,913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127,991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117,807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188,051</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72,900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r>
      <w:tr>
        <w:trPr>
          <w:trHeight w:val="216"/>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2028 Notes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609,517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491,000</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2027 Notes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836,250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67,500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67,500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684,375</w:t>
            </w:r>
          </w:p>
        </w:tc>
        <w:tc>
          <w:tcPr>
            <w:tcW w:w="100" w:type="dxa"/>
            <w:vAlign w:val="bottom"/>
          </w:tcPr>
          <w:p>
            <w:pPr>
              <w:spacing w:after="0"/>
              <w:rPr>
                <w:sz w:val="18"/>
                <w:szCs w:val="18"/>
                <w:color w:val="auto"/>
              </w:rPr>
            </w:pPr>
          </w:p>
        </w:tc>
      </w:tr>
      <w:tr>
        <w:trPr>
          <w:trHeight w:val="216"/>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2025 Notes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916,563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78,750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78,750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719,688</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Ex-Im Credit Facility</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115,809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43,279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41,411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20,003</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Satellite performance incentives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11,418</w:t>
            </w:r>
          </w:p>
        </w:tc>
        <w:tc>
          <w:tcPr>
            <w:tcW w:w="100" w:type="dxa"/>
            <w:vAlign w:val="bottom"/>
          </w:tcPr>
          <w:p>
            <w:pPr>
              <w:spacing w:after="0"/>
              <w:rPr>
                <w:sz w:val="18"/>
                <w:szCs w:val="18"/>
                <w:color w:val="auto"/>
              </w:rPr>
            </w:pPr>
          </w:p>
        </w:tc>
      </w:tr>
      <w:tr>
        <w:trPr>
          <w:trHeight w:val="215"/>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Purchase commitments including satellite-related</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140" w:type="dxa"/>
            <w:vAlign w:val="bottom"/>
            <w:gridSpan w:val="2"/>
            <w:shd w:val="clear" w:color="auto" w:fill="CFF0FC"/>
          </w:tcPr>
          <w:p>
            <w:pPr>
              <w:ind w:left="160"/>
              <w:spacing w:after="0" w:line="203" w:lineRule="exact"/>
              <w:rPr>
                <w:sz w:val="20"/>
                <w:szCs w:val="20"/>
                <w:color w:val="auto"/>
              </w:rPr>
            </w:pPr>
            <w:r>
              <w:rPr>
                <w:rFonts w:ascii="Arial" w:cs="Arial" w:eastAsia="Arial" w:hAnsi="Arial"/>
                <w:sz w:val="18"/>
                <w:szCs w:val="18"/>
                <w:color w:val="auto"/>
              </w:rPr>
              <w:t>agreements</w:t>
            </w: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1,779,041</w:t>
            </w:r>
          </w:p>
        </w:tc>
        <w:tc>
          <w:tcPr>
            <w:tcW w:w="2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847,999</w:t>
            </w:r>
          </w:p>
        </w:tc>
        <w:tc>
          <w:tcPr>
            <w:tcW w:w="2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829,474</w:t>
            </w:r>
          </w:p>
        </w:tc>
        <w:tc>
          <w:tcPr>
            <w:tcW w:w="2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74,226</w:t>
            </w:r>
          </w:p>
        </w:tc>
        <w:tc>
          <w:tcPr>
            <w:tcW w:w="2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27,342</w:t>
            </w:r>
          </w:p>
        </w:tc>
        <w:tc>
          <w:tcPr>
            <w:tcW w:w="100" w:type="dxa"/>
            <w:vAlign w:val="bottom"/>
            <w:shd w:val="clear" w:color="auto" w:fill="CFF0FC"/>
          </w:tcPr>
          <w:p>
            <w:pPr>
              <w:spacing w:after="0"/>
              <w:rPr>
                <w:sz w:val="17"/>
                <w:szCs w:val="17"/>
                <w:color w:val="auto"/>
              </w:rPr>
            </w:pPr>
          </w:p>
        </w:tc>
      </w:tr>
      <w:tr>
        <w:trPr>
          <w:trHeight w:val="210"/>
        </w:trPr>
        <w:tc>
          <w:tcPr>
            <w:tcW w:w="5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4,846,891</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990,765</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1,232,799</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466,450</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2,156,877</w:t>
            </w:r>
          </w:p>
        </w:tc>
        <w:tc>
          <w:tcPr>
            <w:tcW w:w="10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10"/>
        <w:spacing w:after="0" w:line="237"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49" w:lineRule="exact"/>
        <w:rPr>
          <w:sz w:val="20"/>
          <w:szCs w:val="20"/>
          <w:color w:val="auto"/>
        </w:rPr>
      </w:pPr>
    </w:p>
    <w:p>
      <w:pPr>
        <w:ind w:right="140" w:firstLine="510"/>
        <w:spacing w:after="0" w:line="236" w:lineRule="auto"/>
        <w:rPr>
          <w:sz w:val="20"/>
          <w:szCs w:val="20"/>
          <w:color w:val="auto"/>
        </w:rPr>
      </w:pPr>
      <w:r>
        <w:rPr>
          <w:rFonts w:ascii="Arial" w:cs="Arial" w:eastAsia="Arial" w:hAnsi="Arial"/>
          <w:sz w:val="18"/>
          <w:szCs w:val="18"/>
          <w:color w:val="auto"/>
        </w:rPr>
        <w:t>Our condensed consolidated balance sheets included $ 142.5 million and $120.9 million of “other liabilities” as of June 30, 2020 and March 31, 2020, respectively, which primarily consisted of the long-term portion of deferred revenues, the long-term portion of our satellite performance incentive obligations relating to the ViaSat-1 and ViaSat-2 satellites and our long-term warranty obligations. With the exception of the long-term portion of our satellite performance incentive obligations relating to the ViaSat-1 and ViaSat-2 satellites (which is included under “Satellite performance incentives”), these remaining liabilities have been excluded from the above table as the timing and/or the amount of any cash payment is uncertain. See Note 12 — Commitments to our consolidated financial statements included in our Annual Report on Form 10-K for the year ended March 31, 2020 for additional information regarding satellite performance incentive obligations relating to the ViaSat-1 and ViaSat-2 satellites. See Note 8 — Product Warranty to our condensed consolidated financial statements for a discussion of our product warranties.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ind w:right="300" w:firstLine="510"/>
        <w:spacing w:after="0"/>
        <w:rPr>
          <w:sz w:val="20"/>
          <w:szCs w:val="20"/>
          <w:color w:val="auto"/>
        </w:rPr>
      </w:pPr>
      <w:r>
        <w:rPr>
          <w:rFonts w:ascii="Arial" w:cs="Arial" w:eastAsia="Arial" w:hAnsi="Arial"/>
          <w:sz w:val="18"/>
          <w:szCs w:val="18"/>
          <w:color w:val="auto"/>
        </w:rPr>
        <w:t>We had no material off-balance sheet arrangements at June 30, 2020 as defined in Regulation S-K Item 303(a)(4) other than as discussed under “Contractual Obligations” above or disclosed in the notes to our condensed consolidated financial statements included in this report or in our Annual Report on Form 10-K for the year ended March 31,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85" w:lineRule="exact"/>
        <w:rPr>
          <w:sz w:val="20"/>
          <w:szCs w:val="20"/>
          <w:color w:val="auto"/>
        </w:rPr>
      </w:pPr>
    </w:p>
    <w:p>
      <w:pPr>
        <w:ind w:right="640" w:firstLine="510"/>
        <w:spacing w:after="0" w:line="246" w:lineRule="auto"/>
        <w:rPr>
          <w:sz w:val="20"/>
          <w:szCs w:val="20"/>
          <w:color w:val="auto"/>
        </w:rPr>
      </w:pPr>
      <w:r>
        <w:rPr>
          <w:rFonts w:ascii="Arial" w:cs="Arial" w:eastAsia="Arial" w:hAnsi="Arial"/>
          <w:sz w:val="18"/>
          <w:szCs w:val="18"/>
          <w:color w:val="auto"/>
        </w:rPr>
        <w:t>For information regarding recently adopted and issued accounting pronouncements, see Note 1 — Basis of Presentation to our condensed consolidated financial statements.</w:t>
      </w:r>
    </w:p>
    <w:p>
      <w:pPr>
        <w:spacing w:after="0" w:line="202" w:lineRule="exact"/>
        <w:rPr>
          <w:sz w:val="20"/>
          <w:szCs w:val="20"/>
          <w:color w:val="auto"/>
        </w:rPr>
      </w:pPr>
    </w:p>
    <w:p>
      <w:pPr>
        <w:ind w:right="5540"/>
        <w:spacing w:after="0" w:line="325"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spacing w:after="0" w:line="1" w:lineRule="exact"/>
        <w:rPr>
          <w:sz w:val="20"/>
          <w:szCs w:val="20"/>
          <w:color w:val="auto"/>
        </w:rPr>
      </w:pPr>
    </w:p>
    <w:p>
      <w:pPr>
        <w:ind w:right="120" w:firstLine="510"/>
        <w:spacing w:after="0" w:line="236" w:lineRule="auto"/>
        <w:rPr>
          <w:sz w:val="20"/>
          <w:szCs w:val="20"/>
          <w:color w:val="auto"/>
        </w:rPr>
      </w:pPr>
      <w:r>
        <w:rPr>
          <w:rFonts w:ascii="Arial" w:cs="Arial" w:eastAsia="Arial" w:hAnsi="Arial"/>
          <w:sz w:val="18"/>
          <w:szCs w:val="18"/>
          <w:color w:val="auto"/>
        </w:rPr>
        <w:t>Our financial instruments consist of cash and cash equivalents, accounts receivable, accounts payable, short-term and long-term obligations, including the Credit Facilities, the 2025 Notes, the 2027 Notes and the 2028 Notes, and foreign currency forward contracts. We consider investments in highly liquid instruments purchased with a remaining maturity of three months or less at the date of purchase to be cash equivalents. As of June 30, 2020, we had no outstanding borrowings under our Revolving Credit Facility, $108.1 million in principal amount of outstanding borrowings under our Ex-Im Credit Facility, $700.0 million in aggregate principal amount outstanding of the 2025 Notes, $600.0 million in aggregate principal amount outstanding of the 2027 Notes and $ 400.0 million in aggregate principal amount outstanding of the 2028 Notes, and we held no short-term investments. Our 2025 Notes, 2027 Notes, 2028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53"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amount of our cash balance in money market accounts.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the three months ended June 30, 2020 and 2019.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51" w:lineRule="exact"/>
        <w:rPr>
          <w:sz w:val="20"/>
          <w:szCs w:val="20"/>
          <w:color w:val="auto"/>
        </w:rPr>
      </w:pPr>
    </w:p>
    <w:p>
      <w:pPr>
        <w:ind w:right="160" w:firstLine="510"/>
        <w:spacing w:after="0" w:line="238" w:lineRule="auto"/>
        <w:rPr>
          <w:sz w:val="20"/>
          <w:szCs w:val="20"/>
          <w:color w:val="auto"/>
        </w:rPr>
      </w:pPr>
      <w:r>
        <w:rPr>
          <w:rFonts w:ascii="Arial" w:cs="Arial" w:eastAsia="Arial" w:hAnsi="Arial"/>
          <w:sz w:val="18"/>
          <w:szCs w:val="18"/>
          <w:color w:val="auto"/>
        </w:rPr>
        <w:t>Our primary interest rate under the Revolving Credit Facility is the Eurodollar rate plus an applicable margin that is based on our total leverage ratio. Under the Revolving Credit Facility, the effective interest rate as of June 30, 2020 that would have been applied to any new Eurodollar-based borrowings under the Revolving Credit Facility was approximately 2.30%. As of June 30, 2020, we had no outstanding borrowings under our Revolving Credit Facility. Accordingly, assuming the outstanding balance remained constant over a year, changes in interest rates applicable to our Revolving Credit Facility would have no effect on our interest incurred or cash flow.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85"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Our investment in Euro Broadband Infrastructure Sàrl during the fourth quarter of fiscal year 2017, which is denominated in Euros, increases our exposure to foreign currency risk. A five percent variance in foreign currencies in which our international business is conducted would change our loss before income taxes by an insignificant amount for the three months ended June 30, 2020 and 2019.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2020 and March 31, 2020, we had no foreign currency forward contracts outstanding.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9"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9"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June 30, 2020, the end of the period covered by this report. Based upon the foregoing, our Chief Executive Officer and Chief Financial Officer concluded that our disclosure controls and procedures were effective at a reasonable assurance level as of June 30, 2020.</w:t>
      </w:r>
    </w:p>
    <w:p>
      <w:pPr>
        <w:spacing w:after="0" w:line="151" w:lineRule="exact"/>
        <w:rPr>
          <w:sz w:val="20"/>
          <w:szCs w:val="20"/>
          <w:color w:val="auto"/>
        </w:rPr>
      </w:pPr>
    </w:p>
    <w:p>
      <w:pPr>
        <w:ind w:right="360" w:firstLine="510"/>
        <w:spacing w:after="0" w:line="246"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5"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March 31, 2020, which factors could materially affect our business, financial condition, liquidity or future results. The risks described in our reports on Forms 10-K and 10 -Q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 or</w:t>
            </w:r>
          </w:p>
        </w:tc>
        <w:tc>
          <w:tcPr>
            <w:tcW w:w="0" w:type="dxa"/>
            <w:vAlign w:val="bottom"/>
          </w:tcPr>
          <w:p>
            <w:pPr>
              <w:spacing w:after="0"/>
              <w:rPr>
                <w:sz w:val="1"/>
                <w:szCs w:val="1"/>
                <w:color w:val="auto"/>
              </w:rPr>
            </w:pPr>
          </w:p>
        </w:tc>
      </w:tr>
      <w:tr>
        <w:trPr>
          <w:trHeight w:val="129"/>
        </w:trPr>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4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5"/>
        </w:trPr>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6"/>
          </w:tcPr>
          <w:p>
            <w:pPr>
              <w:ind w:left="7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5"/>
                <w:szCs w:val="15"/>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center"/>
              <w:ind w:left="25"/>
              <w:spacing w:after="0"/>
              <w:rPr>
                <w:sz w:val="20"/>
                <w:szCs w:val="20"/>
                <w:color w:val="auto"/>
              </w:rPr>
            </w:pPr>
            <w:r>
              <w:rPr>
                <w:rFonts w:ascii="Arial" w:cs="Arial" w:eastAsia="Arial" w:hAnsi="Arial"/>
                <w:sz w:val="14"/>
                <w:szCs w:val="14"/>
                <w:b w:val="1"/>
                <w:bCs w:val="1"/>
                <w:color w:val="auto"/>
              </w:rPr>
              <w:t>File No.</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5"/>
                <w:szCs w:val="15"/>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77"/>
        </w:trPr>
        <w:tc>
          <w:tcPr>
            <w:tcW w:w="940" w:type="dxa"/>
            <w:vAlign w:val="bottom"/>
          </w:tcPr>
          <w:p>
            <w:pPr>
              <w:ind w:left="220"/>
              <w:spacing w:after="0"/>
              <w:rPr>
                <w:sz w:val="20"/>
                <w:szCs w:val="20"/>
                <w:color w:val="auto"/>
              </w:rPr>
            </w:pPr>
            <w:r>
              <w:rPr>
                <w:rFonts w:ascii="Arial" w:cs="Arial" w:eastAsia="Arial" w:hAnsi="Arial"/>
                <w:sz w:val="16"/>
                <w:szCs w:val="16"/>
                <w:color w:val="auto"/>
              </w:rPr>
              <w:t>4.1</w:t>
            </w:r>
          </w:p>
        </w:tc>
        <w:tc>
          <w:tcPr>
            <w:tcW w:w="160" w:type="dxa"/>
            <w:vAlign w:val="bottom"/>
          </w:tcPr>
          <w:p>
            <w:pPr>
              <w:spacing w:after="0"/>
              <w:rPr>
                <w:sz w:val="24"/>
                <w:szCs w:val="24"/>
                <w:color w:val="auto"/>
              </w:rPr>
            </w:pPr>
          </w:p>
        </w:tc>
        <w:tc>
          <w:tcPr>
            <w:tcW w:w="4200" w:type="dxa"/>
            <w:vAlign w:val="bottom"/>
            <w:tcBorders>
              <w:bottom w:val="single" w:sz="8" w:color="0000EE"/>
            </w:tcBorders>
            <w:gridSpan w:val="6"/>
          </w:tcPr>
          <w:p>
            <w:pPr>
              <w:spacing w:after="0"/>
              <w:rPr>
                <w:rFonts w:ascii="Arial" w:cs="Arial" w:eastAsia="Arial" w:hAnsi="Arial"/>
                <w:sz w:val="16"/>
                <w:szCs w:val="16"/>
                <w:color w:val="0000EE"/>
              </w:rPr>
            </w:pPr>
            <w:hyperlink r:id="rId77">
              <w:r>
                <w:rPr>
                  <w:rFonts w:ascii="Arial" w:cs="Arial" w:eastAsia="Arial" w:hAnsi="Arial"/>
                  <w:sz w:val="16"/>
                  <w:szCs w:val="16"/>
                  <w:color w:val="0000EE"/>
                </w:rPr>
                <w:t>Indenture, dated as of June 24, 2020, between Viasat, Inc.</w:t>
              </w:r>
            </w:hyperlink>
          </w:p>
        </w:tc>
        <w:tc>
          <w:tcPr>
            <w:tcW w:w="140" w:type="dxa"/>
            <w:vAlign w:val="bottom"/>
            <w:gridSpan w:val="2"/>
          </w:tcPr>
          <w:p>
            <w:pPr>
              <w:spacing w:after="0"/>
              <w:rPr>
                <w:sz w:val="24"/>
                <w:szCs w:val="24"/>
                <w:color w:val="auto"/>
              </w:rPr>
            </w:pPr>
          </w:p>
        </w:tc>
        <w:tc>
          <w:tcPr>
            <w:tcW w:w="940" w:type="dxa"/>
            <w:vAlign w:val="bottom"/>
            <w:gridSpan w:val="2"/>
          </w:tcPr>
          <w:p>
            <w:pPr>
              <w:ind w:left="360"/>
              <w:spacing w:after="0"/>
              <w:rPr>
                <w:sz w:val="20"/>
                <w:szCs w:val="20"/>
                <w:color w:val="auto"/>
              </w:rPr>
            </w:pPr>
            <w:r>
              <w:rPr>
                <w:rFonts w:ascii="Arial" w:cs="Arial" w:eastAsia="Arial" w:hAnsi="Arial"/>
                <w:sz w:val="16"/>
                <w:szCs w:val="16"/>
                <w:color w:val="auto"/>
              </w:rPr>
              <w:t>8-K</w:t>
            </w:r>
          </w:p>
        </w:tc>
        <w:tc>
          <w:tcPr>
            <w:tcW w:w="1180" w:type="dxa"/>
            <w:vAlign w:val="bottom"/>
          </w:tcPr>
          <w:p>
            <w:pPr>
              <w:jc w:val="right"/>
              <w:ind w:right="65"/>
              <w:spacing w:after="0"/>
              <w:rPr>
                <w:sz w:val="20"/>
                <w:szCs w:val="20"/>
                <w:color w:val="auto"/>
              </w:rPr>
            </w:pPr>
            <w:r>
              <w:rPr>
                <w:rFonts w:ascii="Arial" w:cs="Arial" w:eastAsia="Arial" w:hAnsi="Arial"/>
                <w:sz w:val="16"/>
                <w:szCs w:val="16"/>
                <w:color w:val="auto"/>
              </w:rPr>
              <w:t>000-21767</w:t>
            </w:r>
          </w:p>
        </w:tc>
        <w:tc>
          <w:tcPr>
            <w:tcW w:w="120" w:type="dxa"/>
            <w:vAlign w:val="bottom"/>
          </w:tcPr>
          <w:p>
            <w:pPr>
              <w:spacing w:after="0"/>
              <w:rPr>
                <w:sz w:val="24"/>
                <w:szCs w:val="24"/>
                <w:color w:val="auto"/>
              </w:rPr>
            </w:pPr>
          </w:p>
        </w:tc>
        <w:tc>
          <w:tcPr>
            <w:tcW w:w="960" w:type="dxa"/>
            <w:vAlign w:val="bottom"/>
          </w:tcPr>
          <w:p>
            <w:pPr>
              <w:jc w:val="right"/>
              <w:ind w:right="224"/>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4"/>
                <w:szCs w:val="24"/>
                <w:color w:val="auto"/>
              </w:rPr>
            </w:pPr>
          </w:p>
        </w:tc>
        <w:tc>
          <w:tcPr>
            <w:tcW w:w="1200" w:type="dxa"/>
            <w:vAlign w:val="bottom"/>
          </w:tcPr>
          <w:p>
            <w:pPr>
              <w:ind w:left="260"/>
              <w:spacing w:after="0"/>
              <w:rPr>
                <w:sz w:val="20"/>
                <w:szCs w:val="20"/>
                <w:color w:val="auto"/>
              </w:rPr>
            </w:pPr>
            <w:r>
              <w:rPr>
                <w:rFonts w:ascii="Arial" w:cs="Arial" w:eastAsia="Arial" w:hAnsi="Arial"/>
                <w:sz w:val="16"/>
                <w:szCs w:val="16"/>
                <w:color w:val="auto"/>
              </w:rPr>
              <w:t>06/24/2020</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gridSpan w:val="8"/>
          </w:tcPr>
          <w:p>
            <w:pPr>
              <w:spacing w:after="0"/>
              <w:rPr>
                <w:rFonts w:ascii="Arial" w:cs="Arial" w:eastAsia="Arial" w:hAnsi="Arial"/>
                <w:sz w:val="16"/>
                <w:szCs w:val="16"/>
                <w:u w:val="single" w:color="auto"/>
                <w:color w:val="0000EE"/>
              </w:rPr>
            </w:pPr>
            <w:hyperlink r:id="rId77">
              <w:r>
                <w:rPr>
                  <w:rFonts w:ascii="Arial" w:cs="Arial" w:eastAsia="Arial" w:hAnsi="Arial"/>
                  <w:sz w:val="16"/>
                  <w:szCs w:val="16"/>
                  <w:u w:val="single" w:color="auto"/>
                  <w:color w:val="0000EE"/>
                </w:rPr>
                <w:t>and Wilmington Trust, National Association, as trustee.</w:t>
              </w:r>
            </w:hyperlink>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940" w:type="dxa"/>
            <w:vAlign w:val="bottom"/>
          </w:tcPr>
          <w:p>
            <w:pPr>
              <w:ind w:left="220"/>
              <w:spacing w:after="0"/>
              <w:rPr>
                <w:sz w:val="20"/>
                <w:szCs w:val="20"/>
                <w:color w:val="auto"/>
              </w:rPr>
            </w:pPr>
            <w:r>
              <w:rPr>
                <w:rFonts w:ascii="Arial" w:cs="Arial" w:eastAsia="Arial" w:hAnsi="Arial"/>
                <w:sz w:val="16"/>
                <w:szCs w:val="16"/>
                <w:color w:val="auto"/>
              </w:rPr>
              <w:t>31.1</w:t>
            </w:r>
          </w:p>
        </w:tc>
        <w:tc>
          <w:tcPr>
            <w:tcW w:w="160" w:type="dxa"/>
            <w:vAlign w:val="bottom"/>
          </w:tcPr>
          <w:p>
            <w:pPr>
              <w:spacing w:after="0"/>
              <w:rPr>
                <w:sz w:val="24"/>
                <w:szCs w:val="24"/>
                <w:color w:val="auto"/>
              </w:rPr>
            </w:pPr>
          </w:p>
        </w:tc>
        <w:tc>
          <w:tcPr>
            <w:tcW w:w="4340" w:type="dxa"/>
            <w:vAlign w:val="bottom"/>
            <w:gridSpan w:val="8"/>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Certification of Chief Executive Officer Pursuant to</w:t>
              </w:r>
            </w:hyperlink>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tcBorders>
              <w:top w:val="single" w:sz="8" w:color="0000EE"/>
            </w:tcBorders>
            <w:gridSpan w:val="3"/>
          </w:tcPr>
          <w:p>
            <w:pPr>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Section 302 of the Sarbanes-Oxley Act of 2002</w:t>
              </w:r>
            </w:hyperlink>
          </w:p>
        </w:tc>
        <w:tc>
          <w:tcPr>
            <w:tcW w:w="74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940" w:type="dxa"/>
            <w:vAlign w:val="bottom"/>
          </w:tcPr>
          <w:p>
            <w:pPr>
              <w:ind w:left="220"/>
              <w:spacing w:after="0"/>
              <w:rPr>
                <w:sz w:val="20"/>
                <w:szCs w:val="20"/>
                <w:color w:val="auto"/>
              </w:rPr>
            </w:pPr>
            <w:r>
              <w:rPr>
                <w:rFonts w:ascii="Arial" w:cs="Arial" w:eastAsia="Arial" w:hAnsi="Arial"/>
                <w:sz w:val="16"/>
                <w:szCs w:val="16"/>
                <w:color w:val="auto"/>
              </w:rPr>
              <w:t>31.2</w:t>
            </w:r>
          </w:p>
        </w:tc>
        <w:tc>
          <w:tcPr>
            <w:tcW w:w="160" w:type="dxa"/>
            <w:vAlign w:val="bottom"/>
          </w:tcPr>
          <w:p>
            <w:pPr>
              <w:spacing w:after="0"/>
              <w:rPr>
                <w:sz w:val="24"/>
                <w:szCs w:val="24"/>
                <w:color w:val="auto"/>
              </w:rPr>
            </w:pPr>
          </w:p>
        </w:tc>
        <w:tc>
          <w:tcPr>
            <w:tcW w:w="4340" w:type="dxa"/>
            <w:vAlign w:val="bottom"/>
            <w:gridSpan w:val="8"/>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Certification of Chief Financial Officer Pursuant to</w:t>
              </w:r>
            </w:hyperlink>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4"/>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tcBorders>
              <w:top w:val="single" w:sz="8" w:color="0000EE"/>
            </w:tcBorders>
            <w:gridSpan w:val="2"/>
          </w:tcPr>
          <w:p>
            <w:pPr>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Section 302 of the Sarbanes-Oxley Act of 2002</w:t>
              </w:r>
            </w:hyperlink>
          </w:p>
        </w:tc>
        <w:tc>
          <w:tcPr>
            <w:tcW w:w="80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940" w:type="dxa"/>
            <w:vAlign w:val="bottom"/>
          </w:tcPr>
          <w:p>
            <w:pPr>
              <w:ind w:left="220"/>
              <w:spacing w:after="0"/>
              <w:rPr>
                <w:sz w:val="20"/>
                <w:szCs w:val="20"/>
                <w:color w:val="auto"/>
              </w:rPr>
            </w:pPr>
            <w:r>
              <w:rPr>
                <w:rFonts w:ascii="Arial" w:cs="Arial" w:eastAsia="Arial" w:hAnsi="Arial"/>
                <w:sz w:val="16"/>
                <w:szCs w:val="16"/>
                <w:color w:val="auto"/>
              </w:rPr>
              <w:t>32.1</w:t>
            </w:r>
          </w:p>
        </w:tc>
        <w:tc>
          <w:tcPr>
            <w:tcW w:w="160" w:type="dxa"/>
            <w:vAlign w:val="bottom"/>
          </w:tcPr>
          <w:p>
            <w:pPr>
              <w:spacing w:after="0"/>
              <w:rPr>
                <w:sz w:val="24"/>
                <w:szCs w:val="24"/>
                <w:color w:val="auto"/>
              </w:rPr>
            </w:pPr>
          </w:p>
        </w:tc>
        <w:tc>
          <w:tcPr>
            <w:tcW w:w="3820" w:type="dxa"/>
            <w:vAlign w:val="bottom"/>
            <w:tcBorders>
              <w:bottom w:val="single" w:sz="8" w:color="0000EE"/>
            </w:tcBorders>
            <w:gridSpan w:val="4"/>
          </w:tcPr>
          <w:p>
            <w:pPr>
              <w:spacing w:after="0"/>
              <w:rPr>
                <w:rFonts w:ascii="Arial" w:cs="Arial" w:eastAsia="Arial" w:hAnsi="Arial"/>
                <w:sz w:val="16"/>
                <w:szCs w:val="16"/>
                <w:color w:val="0000EE"/>
              </w:rPr>
            </w:pPr>
            <w:hyperlink w:anchor="page58">
              <w:r>
                <w:rPr>
                  <w:rFonts w:ascii="Arial" w:cs="Arial" w:eastAsia="Arial" w:hAnsi="Arial"/>
                  <w:sz w:val="16"/>
                  <w:szCs w:val="16"/>
                  <w:color w:val="0000EE"/>
                </w:rPr>
                <w:t>Certifications Pursuant to 18 U.S.C. Section 1350, as</w:t>
              </w:r>
            </w:hyperlink>
          </w:p>
        </w:tc>
        <w:tc>
          <w:tcPr>
            <w:tcW w:w="52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40" w:type="dxa"/>
            <w:vAlign w:val="bottom"/>
            <w:tcBorders>
              <w:bottom w:val="single" w:sz="8" w:color="0000EE"/>
            </w:tcBorders>
            <w:gridSpan w:val="5"/>
          </w:tcPr>
          <w:p>
            <w:pPr>
              <w:spacing w:after="0" w:line="169" w:lineRule="exact"/>
              <w:rPr>
                <w:rFonts w:ascii="Arial" w:cs="Arial" w:eastAsia="Arial" w:hAnsi="Arial"/>
                <w:sz w:val="16"/>
                <w:szCs w:val="16"/>
                <w:color w:val="0000EE"/>
              </w:rPr>
            </w:pPr>
            <w:hyperlink w:anchor="page58">
              <w:r>
                <w:rPr>
                  <w:rFonts w:ascii="Arial" w:cs="Arial" w:eastAsia="Arial" w:hAnsi="Arial"/>
                  <w:sz w:val="16"/>
                  <w:szCs w:val="16"/>
                  <w:color w:val="0000EE"/>
                </w:rPr>
                <w:t>Adopted Pursuant to Section 906 of the Sarbanes-Oxley</w:t>
              </w:r>
            </w:hyperlink>
          </w:p>
        </w:tc>
        <w:tc>
          <w:tcPr>
            <w:tcW w:w="300" w:type="dxa"/>
            <w:vAlign w:val="bottom"/>
            <w:gridSpan w:val="3"/>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gridSpan w:val="8"/>
          </w:tcPr>
          <w:p>
            <w:pPr>
              <w:spacing w:after="0" w:line="169" w:lineRule="exact"/>
              <w:rPr>
                <w:rFonts w:ascii="Arial" w:cs="Arial" w:eastAsia="Arial" w:hAnsi="Arial"/>
                <w:sz w:val="16"/>
                <w:szCs w:val="16"/>
                <w:color w:val="0000EE"/>
              </w:rPr>
            </w:pPr>
            <w:hyperlink w:anchor="page58">
              <w:r>
                <w:rPr>
                  <w:rFonts w:ascii="Arial" w:cs="Arial" w:eastAsia="Arial" w:hAnsi="Arial"/>
                  <w:sz w:val="16"/>
                  <w:szCs w:val="16"/>
                  <w:color w:val="0000EE"/>
                </w:rPr>
                <w:t>Act of 2002</w:t>
              </w:r>
            </w:hyperlink>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940" w:type="dxa"/>
            <w:vAlign w:val="bottom"/>
          </w:tcPr>
          <w:p>
            <w:pPr>
              <w:ind w:left="140"/>
              <w:spacing w:after="0"/>
              <w:rPr>
                <w:sz w:val="20"/>
                <w:szCs w:val="20"/>
                <w:color w:val="auto"/>
              </w:rPr>
            </w:pPr>
            <w:r>
              <w:rPr>
                <w:rFonts w:ascii="Arial" w:cs="Arial" w:eastAsia="Arial" w:hAnsi="Arial"/>
                <w:sz w:val="16"/>
                <w:szCs w:val="16"/>
                <w:color w:val="auto"/>
              </w:rPr>
              <w:t>101.INS</w:t>
            </w:r>
          </w:p>
        </w:tc>
        <w:tc>
          <w:tcPr>
            <w:tcW w:w="160" w:type="dxa"/>
            <w:vAlign w:val="bottom"/>
          </w:tcPr>
          <w:p>
            <w:pPr>
              <w:spacing w:after="0"/>
              <w:rPr>
                <w:sz w:val="24"/>
                <w:szCs w:val="24"/>
                <w:color w:val="auto"/>
              </w:rPr>
            </w:pPr>
          </w:p>
        </w:tc>
        <w:tc>
          <w:tcPr>
            <w:tcW w:w="4340" w:type="dxa"/>
            <w:vAlign w:val="bottom"/>
            <w:gridSpan w:val="8"/>
          </w:tcPr>
          <w:p>
            <w:pPr>
              <w:spacing w:after="0"/>
              <w:rPr>
                <w:sz w:val="20"/>
                <w:szCs w:val="20"/>
                <w:color w:val="auto"/>
              </w:rPr>
            </w:pPr>
            <w:r>
              <w:rPr>
                <w:rFonts w:ascii="Arial" w:cs="Arial" w:eastAsia="Arial" w:hAnsi="Arial"/>
                <w:sz w:val="16"/>
                <w:szCs w:val="16"/>
                <w:color w:val="auto"/>
              </w:rPr>
              <w:t>Inline XBRL Instance Document - the instance document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40" w:type="dxa"/>
            <w:vAlign w:val="bottom"/>
            <w:gridSpan w:val="8"/>
          </w:tcPr>
          <w:p>
            <w:pPr>
              <w:spacing w:after="0"/>
              <w:rPr>
                <w:sz w:val="20"/>
                <w:szCs w:val="20"/>
                <w:color w:val="auto"/>
              </w:rPr>
            </w:pPr>
            <w:r>
              <w:rPr>
                <w:rFonts w:ascii="Arial" w:cs="Arial" w:eastAsia="Arial" w:hAnsi="Arial"/>
                <w:sz w:val="16"/>
                <w:szCs w:val="16"/>
                <w:color w:val="auto"/>
              </w:rPr>
              <w:t>does not appear in the Interactive Data File because its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40" w:type="dxa"/>
            <w:vAlign w:val="bottom"/>
            <w:gridSpan w:val="8"/>
          </w:tcPr>
          <w:p>
            <w:pPr>
              <w:spacing w:after="0"/>
              <w:rPr>
                <w:sz w:val="20"/>
                <w:szCs w:val="20"/>
                <w:color w:val="auto"/>
              </w:rPr>
            </w:pPr>
            <w:r>
              <w:rPr>
                <w:rFonts w:ascii="Arial" w:cs="Arial" w:eastAsia="Arial" w:hAnsi="Arial"/>
                <w:sz w:val="16"/>
                <w:szCs w:val="16"/>
                <w:color w:val="auto"/>
              </w:rPr>
              <w:t>XBRL tags are embedded within the inline XBRL</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40" w:type="dxa"/>
            <w:vAlign w:val="bottom"/>
            <w:gridSpan w:val="8"/>
          </w:tcPr>
          <w:p>
            <w:pPr>
              <w:spacing w:after="0"/>
              <w:rPr>
                <w:sz w:val="20"/>
                <w:szCs w:val="20"/>
                <w:color w:val="auto"/>
              </w:rPr>
            </w:pPr>
            <w:r>
              <w:rPr>
                <w:rFonts w:ascii="Arial" w:cs="Arial" w:eastAsia="Arial" w:hAnsi="Arial"/>
                <w:sz w:val="16"/>
                <w:szCs w:val="16"/>
                <w:color w:val="auto"/>
              </w:rPr>
              <w:t>document.</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940" w:type="dxa"/>
            <w:vAlign w:val="bottom"/>
          </w:tcPr>
          <w:p>
            <w:pPr>
              <w:ind w:left="140"/>
              <w:spacing w:after="0"/>
              <w:rPr>
                <w:sz w:val="20"/>
                <w:szCs w:val="20"/>
                <w:color w:val="auto"/>
              </w:rPr>
            </w:pPr>
            <w:r>
              <w:rPr>
                <w:rFonts w:ascii="Arial" w:cs="Arial" w:eastAsia="Arial" w:hAnsi="Arial"/>
                <w:sz w:val="16"/>
                <w:szCs w:val="16"/>
                <w:color w:val="auto"/>
              </w:rPr>
              <w:t>101.SCH</w:t>
            </w:r>
          </w:p>
        </w:tc>
        <w:tc>
          <w:tcPr>
            <w:tcW w:w="160" w:type="dxa"/>
            <w:vAlign w:val="bottom"/>
          </w:tcPr>
          <w:p>
            <w:pPr>
              <w:spacing w:after="0"/>
              <w:rPr>
                <w:sz w:val="24"/>
                <w:szCs w:val="24"/>
                <w:color w:val="auto"/>
              </w:rPr>
            </w:pPr>
          </w:p>
        </w:tc>
        <w:tc>
          <w:tcPr>
            <w:tcW w:w="4340" w:type="dxa"/>
            <w:vAlign w:val="bottom"/>
            <w:gridSpan w:val="8"/>
          </w:tcPr>
          <w:p>
            <w:pPr>
              <w:spacing w:after="0"/>
              <w:rPr>
                <w:sz w:val="20"/>
                <w:szCs w:val="20"/>
                <w:color w:val="auto"/>
              </w:rPr>
            </w:pPr>
            <w:r>
              <w:rPr>
                <w:rFonts w:ascii="Arial" w:cs="Arial" w:eastAsia="Arial" w:hAnsi="Arial"/>
                <w:sz w:val="16"/>
                <w:szCs w:val="16"/>
                <w:color w:val="auto"/>
              </w:rPr>
              <w:t>Inline XBRL Taxonomy Extension Schema</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940" w:type="dxa"/>
            <w:vAlign w:val="bottom"/>
          </w:tcPr>
          <w:p>
            <w:pPr>
              <w:ind w:left="140"/>
              <w:spacing w:after="0"/>
              <w:rPr>
                <w:sz w:val="20"/>
                <w:szCs w:val="20"/>
                <w:color w:val="auto"/>
              </w:rPr>
            </w:pPr>
            <w:r>
              <w:rPr>
                <w:rFonts w:ascii="Arial" w:cs="Arial" w:eastAsia="Arial" w:hAnsi="Arial"/>
                <w:sz w:val="16"/>
                <w:szCs w:val="16"/>
                <w:color w:val="auto"/>
              </w:rPr>
              <w:t>101.CAL</w:t>
            </w:r>
          </w:p>
        </w:tc>
        <w:tc>
          <w:tcPr>
            <w:tcW w:w="160" w:type="dxa"/>
            <w:vAlign w:val="bottom"/>
          </w:tcPr>
          <w:p>
            <w:pPr>
              <w:spacing w:after="0"/>
              <w:rPr>
                <w:sz w:val="24"/>
                <w:szCs w:val="24"/>
                <w:color w:val="auto"/>
              </w:rPr>
            </w:pPr>
          </w:p>
        </w:tc>
        <w:tc>
          <w:tcPr>
            <w:tcW w:w="4340" w:type="dxa"/>
            <w:vAlign w:val="bottom"/>
            <w:gridSpan w:val="8"/>
          </w:tcPr>
          <w:p>
            <w:pPr>
              <w:spacing w:after="0"/>
              <w:rPr>
                <w:sz w:val="20"/>
                <w:szCs w:val="20"/>
                <w:color w:val="auto"/>
              </w:rPr>
            </w:pPr>
            <w:r>
              <w:rPr>
                <w:rFonts w:ascii="Arial" w:cs="Arial" w:eastAsia="Arial" w:hAnsi="Arial"/>
                <w:sz w:val="16"/>
                <w:szCs w:val="16"/>
                <w:color w:val="auto"/>
              </w:rPr>
              <w:t>Inline XBRL Taxonomy Extension Calculation Linkbase</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940" w:type="dxa"/>
            <w:vAlign w:val="bottom"/>
          </w:tcPr>
          <w:p>
            <w:pPr>
              <w:ind w:left="140"/>
              <w:spacing w:after="0"/>
              <w:rPr>
                <w:sz w:val="20"/>
                <w:szCs w:val="20"/>
                <w:color w:val="auto"/>
              </w:rPr>
            </w:pPr>
            <w:r>
              <w:rPr>
                <w:rFonts w:ascii="Arial" w:cs="Arial" w:eastAsia="Arial" w:hAnsi="Arial"/>
                <w:sz w:val="16"/>
                <w:szCs w:val="16"/>
                <w:color w:val="auto"/>
              </w:rPr>
              <w:t>101.DEF</w:t>
            </w:r>
          </w:p>
        </w:tc>
        <w:tc>
          <w:tcPr>
            <w:tcW w:w="160" w:type="dxa"/>
            <w:vAlign w:val="bottom"/>
          </w:tcPr>
          <w:p>
            <w:pPr>
              <w:spacing w:after="0"/>
              <w:rPr>
                <w:sz w:val="24"/>
                <w:szCs w:val="24"/>
                <w:color w:val="auto"/>
              </w:rPr>
            </w:pPr>
          </w:p>
        </w:tc>
        <w:tc>
          <w:tcPr>
            <w:tcW w:w="4340" w:type="dxa"/>
            <w:vAlign w:val="bottom"/>
            <w:gridSpan w:val="8"/>
          </w:tcPr>
          <w:p>
            <w:pPr>
              <w:spacing w:after="0"/>
              <w:rPr>
                <w:sz w:val="20"/>
                <w:szCs w:val="20"/>
                <w:color w:val="auto"/>
              </w:rPr>
            </w:pPr>
            <w:r>
              <w:rPr>
                <w:rFonts w:ascii="Arial" w:cs="Arial" w:eastAsia="Arial" w:hAnsi="Arial"/>
                <w:sz w:val="16"/>
                <w:szCs w:val="16"/>
                <w:color w:val="auto"/>
              </w:rPr>
              <w:t>Inline XBRL Taxonomy Extension Definition Linkbase</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940" w:type="dxa"/>
            <w:vAlign w:val="bottom"/>
          </w:tcPr>
          <w:p>
            <w:pPr>
              <w:ind w:left="140"/>
              <w:spacing w:after="0"/>
              <w:rPr>
                <w:sz w:val="20"/>
                <w:szCs w:val="20"/>
                <w:color w:val="auto"/>
              </w:rPr>
            </w:pPr>
            <w:r>
              <w:rPr>
                <w:rFonts w:ascii="Arial" w:cs="Arial" w:eastAsia="Arial" w:hAnsi="Arial"/>
                <w:sz w:val="16"/>
                <w:szCs w:val="16"/>
                <w:color w:val="auto"/>
              </w:rPr>
              <w:t>101.LAB</w:t>
            </w:r>
          </w:p>
        </w:tc>
        <w:tc>
          <w:tcPr>
            <w:tcW w:w="160" w:type="dxa"/>
            <w:vAlign w:val="bottom"/>
          </w:tcPr>
          <w:p>
            <w:pPr>
              <w:spacing w:after="0"/>
              <w:rPr>
                <w:sz w:val="24"/>
                <w:szCs w:val="24"/>
                <w:color w:val="auto"/>
              </w:rPr>
            </w:pPr>
          </w:p>
        </w:tc>
        <w:tc>
          <w:tcPr>
            <w:tcW w:w="4340" w:type="dxa"/>
            <w:vAlign w:val="bottom"/>
            <w:gridSpan w:val="8"/>
          </w:tcPr>
          <w:p>
            <w:pPr>
              <w:spacing w:after="0"/>
              <w:rPr>
                <w:sz w:val="20"/>
                <w:szCs w:val="20"/>
                <w:color w:val="auto"/>
              </w:rPr>
            </w:pPr>
            <w:r>
              <w:rPr>
                <w:rFonts w:ascii="Arial" w:cs="Arial" w:eastAsia="Arial" w:hAnsi="Arial"/>
                <w:sz w:val="16"/>
                <w:szCs w:val="16"/>
                <w:color w:val="auto"/>
              </w:rPr>
              <w:t>Inline XBRL Taxonomy Extension Labels Linkbase</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940" w:type="dxa"/>
            <w:vAlign w:val="bottom"/>
          </w:tcPr>
          <w:p>
            <w:pPr>
              <w:ind w:left="140"/>
              <w:spacing w:after="0"/>
              <w:rPr>
                <w:sz w:val="20"/>
                <w:szCs w:val="20"/>
                <w:color w:val="auto"/>
              </w:rPr>
            </w:pPr>
            <w:r>
              <w:rPr>
                <w:rFonts w:ascii="Arial" w:cs="Arial" w:eastAsia="Arial" w:hAnsi="Arial"/>
                <w:sz w:val="16"/>
                <w:szCs w:val="16"/>
                <w:color w:val="auto"/>
              </w:rPr>
              <w:t>101.PRE</w:t>
            </w:r>
          </w:p>
        </w:tc>
        <w:tc>
          <w:tcPr>
            <w:tcW w:w="160" w:type="dxa"/>
            <w:vAlign w:val="bottom"/>
          </w:tcPr>
          <w:p>
            <w:pPr>
              <w:spacing w:after="0"/>
              <w:rPr>
                <w:sz w:val="24"/>
                <w:szCs w:val="24"/>
                <w:color w:val="auto"/>
              </w:rPr>
            </w:pPr>
          </w:p>
        </w:tc>
        <w:tc>
          <w:tcPr>
            <w:tcW w:w="4340" w:type="dxa"/>
            <w:vAlign w:val="bottom"/>
            <w:gridSpan w:val="8"/>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18"/>
        </w:trPr>
        <w:tc>
          <w:tcPr>
            <w:tcW w:w="940" w:type="dxa"/>
            <w:vAlign w:val="bottom"/>
          </w:tcPr>
          <w:p>
            <w:pPr>
              <w:ind w:left="140"/>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24"/>
                <w:szCs w:val="24"/>
                <w:color w:val="auto"/>
              </w:rPr>
            </w:pPr>
          </w:p>
        </w:tc>
        <w:tc>
          <w:tcPr>
            <w:tcW w:w="4340" w:type="dxa"/>
            <w:vAlign w:val="bottom"/>
            <w:gridSpan w:val="8"/>
          </w:tcPr>
          <w:p>
            <w:pPr>
              <w:spacing w:after="0"/>
              <w:rPr>
                <w:sz w:val="20"/>
                <w:szCs w:val="20"/>
                <w:color w:val="auto"/>
              </w:rPr>
            </w:pPr>
            <w:r>
              <w:rPr>
                <w:rFonts w:ascii="Arial" w:cs="Arial" w:eastAsia="Arial" w:hAnsi="Arial"/>
                <w:sz w:val="16"/>
                <w:szCs w:val="16"/>
                <w:color w:val="auto"/>
              </w:rPr>
              <w:t>Cover Page Interactive Data File (formatted as inline</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5"/>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40" w:type="dxa"/>
            <w:vAlign w:val="bottom"/>
            <w:gridSpan w:val="8"/>
          </w:tcPr>
          <w:p>
            <w:pPr>
              <w:spacing w:after="0"/>
              <w:rPr>
                <w:sz w:val="20"/>
                <w:szCs w:val="20"/>
                <w:color w:val="auto"/>
              </w:rPr>
            </w:pPr>
            <w:r>
              <w:rPr>
                <w:rFonts w:ascii="Arial" w:cs="Arial" w:eastAsia="Arial" w:hAnsi="Arial"/>
                <w:sz w:val="16"/>
                <w:szCs w:val="16"/>
                <w:color w:val="auto"/>
              </w:rPr>
              <w:t>XBRL and contained in Exhibit 101)</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4" w:name="page55"/>
    <w:bookmarkEnd w:id="54"/>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VIASAT, INC.</w:t>
      </w:r>
    </w:p>
    <w:p>
      <w:pPr>
        <w:spacing w:after="0" w:line="198"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August 7, 2020</w:t>
      </w:r>
      <w:r>
        <w:rPr>
          <w:sz w:val="20"/>
          <w:szCs w:val="20"/>
          <w:color w:val="auto"/>
        </w:rPr>
        <w:tab/>
      </w:r>
      <w:r>
        <w:rPr>
          <w:rFonts w:ascii="Arial" w:cs="Arial" w:eastAsia="Arial" w:hAnsi="Arial"/>
          <w:sz w:val="18"/>
          <w:szCs w:val="18"/>
          <w:color w:val="auto"/>
        </w:rPr>
        <w:t>/s/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-1905</wp:posOffset>
            </wp:positionV>
            <wp:extent cx="34886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Mark Dankberg</w:t>
      </w:r>
    </w:p>
    <w:p>
      <w:pPr>
        <w:ind w:left="5740"/>
        <w:spacing w:after="0" w:line="234" w:lineRule="auto"/>
        <w:rPr>
          <w:sz w:val="20"/>
          <w:szCs w:val="20"/>
          <w:color w:val="auto"/>
        </w:rPr>
      </w:pPr>
      <w:r>
        <w:rPr>
          <w:rFonts w:ascii="Arial" w:cs="Arial" w:eastAsia="Arial" w:hAnsi="Arial"/>
          <w:sz w:val="18"/>
          <w:szCs w:val="18"/>
          <w:color w:val="auto"/>
        </w:rPr>
        <w:t>Chairman of the Board and Chief Executive Officer</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-1905</wp:posOffset>
            </wp:positionV>
            <wp:extent cx="34886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Shawn Duffy</w:t>
      </w:r>
    </w:p>
    <w:p>
      <w:pPr>
        <w:ind w:left="574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840"/>
          </w:cols>
          <w:pgMar w:left="320" w:top="319" w:right="7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04"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00" w:right="1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00" w:right="6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000" w:right="220" w:hanging="493"/>
        <w:spacing w:after="0"/>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00" w:right="40" w:hanging="493"/>
        <w:spacing w:after="0"/>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00" w:right="220" w:hanging="493"/>
        <w:spacing w:after="0"/>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000" w:right="140" w:hanging="493"/>
        <w:spacing w:after="0" w:line="246"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August 7, 2020</w:t>
      </w:r>
      <w:r>
        <w:rPr>
          <w:sz w:val="20"/>
          <w:szCs w:val="20"/>
          <w:color w:val="auto"/>
        </w:rPr>
        <w:tab/>
      </w: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w:t>
      </w:r>
      <w:r>
        <w:rPr>
          <w:rFonts w:ascii="Arial" w:cs="Arial" w:eastAsia="Arial" w:hAnsi="Arial"/>
          <w:sz w:val="12"/>
          <w:szCs w:val="12"/>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Dankberg</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3"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CERTIFICATION OF CHIEF FINANCIAL OFFICER PURSUANT</w:t>
      </w:r>
    </w:p>
    <w:p>
      <w:pPr>
        <w:ind w:left="3120"/>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04"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00" w:right="1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00" w:right="6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000" w:right="220" w:hanging="493"/>
        <w:spacing w:after="0"/>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00" w:right="40" w:hanging="493"/>
        <w:spacing w:after="0"/>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00" w:right="220" w:hanging="493"/>
        <w:spacing w:after="0"/>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000" w:right="140" w:hanging="493"/>
        <w:spacing w:after="0" w:line="246"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August 7, 2020</w:t>
      </w:r>
      <w:r>
        <w:rPr>
          <w:sz w:val="20"/>
          <w:szCs w:val="20"/>
          <w:color w:val="auto"/>
        </w:rPr>
        <w:tab/>
      </w: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Shawn Duffy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3"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ind w:left="1000" w:right="1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2020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August 7, 2020</w:t>
      </w:r>
      <w:r>
        <w:rPr>
          <w:sz w:val="20"/>
          <w:szCs w:val="20"/>
          <w:color w:val="auto"/>
        </w:rPr>
        <w:tab/>
      </w:r>
      <w:r>
        <w:rPr>
          <w:rFonts w:ascii="Arial" w:cs="Arial" w:eastAsia="Arial" w:hAnsi="Arial"/>
          <w:sz w:val="18"/>
          <w:szCs w:val="18"/>
          <w:color w:val="auto"/>
        </w:rPr>
        <w:t>/s/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Dankberg</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ind w:left="1000" w:right="1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2020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1000" w:right="20" w:hanging="493"/>
        <w:spacing w:after="0" w:line="246"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August 7, 2020</w:t>
      </w:r>
      <w:r>
        <w:rPr>
          <w:sz w:val="20"/>
          <w:szCs w:val="20"/>
          <w:color w:val="auto"/>
        </w:rPr>
        <w:tab/>
      </w: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Shawn Duffy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842"/>
    </w:lvl>
  </w:abstractNum>
  <w:abstractNum w:abstractNumId="3">
    <w:nsid w:val="1190CDE7"/>
    <w:multiLevelType w:val="hybridMultilevel"/>
    <w:lvl w:ilvl="0">
      <w:lvlJc w:val="left"/>
      <w:lvlText w:val="\emdash "/>
      <w:numFmt w:val="bullet"/>
      <w:start w:val="1"/>
    </w:lvl>
  </w:abstractNum>
  <w:abstractNum w:abstractNumId="4">
    <w:nsid w:val="66EF438D"/>
    <w:multiLevelType w:val="hybridMultilevel"/>
    <w:lvl w:ilvl="0">
      <w:lvlJc w:val="left"/>
      <w:lvlText w:val="(%1)"/>
      <w:numFmt w:val="lowerRoman"/>
      <w:start w:val="2"/>
    </w:lvl>
  </w:abstractNum>
  <w:abstractNum w:abstractNumId="5">
    <w:nsid w:val="140E0F76"/>
    <w:multiLevelType w:val="hybridMultilevel"/>
    <w:lvl w:ilvl="0">
      <w:lvlJc w:val="left"/>
      <w:lvlText w:val="%1."/>
      <w:numFmt w:val="decimal"/>
      <w:start w:val="606"/>
    </w:lvl>
  </w:abstractNum>
  <w:abstractNum w:abstractNumId="6">
    <w:nsid w:val="3352255A"/>
    <w:multiLevelType w:val="hybridMultilevel"/>
    <w:lvl w:ilvl="0">
      <w:lvlJc w:val="left"/>
      <w:lvlText w:val="%1)"/>
      <w:numFmt w:val="decimal"/>
      <w:start w:val="326"/>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emdash "/>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lowerRoman"/>
      <w:start w:val="2"/>
    </w:lvl>
  </w:abstractNum>
  <w:abstractNum w:abstractNumId="14">
    <w:nsid w:val="25E45D32"/>
    <w:multiLevelType w:val="hybridMultilevel"/>
    <w:lvl w:ilvl="0">
      <w:lvlJc w:val="left"/>
      <w:lvlText w:val="(%1)"/>
      <w:numFmt w:val="lowerRoman"/>
      <w:start w:val="2"/>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77" Type="http://schemas.openxmlformats.org/officeDocument/2006/relationships/hyperlink" Target="http://www.sec.gov/Archives/edgar/data/797721/000119312520177667/d90756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2020-08-07T14:57:06Z</dcterms:created>
  <dcterms:modified xsi:type="dcterms:W3CDTF">2020-08-07T14:57:06Z</dcterms:modified>
</cp:coreProperties>
</file>