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97790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3780" w:right="1580" w:hanging="3772"/>
        <w:spacing w:after="0" w:line="314" w:lineRule="auto"/>
        <w:tabs>
          <w:tab w:leader="none" w:pos="5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660"/>
        <w:spacing w:after="0"/>
        <w:tabs>
          <w:tab w:leader="none" w:pos="68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7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VIASAT, INC.</w:t>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508" w:right="319" w:bottom="1440" w:gutter="0" w:footer="0" w:header="0"/>
        </w:sectPr>
      </w:pPr>
    </w:p>
    <w:p>
      <w:pPr>
        <w:spacing w:after="0" w:line="163"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33-0174996</w:t>
      </w:r>
    </w:p>
    <w:p>
      <w:pPr>
        <w:spacing w:after="0" w:line="16" w:lineRule="exact"/>
        <w:rPr>
          <w:sz w:val="24"/>
          <w:szCs w:val="24"/>
          <w:color w:val="auto"/>
        </w:rPr>
      </w:pPr>
    </w:p>
    <w:p>
      <w:pPr>
        <w:sectPr>
          <w:pgSz w:w="11900" w:h="16838" w:orient="portrait"/>
          <w:cols w:equalWidth="0" w:num="2">
            <w:col w:w="6940" w:space="720"/>
            <w:col w:w="3680"/>
          </w:cols>
          <w:pgMar w:left="240" w:top="508" w:right="319" w:bottom="1440" w:gutter="0" w:footer="0" w:header="0"/>
          <w:type w:val="continuous"/>
        </w:sectPr>
      </w:pPr>
    </w:p>
    <w:p>
      <w:pPr>
        <w:spacing w:after="0" w:line="23" w:lineRule="exact"/>
        <w:rPr>
          <w:sz w:val="24"/>
          <w:szCs w:val="24"/>
          <w:color w:val="auto"/>
        </w:rPr>
      </w:pPr>
    </w:p>
    <w:p>
      <w:pPr>
        <w:ind w:left="2360"/>
        <w:spacing w:after="0"/>
        <w:rPr>
          <w:sz w:val="20"/>
          <w:szCs w:val="20"/>
          <w:color w:val="auto"/>
        </w:rPr>
      </w:pPr>
      <w:r>
        <w:rPr>
          <w:rFonts w:ascii="Arial" w:cs="Arial" w:eastAsia="Arial" w:hAnsi="Arial"/>
          <w:sz w:val="12"/>
          <w:szCs w:val="12"/>
          <w:b w:val="1"/>
          <w:bCs w:val="1"/>
          <w:color w:val="auto"/>
        </w:rPr>
        <w:t>(State or other jurisdiction of</w:t>
      </w:r>
    </w:p>
    <w:p>
      <w:pPr>
        <w:ind w:left="23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620"/>
        <w:spacing w:after="0"/>
        <w:rPr>
          <w:sz w:val="20"/>
          <w:szCs w:val="20"/>
          <w:color w:val="auto"/>
        </w:rPr>
      </w:pPr>
      <w:r>
        <w:rPr>
          <w:rFonts w:ascii="Arial" w:cs="Arial" w:eastAsia="Arial" w:hAnsi="Arial"/>
          <w:sz w:val="14"/>
          <w:szCs w:val="14"/>
          <w:b w:val="1"/>
          <w:bCs w:val="1"/>
          <w:color w:val="auto"/>
        </w:rPr>
        <w:t>(I.R.S. Employer</w:t>
      </w:r>
    </w:p>
    <w:p>
      <w:pPr>
        <w:jc w:val="center"/>
        <w:ind w:right="2620"/>
        <w:spacing w:after="0"/>
        <w:rPr>
          <w:sz w:val="20"/>
          <w:szCs w:val="20"/>
          <w:color w:val="auto"/>
        </w:rPr>
      </w:pPr>
      <w:r>
        <w:rPr>
          <w:rFonts w:ascii="Arial" w:cs="Arial" w:eastAsia="Arial" w:hAnsi="Arial"/>
          <w:sz w:val="12"/>
          <w:szCs w:val="12"/>
          <w:b w:val="1"/>
          <w:bCs w:val="1"/>
          <w:color w:val="auto"/>
        </w:rPr>
        <w:t>Identification No.)</w:t>
      </w:r>
    </w:p>
    <w:p>
      <w:pPr>
        <w:spacing w:after="0" w:line="69" w:lineRule="exact"/>
        <w:rPr>
          <w:sz w:val="24"/>
          <w:szCs w:val="24"/>
          <w:color w:val="auto"/>
        </w:rPr>
      </w:pPr>
    </w:p>
    <w:p>
      <w:pPr>
        <w:sectPr>
          <w:pgSz w:w="11900" w:h="16838" w:orient="portrait"/>
          <w:cols w:equalWidth="0" w:num="2">
            <w:col w:w="6860" w:space="720"/>
            <w:col w:w="3760"/>
          </w:cols>
          <w:pgMar w:left="240" w:top="508"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6155 El Camino Real</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Carlsbad, California 92009</w:t>
      </w:r>
    </w:p>
    <w:p>
      <w:pPr>
        <w:jc w:val="center"/>
        <w:ind w:right="-79"/>
        <w:spacing w:after="0"/>
        <w:rPr>
          <w:sz w:val="20"/>
          <w:szCs w:val="20"/>
          <w:color w:val="auto"/>
        </w:rPr>
      </w:pPr>
      <w:r>
        <w:rPr>
          <w:rFonts w:ascii="Arial" w:cs="Arial" w:eastAsia="Arial" w:hAnsi="Arial"/>
          <w:sz w:val="18"/>
          <w:szCs w:val="18"/>
          <w:b w:val="1"/>
          <w:bCs w:val="1"/>
          <w:color w:val="auto"/>
        </w:rPr>
        <w:t>(760) 476-2200</w:t>
      </w:r>
    </w:p>
    <w:p>
      <w:pPr>
        <w:sectPr>
          <w:pgSz w:w="11900" w:h="16838" w:orient="portrait"/>
          <w:cols w:equalWidth="0" w:num="1">
            <w:col w:w="11340"/>
          </w:cols>
          <w:pgMar w:left="240" w:top="508" w:right="319" w:bottom="1440" w:gutter="0" w:footer="0" w:header="0"/>
          <w:type w:val="continuous"/>
        </w:sect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41275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9" w:lineRule="exact"/>
        <w:rPr>
          <w:sz w:val="24"/>
          <w:szCs w:val="24"/>
          <w:color w:val="auto"/>
        </w:rPr>
      </w:pPr>
    </w:p>
    <w:p>
      <w:pPr>
        <w:ind w:right="360" w:firstLine="518"/>
        <w:spacing w:after="0" w:line="23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81" w:lineRule="exact"/>
        <w:rPr>
          <w:sz w:val="24"/>
          <w:szCs w:val="24"/>
          <w:color w:val="auto"/>
        </w:rPr>
      </w:pPr>
    </w:p>
    <w:p>
      <w:pPr>
        <w:ind w:firstLine="518"/>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jc w:val="both"/>
        <w:ind w:right="80" w:firstLine="518"/>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9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20" w:type="dxa"/>
            <w:vAlign w:val="bottom"/>
          </w:tcPr>
          <w:p>
            <w:pPr>
              <w:ind w:left="9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320" w:type="dxa"/>
            <w:vAlign w:val="bottom"/>
          </w:tcPr>
          <w:p>
            <w:pPr>
              <w:ind w:left="90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640" w:firstLine="518"/>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380"/>
        <w:spacing w:after="0" w:line="27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July 27, 2018 was</w:t>
      </w:r>
      <w:r>
        <w:rPr>
          <w:sz w:val="1"/>
          <w:szCs w:val="1"/>
          <w:color w:val="auto"/>
        </w:rPr>
        <w:drawing>
          <wp:inline distT="0" distB="0" distL="0" distR="0">
            <wp:extent cx="34290"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color w:val="auto"/>
        </w:rPr>
        <w:t>59,549,220.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08" w:right="3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52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20" w:type="dxa"/>
            <w:vAlign w:val="bottom"/>
            <w:gridSpan w:val="18"/>
            <w:vMerge w:val="continue"/>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 (Unaudited)</w:t>
              </w:r>
            </w:hyperlink>
          </w:p>
        </w:tc>
        <w:tc>
          <w:tcPr>
            <w:tcW w:w="7240" w:type="dxa"/>
            <w:vAlign w:val="bottom"/>
            <w:gridSpan w:val="8"/>
          </w:tcPr>
          <w:p>
            <w:pPr>
              <w:spacing w:after="0"/>
              <w:rPr>
                <w:sz w:val="17"/>
                <w:szCs w:val="17"/>
                <w:color w:val="auto"/>
              </w:rPr>
            </w:pP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Income (Loss)</w:t>
              </w:r>
            </w:hyperlink>
          </w:p>
        </w:tc>
        <w:tc>
          <w:tcPr>
            <w:tcW w:w="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 of Equity</w:t>
              </w:r>
            </w:hyperlink>
          </w:p>
        </w:tc>
        <w:tc>
          <w:tcPr>
            <w:tcW w:w="520" w:type="dxa"/>
            <w:vAlign w:val="bottom"/>
            <w:tcBorders>
              <w:top w:val="single" w:sz="8" w:color="0000EE"/>
            </w:tcBorders>
          </w:tcPr>
          <w:p>
            <w:pPr>
              <w:spacing w:after="0"/>
              <w:rPr>
                <w:sz w:val="17"/>
                <w:szCs w:val="17"/>
                <w:color w:val="auto"/>
              </w:rPr>
            </w:pPr>
          </w:p>
        </w:tc>
        <w:tc>
          <w:tcPr>
            <w:tcW w:w="5900" w:type="dxa"/>
            <w:vAlign w:val="bottom"/>
            <w:gridSpan w:val="5"/>
          </w:tcPr>
          <w:p>
            <w:pPr>
              <w:spacing w:after="0"/>
              <w:rPr>
                <w:sz w:val="17"/>
                <w:szCs w:val="17"/>
                <w:color w:val="auto"/>
              </w:rPr>
            </w:pP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Item 2. Management’s Discussion and Analysis of Financial Condition and Results of Operations</w:t>
              </w:r>
            </w:hyperlink>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Item 3.</w:t>
              </w:r>
            </w:hyperlink>
          </w:p>
        </w:tc>
        <w:tc>
          <w:tcPr>
            <w:tcW w:w="7100" w:type="dxa"/>
            <w:vAlign w:val="bottom"/>
            <w:tcBorders>
              <w:top w:val="single" w:sz="8" w:color="0000EE"/>
            </w:tcBorders>
            <w:gridSpan w:val="15"/>
          </w:tcPr>
          <w:p>
            <w:pPr>
              <w:ind w:left="20"/>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2840" w:type="dxa"/>
            <w:vAlign w:val="bottom"/>
          </w:tcPr>
          <w:p>
            <w:pPr>
              <w:spacing w:after="0"/>
              <w:rPr>
                <w:sz w:val="17"/>
                <w:szCs w:val="17"/>
                <w:color w:val="auto"/>
              </w:rPr>
            </w:pP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Item 4.</w:t>
              </w:r>
            </w:hyperlink>
          </w:p>
        </w:tc>
        <w:tc>
          <w:tcPr>
            <w:tcW w:w="2020" w:type="dxa"/>
            <w:vAlign w:val="bottom"/>
            <w:tcBorders>
              <w:top w:val="single" w:sz="8" w:color="0000EE"/>
              <w:bottom w:val="single" w:sz="8" w:color="0000EE"/>
            </w:tcBorders>
            <w:gridSpan w:val="5"/>
          </w:tcPr>
          <w:p>
            <w:pPr>
              <w:ind w:left="20"/>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Controls and Procedures</w:t>
              </w:r>
            </w:hyperlink>
          </w:p>
        </w:tc>
        <w:tc>
          <w:tcPr>
            <w:tcW w:w="2720" w:type="dxa"/>
            <w:vAlign w:val="bottom"/>
            <w:tcBorders>
              <w:top w:val="single" w:sz="8" w:color="0000EE"/>
            </w:tcBorders>
            <w:gridSpan w:val="8"/>
          </w:tcPr>
          <w:p>
            <w:pPr>
              <w:spacing w:after="0"/>
              <w:rPr>
                <w:sz w:val="17"/>
                <w:szCs w:val="17"/>
                <w:color w:val="auto"/>
              </w:rPr>
            </w:pPr>
          </w:p>
        </w:tc>
        <w:tc>
          <w:tcPr>
            <w:tcW w:w="5200" w:type="dxa"/>
            <w:vAlign w:val="bottom"/>
            <w:gridSpan w:val="3"/>
          </w:tcPr>
          <w:p>
            <w:pPr>
              <w:spacing w:after="0"/>
              <w:rPr>
                <w:sz w:val="17"/>
                <w:szCs w:val="17"/>
                <w:color w:val="auto"/>
              </w:rPr>
            </w:pP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PART II. OTHER INFORMATION</w:t>
              </w:r>
            </w:hyperlink>
          </w:p>
        </w:tc>
        <w:tc>
          <w:tcPr>
            <w:tcW w:w="784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Item 1.</w:t>
              </w:r>
            </w:hyperlink>
          </w:p>
        </w:tc>
        <w:tc>
          <w:tcPr>
            <w:tcW w:w="1520" w:type="dxa"/>
            <w:vAlign w:val="bottom"/>
            <w:tcBorders>
              <w:bottom w:val="single" w:sz="8" w:color="0000EE"/>
            </w:tcBorders>
            <w:gridSpan w:val="4"/>
          </w:tcPr>
          <w:p>
            <w:pPr>
              <w:ind w:left="20"/>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Legal Proceedings</w:t>
              </w:r>
            </w:hyperlink>
          </w:p>
        </w:tc>
        <w:tc>
          <w:tcPr>
            <w:tcW w:w="8420" w:type="dxa"/>
            <w:vAlign w:val="bottom"/>
            <w:gridSpan w:val="12"/>
          </w:tcPr>
          <w:p>
            <w:pPr>
              <w:spacing w:after="0"/>
              <w:rPr>
                <w:sz w:val="17"/>
                <w:szCs w:val="17"/>
                <w:color w:val="auto"/>
              </w:rPr>
            </w:pP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Item 1A. Risk Factors</w:t>
              </w:r>
            </w:hyperlink>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Item 6.</w:t>
              </w:r>
            </w:hyperlink>
          </w:p>
        </w:tc>
        <w:tc>
          <w:tcPr>
            <w:tcW w:w="66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8"/>
              </w:rPr>
            </w:pPr>
            <w:hyperlink w:anchor="page50">
              <w:r>
                <w:rPr>
                  <w:rFonts w:ascii="Arial" w:cs="Arial" w:eastAsia="Arial" w:hAnsi="Arial"/>
                  <w:sz w:val="18"/>
                  <w:szCs w:val="18"/>
                  <w:color w:val="0000EE"/>
                  <w:w w:val="98"/>
                </w:rPr>
                <w:t>Exhibits</w:t>
              </w:r>
            </w:hyperlink>
          </w:p>
        </w:tc>
        <w:tc>
          <w:tcPr>
            <w:tcW w:w="480" w:type="dxa"/>
            <w:vAlign w:val="bottom"/>
            <w:tcBorders>
              <w:top w:val="single" w:sz="8" w:color="0000EE"/>
            </w:tcBorders>
          </w:tcPr>
          <w:p>
            <w:pPr>
              <w:spacing w:after="0"/>
              <w:rPr>
                <w:sz w:val="17"/>
                <w:szCs w:val="17"/>
                <w:color w:val="auto"/>
              </w:rPr>
            </w:pPr>
          </w:p>
        </w:tc>
        <w:tc>
          <w:tcPr>
            <w:tcW w:w="8800" w:type="dxa"/>
            <w:vAlign w:val="bottom"/>
            <w:gridSpan w:val="13"/>
          </w:tcPr>
          <w:p>
            <w:pPr>
              <w:spacing w:after="0"/>
              <w:rPr>
                <w:sz w:val="17"/>
                <w:szCs w:val="17"/>
                <w:color w:val="auto"/>
              </w:rPr>
            </w:pP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595"/>
        </w:trPr>
        <w:tc>
          <w:tcPr>
            <w:tcW w:w="4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532"/>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420"/>
              <w:spacing w:after="0"/>
              <w:rPr>
                <w:sz w:val="20"/>
                <w:szCs w:val="20"/>
                <w:color w:val="auto"/>
              </w:rPr>
            </w:pPr>
            <w:r>
              <w:rPr>
                <w:rFonts w:ascii="Arial" w:cs="Arial" w:eastAsia="Arial" w:hAnsi="Arial"/>
                <w:sz w:val="14"/>
                <w:szCs w:val="14"/>
                <w:b w:val="1"/>
                <w:bCs w:val="1"/>
                <w:color w:val="auto"/>
              </w:rPr>
              <w:t>As of</w:t>
            </w:r>
          </w:p>
        </w:tc>
      </w:tr>
      <w:tr>
        <w:trPr>
          <w:trHeight w:val="175"/>
        </w:trPr>
        <w:tc>
          <w:tcPr>
            <w:tcW w:w="7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5"/>
                <w:szCs w:val="15"/>
                <w:color w:val="auto"/>
              </w:rPr>
            </w:pPr>
          </w:p>
        </w:tc>
      </w:tr>
      <w:tr>
        <w:trPr>
          <w:trHeight w:val="169"/>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gridSpan w:val="5"/>
          </w:tcPr>
          <w:p>
            <w:pPr>
              <w:ind w:left="10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820" w:type="dxa"/>
            <w:vAlign w:val="bottom"/>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54,789</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71,446</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236,085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267,665</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220,018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196,307</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102,977</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77,135</w:t>
            </w:r>
          </w:p>
        </w:tc>
        <w:tc>
          <w:tcPr>
            <w:tcW w:w="100" w:type="dxa"/>
            <w:vAlign w:val="bottom"/>
            <w:tcBorders>
              <w:bottom w:val="single" w:sz="8" w:color="CFF0FC"/>
            </w:tcBorders>
          </w:tcPr>
          <w:p>
            <w:pPr>
              <w:spacing w:after="0"/>
              <w:rPr>
                <w:sz w:val="18"/>
                <w:szCs w:val="18"/>
                <w:color w:val="auto"/>
              </w:rPr>
            </w:pPr>
          </w:p>
        </w:tc>
      </w:tr>
      <w:tr>
        <w:trPr>
          <w:trHeight w:val="21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613,869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612,553</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Satellites, net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1,265,021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1,239,987</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772,207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722,488</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acquired intangible assets, net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31,862</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122,455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121,085</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742,158</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686,134</w:t>
            </w:r>
          </w:p>
        </w:tc>
        <w:tc>
          <w:tcPr>
            <w:tcW w:w="100" w:type="dxa"/>
            <w:vAlign w:val="bottom"/>
            <w:shd w:val="clear" w:color="auto" w:fill="CFF0FC"/>
          </w:tcPr>
          <w:p>
            <w:pPr>
              <w:spacing w:after="0"/>
              <w:rPr>
                <w:sz w:val="18"/>
                <w:szCs w:val="18"/>
                <w:color w:val="auto"/>
              </w:rPr>
            </w:pPr>
          </w:p>
        </w:tc>
      </w:tr>
      <w:tr>
        <w:trPr>
          <w:trHeight w:val="250"/>
        </w:trPr>
        <w:tc>
          <w:tcPr>
            <w:tcW w:w="78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3,544,268</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3,414,109</w:t>
            </w:r>
          </w:p>
        </w:tc>
        <w:tc>
          <w:tcPr>
            <w:tcW w:w="100" w:type="dxa"/>
            <w:vAlign w:val="bottom"/>
          </w:tcPr>
          <w:p>
            <w:pPr>
              <w:spacing w:after="0"/>
              <w:rPr>
                <w:sz w:val="21"/>
                <w:szCs w:val="21"/>
                <w:color w:val="auto"/>
              </w:rPr>
            </w:pPr>
          </w:p>
        </w:tc>
      </w:tr>
      <w:tr>
        <w:trPr>
          <w:trHeight w:val="197"/>
        </w:trPr>
        <w:tc>
          <w:tcPr>
            <w:tcW w:w="7820" w:type="dxa"/>
            <w:vAlign w:val="bottom"/>
            <w:tcBorders>
              <w:top w:val="single" w:sz="8" w:color="CFF0FC"/>
            </w:tcBorders>
            <w:shd w:val="clear" w:color="auto" w:fill="CFF0FC"/>
          </w:tcPr>
          <w:p>
            <w:pPr>
              <w:ind w:left="27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149,548</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157,481</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252,312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263,676</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45,300</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45,300</w:t>
            </w:r>
          </w:p>
        </w:tc>
        <w:tc>
          <w:tcPr>
            <w:tcW w:w="100" w:type="dxa"/>
            <w:vAlign w:val="bottom"/>
            <w:shd w:val="clear" w:color="auto" w:fill="CFF0FC"/>
          </w:tcPr>
          <w:p>
            <w:pPr>
              <w:spacing w:after="0"/>
              <w:rPr>
                <w:sz w:val="18"/>
                <w:szCs w:val="18"/>
                <w:color w:val="auto"/>
              </w:rPr>
            </w:pPr>
          </w:p>
        </w:tc>
      </w:tr>
      <w:tr>
        <w:trPr>
          <w:trHeight w:val="210"/>
        </w:trPr>
        <w:tc>
          <w:tcPr>
            <w:tcW w:w="78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447,160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466,457</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Senior notes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691,192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690,886</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 long-term debt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381,709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287,519</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132,260</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121,240</w:t>
            </w:r>
          </w:p>
        </w:tc>
        <w:tc>
          <w:tcPr>
            <w:tcW w:w="100" w:type="dxa"/>
            <w:vAlign w:val="bottom"/>
            <w:shd w:val="clear" w:color="auto" w:fill="CFF0FC"/>
          </w:tcPr>
          <w:p>
            <w:pPr>
              <w:spacing w:after="0"/>
              <w:rPr>
                <w:sz w:val="18"/>
                <w:szCs w:val="18"/>
                <w:color w:val="auto"/>
              </w:rPr>
            </w:pPr>
          </w:p>
        </w:tc>
      </w:tr>
      <w:tr>
        <w:trPr>
          <w:trHeight w:val="210"/>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1,652,321</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1,566,102</w:t>
            </w:r>
          </w:p>
        </w:tc>
        <w:tc>
          <w:tcPr>
            <w:tcW w:w="100" w:type="dxa"/>
            <w:vAlign w:val="bottom"/>
            <w:tcBorders>
              <w:bottom w:val="single" w:sz="8" w:color="CFF0FC"/>
            </w:tcBorders>
          </w:tcPr>
          <w:p>
            <w:pPr>
              <w:spacing w:after="0"/>
              <w:rPr>
                <w:sz w:val="18"/>
                <w:szCs w:val="18"/>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Viasat, Inc. stockholders’ equity</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1,589,167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1,535,635</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277,831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285,960</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15,442</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FF0FC"/>
          </w:tcPr>
          <w:p>
            <w:pPr>
              <w:spacing w:after="0"/>
              <w:rPr>
                <w:sz w:val="18"/>
                <w:szCs w:val="18"/>
                <w:color w:val="auto"/>
              </w:rPr>
            </w:pPr>
          </w:p>
        </w:tc>
      </w:tr>
      <w:tr>
        <w:trPr>
          <w:trHeight w:val="210"/>
        </w:trPr>
        <w:tc>
          <w:tcPr>
            <w:tcW w:w="782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1,882,446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1,837,166</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subsidiaries</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9,501</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shd w:val="clear" w:color="auto" w:fill="CFF0FC"/>
          </w:tcPr>
          <w:p>
            <w:pPr>
              <w:spacing w:after="0"/>
              <w:rPr>
                <w:sz w:val="18"/>
                <w:szCs w:val="18"/>
                <w:color w:val="auto"/>
              </w:rPr>
            </w:pPr>
          </w:p>
        </w:tc>
      </w:tr>
      <w:tr>
        <w:trPr>
          <w:trHeight w:val="210"/>
        </w:trPr>
        <w:tc>
          <w:tcPr>
            <w:tcW w:w="7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1,891,947</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1,848,007</w:t>
            </w:r>
          </w:p>
        </w:tc>
        <w:tc>
          <w:tcPr>
            <w:tcW w:w="100" w:type="dxa"/>
            <w:vAlign w:val="bottom"/>
            <w:tcBorders>
              <w:bottom w:val="single" w:sz="8" w:color="CFF0FC"/>
            </w:tcBorders>
          </w:tcPr>
          <w:p>
            <w:pPr>
              <w:spacing w:after="0"/>
              <w:rPr>
                <w:sz w:val="18"/>
                <w:szCs w:val="18"/>
                <w:color w:val="auto"/>
              </w:rPr>
            </w:pPr>
          </w:p>
        </w:tc>
      </w:tr>
      <w:tr>
        <w:trPr>
          <w:trHeight w:val="21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 and equity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3,544,268</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100" w:type="dxa"/>
            <w:vAlign w:val="bottom"/>
            <w:shd w:val="clear" w:color="auto" w:fill="CFF0FC"/>
          </w:tcPr>
          <w:p>
            <w:pPr>
              <w:spacing w:after="0"/>
              <w:rPr>
                <w:sz w:val="18"/>
                <w:szCs w:val="18"/>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5"/>
          </w:tcPr>
          <w:p>
            <w:pPr>
              <w:jc w:val="right"/>
              <w:ind w:right="9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r>
      <w:tr>
        <w:trPr>
          <w:trHeight w:val="169"/>
        </w:trPr>
        <w:tc>
          <w:tcPr>
            <w:tcW w:w="7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4"/>
                <w:szCs w:val="14"/>
                <w:color w:val="auto"/>
              </w:rPr>
            </w:pPr>
          </w:p>
        </w:tc>
      </w:tr>
      <w:tr>
        <w:trPr>
          <w:trHeight w:val="169"/>
        </w:trPr>
        <w:tc>
          <w:tcPr>
            <w:tcW w:w="7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218,129</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166,118</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220,740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213,926</w:t>
            </w:r>
          </w:p>
        </w:tc>
        <w:tc>
          <w:tcPr>
            <w:tcW w:w="100" w:type="dxa"/>
            <w:vAlign w:val="bottom"/>
            <w:shd w:val="clear" w:color="auto" w:fill="CFF0FC"/>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438,869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380,044</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173,448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122,645</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171,432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137,851</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112,642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89,173</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33,373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45,065</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Borders>
              <w:bottom w:val="single" w:sz="8" w:color="CFF0FC"/>
            </w:tcBorders>
          </w:tcPr>
          <w:p>
            <w:pPr>
              <w:spacing w:after="0"/>
              <w:rPr>
                <w:sz w:val="18"/>
                <w:szCs w:val="18"/>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(54,479)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(17,950)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(11,324)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0"/>
        </w:trPr>
        <w:tc>
          <w:tcPr>
            <w:tcW w:w="7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(65,767)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(17,913)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Equity in income (loss) of unconsolidated affiliate, net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(513)</w:t>
            </w:r>
          </w:p>
        </w:tc>
      </w:tr>
      <w:tr>
        <w:trPr>
          <w:trHeight w:val="20"/>
        </w:trPr>
        <w:tc>
          <w:tcPr>
            <w:tcW w:w="7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(35,497)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(9,246)</w:t>
            </w: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interests, net of tax</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w:t>
            </w:r>
          </w:p>
        </w:tc>
      </w:tr>
      <w:tr>
        <w:trPr>
          <w:trHeight w:val="20"/>
        </w:trPr>
        <w:tc>
          <w:tcPr>
            <w:tcW w:w="7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20" w:type="dxa"/>
            <w:vAlign w:val="bottom"/>
          </w:tcPr>
          <w:p>
            <w:pPr>
              <w:spacing w:after="0"/>
              <w:rPr>
                <w:sz w:val="20"/>
                <w:szCs w:val="20"/>
                <w:color w:val="auto"/>
              </w:rPr>
            </w:pPr>
            <w:r>
              <w:rPr>
                <w:rFonts w:ascii="Arial" w:cs="Arial" w:eastAsia="Arial" w:hAnsi="Arial"/>
                <w:sz w:val="18"/>
                <w:szCs w:val="18"/>
                <w:color w:val="auto"/>
              </w:rPr>
              <w:t>Net loss attributable to Viasat,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(34,010)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(9,039)</w:t>
            </w:r>
          </w:p>
        </w:tc>
      </w:tr>
      <w:tr>
        <w:trPr>
          <w:trHeight w:val="196"/>
        </w:trPr>
        <w:tc>
          <w:tcPr>
            <w:tcW w:w="78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Basic net loss per share attributable to Viasat, Inc. common</w:t>
            </w:r>
          </w:p>
        </w:tc>
        <w:tc>
          <w:tcPr>
            <w:tcW w:w="2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78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stockholders</w:t>
            </w:r>
          </w:p>
        </w:tc>
        <w:tc>
          <w:tcPr>
            <w:tcW w:w="2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(0.57)</w:t>
            </w:r>
          </w:p>
        </w:tc>
        <w:tc>
          <w:tcPr>
            <w:tcW w:w="3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(0.16)</w:t>
            </w:r>
          </w:p>
        </w:tc>
      </w:tr>
      <w:tr>
        <w:trPr>
          <w:trHeight w:val="215"/>
        </w:trPr>
        <w:tc>
          <w:tcPr>
            <w:tcW w:w="7820" w:type="dxa"/>
            <w:vAlign w:val="bottom"/>
          </w:tcPr>
          <w:p>
            <w:pPr>
              <w:spacing w:after="0"/>
              <w:rPr>
                <w:sz w:val="20"/>
                <w:szCs w:val="20"/>
                <w:color w:val="auto"/>
              </w:rPr>
            </w:pPr>
            <w:r>
              <w:rPr>
                <w:rFonts w:ascii="Arial" w:cs="Arial" w:eastAsia="Arial" w:hAnsi="Arial"/>
                <w:sz w:val="18"/>
                <w:szCs w:val="18"/>
                <w:color w:val="auto"/>
              </w:rPr>
              <w:t>Diluted net loss per share attributable to Viasat, Inc. common</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820" w:type="dxa"/>
            <w:vAlign w:val="bottom"/>
          </w:tcPr>
          <w:p>
            <w:pPr>
              <w:ind w:left="160"/>
              <w:spacing w:after="0" w:line="203" w:lineRule="exact"/>
              <w:rPr>
                <w:sz w:val="20"/>
                <w:szCs w:val="20"/>
                <w:color w:val="auto"/>
              </w:rPr>
            </w:pPr>
            <w:r>
              <w:rPr>
                <w:rFonts w:ascii="Arial" w:cs="Arial" w:eastAsia="Arial" w:hAnsi="Arial"/>
                <w:sz w:val="18"/>
                <w:szCs w:val="18"/>
                <w:color w:val="auto"/>
              </w:rPr>
              <w:t>stockholders</w:t>
            </w: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(0.57)</w:t>
            </w:r>
          </w:p>
        </w:tc>
        <w:tc>
          <w:tcPr>
            <w:tcW w:w="3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(0.16)</w:t>
            </w: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basic net loss per share</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57,842</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Shares used in computing diluted net loss per share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59,208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57,842</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(35,497)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(9,246)</w:t>
            </w:r>
          </w:p>
        </w:tc>
      </w:tr>
      <w:tr>
        <w:trPr>
          <w:trHeight w:val="21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60"/>
              <w:spacing w:after="0"/>
              <w:rPr>
                <w:sz w:val="20"/>
                <w:szCs w:val="20"/>
                <w:color w:val="auto"/>
              </w:rPr>
            </w:pPr>
            <w:r>
              <w:rPr>
                <w:rFonts w:ascii="Arial" w:cs="Arial" w:eastAsia="Arial" w:hAnsi="Arial"/>
                <w:sz w:val="18"/>
                <w:szCs w:val="18"/>
                <w:color w:val="auto"/>
              </w:rPr>
              <w:t>Unrealized (loss) gain on hedging, net of tax</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 of tax</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FF0FC"/>
          </w:tcPr>
          <w:p>
            <w:pPr>
              <w:spacing w:after="0"/>
              <w:rPr>
                <w:sz w:val="18"/>
                <w:szCs w:val="18"/>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18"/>
                <w:szCs w:val="18"/>
                <w:color w:val="auto"/>
              </w:rPr>
            </w:pPr>
          </w:p>
        </w:tc>
      </w:tr>
      <w:tr>
        <w:trPr>
          <w:trHeight w:val="20"/>
        </w:trPr>
        <w:tc>
          <w:tcPr>
            <w:tcW w:w="7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(35,620)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(5,629)</w:t>
            </w:r>
          </w:p>
        </w:tc>
      </w:tr>
      <w:tr>
        <w:trPr>
          <w:trHeight w:val="215"/>
        </w:trPr>
        <w:tc>
          <w:tcPr>
            <w:tcW w:w="7820" w:type="dxa"/>
            <w:vAlign w:val="bottom"/>
          </w:tcPr>
          <w:p>
            <w:pPr>
              <w:spacing w:after="0"/>
              <w:rPr>
                <w:sz w:val="20"/>
                <w:szCs w:val="20"/>
                <w:color w:val="auto"/>
              </w:rPr>
            </w:pPr>
            <w:r>
              <w:rPr>
                <w:rFonts w:ascii="Arial" w:cs="Arial" w:eastAsia="Arial" w:hAnsi="Arial"/>
                <w:sz w:val="18"/>
                <w:szCs w:val="18"/>
                <w:color w:val="auto"/>
              </w:rPr>
              <w:t>Less: comprehensive loss attributable to 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820" w:type="dxa"/>
            <w:vAlign w:val="bottom"/>
          </w:tcPr>
          <w:p>
            <w:pPr>
              <w:ind w:left="160"/>
              <w:spacing w:after="0" w:line="203" w:lineRule="exact"/>
              <w:rPr>
                <w:sz w:val="20"/>
                <w:szCs w:val="20"/>
                <w:color w:val="auto"/>
              </w:rPr>
            </w:pPr>
            <w:r>
              <w:rPr>
                <w:rFonts w:ascii="Arial" w:cs="Arial" w:eastAsia="Arial" w:hAnsi="Arial"/>
                <w:sz w:val="18"/>
                <w:szCs w:val="18"/>
                <w:color w:val="auto"/>
              </w:rPr>
              <w:t>interests, net of tax</w:t>
            </w:r>
          </w:p>
        </w:tc>
        <w:tc>
          <w:tcPr>
            <w:tcW w:w="220" w:type="dxa"/>
            <w:vAlign w:val="bottom"/>
          </w:tcPr>
          <w:p>
            <w:pPr>
              <w:spacing w:after="0"/>
              <w:rPr>
                <w:sz w:val="17"/>
                <w:szCs w:val="17"/>
                <w:color w:val="auto"/>
              </w:rPr>
            </w:pPr>
          </w:p>
        </w:tc>
        <w:tc>
          <w:tcPr>
            <w:tcW w:w="15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(1,487)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(207)</w:t>
            </w:r>
          </w:p>
        </w:tc>
      </w:tr>
      <w:tr>
        <w:trPr>
          <w:trHeight w:val="20"/>
        </w:trPr>
        <w:tc>
          <w:tcPr>
            <w:tcW w:w="7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attributable to Viasat, Inc.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(34,133)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(5,422)</w:t>
            </w: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7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June 30, 2018</w:t>
            </w:r>
          </w:p>
        </w:tc>
        <w:tc>
          <w:tcPr>
            <w:tcW w:w="1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w w:val="94"/>
              </w:rPr>
              <w:t>June 30, 2017</w:t>
            </w:r>
          </w:p>
        </w:tc>
        <w:tc>
          <w:tcPr>
            <w:tcW w:w="100" w:type="dxa"/>
            <w:vAlign w:val="bottom"/>
          </w:tcPr>
          <w:p>
            <w:pPr>
              <w:spacing w:after="0"/>
              <w:rPr>
                <w:sz w:val="13"/>
                <w:szCs w:val="13"/>
                <w:color w:val="auto"/>
              </w:rPr>
            </w:pPr>
          </w:p>
        </w:tc>
      </w:tr>
      <w:tr>
        <w:trPr>
          <w:trHeight w:val="156"/>
        </w:trPr>
        <w:tc>
          <w:tcPr>
            <w:tcW w:w="7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7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(35,497)</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(9,246)</w:t>
            </w:r>
          </w:p>
        </w:tc>
      </w:tr>
      <w:tr>
        <w:trPr>
          <w:trHeight w:val="203"/>
        </w:trPr>
        <w:tc>
          <w:tcPr>
            <w:tcW w:w="7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Adjustments to reconcile net loss to net cash provided by operating activities: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500"/>
              <w:spacing w:after="0"/>
              <w:rPr>
                <w:sz w:val="20"/>
                <w:szCs w:val="20"/>
                <w:color w:val="auto"/>
              </w:rPr>
            </w:pPr>
            <w:r>
              <w:rPr>
                <w:rFonts w:ascii="Arial" w:cs="Arial" w:eastAsia="Arial" w:hAnsi="Arial"/>
                <w:sz w:val="16"/>
                <w:szCs w:val="16"/>
                <w:color w:val="auto"/>
              </w:rPr>
              <w:t>Depreciation</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63,793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50,828</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intangible assets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13,107</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(31,055)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(9,377)</w:t>
            </w:r>
          </w:p>
        </w:tc>
      </w:tr>
      <w:tr>
        <w:trPr>
          <w:trHeight w:val="203"/>
        </w:trPr>
        <w:tc>
          <w:tcPr>
            <w:tcW w:w="7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 expense</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19,126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15,507</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500"/>
              <w:spacing w:after="0"/>
              <w:rPr>
                <w:sz w:val="20"/>
                <w:szCs w:val="20"/>
                <w:color w:val="auto"/>
              </w:rPr>
            </w:pPr>
            <w:r>
              <w:rPr>
                <w:rFonts w:ascii="Arial" w:cs="Arial" w:eastAsia="Arial" w:hAnsi="Arial"/>
                <w:sz w:val="16"/>
                <w:szCs w:val="16"/>
                <w:color w:val="auto"/>
              </w:rPr>
              <w:t>Loss on disposition of fixed assets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9,196</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non-cash adjustments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60"/>
              <w:spacing w:after="0"/>
              <w:rPr>
                <w:sz w:val="20"/>
                <w:szCs w:val="20"/>
                <w:color w:val="auto"/>
              </w:rPr>
            </w:pPr>
            <w:r>
              <w:rPr>
                <w:rFonts w:ascii="Arial" w:cs="Arial" w:eastAsia="Arial" w:hAnsi="Arial"/>
                <w:sz w:val="16"/>
                <w:szCs w:val="16"/>
                <w:color w:val="auto"/>
              </w:rPr>
              <w:t>Increase (decrease) in cash resulting from changes in operating assets and liabilities: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24,125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46,500</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(22,245)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(15,193)</w:t>
            </w:r>
          </w:p>
        </w:tc>
      </w:tr>
      <w:tr>
        <w:trPr>
          <w:trHeight w:val="203"/>
        </w:trPr>
        <w:tc>
          <w:tcPr>
            <w:tcW w:w="7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(10,812)</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(8,203)</w:t>
            </w:r>
          </w:p>
        </w:tc>
      </w:tr>
      <w:tr>
        <w:trPr>
          <w:trHeight w:val="203"/>
        </w:trPr>
        <w:tc>
          <w:tcPr>
            <w:tcW w:w="710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(11,223)</w:t>
            </w:r>
          </w:p>
        </w:tc>
      </w:tr>
      <w:tr>
        <w:trPr>
          <w:trHeight w:val="203"/>
        </w:trPr>
        <w:tc>
          <w:tcPr>
            <w:tcW w:w="7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liabilities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5,348</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 liabilities</w:t>
            </w:r>
          </w:p>
        </w:tc>
        <w:tc>
          <w:tcPr>
            <w:tcW w:w="7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6,079</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63,617</w:t>
            </w:r>
          </w:p>
        </w:tc>
        <w:tc>
          <w:tcPr>
            <w:tcW w:w="100" w:type="dxa"/>
            <w:vAlign w:val="bottom"/>
            <w:tcBorders>
              <w:bottom w:val="single" w:sz="8" w:color="CFF0FC"/>
            </w:tcBorders>
          </w:tcPr>
          <w:p>
            <w:pPr>
              <w:spacing w:after="0"/>
              <w:rPr>
                <w:sz w:val="17"/>
                <w:szCs w:val="17"/>
                <w:color w:val="auto"/>
              </w:rPr>
            </w:pPr>
          </w:p>
        </w:tc>
      </w:tr>
      <w:tr>
        <w:trPr>
          <w:trHeight w:val="196"/>
        </w:trPr>
        <w:tc>
          <w:tcPr>
            <w:tcW w:w="71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53,814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153,654</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property, equipment and satellites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(146,633)</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(109,820)</w:t>
            </w:r>
          </w:p>
        </w:tc>
      </w:tr>
      <w:tr>
        <w:trPr>
          <w:trHeight w:val="203"/>
        </w:trPr>
        <w:tc>
          <w:tcPr>
            <w:tcW w:w="7100" w:type="dxa"/>
            <w:vAlign w:val="bottom"/>
          </w:tcPr>
          <w:p>
            <w:pPr>
              <w:ind w:left="260"/>
              <w:spacing w:after="0"/>
              <w:rPr>
                <w:sz w:val="20"/>
                <w:szCs w:val="20"/>
                <w:color w:val="auto"/>
              </w:rPr>
            </w:pPr>
            <w:r>
              <w:rPr>
                <w:rFonts w:ascii="Arial" w:cs="Arial" w:eastAsia="Arial" w:hAnsi="Arial"/>
                <w:sz w:val="16"/>
                <w:szCs w:val="16"/>
                <w:color w:val="auto"/>
              </w:rPr>
              <w:t>Cash paid for patents, licenses and other assets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(12,155)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(18,253)</w:t>
            </w:r>
          </w:p>
        </w:tc>
      </w:tr>
      <w:tr>
        <w:trPr>
          <w:trHeight w:val="203"/>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investing activities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(2,070)</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7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0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(160,858)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(128,073)</w:t>
            </w:r>
          </w:p>
        </w:tc>
      </w:tr>
      <w:tr>
        <w:trPr>
          <w:trHeight w:val="203"/>
        </w:trPr>
        <w:tc>
          <w:tcPr>
            <w:tcW w:w="7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60"/>
              <w:spacing w:after="0"/>
              <w:rPr>
                <w:sz w:val="20"/>
                <w:szCs w:val="20"/>
                <w:color w:val="auto"/>
              </w:rPr>
            </w:pPr>
            <w:r>
              <w:rPr>
                <w:rFonts w:ascii="Arial" w:cs="Arial" w:eastAsia="Arial" w:hAnsi="Arial"/>
                <w:sz w:val="16"/>
                <w:szCs w:val="16"/>
                <w:color w:val="auto"/>
              </w:rPr>
              <w:t>Proceeds from revolving credit facility borrowings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revolving credit facility borrowings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7100" w:type="dxa"/>
            <w:vAlign w:val="bottom"/>
          </w:tcPr>
          <w:p>
            <w:pPr>
              <w:ind w:left="260"/>
              <w:spacing w:after="0"/>
              <w:rPr>
                <w:sz w:val="20"/>
                <w:szCs w:val="20"/>
                <w:color w:val="auto"/>
              </w:rPr>
            </w:pPr>
            <w:r>
              <w:rPr>
                <w:rFonts w:ascii="Arial" w:cs="Arial" w:eastAsia="Arial" w:hAnsi="Arial"/>
                <w:sz w:val="16"/>
                <w:szCs w:val="16"/>
                <w:color w:val="auto"/>
              </w:rPr>
              <w:t>Payments of Ex-Im credit facility borrowings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(22,650)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common stock under equity plans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7,245</w:t>
            </w:r>
          </w:p>
        </w:tc>
        <w:tc>
          <w:tcPr>
            <w:tcW w:w="100" w:type="dxa"/>
            <w:vAlign w:val="bottom"/>
            <w:shd w:val="clear" w:color="auto" w:fill="CFF0FC"/>
          </w:tcPr>
          <w:p>
            <w:pPr>
              <w:spacing w:after="0"/>
              <w:rPr>
                <w:sz w:val="17"/>
                <w:szCs w:val="17"/>
                <w:color w:val="auto"/>
              </w:rPr>
            </w:pPr>
          </w:p>
        </w:tc>
      </w:tr>
      <w:tr>
        <w:trPr>
          <w:trHeight w:val="204"/>
        </w:trPr>
        <w:tc>
          <w:tcPr>
            <w:tcW w:w="7100" w:type="dxa"/>
            <w:vAlign w:val="bottom"/>
          </w:tcPr>
          <w:p>
            <w:pPr>
              <w:ind w:left="260"/>
              <w:spacing w:after="0"/>
              <w:rPr>
                <w:sz w:val="20"/>
                <w:szCs w:val="20"/>
                <w:color w:val="auto"/>
              </w:rPr>
            </w:pPr>
            <w:r>
              <w:rPr>
                <w:rFonts w:ascii="Arial" w:cs="Arial" w:eastAsia="Arial" w:hAnsi="Arial"/>
                <w:sz w:val="16"/>
                <w:szCs w:val="16"/>
                <w:color w:val="auto"/>
              </w:rPr>
              <w:t>Purchase of common stock in treasury (immediately retired) related to tax</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7100" w:type="dxa"/>
            <w:vAlign w:val="bottom"/>
          </w:tcPr>
          <w:p>
            <w:pPr>
              <w:ind w:left="380"/>
              <w:spacing w:after="0"/>
              <w:rPr>
                <w:sz w:val="20"/>
                <w:szCs w:val="20"/>
                <w:color w:val="auto"/>
              </w:rPr>
            </w:pPr>
            <w:r>
              <w:rPr>
                <w:rFonts w:ascii="Arial" w:cs="Arial" w:eastAsia="Arial" w:hAnsi="Arial"/>
                <w:sz w:val="16"/>
                <w:szCs w:val="16"/>
                <w:color w:val="auto"/>
              </w:rPr>
              <w:t>withholdings for share-based awards</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(5,969)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(1,931)</w:t>
            </w:r>
          </w:p>
        </w:tc>
      </w:tr>
      <w:tr>
        <w:trPr>
          <w:trHeight w:val="203"/>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financing activities</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(2,376)</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(372)</w:t>
            </w:r>
          </w:p>
        </w:tc>
      </w:tr>
      <w:tr>
        <w:trPr>
          <w:trHeight w:val="196"/>
        </w:trPr>
        <w:tc>
          <w:tcPr>
            <w:tcW w:w="7100" w:type="dxa"/>
            <w:vAlign w:val="bottom"/>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7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4,942</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w:t>
            </w: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(1,273)</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w:t>
            </w:r>
          </w:p>
        </w:tc>
      </w:tr>
      <w:tr>
        <w:trPr>
          <w:trHeight w:val="20"/>
        </w:trPr>
        <w:tc>
          <w:tcPr>
            <w:tcW w:w="7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0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(16,657)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30,458</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7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71,446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130,098</w:t>
            </w:r>
          </w:p>
        </w:tc>
        <w:tc>
          <w:tcPr>
            <w:tcW w:w="100" w:type="dxa"/>
            <w:vAlign w:val="bottom"/>
            <w:shd w:val="clear" w:color="auto" w:fill="CFF0FC"/>
          </w:tcPr>
          <w:p>
            <w:pPr>
              <w:spacing w:after="0"/>
              <w:rPr>
                <w:sz w:val="17"/>
                <w:szCs w:val="17"/>
                <w:color w:val="auto"/>
              </w:rPr>
            </w:pPr>
          </w:p>
        </w:tc>
      </w:tr>
      <w:tr>
        <w:trPr>
          <w:trHeight w:val="236"/>
        </w:trPr>
        <w:tc>
          <w:tcPr>
            <w:tcW w:w="710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54,789</w:t>
            </w:r>
          </w:p>
        </w:tc>
        <w:tc>
          <w:tcPr>
            <w:tcW w:w="18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160,556</w:t>
            </w:r>
          </w:p>
        </w:tc>
        <w:tc>
          <w:tcPr>
            <w:tcW w:w="100" w:type="dxa"/>
            <w:vAlign w:val="bottom"/>
          </w:tcPr>
          <w:p>
            <w:pPr>
              <w:spacing w:after="0"/>
              <w:rPr>
                <w:sz w:val="20"/>
                <w:szCs w:val="20"/>
                <w:color w:val="auto"/>
              </w:rPr>
            </w:pPr>
          </w:p>
        </w:tc>
      </w:tr>
      <w:tr>
        <w:trPr>
          <w:trHeight w:val="18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7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04"/>
        </w:trPr>
        <w:tc>
          <w:tcPr>
            <w:tcW w:w="7100" w:type="dxa"/>
            <w:vAlign w:val="bottom"/>
          </w:tcPr>
          <w:p>
            <w:pPr>
              <w:ind w:left="260"/>
              <w:spacing w:after="0"/>
              <w:rPr>
                <w:sz w:val="20"/>
                <w:szCs w:val="20"/>
                <w:color w:val="auto"/>
              </w:rPr>
            </w:pPr>
            <w:r>
              <w:rPr>
                <w:rFonts w:ascii="Arial" w:cs="Arial" w:eastAsia="Arial" w:hAnsi="Arial"/>
                <w:sz w:val="16"/>
                <w:szCs w:val="16"/>
                <w:color w:val="auto"/>
              </w:rPr>
              <w:t>Issuance of common stock in satisfaction of certain accrued employee</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7100" w:type="dxa"/>
            <w:vAlign w:val="bottom"/>
          </w:tcPr>
          <w:p>
            <w:pPr>
              <w:ind w:left="380"/>
              <w:spacing w:after="0"/>
              <w:rPr>
                <w:sz w:val="20"/>
                <w:szCs w:val="20"/>
                <w:color w:val="auto"/>
              </w:rPr>
            </w:pPr>
            <w:r>
              <w:rPr>
                <w:rFonts w:ascii="Arial" w:cs="Arial" w:eastAsia="Arial" w:hAnsi="Arial"/>
                <w:sz w:val="16"/>
                <w:szCs w:val="16"/>
                <w:color w:val="auto"/>
              </w:rPr>
              <w:t>compensation liabilities</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32,129</w:t>
            </w:r>
          </w:p>
        </w:tc>
        <w:tc>
          <w:tcPr>
            <w:tcW w:w="180" w:type="dxa"/>
            <w:vAlign w:val="bottom"/>
          </w:tcPr>
          <w:p>
            <w:pPr>
              <w:spacing w:after="0"/>
              <w:rPr>
                <w:sz w:val="16"/>
                <w:szCs w:val="16"/>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16,409</w:t>
            </w:r>
          </w:p>
        </w:tc>
        <w:tc>
          <w:tcPr>
            <w:tcW w:w="100" w:type="dxa"/>
            <w:vAlign w:val="bottom"/>
          </w:tcPr>
          <w:p>
            <w:pPr>
              <w:spacing w:after="0"/>
              <w:rPr>
                <w:sz w:val="16"/>
                <w:szCs w:val="16"/>
                <w:color w:val="auto"/>
              </w:rPr>
            </w:pPr>
          </w:p>
        </w:tc>
      </w:tr>
      <w:tr>
        <w:trPr>
          <w:trHeight w:val="203"/>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expenditures not paid for</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7,637</w:t>
            </w:r>
          </w:p>
        </w:tc>
        <w:tc>
          <w:tcPr>
            <w:tcW w:w="1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(5,503)</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Viasat, Inc. Stockholders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320" w:type="dxa"/>
            <w:vAlign w:val="bottom"/>
            <w:gridSpan w:val="4"/>
          </w:tcPr>
          <w:p>
            <w:pPr>
              <w:ind w:left="8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Interest in</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Issued</w:t>
            </w: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5"/>
                <w:szCs w:val="15"/>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Subsidiaries</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20" w:type="dxa"/>
            <w:vAlign w:val="bottom"/>
            <w:tcBorders>
              <w:top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(In thousands, except share data)</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58,905,274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$ 1,535,635</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$ 285,960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10,841</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$ 1,848,007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7,100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Issuance of stock under Employee Stock</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Purchase Plan</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132,180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7,384</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7,384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21,738</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Shares and fully-vested RSUs issued in</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settlement of</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certain accrued employee</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compensation liabilities, net</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of shares withheld for taxes which have</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been retired</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438,433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27,701</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27,701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RSU awards vesting, net of shares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withheld for taxes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60"/>
              <w:spacing w:after="0" w:line="203" w:lineRule="exact"/>
              <w:rPr>
                <w:sz w:val="20"/>
                <w:szCs w:val="20"/>
                <w:color w:val="auto"/>
              </w:rPr>
            </w:pPr>
            <w:r>
              <w:rPr>
                <w:rFonts w:ascii="Arial" w:cs="Arial" w:eastAsia="Arial" w:hAnsi="Arial"/>
                <w:sz w:val="18"/>
                <w:szCs w:val="18"/>
                <w:color w:val="auto"/>
              </w:rPr>
              <w:t>which have been retired</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44,533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(1,541)</w:t>
            </w:r>
          </w:p>
        </w:tc>
        <w:tc>
          <w:tcPr>
            <w:tcW w:w="10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 adjustment upon</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adoption of new</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revenue recognition guidance (ASU</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2014-09)</w:t>
            </w:r>
          </w:p>
        </w:tc>
        <w:tc>
          <w:tcPr>
            <w:tcW w:w="12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25,881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25,881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Other noncontrolling interest activity</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(2,021)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(34,010)</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(1,487)</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(35,497)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59,527,520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$ 1,589,167</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$ 277,831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9,501</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$ 1,891,947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accompanying condensed consolidated balance sheet at June 30, 2018, the condensed consolidated statements of operations and comprehensive income (loss) for the three months ended June 30, 2018 and 2017, the condensed consolidated statements of cash flows for the three months ended June 30, 2018 and 2017 and the condensed consolidated statement of equity for the three months ended June 30, 2018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2018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2018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52"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subsidiaries, TrellisWare Technologies, Inc. (TrellisWare) and Euro Broadband Retail Sàrl (Euro Retail Co.).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9"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Effective April 1, 2018, the Company adopted Accounting Standards Update (ASU) 2014-09, Revenue from Contracts with Customers (commonly referred to as Accounting Standards Codification (ASC) 606). This update established ASC 606, Revenue from Contracts with Customers and ASC 340-40, Other Assets and Deferred Costs – Contracts with Customers.</w:t>
      </w:r>
    </w:p>
    <w:p>
      <w:pPr>
        <w:spacing w:after="0" w:line="189"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In order to assess the impact of the new accounting standards, the Company applied the new standards to all open contracts existing as of April 1, 2018. The Company elected the practical expedient to reflect the aggregate effect of all contract modifications occurring before April 1, 2018 when identifying the satisfied and unsatisfied performance obligations, determining the transaction price and allocating the transaction price to the satisfied and unsatisfied performance obligations. The aggregated effect of applying this practical expedient did not have a significant impact on the Company’s conclusions.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To reflect the adoption of the new standards, the Company elected to use the “modified retrospective method,” which resulted in the Company recording the retrospective cumulative effect to the opening balance of retained earnings. The following table presents the summary of the impact of adopting the new standards: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336"/>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 of</w:t>
            </w:r>
          </w:p>
        </w:tc>
      </w:tr>
      <w:tr>
        <w:trPr>
          <w:trHeight w:val="162"/>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336"/>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660" w:type="dxa"/>
            <w:vAlign w:val="bottom"/>
          </w:tcPr>
          <w:p>
            <w:pPr>
              <w:jc w:val="center"/>
              <w:ind w:right="176"/>
              <w:spacing w:after="0"/>
              <w:rPr>
                <w:sz w:val="20"/>
                <w:szCs w:val="20"/>
                <w:color w:val="auto"/>
              </w:rPr>
            </w:pPr>
            <w:r>
              <w:rPr>
                <w:rFonts w:ascii="Arial" w:cs="Arial" w:eastAsia="Arial" w:hAnsi="Arial"/>
                <w:sz w:val="14"/>
                <w:szCs w:val="14"/>
                <w:b w:val="1"/>
                <w:bCs w:val="1"/>
                <w:color w:val="auto"/>
              </w:rPr>
              <w:t>Adjustments Due to</w:t>
            </w:r>
          </w:p>
        </w:tc>
        <w:tc>
          <w:tcPr>
            <w:tcW w:w="42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April 1,</w:t>
            </w:r>
          </w:p>
        </w:tc>
      </w:tr>
      <w:tr>
        <w:trPr>
          <w:trHeight w:val="175"/>
        </w:trPr>
        <w:tc>
          <w:tcPr>
            <w:tcW w:w="4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ASC 606</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center"/>
              <w:ind w:right="176"/>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267,665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(5,664)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262,001</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196,307</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1,623</w:t>
            </w: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197,930</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77,135</w:t>
            </w:r>
          </w:p>
        </w:tc>
        <w:tc>
          <w:tcPr>
            <w:tcW w:w="240" w:type="dxa"/>
            <w:vAlign w:val="bottom"/>
          </w:tcPr>
          <w:p>
            <w:pPr>
              <w:spacing w:after="0"/>
              <w:rPr>
                <w:sz w:val="18"/>
                <w:szCs w:val="18"/>
                <w:color w:val="auto"/>
              </w:rPr>
            </w:pPr>
          </w:p>
        </w:tc>
        <w:tc>
          <w:tcPr>
            <w:tcW w:w="1660" w:type="dxa"/>
            <w:vAlign w:val="bottom"/>
          </w:tcPr>
          <w:p>
            <w:pPr>
              <w:jc w:val="right"/>
              <w:ind w:right="96"/>
              <w:spacing w:after="0"/>
              <w:rPr>
                <w:sz w:val="20"/>
                <w:szCs w:val="20"/>
                <w:color w:val="auto"/>
              </w:rPr>
            </w:pPr>
            <w:r>
              <w:rPr>
                <w:rFonts w:ascii="Arial" w:cs="Arial" w:eastAsia="Arial" w:hAnsi="Arial"/>
                <w:sz w:val="18"/>
                <w:szCs w:val="18"/>
                <w:color w:val="auto"/>
              </w:rPr>
              <w:t>18,098</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95,233</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686,134</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17,738</w:t>
            </w: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703,872</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Accrued liabilities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263,676</w:t>
            </w:r>
          </w:p>
        </w:tc>
        <w:tc>
          <w:tcPr>
            <w:tcW w:w="240" w:type="dxa"/>
            <w:vAlign w:val="bottom"/>
          </w:tcPr>
          <w:p>
            <w:pPr>
              <w:spacing w:after="0"/>
              <w:rPr>
                <w:sz w:val="18"/>
                <w:szCs w:val="18"/>
                <w:color w:val="auto"/>
              </w:rPr>
            </w:pPr>
          </w:p>
        </w:tc>
        <w:tc>
          <w:tcPr>
            <w:tcW w:w="1660" w:type="dxa"/>
            <w:vAlign w:val="bottom"/>
          </w:tcPr>
          <w:p>
            <w:pPr>
              <w:jc w:val="right"/>
              <w:ind w:right="96"/>
              <w:spacing w:after="0"/>
              <w:rPr>
                <w:sz w:val="20"/>
                <w:szCs w:val="20"/>
                <w:color w:val="auto"/>
              </w:rPr>
            </w:pPr>
            <w:r>
              <w:rPr>
                <w:rFonts w:ascii="Arial" w:cs="Arial" w:eastAsia="Arial" w:hAnsi="Arial"/>
                <w:sz w:val="18"/>
                <w:szCs w:val="18"/>
                <w:color w:val="auto"/>
              </w:rPr>
              <w:t>5,916</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269,592</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Retained earnings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285,960</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25,879</w:t>
            </w: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311,839</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140" w:firstLine="518"/>
        <w:spacing w:after="0" w:line="246" w:lineRule="auto"/>
        <w:rPr>
          <w:sz w:val="20"/>
          <w:szCs w:val="20"/>
          <w:color w:val="auto"/>
        </w:rPr>
      </w:pPr>
      <w:r>
        <w:rPr>
          <w:rFonts w:ascii="Arial" w:cs="Arial" w:eastAsia="Arial" w:hAnsi="Arial"/>
          <w:sz w:val="18"/>
          <w:szCs w:val="18"/>
          <w:color w:val="auto"/>
        </w:rPr>
        <w:t>The key impact of adoption is the deferral of commissions primarily in the Company’s satellite services segment, which were historically expensed as incurred as further described below.</w:t>
      </w:r>
    </w:p>
    <w:p>
      <w:pPr>
        <w:spacing w:after="0" w:line="183" w:lineRule="exact"/>
        <w:rPr>
          <w:sz w:val="20"/>
          <w:szCs w:val="20"/>
          <w:color w:val="auto"/>
        </w:rPr>
      </w:pPr>
    </w:p>
    <w:p>
      <w:pPr>
        <w:ind w:right="140" w:firstLine="518"/>
        <w:spacing w:after="0" w:line="234" w:lineRule="auto"/>
        <w:rPr>
          <w:sz w:val="20"/>
          <w:szCs w:val="20"/>
          <w:color w:val="auto"/>
        </w:rPr>
      </w:pPr>
      <w:r>
        <w:rPr>
          <w:rFonts w:ascii="Arial" w:cs="Arial" w:eastAsia="Arial" w:hAnsi="Arial"/>
          <w:sz w:val="18"/>
          <w:szCs w:val="18"/>
          <w:color w:val="auto"/>
        </w:rPr>
        <w:t>The Company applied the five-step model under ASC 606 to its contracts with its customers to determine the impact of the new standard. Under this model the Company (1) identifies the contract with the customer, (2) identifies its performance obligations in the contract,</w:t>
      </w:r>
    </w:p>
    <w:p>
      <w:pPr>
        <w:spacing w:after="0" w:line="2" w:lineRule="exact"/>
        <w:rPr>
          <w:sz w:val="20"/>
          <w:szCs w:val="20"/>
          <w:color w:val="auto"/>
        </w:rPr>
      </w:pPr>
    </w:p>
    <w:p>
      <w:pPr>
        <w:ind w:right="300" w:firstLine="8"/>
        <w:spacing w:after="0" w:line="239"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requirements to develop and deliver complex equipment built to customer specifications under long-term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connectivity services including leasing of related broadband equipment.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From a recognition perspective, the leasing of broadband equipment is evaluated in accordance with the authoritative guidance for leases (ASC 840). The Company’s accounting for equipment leases involves specific determinations under ASC 840, which may involve complex provisions and significant judgments. In accordance with ASC 840, the Company applies the following criteria to determine the nature of the lease (e.g., as an operating or sales type lease):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201"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20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When estimates of total costs to be incurred on a performance obligation exceed total estimates of revenue to be earned, a provision for the entire loss on the performance obligation is recognized in the period the loss is determined.</w:t>
      </w:r>
    </w:p>
    <w:p>
      <w:pPr>
        <w:spacing w:after="0" w:line="19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2016 through 2018. As of June 30, 2018,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2018 and March 31, 2018, the Company had $1.6 million in contract-related reserves for its estimate of potential refunds to customers for potential cost adjustments on several multi-year U.S. government cost reimbursable contracts (see Note 8).</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90"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9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satellite services segment, do not have minimum service purchase requirements and therefore are not included in the Company’s remaining performance obligations. As of June 30, 2018, the aggregate amount of the transaction price allocated to remaining performance obligations was $1.6 billion, of which the Company expects to recognize approximately 50% over the next twelve months, with the balance recognized thereafter.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three months ended June 30,</w:t>
      </w:r>
    </w:p>
    <w:p>
      <w:pPr>
        <w:spacing w:after="0"/>
        <w:rPr>
          <w:sz w:val="20"/>
          <w:szCs w:val="20"/>
          <w:color w:val="auto"/>
        </w:rPr>
      </w:pPr>
      <w:r>
        <w:rPr>
          <w:rFonts w:ascii="Arial" w:cs="Arial" w:eastAsia="Arial" w:hAnsi="Arial"/>
          <w:sz w:val="18"/>
          <w:szCs w:val="18"/>
          <w:color w:val="auto"/>
        </w:rPr>
        <w:t>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4"/>
                <w:szCs w:val="14"/>
                <w:b w:val="1"/>
                <w:bCs w:val="1"/>
                <w:color w:val="auto"/>
              </w:rPr>
              <w:t>Three Months Ended June 30, 2018</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48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right"/>
              <w:ind w:right="19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Satellite Services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right"/>
              <w:ind w:right="33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Revenues</w:t>
            </w:r>
          </w:p>
        </w:tc>
        <w:tc>
          <w:tcPr>
            <w:tcW w:w="20" w:type="dxa"/>
            <w:vAlign w:val="bottom"/>
          </w:tcPr>
          <w:p>
            <w:pPr>
              <w:spacing w:after="0"/>
              <w:rPr>
                <w:sz w:val="15"/>
                <w:szCs w:val="15"/>
                <w:color w:val="auto"/>
              </w:rPr>
            </w:pP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4"/>
          </w:tcPr>
          <w:p>
            <w:pPr>
              <w:jc w:val="right"/>
              <w:ind w:right="9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1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85,133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132,996</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218,129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153,561</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57,246</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220,740</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1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153,561</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95,066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190,242</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438,869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5"/>
        </w:trPr>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320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Revenues from the U.S. government as an individual customer comprised approximately 28% of total revenues for the three months ended June 30, 2018, mainly reported within the government systems segment. The Company’s commercial customers, mainly reported within the commercial networks and satellite services segments, comprised approximately 72% of total revenues for the three months ended June 30, 2018.</w:t>
      </w:r>
    </w:p>
    <w:p>
      <w:pPr>
        <w:spacing w:after="0" w:line="188" w:lineRule="exact"/>
        <w:rPr>
          <w:sz w:val="20"/>
          <w:szCs w:val="20"/>
          <w:color w:val="auto"/>
        </w:rPr>
      </w:pPr>
    </w:p>
    <w:p>
      <w:pPr>
        <w:ind w:right="260" w:firstLine="518"/>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IFC services and worldwide managed network services.</w:t>
      </w:r>
    </w:p>
    <w:p>
      <w:pPr>
        <w:spacing w:after="0" w:line="18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time-and-materials and cost-reimbursement contracts. Fixed-price contracts (which require the Company to provide products and services under a contract at a specified price) comprised approximately 89% of the Company’s total revenues for these segments for the three months ended June 30, 2018.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95" w:lineRule="exact"/>
        <w:rPr>
          <w:sz w:val="20"/>
          <w:szCs w:val="20"/>
          <w:color w:val="auto"/>
        </w:rPr>
      </w:pPr>
    </w:p>
    <w:p>
      <w:pPr>
        <w:ind w:right="320" w:firstLine="518"/>
        <w:spacing w:after="0" w:line="238"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18% of its total revenues in the three months ended June 30, 2018.</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months ended June 30, 2018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2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5"/>
                <w:szCs w:val="15"/>
                <w:color w:val="auto"/>
              </w:rPr>
            </w:pPr>
          </w:p>
        </w:tc>
      </w:tr>
      <w:tr>
        <w:trPr>
          <w:trHeight w:val="169"/>
        </w:trPr>
        <w:tc>
          <w:tcPr>
            <w:tcW w:w="5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3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378,172</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 U.S. customers</w:t>
            </w:r>
          </w:p>
        </w:tc>
        <w:tc>
          <w:tcPr>
            <w:tcW w:w="36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60,697</w:t>
            </w:r>
          </w:p>
        </w:tc>
        <w:tc>
          <w:tcPr>
            <w:tcW w:w="100" w:type="dxa"/>
            <w:vAlign w:val="bottom"/>
            <w:tcBorders>
              <w:bottom w:val="single" w:sz="8" w:color="CFF0FC"/>
            </w:tcBorders>
          </w:tcPr>
          <w:p>
            <w:pPr>
              <w:spacing w:after="0"/>
              <w:rPr>
                <w:sz w:val="18"/>
                <w:szCs w:val="18"/>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438,869</w:t>
            </w:r>
          </w:p>
        </w:tc>
        <w:tc>
          <w:tcPr>
            <w:tcW w:w="100" w:type="dxa"/>
            <w:vAlign w:val="bottom"/>
            <w:shd w:val="clear" w:color="auto" w:fill="CFF0FC"/>
          </w:tcPr>
          <w:p>
            <w:pPr>
              <w:spacing w:after="0"/>
              <w:rPr>
                <w:sz w:val="18"/>
                <w:szCs w:val="18"/>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36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Contract balances consist of contract asset and contract liability.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 or delivered products are billed. The Company receives payments from customers based on a billing schedule established in the Company’s contracts.</w:t>
      </w:r>
    </w:p>
    <w:p>
      <w:pPr>
        <w:spacing w:after="0" w:line="189"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June 30, 2018 and April 1,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320"/>
              <w:spacing w:after="0"/>
              <w:rPr>
                <w:sz w:val="20"/>
                <w:szCs w:val="20"/>
                <w:color w:val="auto"/>
              </w:rPr>
            </w:pPr>
            <w:r>
              <w:rPr>
                <w:rFonts w:ascii="Arial" w:cs="Arial" w:eastAsia="Arial" w:hAnsi="Arial"/>
                <w:sz w:val="14"/>
                <w:szCs w:val="14"/>
                <w:b w:val="1"/>
                <w:bCs w:val="1"/>
                <w:color w:val="auto"/>
              </w:rPr>
              <w:t>As of</w:t>
            </w:r>
          </w:p>
        </w:tc>
        <w:tc>
          <w:tcPr>
            <w:tcW w:w="54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30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April 1,</w:t>
            </w:r>
          </w:p>
        </w:tc>
        <w:tc>
          <w:tcPr>
            <w:tcW w:w="20" w:type="dxa"/>
            <w:vAlign w:val="bottom"/>
          </w:tcPr>
          <w:p>
            <w:pPr>
              <w:spacing w:after="0"/>
              <w:rPr>
                <w:sz w:val="14"/>
                <w:szCs w:val="14"/>
                <w:color w:val="auto"/>
              </w:rPr>
            </w:pPr>
          </w:p>
        </w:tc>
      </w:tr>
      <w:tr>
        <w:trPr>
          <w:trHeight w:val="175"/>
        </w:trPr>
        <w:tc>
          <w:tcPr>
            <w:tcW w:w="50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50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3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80,852</w:t>
            </w:r>
          </w:p>
        </w:tc>
        <w:tc>
          <w:tcPr>
            <w:tcW w:w="5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79,492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115,579</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127,355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2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81,573</w:t>
            </w: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77,831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5080" w:type="dxa"/>
            <w:vAlign w:val="bottom"/>
          </w:tcPr>
          <w:p>
            <w:pPr>
              <w:spacing w:after="0"/>
              <w:rPr>
                <w:sz w:val="24"/>
                <w:szCs w:val="24"/>
                <w:color w:val="auto"/>
              </w:rPr>
            </w:pPr>
          </w:p>
        </w:tc>
        <w:tc>
          <w:tcPr>
            <w:tcW w:w="2880" w:type="dxa"/>
            <w:vAlign w:val="bottom"/>
          </w:tcPr>
          <w:p>
            <w:pPr>
              <w:jc w:val="right"/>
              <w:ind w:right="205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508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3" w:lineRule="exact"/>
        <w:rPr>
          <w:sz w:val="20"/>
          <w:szCs w:val="20"/>
          <w:color w:val="auto"/>
        </w:rPr>
      </w:pPr>
    </w:p>
    <w:p>
      <w:pPr>
        <w:ind w:right="160" w:firstLine="518"/>
        <w:spacing w:after="0" w:line="246" w:lineRule="auto"/>
        <w:rPr>
          <w:sz w:val="20"/>
          <w:szCs w:val="20"/>
          <w:color w:val="auto"/>
        </w:rPr>
      </w:pPr>
      <w:r>
        <w:rPr>
          <w:rFonts w:ascii="Arial" w:cs="Arial" w:eastAsia="Arial" w:hAnsi="Arial"/>
          <w:sz w:val="18"/>
          <w:szCs w:val="18"/>
          <w:color w:val="auto"/>
        </w:rPr>
        <w:t>In the first quarter of fiscal year 2019, the Company recognized revenue of $50.6 million related to the Company’s collections in excess of revenues and deferred revenues at April 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and deferred costs – contracts with customers</w:t>
      </w:r>
    </w:p>
    <w:p>
      <w:pPr>
        <w:spacing w:after="0" w:line="95"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adoption of ASU 2014-09 also included the establishment of ASC 340-40, Other Assets and Deferred Costs – Contracts with Customers. The new standard requires the recognition of an asset from the incremental costs of obtaining a contract with a customer, if the Company expects to recover those costs. The incremental costs of obtaining a contract are those costs that the Company incurs to obtain a contract with a customer that it would not have incurred if the contract had not been obtained. ASC 340-40 also requires the recognition of an asset from the costs incurred to fulfill a contract when (1) the costs relate directly to a contract or to an anticipated contract that the Company can specifically identify, (2) the costs generate or enhance resources of the Company that will be used in satisfying (or in continuing to satisfy) performance obligations in the future, and (3) the costs are expected to be recovered. Adoption of the standard has resulted in the recognition of an asset related to commission costs incurred primarily in the Company’s satellite services segment, and recognition of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the Company elected the practical expedient and expenses incremental costs immediately. The Company’s deferred customer contract acquisition costs and costs to fulfill contract balances were $44.2 million and $ 5.6 million as of June 30, 2018, respectively. Of the Company’s total deferred customer contract acquisition costs and costs to fulfill contracts, $17.6 million was included in prepaid expenses and other current assets and $32.2 million was included in other assets on the Company’s condensed consolidated balance sheet as of June 30, 2018. For the three months ended June 30, 2018, the Company amortized $4.4 million in total deferred customer contract acquisition costs and contract fulfillment costs.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Comparative results</w:t>
      </w:r>
    </w:p>
    <w:p>
      <w:pPr>
        <w:spacing w:after="0" w:line="95"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The Company adopted ASC 606 as of April 1, 2018 using the “modified retrospective method” under which the Company is required to provide additional disclosures comparing results to previous accounting standards. Accordingly, the following table presents the Company’s reported results under ASC 606 and the Company’s pro forma results using the historical accounting method under ASC 605 for the three months ended June 30, 2018 and as of June 30, 2018:</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 w:right="1580" w:hanging="149"/>
        <w:spacing w:after="0" w:line="255" w:lineRule="auto"/>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 from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Viasat,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Basic net loss per share attributable to Viasat, Inc.</w:t>
      </w:r>
    </w:p>
    <w:p>
      <w:pPr>
        <w:ind w:left="160"/>
        <w:spacing w:after="0"/>
        <w:rPr>
          <w:sz w:val="20"/>
          <w:szCs w:val="20"/>
          <w:color w:val="auto"/>
        </w:rPr>
      </w:pPr>
      <w:r>
        <w:rPr>
          <w:rFonts w:ascii="Arial" w:cs="Arial" w:eastAsia="Arial" w:hAnsi="Arial"/>
          <w:sz w:val="18"/>
          <w:szCs w:val="18"/>
          <w:color w:val="auto"/>
        </w:rPr>
        <w:t>common stockholders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Diluted net loss per share attributable to Viasat, Inc.</w:t>
      </w:r>
    </w:p>
    <w:p>
      <w:pPr>
        <w:ind w:left="160"/>
        <w:spacing w:after="0"/>
        <w:rPr>
          <w:sz w:val="20"/>
          <w:szCs w:val="20"/>
          <w:color w:val="auto"/>
        </w:rPr>
      </w:pPr>
      <w:r>
        <w:rPr>
          <w:rFonts w:ascii="Arial" w:cs="Arial" w:eastAsia="Arial" w:hAnsi="Arial"/>
          <w:sz w:val="18"/>
          <w:szCs w:val="18"/>
          <w:color w:val="auto"/>
        </w:rPr>
        <w:t>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Retained earnings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Three Months Ended June 30, 2018</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14"/>
              <w:spacing w:after="0" w:line="156" w:lineRule="exact"/>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3"/>
                <w:szCs w:val="13"/>
                <w:color w:val="auto"/>
              </w:rPr>
            </w:pPr>
          </w:p>
        </w:tc>
      </w:tr>
      <w:tr>
        <w:trPr>
          <w:trHeight w:val="162"/>
        </w:trPr>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233"/>
              <w:spacing w:after="0"/>
              <w:rPr>
                <w:sz w:val="20"/>
                <w:szCs w:val="20"/>
                <w:color w:val="auto"/>
              </w:rPr>
            </w:pPr>
            <w:r>
              <w:rPr>
                <w:rFonts w:ascii="Arial" w:cs="Arial" w:eastAsia="Arial" w:hAnsi="Arial"/>
                <w:sz w:val="14"/>
                <w:szCs w:val="14"/>
                <w:b w:val="1"/>
                <w:bCs w:val="1"/>
                <w:color w:val="auto"/>
              </w:rPr>
              <w:t>Impact of ASC</w:t>
            </w:r>
          </w:p>
        </w:tc>
        <w:tc>
          <w:tcPr>
            <w:tcW w:w="2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Accounting</w:t>
            </w:r>
          </w:p>
        </w:tc>
      </w:tr>
      <w:tr>
        <w:trPr>
          <w:trHeight w:val="175"/>
        </w:trPr>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rPr>
              <w:t>606</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Method</w:t>
            </w:r>
          </w:p>
        </w:tc>
        <w:tc>
          <w:tcPr>
            <w:tcW w:w="60" w:type="dxa"/>
            <w:vAlign w:val="bottom"/>
          </w:tcPr>
          <w:p>
            <w:pPr>
              <w:spacing w:after="0"/>
              <w:rPr>
                <w:sz w:val="15"/>
                <w:szCs w:val="15"/>
                <w:color w:val="auto"/>
              </w:rPr>
            </w:pPr>
          </w:p>
        </w:tc>
      </w:tr>
      <w:tr>
        <w:trPr>
          <w:trHeight w:val="184"/>
        </w:trPr>
        <w:tc>
          <w:tcPr>
            <w:tcW w:w="180" w:type="dxa"/>
            <w:vAlign w:val="bottom"/>
          </w:tcPr>
          <w:p>
            <w:pPr>
              <w:spacing w:after="0"/>
              <w:rPr>
                <w:sz w:val="16"/>
                <w:szCs w:val="16"/>
                <w:color w:val="auto"/>
              </w:rPr>
            </w:pPr>
          </w:p>
        </w:tc>
        <w:tc>
          <w:tcPr>
            <w:tcW w:w="4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632"/>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218,129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579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218,708</w:t>
            </w:r>
          </w:p>
        </w:tc>
        <w:tc>
          <w:tcPr>
            <w:tcW w:w="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220,740</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219,674</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438,869</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(487)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438,382</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173,448</w:t>
            </w:r>
          </w:p>
        </w:tc>
        <w:tc>
          <w:tcPr>
            <w:tcW w:w="24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173,697</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171,432</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171,311</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112,642</w:t>
            </w:r>
          </w:p>
        </w:tc>
        <w:tc>
          <w:tcPr>
            <w:tcW w:w="24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2,338</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114,980</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33,373</w:t>
            </w:r>
          </w:p>
        </w:tc>
        <w:tc>
          <w:tcPr>
            <w:tcW w:w="24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2,745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36,118</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(54,479)</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(5,698)</w:t>
            </w: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(60,177)</w:t>
            </w:r>
          </w:p>
        </w:tc>
      </w:tr>
      <w:tr>
        <w:trPr>
          <w:trHeight w:val="216"/>
        </w:trPr>
        <w:tc>
          <w:tcPr>
            <w:tcW w:w="18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(11,324)</w:t>
            </w:r>
          </w:p>
        </w:tc>
        <w:tc>
          <w:tcPr>
            <w:tcW w:w="24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(10,332)</w:t>
            </w:r>
          </w:p>
        </w:tc>
      </w:tr>
      <w:tr>
        <w:trPr>
          <w:trHeight w:val="216"/>
        </w:trPr>
        <w:tc>
          <w:tcPr>
            <w:tcW w:w="18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(65,767)</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(4,706)</w:t>
            </w: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(70,473)</w:t>
            </w:r>
          </w:p>
        </w:tc>
      </w:tr>
      <w:tr>
        <w:trPr>
          <w:trHeight w:val="216"/>
        </w:trPr>
        <w:tc>
          <w:tcPr>
            <w:tcW w:w="18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29,205</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29,020</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(35,497)</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(4,891)</w:t>
            </w: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(40,388)</w:t>
            </w:r>
          </w:p>
        </w:tc>
      </w:tr>
      <w:tr>
        <w:trPr>
          <w:trHeight w:val="217"/>
        </w:trPr>
        <w:tc>
          <w:tcPr>
            <w:tcW w:w="18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(34,010)</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(4,891)</w:t>
            </w: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(38,901)</w:t>
            </w:r>
          </w:p>
        </w:tc>
      </w:tr>
      <w:tr>
        <w:trPr>
          <w:trHeight w:val="635"/>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(0.66)</w:t>
            </w:r>
          </w:p>
        </w:tc>
      </w:tr>
      <w:tr>
        <w:trPr>
          <w:trHeight w:val="41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(0.66)</w:t>
            </w:r>
          </w:p>
        </w:tc>
      </w:tr>
      <w:tr>
        <w:trPr>
          <w:trHeight w:val="419"/>
        </w:trPr>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2018</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Historical</w:t>
            </w:r>
          </w:p>
        </w:tc>
      </w:tr>
      <w:tr>
        <w:trPr>
          <w:trHeight w:val="162"/>
        </w:trPr>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233"/>
              <w:spacing w:after="0"/>
              <w:rPr>
                <w:sz w:val="20"/>
                <w:szCs w:val="20"/>
                <w:color w:val="auto"/>
              </w:rPr>
            </w:pPr>
            <w:r>
              <w:rPr>
                <w:rFonts w:ascii="Arial" w:cs="Arial" w:eastAsia="Arial" w:hAnsi="Arial"/>
                <w:sz w:val="14"/>
                <w:szCs w:val="14"/>
                <w:b w:val="1"/>
                <w:bCs w:val="1"/>
                <w:color w:val="auto"/>
              </w:rPr>
              <w:t>Impact of ASC</w:t>
            </w:r>
          </w:p>
        </w:tc>
        <w:tc>
          <w:tcPr>
            <w:tcW w:w="2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Accounting</w:t>
            </w:r>
          </w:p>
        </w:tc>
      </w:tr>
      <w:tr>
        <w:trPr>
          <w:trHeight w:val="175"/>
        </w:trPr>
        <w:tc>
          <w:tcPr>
            <w:tcW w:w="180" w:type="dxa"/>
            <w:vAlign w:val="bottom"/>
          </w:tcPr>
          <w:p>
            <w:pPr>
              <w:spacing w:after="0"/>
              <w:rPr>
                <w:sz w:val="15"/>
                <w:szCs w:val="15"/>
                <w:color w:val="auto"/>
              </w:rPr>
            </w:pPr>
          </w:p>
        </w:tc>
        <w:tc>
          <w:tcPr>
            <w:tcW w:w="1340" w:type="dxa"/>
            <w:vAlign w:val="bottom"/>
          </w:tcPr>
          <w:p>
            <w:pPr>
              <w:jc w:val="right"/>
              <w:ind w:right="332"/>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5"/>
                <w:szCs w:val="15"/>
                <w:color w:val="auto"/>
              </w:rPr>
            </w:pPr>
          </w:p>
        </w:tc>
        <w:tc>
          <w:tcPr>
            <w:tcW w:w="1380" w:type="dxa"/>
            <w:vAlign w:val="bottom"/>
          </w:tcPr>
          <w:p>
            <w:pPr>
              <w:jc w:val="center"/>
              <w:ind w:right="253"/>
              <w:spacing w:after="0"/>
              <w:rPr>
                <w:sz w:val="20"/>
                <w:szCs w:val="20"/>
                <w:color w:val="auto"/>
              </w:rPr>
            </w:pPr>
            <w:r>
              <w:rPr>
                <w:rFonts w:ascii="Arial" w:cs="Arial" w:eastAsia="Arial" w:hAnsi="Arial"/>
                <w:sz w:val="14"/>
                <w:szCs w:val="14"/>
                <w:b w:val="1"/>
                <w:bCs w:val="1"/>
                <w:color w:val="auto"/>
              </w:rPr>
              <w:t>606</w:t>
            </w:r>
          </w:p>
        </w:tc>
        <w:tc>
          <w:tcPr>
            <w:tcW w:w="28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Method</w:t>
            </w:r>
          </w:p>
        </w:tc>
      </w:tr>
      <w:tr>
        <w:trPr>
          <w:trHeight w:val="225"/>
        </w:trPr>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236,085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5,729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241,814</w:t>
            </w:r>
          </w:p>
        </w:tc>
        <w:tc>
          <w:tcPr>
            <w:tcW w:w="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220,018</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(2,275)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217,743</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102,977</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(19,085)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83,892</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742,158</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(21,495)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720,663</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252,312</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(6,356)</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245,956</w:t>
            </w:r>
          </w:p>
        </w:tc>
        <w:tc>
          <w:tcPr>
            <w:tcW w:w="60" w:type="dxa"/>
            <w:vAlign w:val="bottom"/>
          </w:tcPr>
          <w:p>
            <w:pPr>
              <w:spacing w:after="0"/>
              <w:rPr>
                <w:sz w:val="18"/>
                <w:szCs w:val="18"/>
                <w:color w:val="auto"/>
              </w:rPr>
            </w:pPr>
          </w:p>
        </w:tc>
      </w:tr>
      <w:tr>
        <w:trPr>
          <w:trHeight w:val="217"/>
        </w:trPr>
        <w:tc>
          <w:tcPr>
            <w:tcW w:w="18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277,831</w:t>
            </w:r>
          </w:p>
        </w:tc>
        <w:tc>
          <w:tcPr>
            <w:tcW w:w="24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(30,770)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247,061</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-4432935</wp:posOffset>
            </wp:positionV>
            <wp:extent cx="7246620" cy="266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-4029710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-3755390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-3481070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-3206750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-2932430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-2658110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-2383155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-1980565</wp:posOffset>
            </wp:positionV>
            <wp:extent cx="7246620"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-968375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-694055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-419735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-145415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6000" w:space="720"/>
            <w:col w:w="4660"/>
          </w:cols>
          <w:pgMar w:left="240" w:top="121" w:right="279" w:bottom="1440" w:gutter="0" w:footer="0" w:header="0"/>
          <w:type w:val="continuous"/>
        </w:sectPr>
      </w:pPr>
    </w:p>
    <w:p>
      <w:pPr>
        <w:ind w:right="240" w:firstLine="518"/>
        <w:spacing w:after="0"/>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(SG&amp;A) expenses. Advertising expenses for the three months ended June 30, 2018 and 2017 were $6.6 million and $1.2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jc w:val="both"/>
        <w:ind w:right="500" w:firstLine="518"/>
        <w:spacing w:after="0"/>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Costs related to internally developed software for internal uses are capitalized after the preliminary project stage is complete and are amortized over the estimated useful lives of the assets.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24 years. Leasehold improvements are capitalized and amortized using the straight-line method over the shorter of the lease term or the life of the improvement.</w:t>
      </w:r>
    </w:p>
    <w:p>
      <w:pPr>
        <w:spacing w:after="0" w:line="148"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ViaSat-3 class satellites, gateway and networking equipment and other assets under construction, the Company capitalized $6.2 million of interest expense for the three months ended June 30, 2018. With respect to the ViaSat-2 satellite, ViaSat-3 class satellites, gateway and networking equipment and other assets under construction, the Company capitalized $14.6 million of interest expense for the three months ended June 30, 2017.</w:t>
      </w:r>
    </w:p>
    <w:p>
      <w:pPr>
        <w:spacing w:after="0" w:line="14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 owns three satellites in service: ViaSat-2 (its second-generation high-capacity Ka-band spot-beam satellite, which was placed into service in the fourth quarter of fiscal year 2018), ViaSat-1 (its first-generation high-capacity Ka-band spot-beam satellite, which was placed into service in January 2012) and WildBlue-1 (which was placed into service in March 2007). The Company currently has two third-generation ViaSat-3 class satellites under construction.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June 30, 2018 were $310.5 million and $130.1 million, respectively. The total cost and accumulated depreciation of CPE units included in property and equipment, net, as of March 31, 2018 were $298.7 million and $129.0 million, respectively.</w:t>
      </w:r>
    </w:p>
    <w:p>
      <w:pPr>
        <w:spacing w:after="0" w:line="150"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w:t>
      </w:r>
    </w:p>
    <w:p>
      <w:pPr>
        <w:spacing w:after="0" w:line="234" w:lineRule="auto"/>
        <w:rPr>
          <w:sz w:val="20"/>
          <w:szCs w:val="20"/>
          <w:color w:val="auto"/>
        </w:rPr>
      </w:pPr>
      <w:r>
        <w:rPr>
          <w:rFonts w:ascii="Arial" w:cs="Arial" w:eastAsia="Arial" w:hAnsi="Arial"/>
          <w:sz w:val="18"/>
          <w:szCs w:val="18"/>
          <w:color w:val="auto"/>
        </w:rPr>
        <w:t>that have finite lives is provided for by the straight-line method over the shorter of the legal or estimated economic life. Total capitalized costs of</w:t>
      </w:r>
    </w:p>
    <w:p>
      <w:pPr>
        <w:spacing w:after="0" w:line="235" w:lineRule="auto"/>
        <w:rPr>
          <w:sz w:val="20"/>
          <w:szCs w:val="20"/>
          <w:color w:val="auto"/>
        </w:rPr>
      </w:pPr>
      <w:r>
        <w:rPr>
          <w:rFonts w:ascii="Arial" w:cs="Arial" w:eastAsia="Arial" w:hAnsi="Arial"/>
          <w:sz w:val="18"/>
          <w:szCs w:val="18"/>
          <w:color w:val="auto"/>
        </w:rPr>
        <w:t>$3.2 million related to patents were included in other assets as of June 30, 2018 and March 31, 2018. The Company capitalized costs of</w:t>
      </w:r>
    </w:p>
    <w:p>
      <w:pPr>
        <w:spacing w:after="0" w:line="235" w:lineRule="auto"/>
        <w:rPr>
          <w:sz w:val="20"/>
          <w:szCs w:val="20"/>
          <w:color w:val="auto"/>
        </w:rPr>
      </w:pPr>
      <w:r>
        <w:rPr>
          <w:rFonts w:ascii="Arial" w:cs="Arial" w:eastAsia="Arial" w:hAnsi="Arial"/>
          <w:sz w:val="18"/>
          <w:szCs w:val="18"/>
          <w:color w:val="auto"/>
        </w:rPr>
        <w:t>$16.4 million and $15.4 million related to acquiring and obtaining orbital slots and other licenses included in other assets as of June 30, 2018</w:t>
      </w:r>
    </w:p>
    <w:p>
      <w:pPr>
        <w:spacing w:after="0" w:line="235" w:lineRule="auto"/>
        <w:rPr>
          <w:sz w:val="20"/>
          <w:szCs w:val="20"/>
          <w:color w:val="auto"/>
        </w:rPr>
      </w:pPr>
      <w:r>
        <w:rPr>
          <w:rFonts w:ascii="Arial" w:cs="Arial" w:eastAsia="Arial" w:hAnsi="Arial"/>
          <w:sz w:val="18"/>
          <w:szCs w:val="18"/>
          <w:color w:val="auto"/>
        </w:rPr>
        <w:t>and March 31, 2018, respectively. Accumulated amortization related to these assets was $2.6 million and $2.5 million as of June 30, 2018 and</w:t>
      </w:r>
    </w:p>
    <w:p>
      <w:pPr>
        <w:spacing w:after="0" w:line="235" w:lineRule="auto"/>
        <w:rPr>
          <w:sz w:val="20"/>
          <w:szCs w:val="20"/>
          <w:color w:val="auto"/>
        </w:rPr>
      </w:pPr>
      <w:r>
        <w:rPr>
          <w:rFonts w:ascii="Arial" w:cs="Arial" w:eastAsia="Arial" w:hAnsi="Arial"/>
          <w:sz w:val="18"/>
          <w:szCs w:val="18"/>
          <w:color w:val="auto"/>
        </w:rPr>
        <w:t>March 31, 2018, respectively. Amortization expense related to these assets was an insignificant amount for the three months ended June 30,</w:t>
      </w:r>
    </w:p>
    <w:p>
      <w:pPr>
        <w:spacing w:after="0" w:line="235" w:lineRule="auto"/>
        <w:rPr>
          <w:sz w:val="20"/>
          <w:szCs w:val="20"/>
          <w:color w:val="auto"/>
        </w:rPr>
      </w:pPr>
      <w:r>
        <w:rPr>
          <w:rFonts w:ascii="Arial" w:cs="Arial" w:eastAsia="Arial" w:hAnsi="Arial"/>
          <w:sz w:val="18"/>
          <w:szCs w:val="18"/>
          <w:color w:val="auto"/>
        </w:rPr>
        <w:t>2018 and 2017. If a patent, orbital slot or orbital license is rejected, abandoned or otherwise invalidated, the unamortized cost is expensed in</w:t>
      </w:r>
    </w:p>
    <w:p>
      <w:pPr>
        <w:spacing w:after="0" w:line="235" w:lineRule="auto"/>
        <w:rPr>
          <w:sz w:val="20"/>
          <w:szCs w:val="20"/>
          <w:color w:val="auto"/>
        </w:rPr>
      </w:pPr>
      <w:r>
        <w:rPr>
          <w:rFonts w:ascii="Arial" w:cs="Arial" w:eastAsia="Arial" w:hAnsi="Arial"/>
          <w:sz w:val="18"/>
          <w:szCs w:val="18"/>
          <w:color w:val="auto"/>
        </w:rPr>
        <w:t>that period. During the three months ended June 30, 2018 and 2017, the Company did not write off any significant costs due to abandonment</w:t>
      </w:r>
    </w:p>
    <w:p>
      <w:pPr>
        <w:spacing w:after="0"/>
        <w:rPr>
          <w:sz w:val="20"/>
          <w:szCs w:val="20"/>
          <w:color w:val="auto"/>
        </w:rPr>
      </w:pPr>
      <w:r>
        <w:rPr>
          <w:rFonts w:ascii="Arial" w:cs="Arial" w:eastAsia="Arial" w:hAnsi="Arial"/>
          <w:sz w:val="18"/>
          <w:szCs w:val="18"/>
          <w:color w:val="auto"/>
        </w:rPr>
        <w:t>or impairment.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June 30, 2018 and 2017, no debt issuance costs were capitalized.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and the Company’s direct loan facility with the Export-Import Bank of the United States for ViaSat-2 (the Ex-Im Credit Facility) are recorded as a direct deduction from the carrying amount of the related debt, consistent with debt discounts, in accordance with the authoritative guidance for imputation of interest (ASC 835-30).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$246.8 million related to software developed for resale were included in other assets as of June 30, 2018 and March 31, 2018. The Company capitalized $11.4 million and $17.8 million of costs related to software developed for resale for the three months ended June 30, 2018 and 2017, respectively. Amortization expense for capitalized software development costs was $11.4 million and $9.7 million for the three months ended June 30, 2018 and 2017,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$4.6 million and $4.5 million in accrued liabilities in the condensed consolidated balance sheets as of June 30, 2018 and March 31, 2018,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30, 2018 and March 31, 2018, no such amounts were accrued related to the aforementioned provisions.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9"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2018 and March 31, 2018, the Company had no shares of common stock held in treasury.</w:t>
      </w:r>
    </w:p>
    <w:p>
      <w:pPr>
        <w:spacing w:after="0" w:line="15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During the three months ended June 30, 2018 and 2017, the Company issued 270,785 and 72,811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June 30, 2018 and 2017, the Company repurchased 94,200 and 27,514 shares of common stock, respectively, at cost and with a total value of $6.0 million and $1.9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9"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51"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During the three months ended June 30, 2018 and 2017, the Company settled certain foreign exchange contracts and in connection therewith for each period recognized an insignificant gain or loss recorded in cost of revenues based on the nature of the underlying transactions. The fair value of the Company’s foreign currency forward contracts was an insignificant amount recorded as an accrued liability as of June 30, 2018 and an other current asset as of March 31, 2018. The notional value of foreign currency forward contracts outstanding was $6.5 million as of June 30, 2018 and an insignificant amount as of March 31, 2018.</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520" w:firstLine="518"/>
        <w:spacing w:after="0" w:line="239" w:lineRule="auto"/>
        <w:rPr>
          <w:sz w:val="20"/>
          <w:szCs w:val="20"/>
          <w:color w:val="auto"/>
        </w:rPr>
      </w:pPr>
      <w:r>
        <w:rPr>
          <w:rFonts w:ascii="Arial" w:cs="Arial" w:eastAsia="Arial" w:hAnsi="Arial"/>
          <w:sz w:val="18"/>
          <w:szCs w:val="18"/>
          <w:color w:val="auto"/>
        </w:rPr>
        <w:t>As of June 30, 2018, the estimated net amount of unrealized gains or losses related to foreign currency forward contracts that was expected to be reclassified to earnings within the next 12 months was insignificant. The Company’s foreign currency forward contracts outstanding as of June 30, 2018 will mature within approximately 21 months from their inception. There were no gains or losses from ineffectiveness of these derivative instruments recorded for the three months ended June 30, 2018 and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9"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w:t>
      </w:r>
    </w:p>
    <w:p>
      <w:pPr>
        <w:spacing w:after="0" w:line="1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forfeitures as they occur. The Company recognized $19.1 million and $15.5 million of stock-based compensation expense for the three months ended June 30, 2018 and 2017,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right="240" w:firstLine="518"/>
        <w:spacing w:after="0"/>
        <w:rPr>
          <w:sz w:val="20"/>
          <w:szCs w:val="20"/>
          <w:color w:val="auto"/>
        </w:rPr>
      </w:pPr>
      <w:r>
        <w:rPr>
          <w:rFonts w:ascii="Arial" w:cs="Arial" w:eastAsia="Arial" w:hAnsi="Arial"/>
          <w:sz w:val="18"/>
          <w:szCs w:val="18"/>
          <w:color w:val="auto"/>
        </w:rPr>
        <w:t>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for the year-to-date period.</w:t>
      </w:r>
    </w:p>
    <w:p>
      <w:pPr>
        <w:spacing w:after="0" w:line="149"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 xml:space="preserve">In May 2014, the Financial Accounting Standards Board (FASB) issued ASU 2014-09, Revenue from Contracts with Customers. ASU 2014-09 requires an entity to recognize the amount of revenue to which it expects to be entitled for the transfer of promised goods or services to a customer. This guidance replaced most existing revenue recognition guidance and became effective for the Company beginning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In March 2016, the FASB issued ASU 2016-08, Principal versus Agent Considerations (Reporting Revenue Gross versus Net), which clarifies the implementation guidance 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In December 2016, the FASB issued ASU 2016-20, Technical Corrections and Improvements to ASC 606, Revenue from Contracts with Customers, which provides for correction or improvement to the guidance previously issued in ASU 2014-09. These standards permit the use of either the retrospective or cumulative effect transition method. The Company adopted this standard effective as of April 1, 2018 utilizing the “modified retrospective method.” For additional information see Note 1 –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(ASC 825-10). ASU 2016-01 requires that most equity investments (except those accounted for under the equity method for accounting or those that result in consolidation of the investee) be measured at fair value, with subsequent changes in fair value recognized in net income (loss). The new guidance also impacts financial liabilities under the fair value option and the presentation and disclosure requirements for financial instruments. The new guidance was required to be applied by means of a cumulative-effect adjustment to the balance sheet as of the beginning of the fiscal year of adoption. ASU 2016-01 became effective for the Company in fiscal year 2019. The Company adopted this guidance beginning in the first quarter of fiscal year 2019 on a modified retrospective basis and the guidance did not have a material impact on the Company’s consolidated financial statements and disclosures.</w:t>
      </w:r>
    </w:p>
    <w:p>
      <w:pPr>
        <w:spacing w:after="0" w:line="15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February 2016, the FASB issued ASU 2016-02, Leases (ASC 842). ASU 2016-02 requires lessees to recognize most leases on their balance sheets as lease liabilities with corresponding right-of-use assets and eliminates certain real estate-specific provisions. In January 2018, the FASB issued ASU 2018-01, Leases (ASC 842). ASU 2018-01 permits an entity to elect an optional transition practical expedient to not evaluate land easements that exist or expired before the entity’s adoption of ASC 842 and that were not previously accounted for as leases under ASC 840. The new guidance will become effective for the Company beginning in the first quarter of fiscal year 2020, with early adoption permitted. ASU 2016-02 will be adopted on a modified retrospective transition basis for leases existing at, or entered into after, the beginning of the earliest comparative period presented in the financial statements. The Company is currently evaluating the impact of this standard on its consolidated financial statements and disclosures.</w:t>
      </w:r>
    </w:p>
    <w:p>
      <w:pPr>
        <w:spacing w:after="0" w:line="154"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June 2016, the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49"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In August 2016, the FASB issued ASU 2016-15, Statement of Cash Flows (ASC 230). ASU 2016-15 makes eight targeted changes to how companies present and classify certain cash receipts and cash payments in the statement of cash flows. The new standard became effective for the Company beginning in fiscal year 2019, with early adoption permitted. The new standard required adoption on a retrospective basis unless impracticable to apply, in which case the Company would have been required to apply the amendments prospectively as of the earliest date practicable. The Company early adopted the guidance on a retrospective basis in the second quarter of fiscal year 2018 and as a result cash payments for debt prepayment and extinguishment were classified as cash outflows for financing activities in fiscal year 2018. Otherwise the adoption of this guidance did not have a material impact on the Company’s consolidated financial statements and disclosures.</w:t>
      </w:r>
    </w:p>
    <w:p>
      <w:pPr>
        <w:spacing w:after="0" w:line="149"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October 2016, the FASB issued ASU 2016-16, Income Taxes (ASC 740). ASU 2016-16 requires that an entity should recognize the income tax consequences of an intra-entity transfer of an asset other than inventory when the transfer occurs as opposed to when the asset has been sold to an outside party. The new standard became effective for the Company beginning in the first quarter of fiscal year 2019. The new standard requires adoption on a modified retrospective basis through a cumulative-effect adjustment directly to retained earnings as of the beginning of the period. The Company adopted this guidance beginning in the first quarter of fiscal year 2019 on a modified retrospective basis and the guidance did not have a material impact on the Company’s consolidated financial statements and disclosures.</w:t>
      </w:r>
    </w:p>
    <w:p>
      <w:pPr>
        <w:spacing w:after="0" w:line="151"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In January 2017, the FASB issued ASU 2017-01, Business Combinations: Clarifying the Definition of a Business (ASC 805).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new standard became effective for the Company beginning in the first quarter of fiscal year 2019. The Company adopted this guidance beginning in the first quarter of fiscal year 2019 on a prospective basis and the guidance did not have a material impact on the Company’s consolidated financial statements and disclosures.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In January 2017, the FASB issued ASU 2017-04, Intangibles — Goodwill and Other: Simplifying the Test for Goodwill Impairment (ASC 350). ASU 2017-04 removes Step 2 from the goodwill impairment test. The standard will become effective for the Company beginning in fiscal year 2021, with early adoption permitted. The Company is currently evaluating the impact of this standard on its consolidated financial statements and disclosures.</w:t>
      </w:r>
    </w:p>
    <w:p>
      <w:pPr>
        <w:spacing w:after="0" w:line="148"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February 2017, the FASB issued ASU 2017-05, Other Income — Gains and Losses from the Derecognition of Nonfinancial Assets (ASC 610-20): Clarifying the Scope of Asset Derecognition Guidance and Accounting for Partial Sales of Nonfinancial Assets. ASU 2017-05 clarifies the scope and accounting of a financial asset that meets the definition of an “in-substance nonfinancial asset” and defines the term “in-substance nonfinancial asset.” ASU 2017-05 also adds guidance for partial sales of nonfinancial assets. The standard became effective for the Company beginning in the first quarter of fiscal year 2019. The Company adopted this guidance beginning in the first quarter of fiscal year 2019 on a prospective basis and the guidance did not have a material impact on the Company’s consolidated financial statements and disclosures.</w:t>
      </w:r>
    </w:p>
    <w:p>
      <w:pPr>
        <w:spacing w:after="0" w:line="151"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March 2017, the FASB issued ASU 2017-08, Receivables — Nonrefundable Fees and Other Costs (ASC 310-20): Premium Amortization on Purchased Callable Debt Securities. ASU 2017-08 amends the amortization period for certain callable debt securities held at a premium. The amendments require the premium to be amortized to the earliest call date. The standard will become effective for the Company beginning in fiscal year 2020, with early adoption permitted. The Company is currently evaluating the impact of this standard on its consolidated financial statements and disclosures.</w:t>
      </w:r>
    </w:p>
    <w:p>
      <w:pPr>
        <w:spacing w:after="0" w:line="149"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In May 2017, the FASB issued ASU 2017-09, Compensation — Stock Compensation (ASC 718): Scope of Modification Accounting. ASU 2017-09 provides guidance about which changes to the terms or conditions of a share-based payment award require an entity to apply modification accounting. The standard became effective for the Company beginning in the first quarter of fiscal year 2019. The Company early adopted this standard beginning in the fourth quarter of fiscal year 2018. The guidance did not have a material impact on the Company’s consolidated financial statements and disclosures.</w:t>
      </w:r>
    </w:p>
    <w:p>
      <w:pPr>
        <w:spacing w:after="0" w:line="149"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August 2017, the FASB issued ASU 2017-12, Derivatives and Hedging (ASC 815): Targeted Improvements to Accounting for Hedging Activities. ASU 2017-12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The standard will become effective for the Company beginning in fiscal year 2020, with early adoption permitted. The Company is currently evaluating the impact of this standard on its consolidated financial statements and disclosures.</w:t>
      </w:r>
    </w:p>
    <w:p>
      <w:pPr>
        <w:spacing w:after="0" w:line="149"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In June 2018, the FASB issued ASU 2018-07, Compensation – Stock Compensation (ASC 718). ASU 2018-07 simplifies the accounting for nonemployee share-based payment transactions. Consequently, the accounting for share-based payments to nonemployees and employees will be substantially aligned. The new standard will become effective for the Company beginning in fiscal year 2020, with early adoption permitted. The Company early adopted the guidance in the first quarter of fiscal year 2019 and the guidance did not have a material impact on the Company’s consolidated financial statements and disclosures.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As of</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5"/>
        </w:trPr>
        <w:tc>
          <w:tcPr>
            <w:tcW w:w="6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spacing w:after="0"/>
              <w:rPr>
                <w:sz w:val="20"/>
                <w:szCs w:val="20"/>
                <w:color w:val="auto"/>
              </w:rPr>
            </w:pPr>
            <w:r>
              <w:rPr>
                <w:rFonts w:ascii="Arial" w:cs="Arial" w:eastAsia="Arial" w:hAnsi="Arial"/>
                <w:sz w:val="14"/>
                <w:szCs w:val="14"/>
                <w:color w:val="auto"/>
              </w:rPr>
              <w:t>Accounts receivable, net:</w:t>
            </w: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Billed</w:t>
            </w:r>
          </w:p>
        </w:tc>
        <w:tc>
          <w:tcPr>
            <w:tcW w:w="176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156,860</w:t>
            </w:r>
          </w:p>
        </w:tc>
        <w:tc>
          <w:tcPr>
            <w:tcW w:w="180" w:type="dxa"/>
            <w:vAlign w:val="bottom"/>
          </w:tcPr>
          <w:p>
            <w:pPr>
              <w:spacing w:after="0"/>
              <w:rPr>
                <w:sz w:val="14"/>
                <w:szCs w:val="1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184,536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Unbilled</w:t>
            </w: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80,852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85,156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Allowance for doubtful accounts</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(1,627)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52"/>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236,085</w:t>
            </w:r>
          </w:p>
        </w:tc>
        <w:tc>
          <w:tcPr>
            <w:tcW w:w="18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267,665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Inventories:</w:t>
            </w:r>
          </w:p>
        </w:tc>
        <w:tc>
          <w:tcPr>
            <w:tcW w:w="14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Raw materials</w:t>
            </w:r>
          </w:p>
        </w:tc>
        <w:tc>
          <w:tcPr>
            <w:tcW w:w="1760" w:type="dxa"/>
            <w:vAlign w:val="bottom"/>
            <w:gridSpan w:val="2"/>
            <w:shd w:val="clear" w:color="auto" w:fill="CFF0FC"/>
          </w:tcPr>
          <w:p>
            <w:pPr>
              <w:jc w:val="right"/>
              <w:ind w:right="152"/>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71,901</w:t>
            </w:r>
          </w:p>
        </w:tc>
        <w:tc>
          <w:tcPr>
            <w:tcW w:w="1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62,252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Work in process</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47,756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47,465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Finished goods</w:t>
            </w:r>
          </w:p>
        </w:tc>
        <w:tc>
          <w:tcPr>
            <w:tcW w:w="14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100,361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86,590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760" w:type="dxa"/>
            <w:vAlign w:val="bottom"/>
            <w:gridSpan w:val="2"/>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220,018</w:t>
            </w:r>
          </w:p>
        </w:tc>
        <w:tc>
          <w:tcPr>
            <w:tcW w:w="180" w:type="dxa"/>
            <w:vAlign w:val="bottom"/>
          </w:tcPr>
          <w:p>
            <w:pPr>
              <w:spacing w:after="0"/>
              <w:rPr>
                <w:sz w:val="17"/>
                <w:szCs w:val="17"/>
                <w:color w:val="auto"/>
              </w:rPr>
            </w:pPr>
          </w:p>
        </w:tc>
        <w:tc>
          <w:tcPr>
            <w:tcW w:w="5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196,307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Prepaid expenses and other current assets:</w:t>
            </w:r>
          </w:p>
        </w:tc>
        <w:tc>
          <w:tcPr>
            <w:tcW w:w="14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Prepaid expenses</w:t>
            </w:r>
          </w:p>
        </w:tc>
        <w:tc>
          <w:tcPr>
            <w:tcW w:w="176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87,019</w:t>
            </w:r>
          </w:p>
        </w:tc>
        <w:tc>
          <w:tcPr>
            <w:tcW w:w="180" w:type="dxa"/>
            <w:vAlign w:val="bottom"/>
          </w:tcPr>
          <w:p>
            <w:pPr>
              <w:spacing w:after="0"/>
              <w:rPr>
                <w:sz w:val="14"/>
                <w:szCs w:val="1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68,516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15,958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760" w:type="dxa"/>
            <w:vAlign w:val="bottom"/>
            <w:gridSpan w:val="2"/>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102,977</w:t>
            </w:r>
          </w:p>
        </w:tc>
        <w:tc>
          <w:tcPr>
            <w:tcW w:w="180" w:type="dxa"/>
            <w:vAlign w:val="bottom"/>
          </w:tcPr>
          <w:p>
            <w:pPr>
              <w:spacing w:after="0"/>
              <w:rPr>
                <w:sz w:val="17"/>
                <w:szCs w:val="17"/>
                <w:color w:val="auto"/>
              </w:rPr>
            </w:pPr>
          </w:p>
        </w:tc>
        <w:tc>
          <w:tcPr>
            <w:tcW w:w="5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77,135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Satellites, net:</w:t>
            </w:r>
          </w:p>
        </w:tc>
        <w:tc>
          <w:tcPr>
            <w:tcW w:w="14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Satellites (estimated useful life of 10-17 years)</w:t>
            </w:r>
          </w:p>
        </w:tc>
        <w:tc>
          <w:tcPr>
            <w:tcW w:w="176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1,160,593</w:t>
            </w:r>
          </w:p>
        </w:tc>
        <w:tc>
          <w:tcPr>
            <w:tcW w:w="180" w:type="dxa"/>
            <w:vAlign w:val="bottom"/>
          </w:tcPr>
          <w:p>
            <w:pPr>
              <w:spacing w:after="0"/>
              <w:rPr>
                <w:sz w:val="14"/>
                <w:szCs w:val="1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1,152,503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Capital lease of satellite capacity — Anik F2 (estimated useful life of 10 years)</w:t>
            </w: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99,090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Satellites under construction</w:t>
            </w:r>
          </w:p>
        </w:tc>
        <w:tc>
          <w:tcPr>
            <w:tcW w:w="14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401,763</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362,342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1,661,446</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1,613,935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Less: accumulated depreciation and amortization</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(396,425)</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(373,948)</w:t>
            </w: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52"/>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1,265,021</w:t>
            </w:r>
          </w:p>
        </w:tc>
        <w:tc>
          <w:tcPr>
            <w:tcW w:w="18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1,239,987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Property and equipment, net:</w:t>
            </w:r>
          </w:p>
        </w:tc>
        <w:tc>
          <w:tcPr>
            <w:tcW w:w="14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Equipment and software (estimated useful life of 2-7 years)</w:t>
            </w:r>
          </w:p>
        </w:tc>
        <w:tc>
          <w:tcPr>
            <w:tcW w:w="1760" w:type="dxa"/>
            <w:vAlign w:val="bottom"/>
            <w:gridSpan w:val="2"/>
            <w:shd w:val="clear" w:color="auto" w:fill="CFF0FC"/>
          </w:tcPr>
          <w:p>
            <w:pPr>
              <w:jc w:val="right"/>
              <w:ind w:right="152"/>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899,685</w:t>
            </w:r>
          </w:p>
        </w:tc>
        <w:tc>
          <w:tcPr>
            <w:tcW w:w="1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864,140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CPE leased equipment (estimated useful life of 4-5 years)</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310,506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298,746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Furniture and fixtures (estimated useful life of 7 years)</w:t>
            </w: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37,580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Leasehold improvements (estimated useful life of 2-17 years)</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113,761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111,841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Building (estimated useful life of 24 years)</w:t>
            </w: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Land</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15,322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Construction in progress</w:t>
            </w:r>
          </w:p>
        </w:tc>
        <w:tc>
          <w:tcPr>
            <w:tcW w:w="14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135,560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108,192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1,521,337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1,442,398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Less: accumulated depreciation</w:t>
            </w: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(749,130)</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(719,910)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jc w:val="right"/>
              <w:ind w:right="152"/>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772,207</w:t>
            </w:r>
          </w:p>
        </w:tc>
        <w:tc>
          <w:tcPr>
            <w:tcW w:w="180" w:type="dxa"/>
            <w:vAlign w:val="bottom"/>
          </w:tcPr>
          <w:p>
            <w:pPr>
              <w:spacing w:after="0"/>
              <w:rPr>
                <w:sz w:val="17"/>
                <w:szCs w:val="17"/>
                <w:color w:val="auto"/>
              </w:rPr>
            </w:pPr>
          </w:p>
        </w:tc>
        <w:tc>
          <w:tcPr>
            <w:tcW w:w="5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722,488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Other acquired intangible assets, net:</w:t>
            </w:r>
          </w:p>
        </w:tc>
        <w:tc>
          <w:tcPr>
            <w:tcW w:w="14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Technology (weighted average useful life of 6 years)</w:t>
            </w:r>
          </w:p>
        </w:tc>
        <w:tc>
          <w:tcPr>
            <w:tcW w:w="176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89,204</w:t>
            </w:r>
          </w:p>
        </w:tc>
        <w:tc>
          <w:tcPr>
            <w:tcW w:w="180" w:type="dxa"/>
            <w:vAlign w:val="bottom"/>
          </w:tcPr>
          <w:p>
            <w:pPr>
              <w:spacing w:after="0"/>
              <w:rPr>
                <w:sz w:val="14"/>
                <w:szCs w:val="1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90,652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Contracts and customer relationships (weighted average useful life of 7 years)</w:t>
            </w: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103,449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103,808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Satellite co-location rights (weighted average useful life of 9 years)</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8,600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Trade name (weighted average useful life of 3 years)</w:t>
            </w: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(weighted average useful life of 6 years)</w:t>
            </w:r>
          </w:p>
        </w:tc>
        <w:tc>
          <w:tcPr>
            <w:tcW w:w="14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217,233</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219,137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Less: accumulated amortization</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(188,675)</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(187,275)</w:t>
            </w:r>
          </w:p>
        </w:tc>
        <w:tc>
          <w:tcPr>
            <w:tcW w:w="0" w:type="dxa"/>
            <w:vAlign w:val="bottom"/>
          </w:tcPr>
          <w:p>
            <w:pPr>
              <w:spacing w:after="0"/>
              <w:rPr>
                <w:sz w:val="1"/>
                <w:szCs w:val="1"/>
                <w:color w:val="auto"/>
              </w:rPr>
            </w:pPr>
          </w:p>
        </w:tc>
      </w:tr>
      <w:tr>
        <w:trPr>
          <w:trHeight w:val="20"/>
        </w:trPr>
        <w:tc>
          <w:tcPr>
            <w:tcW w:w="63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52"/>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28,558</w:t>
            </w:r>
          </w:p>
        </w:tc>
        <w:tc>
          <w:tcPr>
            <w:tcW w:w="18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31,862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Other assets:</w:t>
            </w:r>
          </w:p>
        </w:tc>
        <w:tc>
          <w:tcPr>
            <w:tcW w:w="14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 in unconsolidated affiliate</w:t>
            </w:r>
          </w:p>
        </w:tc>
        <w:tc>
          <w:tcPr>
            <w:tcW w:w="1760" w:type="dxa"/>
            <w:vAlign w:val="bottom"/>
            <w:gridSpan w:val="2"/>
            <w:shd w:val="clear" w:color="auto" w:fill="CFF0FC"/>
          </w:tcPr>
          <w:p>
            <w:pPr>
              <w:jc w:val="right"/>
              <w:ind w:right="152"/>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169,454</w:t>
            </w:r>
          </w:p>
        </w:tc>
        <w:tc>
          <w:tcPr>
            <w:tcW w:w="1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163,835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Deferred income taxes</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242,894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222,274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Capitalized software costs, net</w:t>
            </w: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246,788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246,792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Patents, orbital slots and other licenses, net</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66,022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37,133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760" w:type="dxa"/>
            <w:vAlign w:val="bottom"/>
            <w:gridSpan w:val="2"/>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742,158</w:t>
            </w:r>
          </w:p>
        </w:tc>
        <w:tc>
          <w:tcPr>
            <w:tcW w:w="180" w:type="dxa"/>
            <w:vAlign w:val="bottom"/>
          </w:tcPr>
          <w:p>
            <w:pPr>
              <w:spacing w:after="0"/>
              <w:rPr>
                <w:sz w:val="17"/>
                <w:szCs w:val="17"/>
                <w:color w:val="auto"/>
              </w:rPr>
            </w:pPr>
          </w:p>
        </w:tc>
        <w:tc>
          <w:tcPr>
            <w:tcW w:w="5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686,134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Accrued liabilities:</w:t>
            </w:r>
          </w:p>
        </w:tc>
        <w:tc>
          <w:tcPr>
            <w:tcW w:w="14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Collections in excess of revenues and deferred revenues</w:t>
            </w:r>
          </w:p>
        </w:tc>
        <w:tc>
          <w:tcPr>
            <w:tcW w:w="176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115,579</w:t>
            </w:r>
          </w:p>
        </w:tc>
        <w:tc>
          <w:tcPr>
            <w:tcW w:w="180" w:type="dxa"/>
            <w:vAlign w:val="bottom"/>
          </w:tcPr>
          <w:p>
            <w:pPr>
              <w:spacing w:after="0"/>
              <w:rPr>
                <w:sz w:val="14"/>
                <w:szCs w:val="1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121,439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employee compensation</w:t>
            </w: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27,133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46,106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Accrued vacation</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40,710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Warranty reserve, current portion</w:t>
            </w: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w:t>
            </w:r>
          </w:p>
        </w:tc>
        <w:tc>
          <w:tcPr>
            <w:tcW w:w="14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63,955</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51,752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8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252,312</w:t>
            </w:r>
          </w:p>
        </w:tc>
        <w:tc>
          <w:tcPr>
            <w:tcW w:w="18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263,676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Other liabilities:</w:t>
            </w:r>
          </w:p>
        </w:tc>
        <w:tc>
          <w:tcPr>
            <w:tcW w:w="14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revenues, long-term portion</w:t>
            </w:r>
          </w:p>
        </w:tc>
        <w:tc>
          <w:tcPr>
            <w:tcW w:w="1760" w:type="dxa"/>
            <w:vAlign w:val="bottom"/>
            <w:gridSpan w:val="2"/>
            <w:shd w:val="clear" w:color="auto" w:fill="CFF0FC"/>
          </w:tcPr>
          <w:p>
            <w:pPr>
              <w:jc w:val="right"/>
              <w:ind w:right="152"/>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81,573</w:t>
            </w:r>
          </w:p>
        </w:tc>
        <w:tc>
          <w:tcPr>
            <w:tcW w:w="1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tcPr>
          <w:p>
            <w:pPr>
              <w:ind w:left="260"/>
              <w:spacing w:after="0"/>
              <w:rPr>
                <w:sz w:val="20"/>
                <w:szCs w:val="20"/>
                <w:color w:val="auto"/>
              </w:rPr>
            </w:pPr>
            <w:r>
              <w:rPr>
                <w:rFonts w:ascii="Arial" w:cs="Arial" w:eastAsia="Arial" w:hAnsi="Arial"/>
                <w:sz w:val="14"/>
                <w:szCs w:val="14"/>
                <w:color w:val="auto"/>
              </w:rPr>
              <w:t>Deferred rent, long-term portion</w:t>
            </w: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14,391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Warranty reserve, long-term portion</w:t>
            </w:r>
          </w:p>
        </w:tc>
        <w:tc>
          <w:tcPr>
            <w:tcW w:w="1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80" w:type="dxa"/>
            <w:vAlign w:val="bottom"/>
          </w:tcPr>
          <w:p>
            <w:pPr>
              <w:ind w:left="260"/>
              <w:spacing w:after="0"/>
              <w:rPr>
                <w:sz w:val="20"/>
                <w:szCs w:val="20"/>
                <w:color w:val="auto"/>
              </w:rPr>
            </w:pPr>
            <w:r>
              <w:rPr>
                <w:rFonts w:ascii="Arial" w:cs="Arial" w:eastAsia="Arial" w:hAnsi="Arial"/>
                <w:sz w:val="14"/>
                <w:szCs w:val="14"/>
                <w:color w:val="auto"/>
              </w:rPr>
              <w:t>Satellite performance incentive obligations, long-term portion</w:t>
            </w: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25,670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18,181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060" w:type="dxa"/>
            <w:vAlign w:val="bottom"/>
          </w:tcPr>
          <w:p>
            <w:pPr>
              <w:jc w:val="center"/>
              <w:ind w:left="452"/>
              <w:spacing w:after="0"/>
              <w:rPr>
                <w:sz w:val="20"/>
                <w:szCs w:val="20"/>
                <w:color w:val="auto"/>
              </w:rPr>
            </w:pPr>
            <w:r>
              <w:rPr>
                <w:rFonts w:ascii="Arial" w:cs="Arial" w:eastAsia="Arial" w:hAnsi="Arial"/>
                <w:sz w:val="14"/>
                <w:szCs w:val="14"/>
                <w:b w:val="1"/>
                <w:bCs w:val="1"/>
                <w:color w:val="auto"/>
                <w:w w:val="97"/>
              </w:rPr>
              <w:t>As of</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As of</w:t>
            </w:r>
          </w:p>
        </w:tc>
      </w:tr>
      <w:tr>
        <w:trPr>
          <w:trHeight w:val="149"/>
        </w:trPr>
        <w:tc>
          <w:tcPr>
            <w:tcW w:w="7840" w:type="dxa"/>
            <w:vAlign w:val="bottom"/>
          </w:tcPr>
          <w:p>
            <w:pPr>
              <w:spacing w:after="0"/>
              <w:rPr>
                <w:sz w:val="12"/>
                <w:szCs w:val="12"/>
                <w:color w:val="auto"/>
              </w:rPr>
            </w:pPr>
          </w:p>
        </w:tc>
        <w:tc>
          <w:tcPr>
            <w:tcW w:w="1060" w:type="dxa"/>
            <w:vAlign w:val="bottom"/>
          </w:tcPr>
          <w:p>
            <w:pPr>
              <w:jc w:val="center"/>
              <w:ind w:left="452"/>
              <w:spacing w:after="0" w:line="149" w:lineRule="exact"/>
              <w:rPr>
                <w:sz w:val="20"/>
                <w:szCs w:val="20"/>
                <w:color w:val="auto"/>
              </w:rPr>
            </w:pPr>
            <w:r>
              <w:rPr>
                <w:rFonts w:ascii="Arial" w:cs="Arial" w:eastAsia="Arial" w:hAnsi="Arial"/>
                <w:sz w:val="14"/>
                <w:szCs w:val="14"/>
                <w:b w:val="1"/>
                <w:bCs w:val="1"/>
                <w:color w:val="auto"/>
                <w:w w:val="96"/>
              </w:rPr>
              <w:t>June 30,</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65"/>
        </w:trPr>
        <w:tc>
          <w:tcPr>
            <w:tcW w:w="8900" w:type="dxa"/>
            <w:vAlign w:val="bottom"/>
            <w:gridSpan w:val="2"/>
          </w:tcPr>
          <w:p>
            <w:pPr>
              <w:jc w:val="center"/>
              <w:ind w:left="8292"/>
              <w:spacing w:after="0"/>
              <w:rPr>
                <w:sz w:val="20"/>
                <w:szCs w:val="20"/>
                <w:color w:val="auto"/>
              </w:rPr>
            </w:pPr>
            <w:r>
              <w:rPr>
                <w:rFonts w:ascii="Arial" w:cs="Arial" w:eastAsia="Arial" w:hAnsi="Arial"/>
                <w:sz w:val="14"/>
                <w:szCs w:val="14"/>
                <w:b w:val="1"/>
                <w:bCs w:val="1"/>
                <w:color w:val="auto"/>
                <w:w w:val="96"/>
              </w:rPr>
              <w:t>2018</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center"/>
              <w:ind w:right="35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r>
      <w:tr>
        <w:trPr>
          <w:trHeight w:val="156"/>
        </w:trPr>
        <w:tc>
          <w:tcPr>
            <w:tcW w:w="784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ind w:right="12"/>
              <w:spacing w:after="0" w:line="155" w:lineRule="exact"/>
              <w:rPr>
                <w:sz w:val="20"/>
                <w:szCs w:val="20"/>
                <w:color w:val="auto"/>
              </w:rPr>
            </w:pPr>
            <w:r>
              <w:rPr>
                <w:rFonts w:ascii="Arial" w:cs="Arial" w:eastAsia="Arial" w:hAnsi="Arial"/>
                <w:sz w:val="14"/>
                <w:szCs w:val="14"/>
                <w:b w:val="1"/>
                <w:bCs w:val="1"/>
                <w:color w:val="auto"/>
              </w:rPr>
              <w:t>(In thousands)</w:t>
            </w: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9,086</w:t>
            </w:r>
          </w:p>
        </w:tc>
        <w:tc>
          <w:tcPr>
            <w:tcW w:w="3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9,902</w:t>
            </w:r>
          </w:p>
        </w:tc>
        <w:tc>
          <w:tcPr>
            <w:tcW w:w="100" w:type="dxa"/>
            <w:vAlign w:val="bottom"/>
            <w:shd w:val="clear" w:color="auto" w:fill="CFF0FC"/>
          </w:tcPr>
          <w:p>
            <w:pPr>
              <w:spacing w:after="0"/>
              <w:rPr>
                <w:sz w:val="14"/>
                <w:szCs w:val="14"/>
                <w:color w:val="auto"/>
              </w:rPr>
            </w:pPr>
          </w:p>
        </w:tc>
      </w:tr>
      <w:tr>
        <w:trPr>
          <w:trHeight w:val="156"/>
        </w:trPr>
        <w:tc>
          <w:tcPr>
            <w:tcW w:w="8900" w:type="dxa"/>
            <w:vAlign w:val="bottom"/>
            <w:gridSpan w:val="2"/>
          </w:tcPr>
          <w:p>
            <w:pPr>
              <w:jc w:val="right"/>
              <w:ind w:right="912"/>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4"/>
              </w:rPr>
              <w:t>132,260</w:t>
            </w:r>
          </w:p>
        </w:tc>
        <w:tc>
          <w:tcPr>
            <w:tcW w:w="300" w:type="dxa"/>
            <w:vAlign w:val="bottom"/>
          </w:tcPr>
          <w:p>
            <w:pPr>
              <w:spacing w:after="0"/>
              <w:rPr>
                <w:sz w:val="13"/>
                <w:szCs w:val="13"/>
                <w:color w:val="auto"/>
              </w:rPr>
            </w:pPr>
          </w:p>
        </w:tc>
        <w:tc>
          <w:tcPr>
            <w:tcW w:w="400" w:type="dxa"/>
            <w:vAlign w:val="bottom"/>
          </w:tcPr>
          <w:p>
            <w:pPr>
              <w:jc w:val="right"/>
              <w:ind w:right="252"/>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121,240</w:t>
            </w:r>
          </w:p>
        </w:tc>
        <w:tc>
          <w:tcPr>
            <w:tcW w:w="100" w:type="dxa"/>
            <w:vAlign w:val="bottom"/>
          </w:tcPr>
          <w:p>
            <w:pPr>
              <w:spacing w:after="0"/>
              <w:rPr>
                <w:sz w:val="13"/>
                <w:szCs w:val="13"/>
                <w:color w:val="auto"/>
              </w:rPr>
            </w:pPr>
          </w:p>
        </w:tc>
      </w:tr>
      <w:tr>
        <w:trPr>
          <w:trHeight w:val="20"/>
        </w:trPr>
        <w:tc>
          <w:tcPr>
            <w:tcW w:w="7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85"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94"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040" w:right="2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4" w:lineRule="exact"/>
        <w:rPr>
          <w:rFonts w:ascii="Arial" w:cs="Arial" w:eastAsia="Arial" w:hAnsi="Arial"/>
          <w:sz w:val="18"/>
          <w:szCs w:val="18"/>
          <w:color w:val="auto"/>
        </w:rPr>
      </w:pPr>
    </w:p>
    <w:p>
      <w:pPr>
        <w:ind w:left="1040" w:right="20" w:hanging="519"/>
        <w:spacing w:after="0" w:line="24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jc w:val="both"/>
        <w:ind w:right="140" w:firstLine="518"/>
        <w:spacing w:after="0"/>
        <w:rPr>
          <w:sz w:val="20"/>
          <w:szCs w:val="20"/>
          <w:color w:val="auto"/>
        </w:rPr>
      </w:pPr>
      <w:r>
        <w:rPr>
          <w:rFonts w:ascii="Arial" w:cs="Arial" w:eastAsia="Arial" w:hAnsi="Arial"/>
          <w:sz w:val="18"/>
          <w:szCs w:val="18"/>
          <w:color w:val="auto"/>
        </w:rPr>
        <w:t>The following tables present the Company’s hierarchy for its assets and liabilities measured at fair value on a recurring basis as of June 30, 2018 and assets measured at fair value on a recurring basis as of March 31, 2018. The Company had no liabilities measured at fair value on a recurring basis as of March 31, 2018:</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7"/>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measured at fair value on a recurring</w:t>
            </w:r>
          </w:p>
        </w:tc>
        <w:tc>
          <w:tcPr>
            <w:tcW w:w="5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basis</w:t>
            </w:r>
          </w:p>
        </w:tc>
        <w:tc>
          <w:tcPr>
            <w:tcW w:w="940" w:type="dxa"/>
            <w:vAlign w:val="bottom"/>
            <w:gridSpan w:val="2"/>
            <w:shd w:val="clear" w:color="auto" w:fill="CFF0FC"/>
          </w:tcPr>
          <w:p>
            <w:pPr>
              <w:ind w:left="580"/>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1,015</w:t>
            </w:r>
          </w:p>
        </w:tc>
        <w:tc>
          <w:tcPr>
            <w:tcW w:w="40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1,015</w:t>
            </w:r>
          </w:p>
        </w:tc>
        <w:tc>
          <w:tcPr>
            <w:tcW w:w="40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ind w:left="6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Liabilities:</w:t>
            </w:r>
          </w:p>
        </w:tc>
        <w:tc>
          <w:tcPr>
            <w:tcW w:w="5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forward contracts</w:t>
            </w:r>
          </w:p>
        </w:tc>
        <w:tc>
          <w:tcPr>
            <w:tcW w:w="94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Total liabilities measured at fair value on a recurring</w:t>
            </w:r>
          </w:p>
        </w:tc>
        <w:tc>
          <w:tcPr>
            <w:tcW w:w="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line="203" w:lineRule="exact"/>
              <w:rPr>
                <w:sz w:val="20"/>
                <w:szCs w:val="20"/>
                <w:color w:val="auto"/>
              </w:rPr>
            </w:pPr>
            <w:r>
              <w:rPr>
                <w:rFonts w:ascii="Arial" w:cs="Arial" w:eastAsia="Arial" w:hAnsi="Arial"/>
                <w:sz w:val="18"/>
                <w:szCs w:val="18"/>
                <w:color w:val="auto"/>
              </w:rPr>
              <w:t>basis</w:t>
            </w:r>
          </w:p>
        </w:tc>
        <w:tc>
          <w:tcPr>
            <w:tcW w:w="940" w:type="dxa"/>
            <w:vAlign w:val="bottom"/>
            <w:gridSpan w:val="2"/>
          </w:tcPr>
          <w:p>
            <w:pPr>
              <w:ind w:left="580"/>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424</w:t>
            </w:r>
          </w:p>
        </w:tc>
        <w:tc>
          <w:tcPr>
            <w:tcW w:w="4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424</w:t>
            </w:r>
          </w:p>
        </w:tc>
        <w:tc>
          <w:tcPr>
            <w:tcW w:w="200" w:type="dxa"/>
            <w:vAlign w:val="bottom"/>
          </w:tcPr>
          <w:p>
            <w:pPr>
              <w:spacing w:after="0"/>
              <w:rPr>
                <w:sz w:val="17"/>
                <w:szCs w:val="17"/>
                <w:color w:val="auto"/>
              </w:rPr>
            </w:pPr>
          </w:p>
        </w:tc>
        <w:tc>
          <w:tcPr>
            <w:tcW w:w="2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7"/>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forward contracts</w:t>
            </w: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Total assets measured at fair value on a recurring</w:t>
            </w:r>
          </w:p>
        </w:tc>
        <w:tc>
          <w:tcPr>
            <w:tcW w:w="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line="203" w:lineRule="exact"/>
              <w:rPr>
                <w:sz w:val="20"/>
                <w:szCs w:val="20"/>
                <w:color w:val="auto"/>
              </w:rPr>
            </w:pPr>
            <w:r>
              <w:rPr>
                <w:rFonts w:ascii="Arial" w:cs="Arial" w:eastAsia="Arial" w:hAnsi="Arial"/>
                <w:sz w:val="18"/>
                <w:szCs w:val="18"/>
                <w:color w:val="auto"/>
              </w:rPr>
              <w:t>basis</w:t>
            </w:r>
          </w:p>
        </w:tc>
        <w:tc>
          <w:tcPr>
            <w:tcW w:w="940" w:type="dxa"/>
            <w:vAlign w:val="bottom"/>
            <w:gridSpan w:val="2"/>
          </w:tcPr>
          <w:p>
            <w:pPr>
              <w:ind w:left="580"/>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1,020</w:t>
            </w:r>
          </w:p>
        </w:tc>
        <w:tc>
          <w:tcPr>
            <w:tcW w:w="4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1,011</w:t>
            </w:r>
          </w:p>
        </w:tc>
        <w:tc>
          <w:tcPr>
            <w:tcW w:w="4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2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400" w:firstLine="518"/>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4"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as well as $700.0 million in aggregate principal amount of 2025 Notes. Long-term debt related to the Revolving Credit Facility is reported at the outstanding principal amount of borrowings, while long-term debt related to the Ex-Im Credit Facility and the Company’s current and former senior notes (including the 2025 Notes) is reported at amortized cost. However, for disclosure purposes, the Company is required to measure the fair value of outstanding debt on a recurring basis. As of June 30, 2018 and March 31, 2018, the estimated fair value of the Company’s outstanding long-term debt related to the 2025 Notes was determined based on actual or estimated bids and offers for the 2025 Notes in an over-the-counter market (Level 2) and was $655.6 million and $674.0 million, respectively. The fair value of the Company’s long-term debt related to the Revolving Credit Facility approximates its carrying amount due to its variable interest rate, which approximates a market interest rate. As of June 30, 2018 and March 31, 2018, the fair value of the Company’s long-term debt related to the Ex-Im Credit Facility was determined based on a discounted cash flow analysis using observable market interest rates for instruments with similar terms (Level 2) and was approximately $323.2 million and $347.4 million, respectively.</w:t>
      </w:r>
    </w:p>
    <w:p>
      <w:pPr>
        <w:spacing w:after="0" w:line="133"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the manufacturers of the ViaSat-1 and ViaSat-2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Company to make monthly in-orbit satellite performance incentive payments, including interest, through approximately fiscal year 2028, subject to the continued satisfactory performance of the applicable satellites. The Company records the net present value of these expected future payments as a liability and as a component of the cost of the satellite.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June 30, 2018 and March 31, 2018, the Company’s estimated satellite performance incentive obligations relating to the ViaSat-1 and ViaSat-2 satellites, including accrued interest, were $33.5 million and $21.0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(Loss) Income Per Share</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r>
      <w:tr>
        <w:trPr>
          <w:trHeight w:val="169"/>
        </w:trPr>
        <w:tc>
          <w:tcPr>
            <w:tcW w:w="5520" w:type="dxa"/>
            <w:vAlign w:val="bottom"/>
          </w:tcPr>
          <w:p>
            <w:pPr>
              <w:spacing w:after="0"/>
              <w:rPr>
                <w:sz w:val="14"/>
                <w:szCs w:val="14"/>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June 30, 2017</w:t>
            </w:r>
          </w:p>
        </w:tc>
        <w:tc>
          <w:tcPr>
            <w:tcW w:w="60" w:type="dxa"/>
            <w:vAlign w:val="bottom"/>
          </w:tcPr>
          <w:p>
            <w:pPr>
              <w:spacing w:after="0"/>
              <w:rPr>
                <w:sz w:val="14"/>
                <w:szCs w:val="14"/>
                <w:color w:val="auto"/>
              </w:rPr>
            </w:pPr>
          </w:p>
        </w:tc>
      </w:tr>
      <w:tr>
        <w:trPr>
          <w:trHeight w:val="169"/>
        </w:trPr>
        <w:tc>
          <w:tcPr>
            <w:tcW w:w="5520" w:type="dxa"/>
            <w:vAlign w:val="bottom"/>
          </w:tcPr>
          <w:p>
            <w:pPr>
              <w:spacing w:after="0"/>
              <w:rPr>
                <w:sz w:val="14"/>
                <w:szCs w:val="14"/>
                <w:color w:val="auto"/>
              </w:rPr>
            </w:pPr>
          </w:p>
        </w:tc>
        <w:tc>
          <w:tcPr>
            <w:tcW w:w="2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Common shares outstanding used in calculating basic</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520" w:type="dxa"/>
            <w:vAlign w:val="bottom"/>
          </w:tcPr>
          <w:p>
            <w:pPr>
              <w:ind w:left="160"/>
              <w:spacing w:after="0" w:line="202" w:lineRule="exact"/>
              <w:rPr>
                <w:sz w:val="20"/>
                <w:szCs w:val="20"/>
                <w:color w:val="auto"/>
              </w:rPr>
            </w:pPr>
            <w:r>
              <w:rPr>
                <w:rFonts w:ascii="Arial" w:cs="Arial" w:eastAsia="Arial" w:hAnsi="Arial"/>
                <w:sz w:val="18"/>
                <w:szCs w:val="18"/>
                <w:color w:val="auto"/>
              </w:rPr>
              <w:t>net loss per share attributable to Viasat, Inc. common</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520" w:type="dxa"/>
            <w:vAlign w:val="bottom"/>
          </w:tcPr>
          <w:p>
            <w:pPr>
              <w:ind w:left="160"/>
              <w:spacing w:after="0" w:line="203" w:lineRule="exact"/>
              <w:rPr>
                <w:sz w:val="20"/>
                <w:szCs w:val="20"/>
                <w:color w:val="auto"/>
              </w:rPr>
            </w:pPr>
            <w:r>
              <w:rPr>
                <w:rFonts w:ascii="Arial" w:cs="Arial" w:eastAsia="Arial" w:hAnsi="Arial"/>
                <w:sz w:val="18"/>
                <w:szCs w:val="18"/>
                <w:color w:val="auto"/>
              </w:rPr>
              <w:t>stockholders</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59,208</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57,842</w:t>
            </w:r>
          </w:p>
        </w:tc>
        <w:tc>
          <w:tcPr>
            <w:tcW w:w="60" w:type="dxa"/>
            <w:vAlign w:val="bottom"/>
          </w:tcPr>
          <w:p>
            <w:pPr>
              <w:spacing w:after="0"/>
              <w:rPr>
                <w:sz w:val="17"/>
                <w:szCs w:val="17"/>
                <w:color w:val="auto"/>
              </w:rPr>
            </w:pP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 as determined by</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55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application of the treasury stock method</w:t>
            </w:r>
          </w:p>
        </w:tc>
        <w:tc>
          <w:tcPr>
            <w:tcW w:w="128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TSR performance stock options to purchase common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520" w:type="dxa"/>
            <w:vAlign w:val="bottom"/>
          </w:tcPr>
          <w:p>
            <w:pPr>
              <w:ind w:left="160"/>
              <w:spacing w:after="0" w:line="202" w:lineRule="exact"/>
              <w:rPr>
                <w:sz w:val="20"/>
                <w:szCs w:val="20"/>
                <w:color w:val="auto"/>
              </w:rPr>
            </w:pPr>
            <w:r>
              <w:rPr>
                <w:rFonts w:ascii="Arial" w:cs="Arial" w:eastAsia="Arial" w:hAnsi="Arial"/>
                <w:sz w:val="18"/>
                <w:szCs w:val="18"/>
                <w:color w:val="auto"/>
              </w:rPr>
              <w:t>stock as determined by application of the treasury</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520" w:type="dxa"/>
            <w:vAlign w:val="bottom"/>
          </w:tcPr>
          <w:p>
            <w:pPr>
              <w:ind w:left="160"/>
              <w:spacing w:after="0" w:line="203" w:lineRule="exact"/>
              <w:rPr>
                <w:sz w:val="20"/>
                <w:szCs w:val="20"/>
                <w:color w:val="auto"/>
              </w:rPr>
            </w:pPr>
            <w:r>
              <w:rPr>
                <w:rFonts w:ascii="Arial" w:cs="Arial" w:eastAsia="Arial" w:hAnsi="Arial"/>
                <w:sz w:val="18"/>
                <w:szCs w:val="18"/>
                <w:color w:val="auto"/>
              </w:rPr>
              <w:t>stock method</w:t>
            </w:r>
          </w:p>
        </w:tc>
        <w:tc>
          <w:tcPr>
            <w:tcW w:w="12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to acquire common stock</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55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as determined by application of the treasury</w:t>
            </w: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5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stock method</w:t>
            </w:r>
          </w:p>
        </w:tc>
        <w:tc>
          <w:tcPr>
            <w:tcW w:w="128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Potentially issuable shares in connection with certain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520" w:type="dxa"/>
            <w:vAlign w:val="bottom"/>
          </w:tcPr>
          <w:p>
            <w:pPr>
              <w:ind w:left="160"/>
              <w:spacing w:after="0" w:line="202" w:lineRule="exact"/>
              <w:rPr>
                <w:sz w:val="20"/>
                <w:szCs w:val="20"/>
                <w:color w:val="auto"/>
              </w:rPr>
            </w:pPr>
            <w:r>
              <w:rPr>
                <w:rFonts w:ascii="Arial" w:cs="Arial" w:eastAsia="Arial" w:hAnsi="Arial"/>
                <w:sz w:val="18"/>
                <w:szCs w:val="18"/>
                <w:color w:val="auto"/>
              </w:rPr>
              <w:t>terms of the ViaSat 401(k) Profit Sharing Plan and</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520" w:type="dxa"/>
            <w:vAlign w:val="bottom"/>
          </w:tcPr>
          <w:p>
            <w:pPr>
              <w:ind w:left="160"/>
              <w:spacing w:after="0" w:line="203" w:lineRule="exact"/>
              <w:rPr>
                <w:sz w:val="20"/>
                <w:szCs w:val="20"/>
                <w:color w:val="auto"/>
              </w:rPr>
            </w:pPr>
            <w:r>
              <w:rPr>
                <w:rFonts w:ascii="Arial" w:cs="Arial" w:eastAsia="Arial" w:hAnsi="Arial"/>
                <w:sz w:val="18"/>
                <w:szCs w:val="18"/>
                <w:color w:val="auto"/>
              </w:rPr>
              <w:t>Employee Stock Purchase Plan</w:t>
            </w:r>
          </w:p>
        </w:tc>
        <w:tc>
          <w:tcPr>
            <w:tcW w:w="12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209"/>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in computing diluted net loss per share</w:t>
            </w:r>
          </w:p>
        </w:tc>
        <w:tc>
          <w:tcPr>
            <w:tcW w:w="10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03"/>
        </w:trPr>
        <w:tc>
          <w:tcPr>
            <w:tcW w:w="55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attributable to Viasat, Inc. common stockholders</w:t>
            </w: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59,208</w:t>
            </w:r>
          </w:p>
        </w:tc>
        <w:tc>
          <w:tcPr>
            <w:tcW w:w="2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57,842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1220" w:hanging="5612"/>
        <w:spacing w:after="0" w:line="496" w:lineRule="auto"/>
        <w:tabs>
          <w:tab w:leader="none" w:pos="52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began granting TSR performance stock options to executive officers in the third quarter of fiscal year 2018.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months ended June 30, 2018 and June 30, 2017, as the Company incurred a net loss attributable to Viasat, Inc. common stockholders for such periods and inclusion of potentially dilutive weighted average shares of common stock would be antidilutive. Potentially dilutive weighted average shares of common stock excluded from the calculation for the three months ended June 30, 2018 and 2017 were 1,340,831 and 1,393,749 shares relating to stock options (other than TSR performance stock options), respectively, 1,396,974 and 472,520 shares relating to restricted stock units, respectively and 270,071 and 198,800 shares relating to certain terms of the ViaSat 401(k) Profit Sharing Plan and Employee Stock Purchase Plan, respectively. No shares relating to TSR performance stock options were excluded from the calculation for the three months ended June 30, 2018 and 2017.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9" w:lineRule="exact"/>
        <w:rPr>
          <w:sz w:val="20"/>
          <w:szCs w:val="20"/>
          <w:color w:val="auto"/>
        </w:rPr>
      </w:pPr>
    </w:p>
    <w:p>
      <w:pPr>
        <w:ind w:right="320" w:firstLine="518"/>
        <w:spacing w:after="0" w:line="246" w:lineRule="auto"/>
        <w:rPr>
          <w:sz w:val="20"/>
          <w:szCs w:val="20"/>
          <w:color w:val="auto"/>
        </w:rPr>
      </w:pPr>
      <w:r>
        <w:rPr>
          <w:rFonts w:ascii="Arial" w:cs="Arial" w:eastAsia="Arial" w:hAnsi="Arial"/>
          <w:sz w:val="18"/>
          <w:szCs w:val="18"/>
          <w:color w:val="auto"/>
        </w:rPr>
        <w:t>During the three months ended June 30, 2018, the increase in the Company’s goodwill related to an insignificant acquisition, partially offset by the effects of foreign currency translation recorded within all three of the Company’s segments.</w:t>
      </w:r>
    </w:p>
    <w:p>
      <w:pPr>
        <w:spacing w:after="0" w:line="143"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$2.5 million and $3.3 million for the three months ended June 30, 2018 and 2017, respectively.</w:t>
      </w:r>
    </w:p>
    <w:p>
      <w:pPr>
        <w:spacing w:after="0" w:line="149"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272"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 the three months ended June 30, 2018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w:t>
            </w:r>
          </w:p>
        </w:tc>
        <w:tc>
          <w:tcPr>
            <w:tcW w:w="6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2019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7,004</w:t>
            </w:r>
          </w:p>
        </w:tc>
        <w:tc>
          <w:tcPr>
            <w:tcW w:w="6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7,576</w:t>
            </w:r>
          </w:p>
        </w:tc>
        <w:tc>
          <w:tcPr>
            <w:tcW w:w="6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5,167</w:t>
            </w:r>
          </w:p>
        </w:tc>
        <w:tc>
          <w:tcPr>
            <w:tcW w:w="6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3,341</w:t>
            </w:r>
          </w:p>
        </w:tc>
        <w:tc>
          <w:tcPr>
            <w:tcW w:w="6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60" w:type="dxa"/>
            <w:vAlign w:val="bottom"/>
            <w:shd w:val="clear" w:color="auto" w:fill="CFF0FC"/>
          </w:tcPr>
          <w:p>
            <w:pPr>
              <w:spacing w:after="0"/>
              <w:rPr>
                <w:sz w:val="18"/>
                <w:szCs w:val="18"/>
                <w:color w:val="auto"/>
              </w:rPr>
            </w:pPr>
          </w:p>
        </w:tc>
      </w:tr>
      <w:tr>
        <w:trPr>
          <w:trHeight w:val="216"/>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60" w:type="dxa"/>
            <w:vAlign w:val="bottom"/>
            <w:tcBorders>
              <w:bottom w:val="single" w:sz="8" w:color="CFF0FC"/>
            </w:tcBorders>
          </w:tcPr>
          <w:p>
            <w:pPr>
              <w:spacing w:after="0"/>
              <w:rPr>
                <w:sz w:val="18"/>
                <w:szCs w:val="18"/>
                <w:color w:val="auto"/>
              </w:rPr>
            </w:pPr>
          </w:p>
        </w:tc>
      </w:tr>
      <w:tr>
        <w:trPr>
          <w:trHeight w:val="210"/>
        </w:trPr>
        <w:tc>
          <w:tcPr>
            <w:tcW w:w="4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28,558</w:t>
            </w:r>
          </w:p>
        </w:tc>
        <w:tc>
          <w:tcPr>
            <w:tcW w:w="60" w:type="dxa"/>
            <w:vAlign w:val="bottom"/>
            <w:shd w:val="clear" w:color="auto" w:fill="CFF0FC"/>
          </w:tcPr>
          <w:p>
            <w:pPr>
              <w:spacing w:after="0"/>
              <w:rPr>
                <w:sz w:val="18"/>
                <w:szCs w:val="18"/>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June 30, 2018 and March 31, 2018:</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r>
      <w:tr>
        <w:trPr>
          <w:trHeight w:val="175"/>
        </w:trPr>
        <w:tc>
          <w:tcPr>
            <w:tcW w:w="5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8"/>
              </w:rPr>
              <w:t>June 30, 2018</w:t>
            </w: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5"/>
                <w:szCs w:val="15"/>
                <w:color w:val="auto"/>
              </w:rPr>
            </w:pPr>
          </w:p>
        </w:tc>
      </w:tr>
      <w:tr>
        <w:trPr>
          <w:trHeight w:val="169"/>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339,751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362,401</w:t>
            </w:r>
          </w:p>
        </w:tc>
        <w:tc>
          <w:tcPr>
            <w:tcW w:w="80" w:type="dxa"/>
            <w:vAlign w:val="bottom"/>
            <w:shd w:val="clear" w:color="auto" w:fill="CFF0FC"/>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1,154,751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1,062,401</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(36,550)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(38,696)</w:t>
            </w: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45,300</w:t>
            </w:r>
          </w:p>
        </w:tc>
        <w:tc>
          <w:tcPr>
            <w:tcW w:w="80" w:type="dxa"/>
            <w:vAlign w:val="bottom"/>
            <w:tcBorders>
              <w:bottom w:val="single" w:sz="8" w:color="CFF0FC"/>
            </w:tcBorders>
          </w:tcPr>
          <w:p>
            <w:pPr>
              <w:spacing w:after="0"/>
              <w:rPr>
                <w:sz w:val="18"/>
                <w:szCs w:val="18"/>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1,072,901</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978,405</w:t>
            </w:r>
          </w:p>
        </w:tc>
        <w:tc>
          <w:tcPr>
            <w:tcW w:w="80" w:type="dxa"/>
            <w:vAlign w:val="bottom"/>
            <w:shd w:val="clear" w:color="auto" w:fill="CFF0FC"/>
          </w:tcPr>
          <w:p>
            <w:pPr>
              <w:spacing w:after="0"/>
              <w:rPr>
                <w:sz w:val="18"/>
                <w:szCs w:val="18"/>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360" w:firstLine="518"/>
        <w:spacing w:after="0" w:line="246" w:lineRule="auto"/>
        <w:rPr>
          <w:sz w:val="20"/>
          <w:szCs w:val="20"/>
          <w:color w:val="auto"/>
        </w:rPr>
      </w:pPr>
      <w:r>
        <w:rPr>
          <w:rFonts w:ascii="Arial" w:cs="Arial" w:eastAsia="Arial" w:hAnsi="Arial"/>
          <w:sz w:val="18"/>
          <w:szCs w:val="18"/>
          <w:color w:val="auto"/>
        </w:rPr>
        <w:t>As of June 30, 2018, the Revolving Credit Facility provided an $800.0 million revolving line of credit (including up to $150.0 million of letters of credit), with a maturity date of May 24, 2021.</w:t>
      </w:r>
    </w:p>
    <w:p>
      <w:pPr>
        <w:spacing w:after="0" w:line="143"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from time to time, or (2) the Eurodollar rate, plus, in the case of each of (1) and (2), an applicable margin that is based on the Company’s total leverage ratio. At June 30, 2018, the weighted average effective interest rate on the Company’s outstanding borrowings under the Revolving Credit Facility was 4.56%.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June 30, 2018, none of the Company’s subsidiaries guaranteed the Revolving Credit Facility.</w:t>
      </w:r>
    </w:p>
    <w:p>
      <w:pPr>
        <w:spacing w:after="0" w:line="151"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On May 24, 2018, the Revolving Credit Facility was amended to, among other matters, increase the maximum permitted total leverage ratio for each of the quarters of fiscal year 2019.</w:t>
      </w:r>
    </w:p>
    <w:p>
      <w:pPr>
        <w:spacing w:after="0" w:line="149"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The Company was in compliance with its financial covenants under the Revolving Credit Facility as of June 30, 2018. At June 30, 2018, the Company had $115.0 million in principal amount of outstanding borrowings under the Revolving Credit Facility and $20.1 million outstanding under standby letters of credit, leaving borrowing availability under the Revolving Credit Facility as of June 30, 2018 of $664.9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9"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As of June 30, 2018, the Ex-Im Credit Facility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As of June 30, 2018, the Company had $339.8 million in principal amount of outstanding borrowings under the Ex-Im Credit Facility.</w:t>
      </w:r>
    </w:p>
    <w:p>
      <w:pPr>
        <w:spacing w:after="0" w:line="151"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exposure fees, debt issuance costs and other fees, is 4.6%. Borrowings under the Ex-Im Credit Facility are required to be repaid in 16 approximately equal 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51"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Subsequent to quarter end, on July 17, 2018, the Ex-Im Credit Facility was amended in order to make conforming changes to the covenants to reflect the amendment made to the Revolving Credit Facility in May 2018. The Company was in compliance with its financial covenants under the Ex-Im Credit Facility as of June 30, 2018.</w:t>
      </w:r>
    </w:p>
    <w:p>
      <w:pPr>
        <w:spacing w:after="0" w:line="151"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 -term debt, net of unamortized discount and debt issuance costs, in the Company’s condensed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is amortized to interest expense on an effective interest rate basis over the term of the borrowings under the Ex-Im Credit Facility.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June 30, 2018,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2025 Notes, and are senior in right of payment to all of their existing and future subordinated indebtedness.</w:t>
      </w:r>
    </w:p>
    <w:p>
      <w:pPr>
        <w:spacing w:after="0" w:line="149"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9"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Prior to September 15, 2020, the Company may redeem up to 40% of the 2025 Notes at a redemption price of 105.625% of the principal amount thereof, plus accrued and unpaid interest, if any, thereon to the redemption date, from the net cash proceeds of specified equity offerings. The Company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w:t>
      </w:r>
    </w:p>
    <w:p>
      <w:pPr>
        <w:spacing w:after="0" w:line="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101.406%, and at any time on or after September 15, 2022 at a redemption price of 100%, in each case plus accrued and unpaid interest, if any, thereon to the redemption date.</w:t>
      </w:r>
    </w:p>
    <w:p>
      <w:pPr>
        <w:spacing w:after="0" w:line="143" w:lineRule="exact"/>
        <w:rPr>
          <w:sz w:val="20"/>
          <w:szCs w:val="20"/>
          <w:color w:val="auto"/>
        </w:rPr>
      </w:pPr>
    </w:p>
    <w:p>
      <w:pPr>
        <w:jc w:val="both"/>
        <w:ind w:right="480"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9"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June 30, 2018 and 2017:</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r>
      <w:tr>
        <w:trPr>
          <w:trHeight w:val="169"/>
        </w:trPr>
        <w:tc>
          <w:tcPr>
            <w:tcW w:w="5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8"/>
              </w:rPr>
              <w:t>June 30, 2018</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June 30, 2017</w:t>
            </w:r>
          </w:p>
        </w:tc>
        <w:tc>
          <w:tcPr>
            <w:tcW w:w="8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11,058</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Change in liability for warranties issued in period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r>
      <w:tr>
        <w:trPr>
          <w:trHeight w:val="215"/>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made (in cash or in kind) during the</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4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period</w:t>
            </w: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(914)</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(1,470)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9,803</w:t>
            </w:r>
          </w:p>
        </w:tc>
        <w:tc>
          <w:tcPr>
            <w:tcW w:w="8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80" w:lineRule="exact"/>
        <w:rPr>
          <w:sz w:val="20"/>
          <w:szCs w:val="20"/>
          <w:color w:val="auto"/>
        </w:rPr>
      </w:pPr>
    </w:p>
    <w:p>
      <w:pPr>
        <w:ind w:right="220" w:firstLine="518"/>
        <w:spacing w:after="0" w:line="237" w:lineRule="auto"/>
        <w:rPr>
          <w:sz w:val="20"/>
          <w:szCs w:val="20"/>
          <w:color w:val="auto"/>
        </w:rPr>
      </w:pPr>
      <w:r>
        <w:rPr>
          <w:rFonts w:ascii="Arial" w:cs="Arial" w:eastAsia="Arial" w:hAnsi="Arial"/>
          <w:sz w:val="18"/>
          <w:szCs w:val="18"/>
          <w:color w:val="auto"/>
        </w:rPr>
        <w:t>In July 2016, the Company entered into two separate agreements with Boeing for the construction and purchase of two ViaSat-3 class satellites and the integration of Viasat’s payload technologies into the satellites. The aggregate purchase price for the two satellites is approximately $379.5 million (subject to purchase price adjustments based on factors such as launch delay and early delivery), plus an additional amount for launch support services to be performed by Boeing. In addition, under one of these agreements, the Company has the option to order up to two additional ViaSat-3 class satellites. The first ViaSat-3 class satellite is expected to provide broadband services over the Americas, and the second is expected to provide broadband services over the Europe, Middle East and Africa (EMEA) region.</w:t>
      </w:r>
    </w:p>
    <w:p>
      <w:pPr>
        <w:spacing w:after="0" w:line="15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On June 1, 2017, the Company’s second-generation ViaSat-2 satellite was successfully launched into orbit. In January 2018, the Company previously reported an antenna deployment issue identified by the satellite manufacturer. In the fourth quarter of fiscal year 2018, the Company launched commercial broadband services on its ViaSat-2 satellite. The Company is now in the process of reviewing the antenna issue and related resulting damage with the insurers. Based on measured data and analysis of the current in-orbit performance of the satellite as well as the network as a whole, the Company currently expects that the issue will not materially impact the overall coverage area of the satellite, nor materially impact the planned services and the expected financial results from the ViaSat-2 system. The ViaSat-2 satellite was primarily financed by the Ex-Im Credit Facility (see Note 6 — Senior Notes and Other Long-Term Debt). Pursuant to the terms of the Ex-Im Credit Facility, certain insurance proceeds related to the ViaSat-2 satellite must be used to pay down outstanding borrowings under the Ex-Im Credit Facility if received.</w:t>
      </w:r>
    </w:p>
    <w:p>
      <w:pPr>
        <w:spacing w:after="0" w:line="15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2016 through 2018. As of June 30, 2018,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2018 and March 31, 2018, the Company had $1.6 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9"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The Company calculates its provision for income taxes at the end of each interim reporting period on the basis of an estimated annual effective tax rate adjusted for tax items that are discrete to each period.</w:t>
      </w:r>
    </w:p>
    <w:p>
      <w:pPr>
        <w:spacing w:after="0" w:line="143" w:lineRule="exact"/>
        <w:rPr>
          <w:sz w:val="20"/>
          <w:szCs w:val="20"/>
          <w:color w:val="auto"/>
        </w:rPr>
      </w:pPr>
    </w:p>
    <w:p>
      <w:pPr>
        <w:ind w:right="260" w:firstLine="518"/>
        <w:spacing w:after="0" w:line="239" w:lineRule="auto"/>
        <w:rPr>
          <w:sz w:val="20"/>
          <w:szCs w:val="20"/>
          <w:color w:val="auto"/>
        </w:rPr>
      </w:pPr>
      <w:r>
        <w:rPr>
          <w:rFonts w:ascii="Arial" w:cs="Arial" w:eastAsia="Arial" w:hAnsi="Arial"/>
          <w:sz w:val="18"/>
          <w:szCs w:val="18"/>
          <w:color w:val="auto"/>
        </w:rPr>
        <w:t>For the three months ended June 30, 2018, the Company recorded an income tax benefit of $29.2 million resulting in an effective tax benefit rate of 44.4%. The effective tax benefit rate in the first quarter of fiscal year 2019 differed from the U.S. statutory rate due primarily to the benefit of research and development tax credits, offset by increases in valuation allowances on state net operating losses and state research and development tax credits.</w:t>
      </w:r>
    </w:p>
    <w:p>
      <w:pPr>
        <w:spacing w:after="0" w:line="148"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For the three months ended June 30, 2017, the Company recorded an income tax benefit of $9.2 million, resulting in an effective tax benefit rate of 51.2%. The effective tax benefit rate in the first quarter of fiscal year 2018 was higher than the U.S. statutory rate due primarily to the benefit of research and development tax credit offset by increases in valuation allowances on state net operating losses and state research and development tax credits.</w:t>
      </w:r>
    </w:p>
    <w:p>
      <w:pPr>
        <w:spacing w:after="0" w:line="148"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48" w:lineRule="exact"/>
        <w:rPr>
          <w:sz w:val="20"/>
          <w:szCs w:val="20"/>
          <w:color w:val="auto"/>
        </w:rPr>
      </w:pPr>
    </w:p>
    <w:p>
      <w:pPr>
        <w:ind w:right="360" w:firstLine="518"/>
        <w:spacing w:after="0" w:line="246" w:lineRule="auto"/>
        <w:rPr>
          <w:sz w:val="20"/>
          <w:szCs w:val="20"/>
          <w:color w:val="auto"/>
        </w:rPr>
      </w:pPr>
      <w:r>
        <w:rPr>
          <w:rFonts w:ascii="Arial" w:cs="Arial" w:eastAsia="Arial" w:hAnsi="Arial"/>
          <w:sz w:val="18"/>
          <w:szCs w:val="18"/>
          <w:color w:val="auto"/>
        </w:rPr>
        <w:t>For the three months ended June 30, 2018, the Company’s gross unrecognized tax benefits increased by $5.4 million. In the next 12 months it is reasonably possible that the amount of unrecognized tax benefits will not change significantly.</w:t>
      </w:r>
    </w:p>
    <w:p>
      <w:pPr>
        <w:spacing w:after="0" w:line="143"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On December 22, 2017, H.R. 1, informally known as the Tax Cuts and Jobs Acts (the Tax Reform), was enacted into law. Among other matters, the Tax Reform lowered the corporate federal income tax rate from 35% to 21%, effective January 1, 2018, and transitioned U.S. international taxation from a worldwide tax system to a modified territorial tax system.</w:t>
      </w:r>
    </w:p>
    <w:p>
      <w:pPr>
        <w:spacing w:after="0" w:line="149"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The Company has estimated the impact of the Tax Reform in its fiscal year 2018 benefit from (provision for) income taxes in accordance with its interpretation of the Tax Reform and available guidance. The Tax Reform resulted in a provisional income tax expense related to the remeasurement of the Company’s net deferred tax assets recorded in the third quarter of fiscal year 2018. As of June 30, 2018, the Company has not finalized the accounting for the tax effects of the Tax Reform and has not made any adjustments related to the provisional estimate during the three months ended June 30, 2018.</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7" w:name="page28"/>
    <w:bookmarkEnd w:id="27"/>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The Company has performed a preliminary review of the other provisions in the Tax Reform, including U.S. tax on unrepatriated foreign earnings, and has preliminarily concluded that they have no material impact on the Company’s consolidated financial statements or ability to realize its deferred tax assets. The Company continues to evaluate the global tax implications of the Tax Reform.</w:t>
      </w:r>
    </w:p>
    <w:p>
      <w:pPr>
        <w:spacing w:after="0" w:line="149"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The final impact of the Tax Reform may differ from the provisional estimate due to, among other things, changes in interpretation, the issuance of additional guidance and any updates to estimates the Company utilized to calculate the transition impacts. The Securities and Exchange Commission has issued rules under SAB 118 that allow for a measurement period of up to one year after the enactment date of the Tax Reform to finalize the recording of the related tax impacts. The Company currently anticipates finalizing and recording any resulting adjustments within the year measurement period.</w:t>
      </w:r>
    </w:p>
    <w:p>
      <w:pPr>
        <w:spacing w:after="0" w:line="208" w:lineRule="exact"/>
        <w:rPr>
          <w:sz w:val="20"/>
          <w:szCs w:val="20"/>
          <w:color w:val="auto"/>
        </w:rPr>
      </w:pPr>
    </w:p>
    <w:p>
      <w:pPr>
        <w:ind w:right="5320"/>
        <w:spacing w:after="0" w:line="333" w:lineRule="auto"/>
        <w:rPr>
          <w:sz w:val="20"/>
          <w:szCs w:val="20"/>
          <w:color w:val="auto"/>
        </w:rPr>
      </w:pPr>
      <w:r>
        <w:rPr>
          <w:rFonts w:ascii="Arial" w:cs="Arial" w:eastAsia="Arial" w:hAnsi="Arial"/>
          <w:sz w:val="18"/>
          <w:szCs w:val="18"/>
          <w:b w:val="1"/>
          <w:bCs w:val="1"/>
          <w:color w:val="auto"/>
        </w:rPr>
        <w:t xml:space="preserve">Note 10 — Equity Method Investments and Related-Party Transactions </w:t>
      </w:r>
      <w:r>
        <w:rPr>
          <w:rFonts w:ascii="Arial" w:cs="Arial" w:eastAsia="Arial" w:hAnsi="Arial"/>
          <w:sz w:val="18"/>
          <w:szCs w:val="18"/>
          <w:b w:val="1"/>
          <w:bCs w:val="1"/>
          <w:i w:val="1"/>
          <w:iCs w:val="1"/>
          <w:color w:val="auto"/>
        </w:rPr>
        <w:t>Eutelsat strategic partnering arrangement</w:t>
      </w:r>
    </w:p>
    <w:p>
      <w:pPr>
        <w:spacing w:after="0" w:line="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S.A. (together with its affiliates,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condensed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foreign currency translation gains, net of tax, of approximately $3.5 million and $2.0 million for the three months ended June 30, 2018 and 2017, respectively, in accumulated other comprehensive income (loss). The Company records its proportionate share of the results of Euro Infrastructure Co., and any related basis difference amortization expense, within equity in income (loss) of unconsolidated affiliate, net, one quarter in arrears. Accordingly, the Company included its share of the results of Euro Infrastructure Co. for the three months ended March 31, 2018 in its condensed consolidated financial statements for the three months ended June 30, 2018.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149" w:lineRule="exact"/>
        <w:rPr>
          <w:sz w:val="20"/>
          <w:szCs w:val="20"/>
          <w:color w:val="auto"/>
        </w:rPr>
      </w:pPr>
    </w:p>
    <w:p>
      <w:pPr>
        <w:ind w:right="120" w:firstLine="518"/>
        <w:spacing w:after="0" w:line="24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June 30, 2018 and March 31, 2018 is summarized as follows:</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Pr>
          <w:p>
            <w:pPr>
              <w:spacing w:after="0"/>
              <w:rPr>
                <w:sz w:val="15"/>
                <w:szCs w:val="15"/>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investment in Euro Infrastructure Co.</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169,454</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163,835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20"/>
                <w:szCs w:val="20"/>
                <w:color w:val="auto"/>
              </w:rPr>
            </w:pPr>
            <w:r>
              <w:rPr>
                <w:rFonts w:ascii="Arial" w:cs="Arial" w:eastAsia="Arial" w:hAnsi="Arial"/>
                <w:sz w:val="17"/>
                <w:szCs w:val="17"/>
                <w:color w:val="auto"/>
              </w:rPr>
              <w:t>Less: proportionate share of net assets of Euro</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Infrastructure Co.</w:t>
            </w: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152,200</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147,115</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0" w:type="dxa"/>
            <w:vAlign w:val="bottom"/>
            <w:shd w:val="clear" w:color="auto" w:fill="CFF0FC"/>
          </w:tcPr>
          <w:p>
            <w:pPr>
              <w:ind w:left="240"/>
              <w:spacing w:after="0" w:line="190" w:lineRule="exact"/>
              <w:rPr>
                <w:sz w:val="20"/>
                <w:szCs w:val="20"/>
                <w:color w:val="auto"/>
              </w:rPr>
            </w:pPr>
            <w:r>
              <w:rPr>
                <w:rFonts w:ascii="Arial" w:cs="Arial" w:eastAsia="Arial" w:hAnsi="Arial"/>
                <w:sz w:val="17"/>
                <w:szCs w:val="17"/>
                <w:color w:val="auto"/>
              </w:rPr>
              <w:t>Excess carrying value of investment over</w:t>
            </w: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0" w:type="dxa"/>
            <w:vAlign w:val="bottom"/>
            <w:shd w:val="clear" w:color="auto" w:fill="CFF0FC"/>
          </w:tcPr>
          <w:p>
            <w:pPr>
              <w:ind w:left="400"/>
              <w:spacing w:after="0"/>
              <w:rPr>
                <w:sz w:val="20"/>
                <w:szCs w:val="20"/>
                <w:color w:val="auto"/>
              </w:rPr>
            </w:pPr>
            <w:r>
              <w:rPr>
                <w:rFonts w:ascii="Arial" w:cs="Arial" w:eastAsia="Arial" w:hAnsi="Arial"/>
                <w:sz w:val="17"/>
                <w:szCs w:val="17"/>
                <w:color w:val="auto"/>
              </w:rPr>
              <w:t>proportionate share of net assets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17,254</w:t>
            </w:r>
          </w:p>
        </w:tc>
        <w:tc>
          <w:tcPr>
            <w:tcW w:w="14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16,720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The excess carrying value has been primarily assigned to:</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24,188</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40"/>
              <w:spacing w:after="0"/>
              <w:rPr>
                <w:sz w:val="20"/>
                <w:szCs w:val="20"/>
                <w:color w:val="auto"/>
              </w:rPr>
            </w:pPr>
            <w:r>
              <w:rPr>
                <w:rFonts w:ascii="Arial" w:cs="Arial" w:eastAsia="Arial" w:hAnsi="Arial"/>
                <w:sz w:val="17"/>
                <w:szCs w:val="17"/>
                <w:color w:val="auto"/>
              </w:rPr>
              <w:t>Identifiable intangible assets</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12,773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12,839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Tangible assets</w:t>
            </w: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(21,441)</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(21,342)</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Deferred income taxes</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17,254</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518"/>
        <w:spacing w:after="0"/>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8" w:name="page29"/>
    <w:bookmarkEnd w:id="28"/>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The Company’s share of income or loss on its investment in Euro Infrastructure Co. was income of $1.1 million and loss of $0.5 million for the three months ended June 30, 2018 and 2017, respectively, consisting of the Company’s share of equity in Euro Infrastructure Co.’s income or loss, including amortization of the difference in the historical basis of the Company’s contribution.</w:t>
      </w:r>
    </w:p>
    <w:p>
      <w:pPr>
        <w:spacing w:after="0" w:line="149" w:lineRule="exact"/>
        <w:rPr>
          <w:sz w:val="20"/>
          <w:szCs w:val="20"/>
          <w:color w:val="auto"/>
        </w:rPr>
      </w:pPr>
    </w:p>
    <w:p>
      <w:pPr>
        <w:ind w:right="380" w:firstLine="518"/>
        <w:spacing w:after="0" w:line="246" w:lineRule="auto"/>
        <w:rPr>
          <w:sz w:val="20"/>
          <w:szCs w:val="20"/>
          <w:color w:val="auto"/>
        </w:rPr>
      </w:pPr>
      <w:r>
        <w:rPr>
          <w:rFonts w:ascii="Arial" w:cs="Arial" w:eastAsia="Arial" w:hAnsi="Arial"/>
          <w:sz w:val="18"/>
          <w:szCs w:val="18"/>
          <w:color w:val="auto"/>
        </w:rPr>
        <w:t>Since acquiring its interest in Euro Infrastructure Co., the Company has recorded $2.8 million in retained earnings of undistributed cumulative earnings in equity interests, net of tax, as of June 30,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9"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Transactions with the equity method investee are considered related-party transactions. Richard Baldridge, the President and Chief Operating Officer and a Director of the Company, also serves on the board of directors of Ducommun Inc. The following tables set forth the material related-party transactions entered into between Euro Infrastructure Co. and its subsidiaries, or Ducommon Inc. (inventory procurement) on the one hand, and the Company and its subsidiaries, on the other hand, in the ordinary course of business for the time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center"/>
              <w:ind w:right="32"/>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r>
      <w:tr>
        <w:trPr>
          <w:trHeight w:val="169"/>
        </w:trPr>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18"/>
              <w:spacing w:after="0"/>
              <w:rPr>
                <w:sz w:val="20"/>
                <w:szCs w:val="20"/>
                <w:color w:val="auto"/>
              </w:rPr>
            </w:pPr>
            <w:r>
              <w:rPr>
                <w:rFonts w:ascii="Arial" w:cs="Arial" w:eastAsia="Arial" w:hAnsi="Arial"/>
                <w:sz w:val="14"/>
                <w:szCs w:val="14"/>
                <w:b w:val="1"/>
                <w:bCs w:val="1"/>
                <w:color w:val="auto"/>
              </w:rPr>
              <w:t>June 30, 2018</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rPr>
              <w:t>June 30, 2017</w:t>
            </w:r>
          </w:p>
        </w:tc>
      </w:tr>
      <w:tr>
        <w:trPr>
          <w:trHeight w:val="169"/>
        </w:trPr>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jc w:val="center"/>
              <w:ind w:left="558"/>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1,851</w:t>
            </w:r>
          </w:p>
        </w:tc>
        <w:tc>
          <w:tcPr>
            <w:tcW w:w="500" w:type="dxa"/>
            <w:vAlign w:val="bottom"/>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60" w:type="dxa"/>
            <w:vAlign w:val="bottom"/>
            <w:shd w:val="clear" w:color="auto" w:fill="CFF0FC"/>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60" w:type="dxa"/>
            <w:vAlign w:val="bottom"/>
            <w:gridSpan w:val="2"/>
          </w:tcPr>
          <w:p>
            <w:pPr>
              <w:ind w:left="180"/>
              <w:spacing w:after="0"/>
              <w:rPr>
                <w:sz w:val="20"/>
                <w:szCs w:val="20"/>
                <w:color w:val="auto"/>
              </w:rPr>
            </w:pPr>
            <w:r>
              <w:rPr>
                <w:rFonts w:ascii="Arial" w:cs="Arial" w:eastAsia="Arial" w:hAnsi="Arial"/>
                <w:sz w:val="18"/>
                <w:szCs w:val="18"/>
                <w:color w:val="auto"/>
              </w:rPr>
              <w:t>Expense – Euro Infrastructure Co.</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2,159</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1,831</w:t>
            </w:r>
          </w:p>
        </w:tc>
        <w:tc>
          <w:tcPr>
            <w:tcW w:w="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2,430</w:t>
            </w: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60" w:type="dxa"/>
            <w:vAlign w:val="bottom"/>
            <w:shd w:val="clear" w:color="auto" w:fill="CFF0FC"/>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60" w:type="dxa"/>
            <w:vAlign w:val="bottom"/>
            <w:gridSpan w:val="2"/>
          </w:tcPr>
          <w:p>
            <w:pPr>
              <w:ind w:left="180"/>
              <w:spacing w:after="0"/>
              <w:rPr>
                <w:sz w:val="20"/>
                <w:szCs w:val="20"/>
                <w:color w:val="auto"/>
              </w:rPr>
            </w:pPr>
            <w:r>
              <w:rPr>
                <w:rFonts w:ascii="Arial" w:cs="Arial" w:eastAsia="Arial" w:hAnsi="Arial"/>
                <w:sz w:val="18"/>
                <w:szCs w:val="18"/>
                <w:color w:val="auto"/>
              </w:rPr>
              <w:t>Cash paid – Euro Infrastructure Co.</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1,947</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Cash paid – Ducommun Inc.</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2,458</w:t>
            </w: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r>
      <w:tr>
        <w:trPr>
          <w:trHeight w:val="365"/>
        </w:trPr>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24"/>
                <w:szCs w:val="24"/>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As of</w:t>
            </w:r>
          </w:p>
        </w:tc>
      </w:tr>
      <w:tr>
        <w:trPr>
          <w:trHeight w:val="175"/>
        </w:trPr>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18"/>
              <w:spacing w:after="0"/>
              <w:rPr>
                <w:sz w:val="20"/>
                <w:szCs w:val="20"/>
                <w:color w:val="auto"/>
              </w:rPr>
            </w:pPr>
            <w:r>
              <w:rPr>
                <w:rFonts w:ascii="Arial" w:cs="Arial" w:eastAsia="Arial" w:hAnsi="Arial"/>
                <w:sz w:val="14"/>
                <w:szCs w:val="14"/>
                <w:b w:val="1"/>
                <w:bCs w:val="1"/>
                <w:color w:val="auto"/>
              </w:rPr>
              <w:t>June 30, 2018</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March 31, 2018</w:t>
            </w:r>
          </w:p>
        </w:tc>
      </w:tr>
      <w:tr>
        <w:trPr>
          <w:trHeight w:val="169"/>
        </w:trPr>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jc w:val="center"/>
              <w:ind w:left="558"/>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 Euro Infrastructure Co.</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2,167</w:t>
            </w:r>
          </w:p>
        </w:tc>
        <w:tc>
          <w:tcPr>
            <w:tcW w:w="500" w:type="dxa"/>
            <w:vAlign w:val="bottom"/>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60" w:type="dxa"/>
            <w:vAlign w:val="bottom"/>
            <w:shd w:val="clear" w:color="auto" w:fill="CFF0FC"/>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60" w:type="dxa"/>
            <w:vAlign w:val="bottom"/>
            <w:gridSpan w:val="2"/>
          </w:tcPr>
          <w:p>
            <w:pPr>
              <w:ind w:left="180"/>
              <w:spacing w:after="0"/>
              <w:rPr>
                <w:sz w:val="20"/>
                <w:szCs w:val="20"/>
                <w:color w:val="auto"/>
              </w:rPr>
            </w:pPr>
            <w:r>
              <w:rPr>
                <w:rFonts w:ascii="Arial" w:cs="Arial" w:eastAsia="Arial" w:hAnsi="Arial"/>
                <w:sz w:val="18"/>
                <w:szCs w:val="18"/>
                <w:color w:val="auto"/>
              </w:rPr>
              <w:t>Collections in excess of revenues and deferred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Pr>
          <w:p>
            <w:pPr>
              <w:ind w:left="160"/>
              <w:spacing w:after="0" w:line="203" w:lineRule="exact"/>
              <w:rPr>
                <w:sz w:val="20"/>
                <w:szCs w:val="20"/>
                <w:color w:val="auto"/>
              </w:rPr>
            </w:pPr>
            <w:r>
              <w:rPr>
                <w:rFonts w:ascii="Arial" w:cs="Arial" w:eastAsia="Arial" w:hAnsi="Arial"/>
                <w:sz w:val="18"/>
                <w:szCs w:val="18"/>
                <w:color w:val="auto"/>
              </w:rPr>
              <w:t>revenues – Euro Infrastructure Co.</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8"/>
              <w:spacing w:after="0" w:line="203" w:lineRule="exact"/>
              <w:rPr>
                <w:sz w:val="20"/>
                <w:szCs w:val="20"/>
                <w:color w:val="auto"/>
              </w:rPr>
            </w:pPr>
            <w:r>
              <w:rPr>
                <w:rFonts w:ascii="Arial" w:cs="Arial" w:eastAsia="Arial" w:hAnsi="Arial"/>
                <w:sz w:val="18"/>
                <w:szCs w:val="18"/>
                <w:color w:val="auto"/>
              </w:rPr>
              <w:t>3,607</w:t>
            </w:r>
          </w:p>
        </w:tc>
        <w:tc>
          <w:tcPr>
            <w:tcW w:w="5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3,246</w:t>
            </w:r>
          </w:p>
        </w:tc>
        <w:tc>
          <w:tcPr>
            <w:tcW w:w="6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 Ducommun Inc.</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3,918</w:t>
            </w: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60" w:type="dxa"/>
            <w:vAlign w:val="bottom"/>
            <w:shd w:val="clear" w:color="auto" w:fill="CFF0FC"/>
          </w:tcPr>
          <w:p>
            <w:pPr>
              <w:spacing w:after="0"/>
              <w:rPr>
                <w:sz w:val="18"/>
                <w:szCs w:val="18"/>
                <w:color w:val="auto"/>
              </w:rPr>
            </w:pPr>
          </w:p>
        </w:tc>
      </w:tr>
      <w:tr>
        <w:trPr>
          <w:trHeight w:val="95"/>
        </w:trPr>
        <w:tc>
          <w:tcPr>
            <w:tcW w:w="3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76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300" w:type="dxa"/>
            <w:vAlign w:val="bottom"/>
          </w:tcPr>
          <w:p>
            <w:pPr>
              <w:jc w:val="right"/>
              <w:ind w:right="130"/>
              <w:spacing w:after="0"/>
              <w:rPr>
                <w:sz w:val="20"/>
                <w:szCs w:val="20"/>
                <w:color w:val="auto"/>
              </w:rPr>
            </w:pPr>
            <w:r>
              <w:rPr>
                <w:rFonts w:ascii="Arial" w:cs="Arial" w:eastAsia="Arial" w:hAnsi="Arial"/>
                <w:sz w:val="18"/>
                <w:szCs w:val="18"/>
                <w:color w:val="auto"/>
                <w:w w:val="84"/>
              </w:rPr>
              <w:t>*</w:t>
            </w: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There was no related-party activity for the period indicated.</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consumers, enterprises, commercial airlines and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months ended June 30, 2018 and 2017 were as follows:</w:t>
      </w:r>
    </w:p>
    <w:p>
      <w:pPr>
        <w:spacing w:after="0" w:line="280"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r>
      <w:tr>
        <w:trPr>
          <w:trHeight w:val="169"/>
        </w:trPr>
        <w:tc>
          <w:tcPr>
            <w:tcW w:w="5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8"/>
              </w:rPr>
              <w:t>June 30, 2018</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2017</w:t>
            </w:r>
          </w:p>
        </w:tc>
        <w:tc>
          <w:tcPr>
            <w:tcW w:w="8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151,997</w:t>
            </w:r>
          </w:p>
        </w:tc>
        <w:tc>
          <w:tcPr>
            <w:tcW w:w="80" w:type="dxa"/>
            <w:vAlign w:val="bottom"/>
            <w:tcBorders>
              <w:bottom w:val="single" w:sz="8" w:color="CFF0FC"/>
            </w:tcBorders>
          </w:tcPr>
          <w:p>
            <w:pPr>
              <w:spacing w:after="0"/>
              <w:rPr>
                <w:sz w:val="18"/>
                <w:szCs w:val="18"/>
                <w:color w:val="auto"/>
              </w:rPr>
            </w:pPr>
          </w:p>
        </w:tc>
      </w:tr>
      <w:tr>
        <w:trPr>
          <w:trHeight w:val="210"/>
        </w:trPr>
        <w:tc>
          <w:tcPr>
            <w:tcW w:w="54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153,561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152,214</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Commercial networks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85,133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36,483</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w:t>
            </w:r>
          </w:p>
        </w:tc>
        <w:tc>
          <w:tcPr>
            <w:tcW w:w="80" w:type="dxa"/>
            <w:vAlign w:val="bottom"/>
            <w:tcBorders>
              <w:bottom w:val="single" w:sz="8" w:color="CFF0FC"/>
            </w:tcBorders>
          </w:tcPr>
          <w:p>
            <w:pPr>
              <w:spacing w:after="0"/>
              <w:rPr>
                <w:sz w:val="18"/>
                <w:szCs w:val="18"/>
                <w:color w:val="auto"/>
              </w:rPr>
            </w:pPr>
          </w:p>
        </w:tc>
      </w:tr>
      <w:tr>
        <w:trPr>
          <w:trHeight w:val="210"/>
        </w:trPr>
        <w:tc>
          <w:tcPr>
            <w:tcW w:w="54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45,248</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132,996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129,418</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53,164</w:t>
            </w:r>
          </w:p>
        </w:tc>
        <w:tc>
          <w:tcPr>
            <w:tcW w:w="80" w:type="dxa"/>
            <w:vAlign w:val="bottom"/>
            <w:tcBorders>
              <w:bottom w:val="single" w:sz="8" w:color="CFF0FC"/>
            </w:tcBorders>
          </w:tcPr>
          <w:p>
            <w:pPr>
              <w:spacing w:after="0"/>
              <w:rPr>
                <w:sz w:val="18"/>
                <w:szCs w:val="18"/>
                <w:color w:val="auto"/>
              </w:rPr>
            </w:pPr>
          </w:p>
        </w:tc>
      </w:tr>
      <w:tr>
        <w:trPr>
          <w:trHeight w:val="210"/>
        </w:trPr>
        <w:tc>
          <w:tcPr>
            <w:tcW w:w="54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182,582</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Elimination of intersegment revenues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438,869</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380,044</w:t>
            </w:r>
          </w:p>
        </w:tc>
        <w:tc>
          <w:tcPr>
            <w:tcW w:w="80" w:type="dxa"/>
            <w:vAlign w:val="bottom"/>
            <w:shd w:val="clear" w:color="auto" w:fill="CFF0FC"/>
          </w:tcPr>
          <w:p>
            <w:pPr>
              <w:spacing w:after="0"/>
              <w:rPr>
                <w:sz w:val="18"/>
                <w:szCs w:val="18"/>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profits (losses):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(29,936)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18,843</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(47,008)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(66,125)</w:t>
            </w: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Government systems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32,592</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Elimination of intersegment operating profits</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Segment operating loss before corporate and</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400" w:type="dxa"/>
            <w:vAlign w:val="bottom"/>
          </w:tcPr>
          <w:p>
            <w:pPr>
              <w:ind w:left="160"/>
              <w:spacing w:after="0" w:line="203" w:lineRule="exact"/>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7"/>
                <w:szCs w:val="17"/>
                <w:color w:val="auto"/>
              </w:rPr>
            </w:pPr>
          </w:p>
        </w:tc>
        <w:tc>
          <w:tcPr>
            <w:tcW w:w="11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(52,026)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(14,690)</w:t>
            </w:r>
          </w:p>
        </w:tc>
      </w:tr>
      <w:tr>
        <w:trPr>
          <w:trHeight w:val="216"/>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(3,260)</w:t>
            </w:r>
          </w:p>
        </w:tc>
      </w:tr>
      <w:tr>
        <w:trPr>
          <w:trHeight w:val="20"/>
        </w:trPr>
        <w:tc>
          <w:tcPr>
            <w:tcW w:w="54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(54,479)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(17,950)</w:t>
            </w: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June 30, 2018 and March 31, 2018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040" w:type="dxa"/>
            <w:vAlign w:val="bottom"/>
          </w:tcPr>
          <w:p>
            <w:pPr>
              <w:jc w:val="center"/>
              <w:ind w:right="156"/>
              <w:spacing w:after="0"/>
              <w:rPr>
                <w:sz w:val="20"/>
                <w:szCs w:val="20"/>
                <w:color w:val="auto"/>
              </w:rPr>
            </w:pPr>
            <w:r>
              <w:rPr>
                <w:rFonts w:ascii="Arial" w:cs="Arial" w:eastAsia="Arial" w:hAnsi="Arial"/>
                <w:sz w:val="14"/>
                <w:szCs w:val="14"/>
                <w:b w:val="1"/>
                <w:bCs w:val="1"/>
                <w:color w:val="auto"/>
              </w:rPr>
              <w:t>As of</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040" w:type="dxa"/>
            <w:vAlign w:val="bottom"/>
          </w:tcPr>
          <w:p>
            <w:pPr>
              <w:jc w:val="center"/>
              <w:ind w:right="176"/>
              <w:spacing w:after="0"/>
              <w:rPr>
                <w:sz w:val="20"/>
                <w:szCs w:val="20"/>
                <w:color w:val="auto"/>
              </w:rPr>
            </w:pPr>
            <w:r>
              <w:rPr>
                <w:rFonts w:ascii="Arial" w:cs="Arial" w:eastAsia="Arial" w:hAnsi="Arial"/>
                <w:sz w:val="14"/>
                <w:szCs w:val="14"/>
                <w:b w:val="1"/>
                <w:bCs w:val="1"/>
                <w:color w:val="auto"/>
              </w:rPr>
              <w:t>March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2018</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2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73,919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66,830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2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214,942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211,447</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Government systems</w:t>
            </w:r>
          </w:p>
        </w:tc>
        <w:tc>
          <w:tcPr>
            <w:tcW w:w="24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318,600</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337,451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segment assets</w:t>
            </w:r>
          </w:p>
        </w:tc>
        <w:tc>
          <w:tcPr>
            <w:tcW w:w="2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607,461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615,728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assets</w:t>
            </w:r>
          </w:p>
        </w:tc>
        <w:tc>
          <w:tcPr>
            <w:tcW w:w="24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2,936,807</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2,798,381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3,544,268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40" w:type="dxa"/>
            <w:vAlign w:val="bottom"/>
            <w:tcBorders>
              <w:top w:val="single" w:sz="8" w:color="CFF0FC"/>
            </w:tcBorders>
          </w:tcPr>
          <w:p>
            <w:pPr>
              <w:spacing w:after="0" w:line="20" w:lineRule="exact"/>
              <w:rPr>
                <w:sz w:val="1"/>
                <w:szCs w:val="1"/>
                <w:color w:val="auto"/>
              </w:rPr>
            </w:pPr>
          </w:p>
        </w:tc>
        <w:tc>
          <w:tcPr>
            <w:tcW w:w="2480" w:type="dxa"/>
            <w:vAlign w:val="bottom"/>
            <w:tcBorders>
              <w:top w:val="single" w:sz="8" w:color="CFF0FC"/>
              <w:bottom w:val="single" w:sz="8" w:color="CFF0FC"/>
            </w:tcBorders>
            <w:vMerge w:val="restart"/>
          </w:tcPr>
          <w:p>
            <w:pPr>
              <w:jc w:val="right"/>
              <w:ind w:right="1230"/>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72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0" w:name="page31"/>
    <w:bookmarkEnd w:id="30"/>
    <w:p>
      <w:pPr>
        <w:jc w:val="center"/>
        <w:ind w:right="440"/>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acquired intangible assets, net and goodwill included in segment assets as of June 30, 2018 and March 31, 2018 were as follows: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4"/>
          </w:tcPr>
          <w:p>
            <w:pPr>
              <w:jc w:val="center"/>
              <w:ind w:right="116"/>
              <w:spacing w:after="0"/>
              <w:rPr>
                <w:sz w:val="20"/>
                <w:szCs w:val="20"/>
                <w:color w:val="auto"/>
              </w:rPr>
            </w:pPr>
            <w:r>
              <w:rPr>
                <w:rFonts w:ascii="Arial" w:cs="Arial" w:eastAsia="Arial" w:hAnsi="Arial"/>
                <w:sz w:val="14"/>
                <w:szCs w:val="14"/>
                <w:b w:val="1"/>
                <w:bCs w:val="1"/>
                <w:color w:val="auto"/>
              </w:rPr>
              <w:t>Other Acquired Intangible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3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rPr>
              <w:t>Assets, Net</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Goodwill</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78"/>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276"/>
              <w:spacing w:after="0" w:line="156"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3"/>
                <w:szCs w:val="13"/>
                <w:color w:val="auto"/>
              </w:rPr>
            </w:pPr>
          </w:p>
        </w:tc>
        <w:tc>
          <w:tcPr>
            <w:tcW w:w="92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As of</w:t>
            </w:r>
          </w:p>
        </w:tc>
      </w:tr>
      <w:tr>
        <w:trPr>
          <w:trHeight w:val="175"/>
        </w:trPr>
        <w:tc>
          <w:tcPr>
            <w:tcW w:w="3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5"/>
                <w:szCs w:val="15"/>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June 30, 2018</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March 31, 2018</w:t>
            </w:r>
          </w:p>
        </w:tc>
      </w:tr>
      <w:tr>
        <w:trPr>
          <w:trHeight w:val="169"/>
        </w:trPr>
        <w:tc>
          <w:tcPr>
            <w:tcW w:w="3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9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14,449</w:t>
            </w:r>
          </w:p>
        </w:tc>
        <w:tc>
          <w:tcPr>
            <w:tcW w:w="5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16,580</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13,991</w:t>
            </w:r>
          </w:p>
        </w:tc>
        <w:tc>
          <w:tcPr>
            <w:tcW w:w="12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Commercial networks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43,937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44,011</w:t>
            </w:r>
          </w:p>
        </w:tc>
        <w:tc>
          <w:tcPr>
            <w:tcW w:w="120" w:type="dxa"/>
            <w:vAlign w:val="bottom"/>
          </w:tcPr>
          <w:p>
            <w:pPr>
              <w:spacing w:after="0"/>
              <w:rPr>
                <w:sz w:val="18"/>
                <w:szCs w:val="18"/>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7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11,154</w:t>
            </w:r>
          </w:p>
        </w:tc>
        <w:tc>
          <w:tcPr>
            <w:tcW w:w="2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11,942</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64,755</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63,083</w:t>
            </w:r>
          </w:p>
        </w:tc>
        <w:tc>
          <w:tcPr>
            <w:tcW w:w="120" w:type="dxa"/>
            <w:vAlign w:val="bottom"/>
            <w:shd w:val="clear" w:color="auto" w:fill="CFF0FC"/>
          </w:tcPr>
          <w:p>
            <w:pPr>
              <w:spacing w:after="0"/>
              <w:rPr>
                <w:sz w:val="18"/>
                <w:szCs w:val="18"/>
                <w:color w:val="auto"/>
              </w:rPr>
            </w:pP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28,558</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31,862</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122,455</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121,085</w:t>
            </w:r>
          </w:p>
        </w:tc>
        <w:tc>
          <w:tcPr>
            <w:tcW w:w="12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acquired intangible assets by segment for the three months ended June 30, 2018 and 2017 was as follows:</w:t>
      </w:r>
    </w:p>
    <w:p>
      <w:pPr>
        <w:spacing w:after="0" w:line="280" w:lineRule="exact"/>
        <w:rPr>
          <w:sz w:val="20"/>
          <w:szCs w:val="20"/>
          <w:color w:val="auto"/>
        </w:rPr>
      </w:pPr>
    </w:p>
    <w:tbl>
      <w:tblPr>
        <w:tblLayout w:type="fixed"/>
        <w:tblInd w:w="120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r>
      <w:tr>
        <w:trPr>
          <w:trHeight w:val="169"/>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June 30, 2017</w:t>
            </w:r>
          </w:p>
        </w:tc>
        <w:tc>
          <w:tcPr>
            <w:tcW w:w="60" w:type="dxa"/>
            <w:vAlign w:val="bottom"/>
          </w:tcPr>
          <w:p>
            <w:pPr>
              <w:spacing w:after="0"/>
              <w:rPr>
                <w:sz w:val="14"/>
                <w:szCs w:val="14"/>
                <w:color w:val="auto"/>
              </w:rPr>
            </w:pPr>
          </w:p>
        </w:tc>
      </w:tr>
      <w:tr>
        <w:trPr>
          <w:trHeight w:val="169"/>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Commercial networks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8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60" w:type="dxa"/>
            <w:vAlign w:val="bottom"/>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3,260</w:t>
            </w:r>
          </w:p>
        </w:tc>
        <w:tc>
          <w:tcPr>
            <w:tcW w:w="6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53340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760" w:top="121" w:right="319" w:bottom="1440" w:gutter="0" w:footer="0" w:header="0"/>
        </w:sectPr>
      </w:pPr>
    </w:p>
    <w:bookmarkStart w:id="31" w:name="page32"/>
    <w:bookmarkEnd w:id="31"/>
    <w:p>
      <w:pPr>
        <w:ind w:right="3140"/>
        <w:spacing w:after="0" w:line="33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realize the anticipated benefits of our strategic partnering arrangement with Eutelsat S.A. (together with its affiliates, Eutelsat) or any of our acquisitions;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on our ability to sell products and services;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2018,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8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Satellite Services</w:t>
      </w:r>
    </w:p>
    <w:p>
      <w:pPr>
        <w:spacing w:after="0" w:line="99"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with multiple applications to consumers, enterprises, commercial airlines and mobile broadband customers both in the United States and abroad. Our Viasat Internet and Viasat Business Internet fixed broadband services offer high-speed, high-quality broadband internet access. We also offer high-speed internet and other in-flight services for a growing number of commercial aircraft. Our satellite services business also provides a platform for the provision of network management services to domestic and international satellite service providers.</w:t>
      </w:r>
    </w:p>
    <w:p>
      <w:pPr>
        <w:spacing w:after="0" w:line="14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proprietary Ka-band satellites are at the core of our technology platform. Our ViaSat-1 satellite (our first-generation high-capacity Ka-band spot-beam satellite) was placed into service in January 2012. On June 1, 2017, our second-generation ViaSat-2 satellite was successfully launched into orbit. In January 2018, we reported an antenna deployment issue identified by the satellite manufacturer. Based on measured data and analysis of the current in-orbit performance of the satellite as well as the network as a whole, we currently expect that the issue will not materially impact the overall coverage area of the satellite, nor materially impact the planned services and the expected financial results from the ViaSat-2 system. In the fourth quarter of fiscal year 2018, we launched commercial broadband services on our ViaSat-2 satellite. We currently have two third-generation ViaSat-3 class satellites under construction, and anticipate commencing construction on a third ViaSat-3 class satellite in the future. We also own the WildBlue-1 satellite, which was placed into service in March 2007.</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04" w:lineRule="exact"/>
        <w:rPr>
          <w:sz w:val="20"/>
          <w:szCs w:val="20"/>
          <w:color w:val="auto"/>
        </w:rPr>
      </w:pPr>
    </w:p>
    <w:p>
      <w:pPr>
        <w:ind w:left="1040" w:right="16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broadband internet access and Voice over Internet Protocol (VoIP) services. As of June 30, 2018, we provided fixed broadband services to approximately 577,000 subscribers. In addition, we offer satellite-enabled community Wi-Fi hotspot services, primarily in Mexico.</w:t>
      </w:r>
    </w:p>
    <w:p>
      <w:pPr>
        <w:spacing w:after="0" w:line="94" w:lineRule="exact"/>
        <w:rPr>
          <w:rFonts w:ascii="Arial" w:cs="Arial" w:eastAsia="Arial" w:hAnsi="Arial"/>
          <w:sz w:val="18"/>
          <w:szCs w:val="18"/>
          <w:color w:val="auto"/>
        </w:rPr>
      </w:pPr>
    </w:p>
    <w:p>
      <w:pPr>
        <w:ind w:left="1040" w:right="600" w:hanging="519"/>
        <w:spacing w:after="0" w:line="246"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In-flight services including our flagship Viasat in-flight internet services and aviation software services. As of June 30, 2018, 757 commercial aircraft were in service utilizing our Viasat in-flight connectivity (IFC) systems.</w:t>
      </w:r>
    </w:p>
    <w:p>
      <w:pPr>
        <w:spacing w:after="0" w:line="88" w:lineRule="exact"/>
        <w:rPr>
          <w:rFonts w:ascii="Arial" w:cs="Arial" w:eastAsia="Arial" w:hAnsi="Arial"/>
          <w:sz w:val="18"/>
          <w:szCs w:val="18"/>
          <w:color w:val="auto"/>
        </w:rPr>
      </w:pPr>
    </w:p>
    <w:p>
      <w:pPr>
        <w:ind w:left="1040" w:right="820" w:hanging="519"/>
        <w:spacing w:after="0" w:line="246"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143" w:lineRule="exact"/>
        <w:rPr>
          <w:sz w:val="20"/>
          <w:szCs w:val="20"/>
          <w:color w:val="auto"/>
        </w:rPr>
      </w:pPr>
    </w:p>
    <w:p>
      <w:pPr>
        <w:ind w:right="20" w:firstLine="518"/>
        <w:spacing w:after="0" w:line="246" w:lineRule="auto"/>
        <w:rPr>
          <w:sz w:val="20"/>
          <w:szCs w:val="20"/>
          <w:color w:val="auto"/>
        </w:rPr>
      </w:pPr>
      <w:r>
        <w:rPr>
          <w:rFonts w:ascii="Arial" w:cs="Arial" w:eastAsia="Arial" w:hAnsi="Arial"/>
          <w:sz w:val="18"/>
          <w:szCs w:val="18"/>
          <w:color w:val="auto"/>
        </w:rPr>
        <w:t>We also offer a variety of other broadband services, including business connectivity, live on-line event streaming, oil and natural gas data gathering services and high-definition satellite news gathering.</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Commercial Networks</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customer premise equipment (CPE), satellite modems and antenna technologies, as well as satellite payload development and Application-Specific Integrated Circuit (ASIC) chip design. Our products, systems and solutions are generally developed through a combination of customer and discretionary internal research and development funding, are utilized to provide services through our satellite services segment and are also sold to commercial networks customers (with sales of complementary products, systems and solutions to government customers included in our government systems segment). The primary products, systems, solutions and services offered by our commercial networks segment are comprised of:</w:t>
      </w:r>
    </w:p>
    <w:p>
      <w:pPr>
        <w:spacing w:after="0" w:line="99"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117" w:lineRule="exact"/>
        <w:rPr>
          <w:rFonts w:ascii="Arial" w:cs="Arial" w:eastAsia="Arial" w:hAnsi="Arial"/>
          <w:sz w:val="18"/>
          <w:szCs w:val="18"/>
          <w:color w:val="auto"/>
        </w:rPr>
      </w:pPr>
    </w:p>
    <w:p>
      <w:pPr>
        <w:ind w:left="1040" w:right="680" w:hanging="519"/>
        <w:spacing w:after="0" w:line="24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88" w:lineRule="exact"/>
        <w:rPr>
          <w:rFonts w:ascii="Arial" w:cs="Arial" w:eastAsia="Arial" w:hAnsi="Arial"/>
          <w:sz w:val="18"/>
          <w:szCs w:val="18"/>
          <w:color w:val="auto"/>
        </w:rPr>
      </w:pPr>
    </w:p>
    <w:p>
      <w:pPr>
        <w:ind w:left="1040" w:right="80" w:hanging="519"/>
        <w:spacing w:after="0" w:line="24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88" w:lineRule="exact"/>
        <w:rPr>
          <w:rFonts w:ascii="Arial" w:cs="Arial" w:eastAsia="Arial" w:hAnsi="Arial"/>
          <w:sz w:val="18"/>
          <w:szCs w:val="18"/>
          <w:color w:val="auto"/>
        </w:rPr>
      </w:pPr>
    </w:p>
    <w:p>
      <w:pPr>
        <w:ind w:left="1040" w:right="180" w:hanging="519"/>
        <w:spacing w:after="0" w:line="23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 including satellite and ground systems, fabless semiconductor design for ASIC and Monolithic Microwave Integrated Circuit (MMIC) chips and network function virtualization, as well as modules and subsystems for various commercial, military and space uses and radio frequency and advanced microwave solutions. We also design and develop high-capacity Ka-band satellites as part of our commercial networks segment (both for our own satellite fleet and for third parties) and design, develop and produce the associated satellite payload technologies.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Government Systems</w:t>
      </w:r>
    </w:p>
    <w:p>
      <w:pPr>
        <w:spacing w:after="0" w:line="85" w:lineRule="exact"/>
        <w:rPr>
          <w:sz w:val="20"/>
          <w:szCs w:val="20"/>
          <w:color w:val="auto"/>
        </w:rPr>
      </w:pPr>
    </w:p>
    <w:p>
      <w:pPr>
        <w:ind w:right="360" w:firstLine="518"/>
        <w:spacing w:after="0" w:line="237" w:lineRule="auto"/>
        <w:rPr>
          <w:sz w:val="20"/>
          <w:szCs w:val="20"/>
          <w:color w:val="auto"/>
        </w:rPr>
      </w:pPr>
      <w:r>
        <w:rPr>
          <w:rFonts w:ascii="Arial" w:cs="Arial" w:eastAsia="Arial" w:hAnsi="Arial"/>
          <w:sz w:val="18"/>
          <w:szCs w:val="18"/>
          <w:color w:val="auto"/>
        </w:rPr>
        <w:t>Our government systems segment provides global mobile broadband services to military and government users, and develops and produces network-centric internet protocol (IP)-based fixed and mobile secure communications products and solutions that are designed to enable the collection and dissemination of secure real-time digital information between individuals on the tactical edge, command centers, strategic communications nodes, ground and maritime platforms and airborne intelligence and defense platforms. Customers of our government systems segment include the U.S. Department of Defense, allied foreign governments, allied armed forces, public safety first-responders and remote government employees.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04" w:lineRule="exact"/>
        <w:rPr>
          <w:sz w:val="20"/>
          <w:szCs w:val="20"/>
          <w:color w:val="auto"/>
        </w:rPr>
      </w:pPr>
    </w:p>
    <w:p>
      <w:pPr>
        <w:jc w:val="both"/>
        <w:ind w:left="1040" w:right="26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(ISR) missions.</w:t>
      </w:r>
    </w:p>
    <w:p>
      <w:pPr>
        <w:spacing w:after="0" w:line="94" w:lineRule="exact"/>
        <w:rPr>
          <w:rFonts w:ascii="Arial" w:cs="Arial" w:eastAsia="Arial" w:hAnsi="Arial"/>
          <w:sz w:val="18"/>
          <w:szCs w:val="18"/>
          <w:color w:val="auto"/>
        </w:rPr>
      </w:pPr>
    </w:p>
    <w:p>
      <w:pPr>
        <w:ind w:left="1040" w:right="360" w:hanging="519"/>
        <w:spacing w:after="0" w:line="238"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Command and Control (C2) missions, satellite networking services and network management systems for Wi-Fi and other internet access networks, and include products designed for manpacks, aircraft, unmanned aerial vehicles (UAVs), seagoing vessels, ground-mobile vehicles and fixed applications.</w:t>
      </w:r>
    </w:p>
    <w:p>
      <w:pPr>
        <w:spacing w:after="0" w:line="94" w:lineRule="exact"/>
        <w:rPr>
          <w:rFonts w:ascii="Arial" w:cs="Arial" w:eastAsia="Arial" w:hAnsi="Arial"/>
          <w:sz w:val="18"/>
          <w:szCs w:val="18"/>
          <w:color w:val="auto"/>
        </w:rPr>
      </w:pPr>
    </w:p>
    <w:p>
      <w:pPr>
        <w:jc w:val="both"/>
        <w:ind w:left="1040" w:right="12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and information assurance products, which provide advanced, 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secure data stored on computers and storage devices.</w:t>
      </w:r>
    </w:p>
    <w:p>
      <w:pPr>
        <w:spacing w:after="0" w:line="94" w:lineRule="exact"/>
        <w:rPr>
          <w:rFonts w:ascii="Arial" w:cs="Arial" w:eastAsia="Arial" w:hAnsi="Arial"/>
          <w:sz w:val="18"/>
          <w:szCs w:val="18"/>
          <w:color w:val="auto"/>
        </w:rPr>
      </w:pPr>
    </w:p>
    <w:p>
      <w:pPr>
        <w:ind w:left="1040" w:right="200" w:hanging="519"/>
        <w:spacing w:after="0" w:line="239"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(BATS-D) handheld Link 16 radios, our KOR-24A 2-channel Small Tactical Terminal for manned and unmanned applications, “disposable” defense data links, our Multifunctional Information Distribution System (MIDS) terminals for military fighter jets and their successor, MIDS Joint Tactical Radio System (MIDS-JTRS) terminals.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85" w:lineRule="exact"/>
        <w:rPr>
          <w:sz w:val="20"/>
          <w:szCs w:val="20"/>
          <w:color w:val="auto"/>
        </w:rPr>
      </w:pPr>
    </w:p>
    <w:p>
      <w:pPr>
        <w:ind w:right="120" w:firstLine="518"/>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IFC services and worldwide managed network services.</w:t>
      </w:r>
    </w:p>
    <w:p>
      <w:pPr>
        <w:spacing w:after="0" w:line="14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time-and-materials and cost-reimbursement contracts. Fixed-price contracts (which require us to provide products and services under a contract at a specified price) comprised approximately 89% and 87% of our total revenues for these segments for the three months ended June 30, 2018 and 2017,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54"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48"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18% of our total revenues in the three months ended June 30, 2018 and 2017.</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34" w:name="page35"/>
    <w:bookmarkEnd w:id="34"/>
    <w:p>
      <w:pPr>
        <w:ind w:right="180" w:firstLine="518"/>
        <w:spacing w:after="0" w:line="238" w:lineRule="auto"/>
        <w:rPr>
          <w:sz w:val="20"/>
          <w:szCs w:val="20"/>
          <w:color w:val="auto"/>
        </w:rPr>
      </w:pPr>
      <w:r>
        <w:rPr>
          <w:rFonts w:ascii="Arial" w:cs="Arial" w:eastAsia="Arial" w:hAnsi="Arial"/>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8% and 12% of total revenues during the three months ended June 30, 2018 and 2017, respectively. As a government contractor, we are able to recover a portion of our IR&amp;D expenses pursuant to our government contracts.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120" w:firstLine="518"/>
        <w:spacing w:after="0" w:line="234"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w:t>
      </w:r>
    </w:p>
    <w:p>
      <w:pPr>
        <w:spacing w:after="0" w:line="2" w:lineRule="exact"/>
        <w:rPr>
          <w:sz w:val="20"/>
          <w:szCs w:val="20"/>
          <w:color w:val="auto"/>
        </w:rPr>
      </w:pPr>
    </w:p>
    <w:p>
      <w:pPr>
        <w:ind w:right="80" w:firstLine="8"/>
        <w:spacing w:after="0" w:line="238"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requirements to develop and deliver complex equipment built to customer specifications under long-term contracts.</w:t>
      </w:r>
    </w:p>
    <w:p>
      <w:pPr>
        <w:spacing w:after="0" w:line="189"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connectivity services including leasing of related broadband equipment.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From a recognition perspective, the leasing of broadband equipment is evaluated in accordance with the authoritative guidance for leases (ASC 840). Our accounting for equipment leases involves specific determinations under ASC 840, which may involve complex provisions and significant judgments. In accordance with ASC 840, we apply the following criteria to determine the nature of the lease (e.g., as an operating or sales type lease):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20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35" w:name="page36"/>
    <w:bookmarkEnd w:id="35"/>
    <w:p>
      <w:pPr>
        <w:ind w:firstLine="518"/>
        <w:spacing w:after="0" w:line="235"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201"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When estimates of total costs to be incurred on a performance obligation exceed total estimates of revenue to be earned, a provision for the entire loss on the performance obligation is recognized in the period the loss is determined.</w:t>
      </w:r>
    </w:p>
    <w:p>
      <w:pPr>
        <w:spacing w:after="0" w:line="19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90"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Deferred costs to obtain or fulfill contract</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Under ASC 340-40, Other Assets and Deferred Costs – Contracts with Customers, we recognize an asset from the incremental costs of obtaining a contract with a customer, if we expect to recover those costs. The incremental costs of obtaining a contract are those costs that we incur to obtain a contract with a customer that we would not have incurred if the contract had not been obtained. ASC 340-40 also requires the recognition of an asset from the costs incurred to fulfill a contract when (1) the costs relate directly to a contract or to an anticipated contract that we can specifically identify, (2) the costs generate or enhance our resources that will be used in satisfying (or in continuing to satisfy) performance obligations in the future, and (3) the costs are expected to be recovered. We recognize an asset related to commission costs incurred primarily in our satellite services segment and recognize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we expense incremental costs immediately.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8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5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own three satellites in service: ViaSat-2 (our second-generation high-capacity Ka-band spot-beam satellite, which was placed into service in the fourth quarter of fiscal year 2018), ViaSat-1 (our first-generation high-capacity Ka-band spot-beam satellite, which was placed into service in January 2012) and WildBlue-1 (which was placed into service in March 2007). We currently have two third-generation ViaSat-3 class satellites under construction. In addition, we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months ended June 30, 2018 and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7" w:name="page38"/>
    <w:bookmarkEnd w:id="37"/>
    <w:p>
      <w:pPr>
        <w:ind w:right="160" w:firstLine="518"/>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5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49"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Based on our qualitative assessment performed during the fourth quarter of fiscal year 2018, we concluded that it was more likely than not that the estimated fair value of our reporting units exceeded their carrying value as of March 31, 2018 and, therefore, determined it was not necessary to perform the two-step goodwill impairment test.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$29.0 million at March 31, 2018 to $31.7 million at June 30, 2018. The valuation allowance primarily relates to state net operating loss carryforwards and state research and development tax credit carryforwards.</w:t>
      </w:r>
    </w:p>
    <w:p>
      <w:pPr>
        <w:spacing w:after="0" w:line="154"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80"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r>
      <w:tr>
        <w:trPr>
          <w:trHeight w:val="156"/>
        </w:trPr>
        <w:tc>
          <w:tcPr>
            <w:tcW w:w="5340" w:type="dxa"/>
            <w:vAlign w:val="bottom"/>
          </w:tcPr>
          <w:p>
            <w:pPr>
              <w:spacing w:after="0"/>
              <w:rPr>
                <w:sz w:val="13"/>
                <w:szCs w:val="13"/>
                <w:color w:val="auto"/>
              </w:rPr>
            </w:pPr>
          </w:p>
        </w:tc>
        <w:tc>
          <w:tcPr>
            <w:tcW w:w="1380" w:type="dxa"/>
            <w:vAlign w:val="bottom"/>
            <w:gridSpan w:val="2"/>
          </w:tcPr>
          <w:p>
            <w:pPr>
              <w:jc w:val="right"/>
              <w:ind w:right="560"/>
              <w:spacing w:after="0" w:line="156" w:lineRule="exact"/>
              <w:rPr>
                <w:sz w:val="20"/>
                <w:szCs w:val="20"/>
                <w:color w:val="auto"/>
              </w:rPr>
            </w:pPr>
            <w:r>
              <w:rPr>
                <w:rFonts w:ascii="Arial" w:cs="Arial" w:eastAsia="Arial" w:hAnsi="Arial"/>
                <w:sz w:val="14"/>
                <w:szCs w:val="14"/>
                <w:b w:val="1"/>
                <w:bCs w:val="1"/>
                <w:color w:val="auto"/>
              </w:rPr>
              <w:t>June 30,</w:t>
            </w:r>
          </w:p>
        </w:tc>
        <w:tc>
          <w:tcPr>
            <w:tcW w:w="126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June 30,</w:t>
            </w:r>
          </w:p>
        </w:tc>
      </w:tr>
      <w:tr>
        <w:trPr>
          <w:trHeight w:val="175"/>
        </w:trPr>
        <w:tc>
          <w:tcPr>
            <w:tcW w:w="534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534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1080" w:type="dxa"/>
            <w:vAlign w:val="bottom"/>
          </w:tcPr>
          <w:p>
            <w:pPr>
              <w:jc w:val="right"/>
              <w:spacing w:after="0"/>
              <w:rPr>
                <w:sz w:val="20"/>
                <w:szCs w:val="20"/>
                <w:color w:val="auto"/>
              </w:rPr>
            </w:pPr>
            <w:r>
              <w:rPr>
                <w:rFonts w:ascii="Arial" w:cs="Arial" w:eastAsia="Arial" w:hAnsi="Arial"/>
                <w:sz w:val="18"/>
                <w:szCs w:val="18"/>
                <w:color w:val="auto"/>
              </w:rPr>
              <w:t>49.7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r>
      <w:tr>
        <w:trPr>
          <w:trHeight w:val="216"/>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FF0FC"/>
          </w:tcPr>
          <w:p>
            <w:pPr>
              <w:spacing w:after="0"/>
              <w:rPr>
                <w:sz w:val="18"/>
                <w:szCs w:val="18"/>
                <w:color w:val="auto"/>
              </w:rPr>
            </w:pPr>
          </w:p>
        </w:tc>
      </w:tr>
      <w:tr>
        <w:trPr>
          <w:trHeight w:val="216"/>
        </w:trPr>
        <w:tc>
          <w:tcPr>
            <w:tcW w:w="534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1080" w:type="dxa"/>
            <w:vAlign w:val="bottom"/>
          </w:tcPr>
          <w:p>
            <w:pPr>
              <w:jc w:val="right"/>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8"/>
                <w:szCs w:val="18"/>
                <w:color w:val="auto"/>
              </w:rPr>
            </w:pPr>
          </w:p>
        </w:tc>
      </w:tr>
      <w:tr>
        <w:trPr>
          <w:trHeight w:val="216"/>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FF0FC"/>
          </w:tcPr>
          <w:p>
            <w:pPr>
              <w:spacing w:after="0"/>
              <w:rPr>
                <w:sz w:val="18"/>
                <w:szCs w:val="18"/>
                <w:color w:val="auto"/>
              </w:rPr>
            </w:pPr>
          </w:p>
        </w:tc>
      </w:tr>
      <w:tr>
        <w:trPr>
          <w:trHeight w:val="216"/>
        </w:trPr>
        <w:tc>
          <w:tcPr>
            <w:tcW w:w="534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r>
      <w:tr>
        <w:trPr>
          <w:trHeight w:val="216"/>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FF0FC"/>
          </w:tcPr>
          <w:p>
            <w:pPr>
              <w:spacing w:after="0"/>
              <w:rPr>
                <w:sz w:val="18"/>
                <w:szCs w:val="18"/>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(expense), net</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5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Viasat, Inc.</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(7.7)</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r>
    </w:tbl>
    <w:p>
      <w:pPr>
        <w:spacing w:after="0" w:line="247" w:lineRule="exact"/>
        <w:rPr>
          <w:sz w:val="20"/>
          <w:szCs w:val="20"/>
          <w:color w:val="auto"/>
        </w:rPr>
      </w:pPr>
    </w:p>
    <w:p>
      <w:pPr>
        <w:ind w:right="5040"/>
        <w:spacing w:after="0" w:line="350" w:lineRule="auto"/>
        <w:rPr>
          <w:sz w:val="20"/>
          <w:szCs w:val="20"/>
          <w:color w:val="auto"/>
        </w:rPr>
      </w:pPr>
      <w:r>
        <w:rPr>
          <w:rFonts w:ascii="Arial" w:cs="Arial" w:eastAsia="Arial" w:hAnsi="Arial"/>
          <w:sz w:val="18"/>
          <w:szCs w:val="18"/>
          <w:b w:val="1"/>
          <w:bCs w:val="1"/>
          <w:color w:val="auto"/>
        </w:rPr>
        <w:t xml:space="preserve">Three Months Ended June 30, 2018 vs. Three Months Ended June 30, 2017 </w:t>
      </w:r>
      <w:r>
        <w:rPr>
          <w:rFonts w:ascii="Arial" w:cs="Arial" w:eastAsia="Arial" w:hAnsi="Arial"/>
          <w:sz w:val="18"/>
          <w:szCs w:val="18"/>
          <w:i w:val="1"/>
          <w:iCs w:val="1"/>
          <w:color w:val="auto"/>
        </w:rPr>
        <w:t>Revenues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79"/>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31.3%</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3.2%</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438.9</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15.5%</w:t>
            </w:r>
          </w:p>
        </w:tc>
      </w:tr>
    </w:tbl>
    <w:p>
      <w:pPr>
        <w:spacing w:after="0" w:line="202"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Our total revenues grew by $58.8 million as a result of a $52.0 million increase in product revenues and a $6.8 million increase in service revenues. The product revenue increase was driven by increases of $48.7 million in our commercial networks segment and $3.6 million in our government systems segment. The service revenue increase was due to increases of $4.1 million in our government systems segment, $1.6 million in our satellite services segment and $1.2 million in our commercial networks segment.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79"/>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41.4%</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24.4%</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32.4%</w:t>
            </w:r>
          </w:p>
        </w:tc>
      </w:tr>
    </w:tbl>
    <w:p>
      <w:pPr>
        <w:spacing w:after="0" w:line="202"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Cost of revenues increased by $84.4 million due to increases of $50.8 million in cost of product revenues and $33.6 million in cost of service revenues. The cost of product revenue increase was partially due to increased revenues, mainly from our mobile broadband satellite communication systems products in our commercial networks segment, causing a $38.4 million increase in cost of product revenues on a constant margin basis. Additionally, cost of product revenues increased due to lower margins, primarily from our government satellite communication systems and products in our government systems segment. The cost of service revenue increase mainly related to lower margins for Viasat Internet broadband services and IFC services in our satellite services segment, primarily due to the ViaSat-2 service launch in the fourth quarter of fiscal year 2018 and the ramp-up of large-scale IFC services to commercial airlines.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124"/>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02"/>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26.3%</w:t>
            </w:r>
          </w:p>
        </w:tc>
      </w:tr>
    </w:tbl>
    <w:p>
      <w:pPr>
        <w:spacing w:after="0" w:line="202"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$23.5 million increase in selling, general and administrative (SG&amp;A) expenses reflected an $11.2 million increase in support costs primarily in our satellite services segment, mainly due to the higher employee-related costs supporting the ViaSat-2 service launch. In addition, selling costs increased $10.3 million, primarily due to an increase in our satellite services segment due to the ViaSat-2 service launch in the fourth quarter of fiscal year 2018. SG&amp;A expenses consisted primarily of personnel costs and expenses for business development, marketing and sales, bid and proposal, facilities, finance, contract administration and general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04"/>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122"/>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w:t>
            </w:r>
          </w:p>
        </w:tc>
      </w:tr>
    </w:tbl>
    <w:p>
      <w:pPr>
        <w:spacing w:after="0" w:line="202"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The $11.7 million decrease in IR&amp;D expenses was primarily the result of a decrease of $12.4 million in IR&amp;D efforts in our commercial networks segment (primarily related to a decrease in IR&amp;D expenses related to next-generation satellite payload technologies for our ViaSat-3 class satellites, as the first two ViaSat-3 class satellites have entered the phase of full construction, and mobile broadband satellite communication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81"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slight decrease in amortization of acquired intangible assets in the first quarter of fiscal year 2019 compared to the prior year period was primarily the result of certain acquired customer relationship intangibles in our satellite services segment becoming fully amortized over the preceding twelve months. Current and expected amortization expense for acquired intangible assets for each of the following periods is as follows:</w:t>
      </w:r>
    </w:p>
    <w:p>
      <w:pPr>
        <w:spacing w:after="0" w:line="271"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 the three months ended June 30, 2018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w:t>
            </w:r>
          </w:p>
        </w:tc>
        <w:tc>
          <w:tcPr>
            <w:tcW w:w="6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2019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7,004</w:t>
            </w:r>
          </w:p>
        </w:tc>
        <w:tc>
          <w:tcPr>
            <w:tcW w:w="6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7,576</w:t>
            </w:r>
          </w:p>
        </w:tc>
        <w:tc>
          <w:tcPr>
            <w:tcW w:w="6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5,167</w:t>
            </w:r>
          </w:p>
        </w:tc>
        <w:tc>
          <w:tcPr>
            <w:tcW w:w="6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3,341</w:t>
            </w:r>
          </w:p>
        </w:tc>
        <w:tc>
          <w:tcPr>
            <w:tcW w:w="6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60" w:type="dxa"/>
            <w:vAlign w:val="bottom"/>
            <w:shd w:val="clear" w:color="auto" w:fill="CFF0FC"/>
          </w:tcPr>
          <w:p>
            <w:pPr>
              <w:spacing w:after="0"/>
              <w:rPr>
                <w:sz w:val="18"/>
                <w:szCs w:val="18"/>
                <w:color w:val="auto"/>
              </w:rPr>
            </w:pPr>
          </w:p>
        </w:tc>
      </w:tr>
      <w:tr>
        <w:trPr>
          <w:trHeight w:val="216"/>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60" w:type="dxa"/>
            <w:vAlign w:val="bottom"/>
            <w:tcBorders>
              <w:bottom w:val="single" w:sz="8" w:color="CFF0FC"/>
            </w:tcBorders>
          </w:tcPr>
          <w:p>
            <w:pPr>
              <w:spacing w:after="0"/>
              <w:rPr>
                <w:sz w:val="18"/>
                <w:szCs w:val="18"/>
                <w:color w:val="auto"/>
              </w:rPr>
            </w:pPr>
          </w:p>
        </w:tc>
      </w:tr>
      <w:tr>
        <w:trPr>
          <w:trHeight w:val="210"/>
        </w:trPr>
        <w:tc>
          <w:tcPr>
            <w:tcW w:w="4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28,558</w:t>
            </w:r>
          </w:p>
        </w:tc>
        <w:tc>
          <w:tcPr>
            <w:tcW w:w="60" w:type="dxa"/>
            <w:vAlign w:val="bottom"/>
            <w:shd w:val="clear" w:color="auto" w:fill="CFF0FC"/>
          </w:tcPr>
          <w:p>
            <w:pPr>
              <w:spacing w:after="0"/>
              <w:rPr>
                <w:sz w:val="18"/>
                <w:szCs w:val="18"/>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81" w:lineRule="exact"/>
        <w:rPr>
          <w:sz w:val="20"/>
          <w:szCs w:val="20"/>
          <w:color w:val="auto"/>
        </w:rPr>
      </w:pPr>
    </w:p>
    <w:p>
      <w:pPr>
        <w:ind w:right="300" w:firstLine="518"/>
        <w:spacing w:after="0" w:line="246" w:lineRule="auto"/>
        <w:rPr>
          <w:sz w:val="20"/>
          <w:szCs w:val="20"/>
          <w:color w:val="auto"/>
        </w:rPr>
      </w:pPr>
      <w:r>
        <w:rPr>
          <w:rFonts w:ascii="Arial" w:cs="Arial" w:eastAsia="Arial" w:hAnsi="Arial"/>
          <w:sz w:val="18"/>
          <w:szCs w:val="18"/>
          <w:color w:val="auto"/>
        </w:rPr>
        <w:t>The slight decrease in interest income for the three months ended June 30, 2018 compared to the prior year period was the result of lower average invested cash balances during the first quarter of fiscal year 2019 compared to the prior year period.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Interest expense</w:t>
      </w:r>
    </w:p>
    <w:p>
      <w:pPr>
        <w:spacing w:after="0" w:line="95"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The $ 11.3 million increase in interest expense in the three months ended June 30, 2018 compared to the prior year period was due to a decrease of $8.4 million in the amount of interest capitalized during the first quarter of fiscal year 2019 compared to the prior year period. Capitalized interest expense during the three months ended June 30, 2018 related to the construction of our ViaSat-3 class satellites, gateway and networking equipment and other assets. Capitalized interest expense during the three months ended June 30, 2017 related to the construction of our ViaSat-2 satellite, ViaSat-3 class satellites, gateway and networking equipment and other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81"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For the three months ended June 30, 2018, we recorded an income tax benefit of $29.2 million, resulting in an effective tax benefit rate of 44.4%. For the three months ended June 30, 2017, we recorded an income tax benefit of $9.2 million, resulting in an effective tax benefit rate of 51.2%. The effective tax rates for the periods differed from the U.S. statutory rate due primarily to the benefit of research and development tax credits, offset by increases in valuation allowances on state net operating losses and state research and development tax credits.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June 30, 2018 vs. Three Months Ended June 30,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9"/>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77"/>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0.9%</w:t>
            </w:r>
          </w:p>
        </w:tc>
      </w:tr>
    </w:tbl>
    <w:p>
      <w:pPr>
        <w:spacing w:after="0" w:line="202"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Our satellite services segment revenues increased by $1.3 million primarily as a result of a $1.6 million increase in service revenues. The increase in service revenues was primarily driven by the expansion of our in-flight internet services. As of June 30, 2018, 757 commercial aircraft were in service utilizing our IFC systems, compared to 568 commercial aircraft in service as of June 30, 2017. Total subscribers of our fixed broadband services decreased year over year, with approximately 577,000 subscribers at June 30, 2018 compared to 625,000 subscribers at June 30,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80"/>
              <w:spacing w:after="0" w:line="156" w:lineRule="exact"/>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 profit</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(29.9)</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(48.8)</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(258.9)%</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The decrease in our satellite services segment operating profit was driven primarily by lower earnings contributions of $31.4 million, primarily due to lower margins related to in-flight internet services and fixed broadband services due to the ramp-up of large-scale IFC services to commercial airlines and the ViaSat-2 service launch in the fourth quarter of fiscal year 2018. The decrease in operating profit was further impacted by higher selling costs of $10.3 million due to the promotion of our fixed broadband services following the ViaSat-2 service launch in the fourth quarter of fiscal year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79"/>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c>
          <w:tcPr>
            <w:tcW w:w="58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7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133.3%</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13.3%</w:t>
            </w: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7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110.1%</w:t>
            </w:r>
          </w:p>
        </w:tc>
        <w:tc>
          <w:tcPr>
            <w:tcW w:w="58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41" w:name="page42"/>
    <w:bookmarkEnd w:id="41"/>
    <w:p>
      <w:pPr>
        <w:ind w:right="220" w:firstLine="518"/>
        <w:spacing w:after="0"/>
        <w:rPr>
          <w:sz w:val="20"/>
          <w:szCs w:val="20"/>
          <w:color w:val="auto"/>
        </w:rPr>
      </w:pPr>
      <w:r>
        <w:rPr>
          <w:rFonts w:ascii="Arial" w:cs="Arial" w:eastAsia="Arial" w:hAnsi="Arial"/>
          <w:sz w:val="18"/>
          <w:szCs w:val="18"/>
          <w:color w:val="auto"/>
        </w:rPr>
        <w:t>Our commercial networks segment revenues increased by $49.8 million, primarily due to a $48.7 million increase in product revenues. The increase in product revenues was primarily due to an increase of $41.7 million in mobile broadband satellite communication systems products and $4.2 million in antenna systems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80"/>
              <w:spacing w:after="0" w:line="156" w:lineRule="exact"/>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480"/>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(47.0)</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(66.1)</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28.9%</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$19.1 million decrease in our commercial networks segment operating loss was driven primarily by a $12.4 million decrease in IR&amp;D expenses related to next-generation satellite payload technologies for our ViaSat-3 class satellites, as the first two ViaSat-3 class satellites have entered the phase of full construction, and mobile broadband satellite communication systems. In addition, we experienced higher earnings contributions of $8.8 million, primarily due to the increase in product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79"/>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57"/>
              <w:spacing w:after="0" w:line="156"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7.7%</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19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Our government systems segment revenues increased by $7.7 million due to increases of $4.1 million in service revenues and</w:t>
      </w:r>
    </w:p>
    <w:p>
      <w:pPr>
        <w:jc w:val="both"/>
        <w:ind w:right="280"/>
        <w:spacing w:after="0" w:line="238" w:lineRule="auto"/>
        <w:rPr>
          <w:sz w:val="20"/>
          <w:szCs w:val="20"/>
          <w:color w:val="auto"/>
        </w:rPr>
      </w:pPr>
      <w:r>
        <w:rPr>
          <w:rFonts w:ascii="Arial" w:cs="Arial" w:eastAsia="Arial" w:hAnsi="Arial"/>
          <w:sz w:val="18"/>
          <w:szCs w:val="18"/>
          <w:color w:val="auto"/>
        </w:rPr>
        <w:t>$3.6 million in product revenues. The service revenue increase was primarily due to a $1.9 million increase in tactical data link services and $1.3 million in government satellite communication systems services. The product revenue increase was due to an $18.7 million increase in tactical data link products, a $6.2 million increase in cybersecurity and information assurance products and a $2.0 million increase in tactical satcom radio products, partially offset by a $15.6 million decrease in government mobile broadband products and a $7.8 million decrease in government satellite communications systems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300" w:firstLine="518"/>
        <w:spacing w:after="0" w:line="246" w:lineRule="auto"/>
        <w:rPr>
          <w:sz w:val="20"/>
          <w:szCs w:val="20"/>
          <w:color w:val="auto"/>
        </w:rPr>
      </w:pPr>
      <w:r>
        <w:rPr>
          <w:rFonts w:ascii="Arial" w:cs="Arial" w:eastAsia="Arial" w:hAnsi="Arial"/>
          <w:sz w:val="18"/>
          <w:szCs w:val="18"/>
          <w:color w:val="auto"/>
        </w:rPr>
        <w:t>The $7.7 million decrease in our government systems segment operating profit reflected higher SG&amp;A costs of $4.0 million and lower earnings contributions primarily due to our government satellite communications systems products.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right="540" w:firstLine="518"/>
        <w:spacing w:after="0" w:line="246" w:lineRule="auto"/>
        <w:rPr>
          <w:sz w:val="20"/>
          <w:szCs w:val="20"/>
          <w:color w:val="auto"/>
        </w:rPr>
      </w:pPr>
      <w:r>
        <w:rPr>
          <w:rFonts w:ascii="Arial" w:cs="Arial" w:eastAsia="Arial" w:hAnsi="Arial"/>
          <w:sz w:val="18"/>
          <w:szCs w:val="18"/>
          <w:color w:val="auto"/>
        </w:rPr>
        <w:t>As reflected in the table below, our overall firm and funded backlog increased during the first three months of fiscal year 2019. The increases in both firm and funded backlog were attributable to increases in all three of our segments.</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June 30, 2018</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500.9</w:t>
            </w:r>
          </w:p>
        </w:tc>
        <w:tc>
          <w:tcPr>
            <w:tcW w:w="2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14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1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14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707.3</w:t>
            </w:r>
          </w:p>
        </w:tc>
        <w:tc>
          <w:tcPr>
            <w:tcW w:w="2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1,558.0</w:t>
            </w:r>
          </w:p>
        </w:tc>
        <w:tc>
          <w:tcPr>
            <w:tcW w:w="2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firm backlog does not include contract options. Of the $1.6 billion in firm backlog, approximately half is expected to be delivered during the next twelve months, with the balance delivered thereafter. We include in our backlog only those orders for which we have accepted purchase orders. Starting with the first quarter of fiscal year 2019, upon adoption of ASC 606, our backlog includes contracts with subscribers for fixed broadband services in our satellite services segment. Backlog as of March 31, 2018 does not include contracts with our subscribers for fixed broadband services in our satellite services segment. Backlog as of June 30, 2018 and March 31, 2018 does not include anticipated purchase orders and requests for the installation of IFC systems or future recurring in-flight internet service revenues under commercial in-flight internet agreements recorded in our commercial networks and satellite services segments, respectively. As of June 30, 2018, we expected to install IFC systems on approximately 854 additional aircraft under our existing customer agreements with commercial airlines, approximately 178 of which relate to accepted purchase orders (and are included in firm backlog in our commercial networks segment) and approximately 676 of which relate to anticipated purchase orders and requests under existing customer agreements. There can be no assurance that all anticipated purchase orders and requests will be placed.</w:t>
      </w:r>
    </w:p>
    <w:p>
      <w:pPr>
        <w:spacing w:after="0" w:line="152" w:lineRule="exact"/>
        <w:rPr>
          <w:sz w:val="20"/>
          <w:szCs w:val="20"/>
          <w:color w:val="auto"/>
        </w:rPr>
      </w:pPr>
    </w:p>
    <w:p>
      <w:pPr>
        <w:ind w:right="1040" w:firstLine="518"/>
        <w:spacing w:after="0" w:line="246" w:lineRule="auto"/>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 $569.7 million and $441.8 million for the three months ended June 30, 2018 and 2017, respectively.</w:t>
      </w:r>
    </w:p>
    <w:p>
      <w:pPr>
        <w:spacing w:after="0" w:line="143"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8"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right="220" w:firstLine="518"/>
        <w:spacing w:after="0" w:line="237"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June 30, 2018, we had $54.8 million in cash and cash equivalents, $ 166.7 million in working capital, $115.0 million in principal amount of outstanding borrowings under our revolving credit facility (the Revolving Credit Facility) and borrowing availability of $664.9 million under the Revolving Credit Facility. At March 31, 2018, we had $ 71.4 million in cash and cash equivalents, $146.1 million in working capital, and no outstanding borrowings and borrowing availability of $770.4 million under the Revolving Credit Facility. We invest our cash in excess of current operating requirements in short-term, highly liquid bank money market accounts.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3" w:name="page44"/>
    <w:bookmarkEnd w:id="43"/>
    <w:p>
      <w:pPr>
        <w:ind w:right="20" w:firstLine="518"/>
        <w:spacing w:after="0" w:line="239"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and strategic partnering arrangements (such as our Eutelsat strategic partnering arrangement)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51"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Cash provided by operating activities for the first three months of fiscal year 2019 was $53.8 million compared to $153.7 million in the prior year period. This $99.8 million decrease was primarily driven by our operating results (net loss adjusted for depreciation, amortization and other non-cash charges) which resulted in $28.0 million of higher cash outflows year-over-year and a $ 71.9 million year-over-year increase in cash used to fund net operating assets. The increase in cash used to fund net operating assets during the first three months of fiscal year 2019 when compared to the prior year period was primarily due to a decrease in cash inflows year-over-year from the long-term portion of deferred revenues included in other liabilities in our satellite services segment as well as a decrease in cash inflows year-over-year from combined billed and unbilled accounts receivable, net, attributable to the timing of contractual milestones for certain larger development programs in our commercial networks segment.</w:t>
      </w:r>
    </w:p>
    <w:p>
      <w:pPr>
        <w:spacing w:after="0" w:line="154"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Cash used in investing activities for the first three months of fiscal year 2019 was $160.9 million compared to $128.1 million in the prior year period. This $ 32.8 million increase in cash used in investing activities year-over-year reflects an increase of $46.7 million in capital expenditures used for property and other general purpose equipment, partially offset by decreases of $9.2 million in cash used for satellite construction and $7.2 million for capital software development.</w:t>
      </w:r>
    </w:p>
    <w:p>
      <w:pPr>
        <w:spacing w:after="0" w:line="14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Cash provided by financing activities for the first three months of fiscal year 2019 was $91.7 million compared to $4.9 million for the prior year period. This $86.7 million increase in cash provided by financing activities year-over-year was primarily related to $115.0 million in net proceeds from borrowings under our Revolving Credit Facility in the first quarter of fiscal year 2019 compared to none in the prior year period, partially offset by $22.7 million in payments on borrowings under our direct loan facility with the Export-Import Bank of the United States for the ViaSat-2 satellite (the Ex-Im Credit Facility and, together with the Revolving Credit Facility, the Credit Facilities) in the first quarter of fiscal year 2019 compared to none in the prior year period. Cash provided by financing activities for both periods included cash received from stock option exercises and employee stock purchase plan purchases, offset by cash used for the repurchase of common stock related to net share settlement of certain employee tax liabilities in connection with the vesting of restricted stock unit awards.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On June 1, 2017, our second-generation ViaSat-2 satellite was successfully launched into orbit. In January 2018, we previously reported an antenna deployment issue identified by the satellite manufacturer. In the fourth quarter of fiscal year 2018, we launched commercial broadband services on our ViaSat-2 satellite. We are now in the process of reviewing the antenna issue and related resulting damage with the insurers. Based on measured data and analysis of the current in-orbit performance of the satellite as well as the network as a whole, we currently expect that the issue will not materially impact the overall coverage area of the satellite, nor materially impact the planned services and the expected financial results from the ViaSat-2 system. The ViaSat-2 satellite was primarily financed by the Ex-Im Credit Facility (see “</w:t>
      </w:r>
      <w:r>
        <w:rPr>
          <w:rFonts w:ascii="Arial" w:cs="Arial" w:eastAsia="Arial" w:hAnsi="Arial"/>
          <w:sz w:val="18"/>
          <w:szCs w:val="18"/>
          <w:i w:val="1"/>
          <w:iCs w:val="1"/>
          <w:color w:val="222222"/>
        </w:rPr>
        <w:t>—</w:t>
      </w:r>
      <w:r>
        <w:rPr>
          <w:rFonts w:ascii="Arial" w:cs="Arial" w:eastAsia="Arial" w:hAnsi="Arial"/>
          <w:sz w:val="18"/>
          <w:szCs w:val="18"/>
          <w:color w:val="auto"/>
        </w:rPr>
        <w:t xml:space="preserve"> Ex-Im Credit Facility” below). Pursuant to the terms of the Ex-Im Credit Facility, certain insurance proceeds related to the ViaSat-2 satellite must be used to pay down outstanding borrowings under the Ex-Im Credit Facility if received.</w:t>
      </w:r>
    </w:p>
    <w:p>
      <w:pPr>
        <w:spacing w:after="0" w:line="154"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With ViaSat-2 now in service, we expect additional operating costs to be incurred in fiscal year 2019 in our satellite services segment. These increased operating costs are expected to include depreciation, amortization of capitalized software development, earth station connectivity, marketing and advertising costs, logistics, customer care and various support systems. In addition, we expect interest expense to increase during fiscal year 2019 as we no longer capitalize the interest expense relating to the debt incurred for the construction of ViaSat-2 and the related gateway and networking equipment now that the satellite is in service. However, we expect the relative impact of the launch of service on the ViaSat-2 satellite and roll-out of related ground infrastructure to our financial results to be less than we experienced in relation to the ViaSat-1 satellite. In fiscal year 2019, we expect the total number of subscribers of our fixed broadband services to increase, and that the resultant increase in service revenues in our satellite services segment will improve operating profit for that segment over time. However, there can be no assurance that we will be successful in our subscriber expansion plans. We also expect our capital expenditures to increase significantly during fiscal year 2019 compared to fiscal year 2018 as a result of increased CPE-related capital expenditures relating to the expected increase in the number of subscribers of our fixed broadband services.</w:t>
      </w:r>
    </w:p>
    <w:p>
      <w:pPr>
        <w:spacing w:after="0" w:line="15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July 2016, we entered into two separate agreements with The Boeing Company (Boeing) for the construction and purchase of two ViaSat-3 class satellites and the integration of Viasat’s payload technologies into the satellites. The aggregate purchase price for the two satellites is approximately $379.5 million (subject to purchase price adjustments based on factors such as launch delay and early delivery), plus an additional amount for launch support services to be performed by Boeing. In addition, under one of these agreements, we have the option to order up to two additional ViaSat-3 class satellites. The first ViaSat-3 class satellite is expected to provide broadband services over the Americas, and the second is expected to provide broadband services over the Europe, Middle East and Africa (EMEA) region. The projected aggregate total project cost for the two ViaSat-3 class satellites, including the satellites, launches, insurance and related earth station infrastructure, through satellite launch is estimated to be between $1.2 billion and $1.4 billion, and will depend on the timing of the earth station infrastructure roll-out of each satellite and the method we use to procure fiber access. Our total cash funding may be reduced through various third-party agreements, including potential joint service offerings and other strategic partnering arrangements. We believe we have adequate sources of funding for the ViaSat-3 class satellites, which include our cash on hand, available borrowing capacity and the cash we expect to generate from operations over the next few years.</w:t>
      </w:r>
    </w:p>
    <w:p>
      <w:pPr>
        <w:spacing w:after="0" w:line="151"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During the second half of fiscal year 2018, our two ViaSat-3 class satellites currently under construction entered the phase of full construction. Although IR&amp;D investments are expected to continue throughout fiscal year 2019 and beyond relating to ViaSat-3 ground infrastructure and support of our growing government and commercial air mobility businesses, we expect the level of our IR&amp;D investments to be lower in fiscal year 2019 compared to fiscal year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380" w:firstLine="518"/>
        <w:spacing w:after="0" w:line="246" w:lineRule="auto"/>
        <w:rPr>
          <w:sz w:val="20"/>
          <w:szCs w:val="20"/>
          <w:color w:val="auto"/>
        </w:rPr>
      </w:pPr>
      <w:r>
        <w:rPr>
          <w:rFonts w:ascii="Arial" w:cs="Arial" w:eastAsia="Arial" w:hAnsi="Arial"/>
          <w:sz w:val="18"/>
          <w:szCs w:val="18"/>
          <w:color w:val="auto"/>
        </w:rPr>
        <w:t>As of June 30, 2018, the Revolving Credit Facility provided an $800.0 million revolving line of credit (including up to $150.0 million of letters of credit), with a maturity date of May 24, 2021.</w:t>
      </w:r>
    </w:p>
    <w:p>
      <w:pPr>
        <w:spacing w:after="0" w:line="143"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June 30, 2018, the weighted average effective interest rate on our outstanding borrowings under the Revolving Credit Facility was 4.56%. The Revolving Credit Facility is required to be guaranteed by certain significant domestic subsidiaries of Viasat (as defined in the Revolving Credit Facility) and secured by substantially all of our assets. As of June 30, 2018, none of our subsidiaries guaranteed the Revolving Credit Facility.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5" w:name="page46"/>
    <w:bookmarkEnd w:id="45"/>
    <w:p>
      <w:pPr>
        <w:ind w:right="40" w:firstLine="518"/>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 On May 24, 2018, the Revolving Credit Facility was amended to, among other matters, increase the maximum permitted total leverage ratio for each of the quarters of fiscal year 2019.</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2018, we had $115.0 million in principal amount of outstanding borrowings under the Revolving Credit Facility and</w:t>
      </w:r>
    </w:p>
    <w:p>
      <w:pPr>
        <w:spacing w:after="0" w:line="234" w:lineRule="auto"/>
        <w:rPr>
          <w:sz w:val="20"/>
          <w:szCs w:val="20"/>
          <w:color w:val="auto"/>
        </w:rPr>
      </w:pPr>
      <w:r>
        <w:rPr>
          <w:rFonts w:ascii="Arial" w:cs="Arial" w:eastAsia="Arial" w:hAnsi="Arial"/>
          <w:sz w:val="18"/>
          <w:szCs w:val="18"/>
          <w:color w:val="auto"/>
        </w:rPr>
        <w:t>$20.1 million outstanding under standby letters of credit, leaving borrowing availability under the Revolving Credit Facility as of June 30,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$664.9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9"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As of June 30, 2018, the Ex-Im Credit Facility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At June 30, 2018, we had $339.8 million in principal amount of outstanding borrowings under the Ex-Im Credit Facility.</w:t>
      </w:r>
    </w:p>
    <w:p>
      <w:pPr>
        <w:spacing w:after="0" w:line="151"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exposure fees, debt issuance costs and other fees, is 4.6%. Borrowings under the Ex-Im Credit Facility are required to be repaid in 16 approximately equal 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51"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 On July 17, 2018, the Ex-Im Credit Facility was amended in order to make conforming changes to the covenants to reflect the amendments made to the Revolving Credit Facility in May 2018.</w:t>
      </w:r>
    </w:p>
    <w:p>
      <w:pPr>
        <w:spacing w:after="0" w:line="149"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 unamortized discount and debt issuance costs, in our condensed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term of the borrowings under the Ex-Im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8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September 2017, we issued $700.0 million in principal amount of our 5.625% Senior Notes due 2025 (the 2025 Notes) in a private placement to institutional buyers. The 2025 Notes were issued at face value and are recorded as long-term debt, net of debt issuance costs, in our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our existing and future subsidiaries that guarantees the Revolving Credit Facility. As of June 30, 2018,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2025 Notes, and are senior in right of payment to all of their existing and future subordinated indebtedness.</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03" w:right="319" w:bottom="1440" w:gutter="0" w:footer="0" w:header="0"/>
        </w:sectPr>
      </w:pPr>
    </w:p>
    <w:bookmarkStart w:id="46" w:name="page47"/>
    <w:bookmarkEnd w:id="46"/>
    <w:p>
      <w:pPr>
        <w:ind w:right="220" w:firstLine="518"/>
        <w:spacing w:after="0" w:line="238"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9" w:lineRule="exact"/>
        <w:rPr>
          <w:sz w:val="20"/>
          <w:szCs w:val="20"/>
          <w:color w:val="auto"/>
        </w:rPr>
      </w:pPr>
    </w:p>
    <w:p>
      <w:pPr>
        <w:ind w:right="40" w:firstLine="518"/>
        <w:spacing w:after="0" w:line="251" w:lineRule="auto"/>
        <w:rPr>
          <w:sz w:val="20"/>
          <w:szCs w:val="20"/>
          <w:color w:val="auto"/>
        </w:rPr>
      </w:pPr>
      <w:r>
        <w:rPr>
          <w:rFonts w:ascii="Arial" w:cs="Arial" w:eastAsia="Arial" w:hAnsi="Arial"/>
          <w:sz w:val="17"/>
          <w:szCs w:val="17"/>
          <w:color w:val="auto"/>
        </w:rPr>
        <w:t>Prior to September 15, 2020, we may redeem up to 40% of the 2025 Notes at a redemption price of 105.625% of the principal amount thereof, plus accrued and unpaid interest, if any, thereon to the redemption date, from the net cash proceeds of specified equity offerings. We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42"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June 30,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7"/>
          </w:tcPr>
          <w:p>
            <w:pPr>
              <w:jc w:val="right"/>
              <w:ind w:right="772"/>
              <w:spacing w:after="0"/>
              <w:rPr>
                <w:sz w:val="20"/>
                <w:szCs w:val="20"/>
                <w:color w:val="auto"/>
              </w:rPr>
            </w:pPr>
            <w:r>
              <w:rPr>
                <w:rFonts w:ascii="Arial" w:cs="Arial" w:eastAsia="Arial" w:hAnsi="Arial"/>
                <w:sz w:val="14"/>
                <w:szCs w:val="14"/>
                <w:b w:val="1"/>
                <w:bCs w:val="1"/>
                <w:color w:val="auto"/>
              </w:rPr>
              <w:t>For the Fiscal Years Ending</w:t>
            </w:r>
          </w:p>
        </w:tc>
        <w:tc>
          <w:tcPr>
            <w:tcW w:w="100" w:type="dxa"/>
            <w:vAlign w:val="bottom"/>
          </w:tcPr>
          <w:p>
            <w:pPr>
              <w:spacing w:after="0"/>
              <w:rPr>
                <w:sz w:val="15"/>
                <w:szCs w:val="15"/>
                <w:color w:val="auto"/>
              </w:rPr>
            </w:pPr>
          </w:p>
        </w:tc>
      </w:tr>
      <w:tr>
        <w:trPr>
          <w:trHeight w:val="169"/>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2020-2021</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2022-2023</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FF0FC"/>
            </w:tcBorders>
          </w:tcPr>
          <w:p>
            <w:pPr>
              <w:spacing w:after="0"/>
              <w:rPr>
                <w:sz w:val="14"/>
                <w:szCs w:val="14"/>
                <w:color w:val="auto"/>
              </w:rPr>
            </w:pPr>
          </w:p>
        </w:tc>
      </w:tr>
      <w:tr>
        <w:trPr>
          <w:trHeight w:val="21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 and satellite capacity agreements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582,892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79,791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206,290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122,207</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174,604</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2025 Notes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995,422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798,438</w:t>
            </w: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Revolving Credit Facility (1)</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130,272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115,789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Ex-Im Credit Facility</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372,102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104,093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141,564</w:t>
            </w: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Satellite performance incentive obligations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43,715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22,027</w:t>
            </w:r>
          </w:p>
        </w:tc>
        <w:tc>
          <w:tcPr>
            <w:tcW w:w="100" w:type="dxa"/>
            <w:vAlign w:val="bottom"/>
            <w:shd w:val="clear" w:color="auto" w:fill="CFF0FC"/>
          </w:tcPr>
          <w:p>
            <w:pPr>
              <w:spacing w:after="0"/>
              <w:rPr>
                <w:sz w:val="18"/>
                <w:szCs w:val="18"/>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8"/>
                <w:szCs w:val="18"/>
                <w:color w:val="auto"/>
              </w:rPr>
              <w:t>Purchase commitments including satellite-related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240" w:type="dxa"/>
            <w:vAlign w:val="bottom"/>
            <w:tcBorders>
              <w:bottom w:val="single" w:sz="8" w:color="CFF0FC"/>
            </w:tcBorders>
            <w:gridSpan w:val="2"/>
          </w:tcPr>
          <w:p>
            <w:pPr>
              <w:ind w:left="160"/>
              <w:spacing w:after="0" w:line="203" w:lineRule="exact"/>
              <w:rPr>
                <w:sz w:val="20"/>
                <w:szCs w:val="20"/>
                <w:color w:val="auto"/>
              </w:rPr>
            </w:pPr>
            <w:r>
              <w:rPr>
                <w:rFonts w:ascii="Arial" w:cs="Arial" w:eastAsia="Arial" w:hAnsi="Arial"/>
                <w:sz w:val="18"/>
                <w:szCs w:val="18"/>
                <w:color w:val="auto"/>
              </w:rPr>
              <w:t>agreements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1,056,388</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751,784</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258,952</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21,849</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23,803</w:t>
            </w:r>
          </w:p>
        </w:tc>
        <w:tc>
          <w:tcPr>
            <w:tcW w:w="100" w:type="dxa"/>
            <w:vAlign w:val="bottom"/>
            <w:tcBorders>
              <w:bottom w:val="single" w:sz="8" w:color="CFF0FC"/>
            </w:tcBorders>
          </w:tcPr>
          <w:p>
            <w:pPr>
              <w:spacing w:after="0"/>
              <w:rPr>
                <w:sz w:val="17"/>
                <w:szCs w:val="17"/>
                <w:color w:val="auto"/>
              </w:rPr>
            </w:pPr>
          </w:p>
        </w:tc>
      </w:tr>
      <w:tr>
        <w:trPr>
          <w:trHeight w:val="21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3,180,791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904,634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667,558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448,163</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1,160,436</w:t>
            </w:r>
          </w:p>
        </w:tc>
        <w:tc>
          <w:tcPr>
            <w:tcW w:w="100" w:type="dxa"/>
            <w:vAlign w:val="bottom"/>
            <w:shd w:val="clear" w:color="auto" w:fill="CFF0FC"/>
          </w:tcPr>
          <w:p>
            <w:pPr>
              <w:spacing w:after="0"/>
              <w:rPr>
                <w:sz w:val="18"/>
                <w:szCs w:val="18"/>
                <w:color w:val="auto"/>
              </w:rPr>
            </w:pP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9690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80" w:right="4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June 30, 2018 until the maturity date in May 2021.</w:t>
      </w:r>
    </w:p>
    <w:p>
      <w:pPr>
        <w:spacing w:after="0" w:line="14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right="460" w:firstLine="518"/>
        <w:spacing w:after="0" w:line="246" w:lineRule="auto"/>
        <w:rPr>
          <w:sz w:val="20"/>
          <w:szCs w:val="20"/>
          <w:color w:val="auto"/>
        </w:rPr>
      </w:pPr>
      <w:r>
        <w:rPr>
          <w:rFonts w:ascii="Arial" w:cs="Arial" w:eastAsia="Arial" w:hAnsi="Arial"/>
          <w:sz w:val="18"/>
          <w:szCs w:val="18"/>
          <w:color w:val="auto"/>
        </w:rPr>
        <w:t>Our condensed consolidated balance sheets included $132.3 million and $121.2 million of “other liabilities” as of June 30, 2018 and March 31, 2018, respectively, which primarily consisted of the long-term portion of deferred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7" w:name="page48"/>
    <w:bookmarkEnd w:id="47"/>
    <w:p>
      <w:pPr>
        <w:ind w:right="120"/>
        <w:spacing w:after="0" w:line="236" w:lineRule="auto"/>
        <w:rPr>
          <w:sz w:val="20"/>
          <w:szCs w:val="20"/>
          <w:color w:val="auto"/>
        </w:rPr>
      </w:pPr>
      <w:r>
        <w:rPr>
          <w:rFonts w:ascii="Arial" w:cs="Arial" w:eastAsia="Arial" w:hAnsi="Arial"/>
          <w:sz w:val="18"/>
          <w:szCs w:val="18"/>
          <w:color w:val="auto"/>
        </w:rPr>
        <w:t>long-term portion of our satellite performance incentive obligations relating to the ViaSat-1 and ViaSat-2 satellites, our long-term warranty obligations, the long-term portion of deferred rent and long-term deferred income taxes. With the exception of the long-term portion of our satellite performance incentive obligations relating to the ViaSat-1 and ViaSat-2 satellites (which is included under “Satellite performance incentive obligations”), these remaining liabilities have been excluded from the above table as the timing and/or the amount of any cash payment is uncertain. See Note 11 to our consolidated financial statements included in our Annual Report on Form 10-K for the year ended March 31, 2018 for additional information regarding satellite performance incentive obligations relating to the ViaSat-1 and ViaSat-2 satellites.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right="280" w:firstLine="518"/>
        <w:spacing w:after="0"/>
        <w:rPr>
          <w:sz w:val="20"/>
          <w:szCs w:val="20"/>
          <w:color w:val="auto"/>
        </w:rPr>
      </w:pPr>
      <w:r>
        <w:rPr>
          <w:rFonts w:ascii="Arial" w:cs="Arial" w:eastAsia="Arial" w:hAnsi="Arial"/>
          <w:sz w:val="18"/>
          <w:szCs w:val="18"/>
          <w:color w:val="auto"/>
        </w:rPr>
        <w:t>We had no material off-balance sheet arrangements at June 30, 2018 as defined in Regulation S-K Item 303(a)(4) other than as discussed under Contractual Obligations above or disclosed in the notes to our consolidated financial statements included in this report or in our Annual Report on Form 10-K for the year ended March 31,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85"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to our condensed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and the 2025 Notes, and foreign currency forward contracts. We consider investments in highly liquid instruments purchased with a remaining maturity of three months or less at the date of purchase to be cash equivalents. As of June 30, 2018, we had $115.0 million in principal amount of outstanding borrowings under our Revolving Credit Facility, $339.8 million in principal amount of outstanding borrowings under our Ex-Im Credit Facility, and $700.0 million in aggregate principal amount outstanding of the 2025 Notes, and we held no short-term investments. Our 2025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54"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months ended June 30, 2018 and 2017.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As of June 30, 2018, we had $115.0 million in principal amount of outstanding borrowings under our Revolving Credit Facility. Our primary interest rate under the Revolving Credit Facility is the Eurodollar rate plus an applicable margin that is based on our total leverage ratio. At June 30, 2018, the weighted average effective interest rate on our outstanding borrowings under the Revolving Credit Facility was 4.56%. Assuming the outstanding balance remained constant over a year, a 50 basis point increase in the interest rate would increase interest incurred, prior to effects of capitalized interest, by an insignificant amount over a twelve-month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Foreign Exchange Risk</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The closing of our strategic partnering arrangement with Eutelsat during the fourth quarter of fiscal year 2017 and related investment in Euro Broadband Infrastructure Sàrl, which is denominated in Euros, increases our exposure to foreign currency risk. A five percent variance in foreign currencies in which our international business is conducted would change our loss before income taxes by an insignificant amount.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54"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As of June 30, 2018, we had a number of foreign currency forward contracts outstanding which are intended to reduce the foreign currency risk for amounts payable to vendors in Euros. The foreign currency forward contracts with a notional amount of $6.5 million had an insignificant amount of fair value recorded in accrued liabilities as of June 30, 2018. If the foreign currency forward rate for the Euro to the U.S. dollar on these foreign currency forward contracts had changed by 10%, the fair value of these foreign currency forward contracts as of June 30, 2018 would have changed by an insignificant amount.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June 30, 2018, the end of the period covered by this report. Based upon the foregoing, our Chief Executive Officer and Chief Financial Officer concluded that our disclosure controls and procedures were effective at a reasonable assurance level as of June 30, 2018.</w:t>
      </w:r>
    </w:p>
    <w:p>
      <w:pPr>
        <w:spacing w:after="0" w:line="148" w:lineRule="exact"/>
        <w:rPr>
          <w:sz w:val="20"/>
          <w:szCs w:val="20"/>
          <w:color w:val="auto"/>
        </w:rPr>
      </w:pPr>
    </w:p>
    <w:p>
      <w:pPr>
        <w:ind w:right="560" w:firstLine="518"/>
        <w:spacing w:after="0" w:line="24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5"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2018,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ind w:left="260"/>
              <w:spacing w:after="0"/>
              <w:rPr>
                <w:sz w:val="20"/>
                <w:szCs w:val="20"/>
                <w:color w:val="auto"/>
              </w:rPr>
            </w:pPr>
            <w:r>
              <w:rPr>
                <w:rFonts w:ascii="Arial" w:cs="Arial" w:eastAsia="Arial" w:hAnsi="Arial"/>
                <w:sz w:val="12"/>
                <w:szCs w:val="12"/>
                <w:b w:val="1"/>
                <w:bCs w:val="1"/>
                <w:color w:val="auto"/>
              </w:rPr>
              <w:t>Incorporated by Reference</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9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560" w:type="dxa"/>
            <w:vAlign w:val="bottom"/>
            <w:tcBorders>
              <w:bottom w:val="single" w:sz="8" w:color="auto"/>
            </w:tcBorders>
            <w:gridSpan w:val="10"/>
          </w:tcPr>
          <w:p>
            <w:pPr>
              <w:ind w:left="1120"/>
              <w:spacing w:after="0"/>
              <w:rPr>
                <w:sz w:val="20"/>
                <w:szCs w:val="20"/>
                <w:color w:val="auto"/>
              </w:rPr>
            </w:pPr>
            <w:r>
              <w:rPr>
                <w:rFonts w:ascii="Arial" w:cs="Arial" w:eastAsia="Arial" w:hAnsi="Arial"/>
                <w:sz w:val="12"/>
                <w:szCs w:val="12"/>
                <w:b w:val="1"/>
                <w:bCs w:val="1"/>
                <w:color w:val="auto"/>
              </w:rPr>
              <w:t>Exhibit Description</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Form</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File No.</w:t>
            </w:r>
          </w:p>
        </w:tc>
        <w:tc>
          <w:tcPr>
            <w:tcW w:w="140" w:type="dxa"/>
            <w:vAlign w:val="bottom"/>
          </w:tcPr>
          <w:p>
            <w:pPr>
              <w:spacing w:after="0"/>
              <w:rPr>
                <w:sz w:val="13"/>
                <w:szCs w:val="13"/>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Filing Date</w:t>
            </w:r>
          </w:p>
        </w:tc>
        <w:tc>
          <w:tcPr>
            <w:tcW w:w="0" w:type="dxa"/>
            <w:vAlign w:val="bottom"/>
          </w:tcPr>
          <w:p>
            <w:pPr>
              <w:spacing w:after="0"/>
              <w:rPr>
                <w:sz w:val="1"/>
                <w:szCs w:val="1"/>
                <w:color w:val="auto"/>
              </w:rPr>
            </w:pPr>
          </w:p>
        </w:tc>
      </w:tr>
      <w:tr>
        <w:trPr>
          <w:trHeight w:val="213"/>
        </w:trPr>
        <w:tc>
          <w:tcPr>
            <w:tcW w:w="960" w:type="dxa"/>
            <w:vAlign w:val="bottom"/>
          </w:tcPr>
          <w:p>
            <w:pPr>
              <w:ind w:left="2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5820" w:type="dxa"/>
            <w:vAlign w:val="bottom"/>
            <w:tcBorders>
              <w:bottom w:val="single" w:sz="8" w:color="0000EE"/>
            </w:tcBorders>
            <w:gridSpan w:val="13"/>
          </w:tcPr>
          <w:p>
            <w:pPr>
              <w:spacing w:after="0"/>
              <w:rPr>
                <w:rFonts w:ascii="Arial" w:cs="Arial" w:eastAsia="Arial" w:hAnsi="Arial"/>
                <w:sz w:val="16"/>
                <w:szCs w:val="16"/>
                <w:color w:val="0000EE"/>
              </w:rPr>
            </w:pPr>
            <w:hyperlink r:id="rId86">
              <w:r>
                <w:rPr>
                  <w:rFonts w:ascii="Arial" w:cs="Arial" w:eastAsia="Arial" w:hAnsi="Arial"/>
                  <w:sz w:val="16"/>
                  <w:szCs w:val="16"/>
                  <w:color w:val="0000EE"/>
                </w:rPr>
                <w:t>Third Amendment to Credit Agreement, dated as of May 24, 2018, by and among</w:t>
              </w:r>
            </w:hyperlink>
          </w:p>
        </w:tc>
        <w:tc>
          <w:tcPr>
            <w:tcW w:w="140" w:type="dxa"/>
            <w:vAlign w:val="bottom"/>
            <w:gridSpan w:val="2"/>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10-K</w:t>
            </w:r>
          </w:p>
        </w:tc>
        <w:tc>
          <w:tcPr>
            <w:tcW w:w="110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10.10.3</w:t>
            </w: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05/30/2018</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tcBorders>
              <w:bottom w:val="single" w:sz="8" w:color="0000EE"/>
            </w:tcBorders>
            <w:gridSpan w:val="9"/>
          </w:tcPr>
          <w:p>
            <w:pPr>
              <w:spacing w:after="0" w:line="169" w:lineRule="exact"/>
              <w:rPr>
                <w:rFonts w:ascii="Arial" w:cs="Arial" w:eastAsia="Arial" w:hAnsi="Arial"/>
                <w:sz w:val="16"/>
                <w:szCs w:val="16"/>
                <w:color w:val="0000EE"/>
              </w:rPr>
            </w:pPr>
            <w:hyperlink r:id="rId86">
              <w:r>
                <w:rPr>
                  <w:rFonts w:ascii="Arial" w:cs="Arial" w:eastAsia="Arial" w:hAnsi="Arial"/>
                  <w:sz w:val="16"/>
                  <w:szCs w:val="16"/>
                  <w:color w:val="0000EE"/>
                </w:rPr>
                <w:t>Viasat Inc., MUFG Union Bank, N.A. (as agent) and the other lenders party</w:t>
              </w:r>
            </w:hyperlink>
          </w:p>
        </w:tc>
        <w:tc>
          <w:tcPr>
            <w:tcW w:w="580" w:type="dxa"/>
            <w:vAlign w:val="bottom"/>
            <w:gridSpan w:val="6"/>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0000EE"/>
            </w:tcBorders>
            <w:gridSpan w:val="2"/>
          </w:tcPr>
          <w:p>
            <w:pPr>
              <w:spacing w:after="0" w:line="169" w:lineRule="exact"/>
              <w:rPr>
                <w:rFonts w:ascii="Arial" w:cs="Arial" w:eastAsia="Arial" w:hAnsi="Arial"/>
                <w:sz w:val="16"/>
                <w:szCs w:val="16"/>
                <w:color w:val="0000EE"/>
                <w:w w:val="96"/>
              </w:rPr>
            </w:pPr>
            <w:hyperlink r:id="rId86">
              <w:r>
                <w:rPr>
                  <w:rFonts w:ascii="Arial" w:cs="Arial" w:eastAsia="Arial" w:hAnsi="Arial"/>
                  <w:sz w:val="16"/>
                  <w:szCs w:val="16"/>
                  <w:color w:val="0000EE"/>
                  <w:w w:val="96"/>
                </w:rPr>
                <w:t>thereto</w:t>
              </w:r>
            </w:hyperlink>
          </w:p>
        </w:tc>
        <w:tc>
          <w:tcPr>
            <w:tcW w:w="5460" w:type="dxa"/>
            <w:vAlign w:val="bottom"/>
            <w:gridSpan w:val="13"/>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5360" w:type="dxa"/>
            <w:vAlign w:val="bottom"/>
            <w:tcBorders>
              <w:bottom w:val="single" w:sz="8" w:color="0000EE"/>
            </w:tcBorders>
            <w:gridSpan w:val="8"/>
          </w:tcPr>
          <w:p>
            <w:pPr>
              <w:spacing w:after="0"/>
              <w:rPr>
                <w:rFonts w:ascii="Arial" w:cs="Arial" w:eastAsia="Arial" w:hAnsi="Arial"/>
                <w:sz w:val="16"/>
                <w:szCs w:val="16"/>
                <w:color w:val="0000EE"/>
              </w:rPr>
            </w:pPr>
            <w:hyperlink r:id="rId87">
              <w:r>
                <w:rPr>
                  <w:rFonts w:ascii="Arial" w:cs="Arial" w:eastAsia="Arial" w:hAnsi="Arial"/>
                  <w:sz w:val="16"/>
                  <w:szCs w:val="16"/>
                  <w:color w:val="0000EE"/>
                </w:rPr>
                <w:t>Fourth Amendment to Credit Agreement, dated as of July 17, 2018, by and</w:t>
              </w:r>
            </w:hyperlink>
          </w:p>
        </w:tc>
        <w:tc>
          <w:tcPr>
            <w:tcW w:w="60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8-K</w:t>
            </w:r>
          </w:p>
        </w:tc>
        <w:tc>
          <w:tcPr>
            <w:tcW w:w="110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000-21767</w:t>
            </w:r>
          </w:p>
        </w:tc>
        <w:tc>
          <w:tcPr>
            <w:tcW w:w="740" w:type="dxa"/>
            <w:vAlign w:val="bottom"/>
            <w:gridSpan w:val="2"/>
          </w:tcPr>
          <w:p>
            <w:pPr>
              <w:jc w:val="right"/>
              <w:ind w:right="82"/>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07/23/2018</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r:id="rId87">
              <w:r>
                <w:rPr>
                  <w:rFonts w:ascii="Arial" w:cs="Arial" w:eastAsia="Arial" w:hAnsi="Arial"/>
                  <w:sz w:val="16"/>
                  <w:szCs w:val="16"/>
                  <w:color w:val="0000EE"/>
                </w:rPr>
                <w:t>among Viasat Technologies Limited, Viasat, Inc., JPMorgan Chase Bank,</w:t>
              </w:r>
            </w:hyperlink>
          </w:p>
        </w:tc>
        <w:tc>
          <w:tcPr>
            <w:tcW w:w="720" w:type="dxa"/>
            <w:vAlign w:val="bottom"/>
            <w:gridSpan w:val="9"/>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60" w:type="dxa"/>
            <w:vAlign w:val="bottom"/>
            <w:tcBorders>
              <w:bottom w:val="single" w:sz="8" w:color="0000EE"/>
            </w:tcBorders>
            <w:gridSpan w:val="12"/>
          </w:tcPr>
          <w:p>
            <w:pPr>
              <w:spacing w:after="0" w:line="169" w:lineRule="exact"/>
              <w:rPr>
                <w:rFonts w:ascii="Arial" w:cs="Arial" w:eastAsia="Arial" w:hAnsi="Arial"/>
                <w:sz w:val="16"/>
                <w:szCs w:val="16"/>
                <w:color w:val="0000EE"/>
              </w:rPr>
            </w:pPr>
            <w:hyperlink r:id="rId87">
              <w:r>
                <w:rPr>
                  <w:rFonts w:ascii="Arial" w:cs="Arial" w:eastAsia="Arial" w:hAnsi="Arial"/>
                  <w:sz w:val="16"/>
                  <w:szCs w:val="16"/>
                  <w:color w:val="0000EE"/>
                </w:rPr>
                <w:t>National Association (as Ex-Im Facility Agent) and the Export-Import Bank of the</w:t>
              </w:r>
            </w:hyperlink>
          </w:p>
        </w:tc>
        <w:tc>
          <w:tcPr>
            <w:tcW w:w="20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60" w:type="dxa"/>
            <w:vAlign w:val="bottom"/>
            <w:gridSpan w:val="15"/>
          </w:tcPr>
          <w:p>
            <w:pPr>
              <w:spacing w:after="0" w:line="169" w:lineRule="exact"/>
              <w:rPr>
                <w:rFonts w:ascii="Arial" w:cs="Arial" w:eastAsia="Arial" w:hAnsi="Arial"/>
                <w:sz w:val="16"/>
                <w:szCs w:val="16"/>
                <w:color w:val="0000EE"/>
              </w:rPr>
            </w:pPr>
            <w:hyperlink r:id="rId87">
              <w:r>
                <w:rPr>
                  <w:rFonts w:ascii="Arial" w:cs="Arial" w:eastAsia="Arial" w:hAnsi="Arial"/>
                  <w:sz w:val="16"/>
                  <w:szCs w:val="16"/>
                  <w:color w:val="0000EE"/>
                </w:rPr>
                <w:t>United States</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5740" w:type="dxa"/>
            <w:vAlign w:val="bottom"/>
            <w:tcBorders>
              <w:bottom w:val="single" w:sz="8" w:color="0000EE"/>
            </w:tcBorders>
            <w:gridSpan w:val="11"/>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Certification of Chief Executive Officer Pursuant to Section 302 of the Sarbanes-</w:t>
              </w:r>
            </w:hyperlink>
          </w:p>
        </w:tc>
        <w:tc>
          <w:tcPr>
            <w:tcW w:w="22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0000EE"/>
            </w:tcBorders>
            <w:gridSpan w:val="4"/>
          </w:tcPr>
          <w:p>
            <w:pPr>
              <w:spacing w:after="0" w:line="169" w:lineRule="exact"/>
              <w:rPr>
                <w:rFonts w:ascii="Arial" w:cs="Arial" w:eastAsia="Arial" w:hAnsi="Arial"/>
                <w:sz w:val="16"/>
                <w:szCs w:val="16"/>
                <w:color w:val="0000EE"/>
                <w:w w:val="99"/>
              </w:rPr>
            </w:pPr>
            <w:hyperlink w:anchor="page52">
              <w:r>
                <w:rPr>
                  <w:rFonts w:ascii="Arial" w:cs="Arial" w:eastAsia="Arial" w:hAnsi="Arial"/>
                  <w:sz w:val="16"/>
                  <w:szCs w:val="16"/>
                  <w:color w:val="0000EE"/>
                  <w:w w:val="99"/>
                </w:rPr>
                <w:t>Oxley Act of 2002</w:t>
              </w:r>
            </w:hyperlink>
          </w:p>
        </w:tc>
        <w:tc>
          <w:tcPr>
            <w:tcW w:w="4680" w:type="dxa"/>
            <w:vAlign w:val="bottom"/>
            <w:gridSpan w:val="11"/>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2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5960" w:type="dxa"/>
            <w:vAlign w:val="bottom"/>
            <w:gridSpan w:val="15"/>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Certification of Chief Financial Officer Pursuant to Section 302 of the Sarbanes-</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w w:val="99"/>
              </w:rPr>
            </w:pPr>
            <w:hyperlink w:anchor="page53">
              <w:r>
                <w:rPr>
                  <w:rFonts w:ascii="Arial" w:cs="Arial" w:eastAsia="Arial" w:hAnsi="Arial"/>
                  <w:sz w:val="16"/>
                  <w:szCs w:val="16"/>
                  <w:color w:val="0000EE"/>
                  <w:w w:val="99"/>
                </w:rPr>
                <w:t>Oxley Act of 2002</w:t>
              </w:r>
            </w:hyperlink>
          </w:p>
        </w:tc>
        <w:tc>
          <w:tcPr>
            <w:tcW w:w="4400" w:type="dxa"/>
            <w:vAlign w:val="bottom"/>
            <w:tcBorders>
              <w:top w:val="single" w:sz="8" w:color="0000EE"/>
            </w:tcBorders>
            <w:gridSpan w:val="6"/>
          </w:tcPr>
          <w:p>
            <w:pPr>
              <w:spacing w:after="0"/>
              <w:rPr>
                <w:sz w:val="14"/>
                <w:szCs w:val="14"/>
                <w:color w:val="auto"/>
              </w:rPr>
            </w:pPr>
          </w:p>
        </w:tc>
        <w:tc>
          <w:tcPr>
            <w:tcW w:w="280" w:type="dxa"/>
            <w:vAlign w:val="bottom"/>
            <w:gridSpan w:val="5"/>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5960" w:type="dxa"/>
            <w:vAlign w:val="bottom"/>
            <w:gridSpan w:val="15"/>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Certifications Pursuant to 18 U.S.C. Section 1350, as Adopted Pursuant to</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w:anchor="page54">
              <w:r>
                <w:rPr>
                  <w:rFonts w:ascii="Arial" w:cs="Arial" w:eastAsia="Arial" w:hAnsi="Arial"/>
                  <w:sz w:val="16"/>
                  <w:szCs w:val="16"/>
                  <w:color w:val="0000EE"/>
                </w:rPr>
                <w:t>Section 906 of the Sarbanes-Oxley Act of 2002</w:t>
              </w:r>
            </w:hyperlink>
          </w:p>
        </w:tc>
        <w:tc>
          <w:tcPr>
            <w:tcW w:w="1900" w:type="dxa"/>
            <w:vAlign w:val="bottom"/>
            <w:tcBorders>
              <w:top w:val="single" w:sz="8" w:color="0000EE"/>
            </w:tcBorders>
            <w:gridSpan w:val="2"/>
          </w:tcPr>
          <w:p>
            <w:pPr>
              <w:spacing w:after="0"/>
              <w:rPr>
                <w:sz w:val="14"/>
                <w:szCs w:val="14"/>
                <w:color w:val="auto"/>
              </w:rPr>
            </w:pPr>
          </w:p>
        </w:tc>
        <w:tc>
          <w:tcPr>
            <w:tcW w:w="640" w:type="dxa"/>
            <w:vAlign w:val="bottom"/>
            <w:gridSpan w:val="8"/>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960" w:type="dxa"/>
            <w:vAlign w:val="bottom"/>
          </w:tcPr>
          <w:p>
            <w:pPr>
              <w:ind w:left="140"/>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Arial" w:cs="Arial" w:eastAsia="Arial" w:hAnsi="Arial"/>
                <w:sz w:val="16"/>
                <w:szCs w:val="16"/>
                <w:color w:val="auto"/>
              </w:rPr>
              <w:t>XBRL Instance Document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Arial" w:cs="Arial" w:eastAsia="Arial" w:hAnsi="Arial"/>
                <w:sz w:val="16"/>
                <w:szCs w:val="16"/>
                <w:color w:val="auto"/>
              </w:rPr>
              <w:t>XBRL Taxonomy Extension Schema</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Arial" w:cs="Arial" w:eastAsia="Arial" w:hAnsi="Arial"/>
                <w:sz w:val="16"/>
                <w:szCs w:val="16"/>
                <w:color w:val="auto"/>
              </w:rPr>
              <w:t>XBRL Taxonomy Extension Calculation Linkbase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Arial" w:cs="Arial" w:eastAsia="Arial" w:hAnsi="Arial"/>
                <w:sz w:val="16"/>
                <w:szCs w:val="16"/>
                <w:color w:val="auto"/>
              </w:rPr>
              <w:t>XBRL Taxonomy Extension Definition Linkbase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Arial" w:cs="Arial" w:eastAsia="Arial" w:hAnsi="Arial"/>
                <w:sz w:val="16"/>
                <w:szCs w:val="16"/>
                <w:color w:val="auto"/>
              </w:rPr>
              <w:t>XBRL Taxonomy Extension Labels Linkbase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Arial" w:cs="Arial" w:eastAsia="Arial" w:hAnsi="Arial"/>
                <w:sz w:val="16"/>
                <w:szCs w:val="16"/>
                <w:color w:val="auto"/>
              </w:rPr>
              <w:t>XBRL Taxonomy Extension Presentation Linkbase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jc w:val="center"/>
        <w:spacing w:after="0" w:line="281" w:lineRule="auto"/>
        <w:rPr>
          <w:sz w:val="20"/>
          <w:szCs w:val="20"/>
          <w:color w:val="auto"/>
        </w:rPr>
      </w:pPr>
      <w:r>
        <w:rPr>
          <w:rFonts w:ascii="Arial" w:cs="Arial" w:eastAsia="Arial" w:hAnsi="Arial"/>
          <w:sz w:val="10"/>
          <w:szCs w:val="10"/>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-6350</wp:posOffset>
            </wp:positionV>
            <wp:extent cx="4203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3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X</w:t>
      </w:r>
    </w:p>
    <w:p>
      <w:pPr>
        <w:spacing w:after="0" w:line="210" w:lineRule="exact"/>
        <w:rPr>
          <w:sz w:val="20"/>
          <w:szCs w:val="20"/>
          <w:color w:val="auto"/>
        </w:rPr>
      </w:pPr>
    </w:p>
    <w:p>
      <w:pPr>
        <w:sectPr>
          <w:pgSz w:w="11900" w:h="16838" w:orient="portrait"/>
          <w:cols w:equalWidth="0" w:num="2">
            <w:col w:w="10620" w:space="200"/>
            <w:col w:w="520"/>
          </w:cols>
          <w:pgMar w:left="240" w:top="319" w:right="31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19" w:right="319" w:bottom="1440" w:gutter="0" w:footer="0" w:header="0"/>
          <w:type w:val="continuous"/>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August 9, 2018</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-1905</wp:posOffset>
            </wp:positionV>
            <wp:extent cx="35502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Mark Dankberg</w:t>
      </w:r>
    </w:p>
    <w:p>
      <w:pPr>
        <w:ind w:left="5820"/>
        <w:spacing w:after="0" w:line="234" w:lineRule="auto"/>
        <w:rPr>
          <w:sz w:val="20"/>
          <w:szCs w:val="20"/>
          <w:color w:val="auto"/>
        </w:rPr>
      </w:pPr>
      <w:r>
        <w:rPr>
          <w:rFonts w:ascii="Arial" w:cs="Arial" w:eastAsia="Arial" w:hAnsi="Arial"/>
          <w:sz w:val="18"/>
          <w:szCs w:val="18"/>
          <w:color w:val="auto"/>
        </w:rPr>
        <w:t>Chairman of the Board and Chief Executive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-1905</wp:posOffset>
            </wp:positionV>
            <wp:extent cx="35502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Shawn Duffy</w:t>
      </w:r>
    </w:p>
    <w:p>
      <w:pPr>
        <w:ind w:left="58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19" w:right="2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160" w:hanging="512"/>
        <w:spacing w:after="0" w:line="27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120" w:hanging="512"/>
        <w:spacing w:after="0" w:line="23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1040" w:right="100" w:hanging="519"/>
        <w:spacing w:after="0"/>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40" w:right="440" w:hanging="519"/>
        <w:spacing w:after="0"/>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40" w:right="180" w:hanging="519"/>
        <w:spacing w:after="0"/>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1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40" w:right="300" w:hanging="519"/>
        <w:spacing w:after="0" w:line="246"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w:t>
      </w:r>
      <w:r>
        <w:rPr>
          <w:rFonts w:ascii="Arial" w:cs="Arial" w:eastAsia="Arial" w:hAnsi="Arial"/>
          <w:sz w:val="12"/>
          <w:szCs w:val="12"/>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3"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CERTIFICATION OF CHIEF FINANCIAL OFFICER PURSUANT</w:t>
      </w:r>
    </w:p>
    <w:p>
      <w:pPr>
        <w:ind w:left="32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160" w:hanging="512"/>
        <w:spacing w:after="0" w:line="275"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120" w:hanging="512"/>
        <w:spacing w:after="0" w:line="23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1040" w:right="100" w:hanging="519"/>
        <w:spacing w:after="0"/>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40" w:right="440" w:hanging="519"/>
        <w:spacing w:after="0"/>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40" w:right="180" w:hanging="519"/>
        <w:spacing w:after="0"/>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1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40" w:right="300" w:hanging="519"/>
        <w:spacing w:after="0" w:line="246"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3"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40" w:right="6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2018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40" w:right="160" w:hanging="519"/>
        <w:spacing w:after="0" w:line="246"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40" w:right="6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2018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40" w:right="16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86" Type="http://schemas.openxmlformats.org/officeDocument/2006/relationships/hyperlink" Target="http://www.sec.gov/Archives/edgar/data/797721/000156459018014641/vsat-ex10103_745.htm" TargetMode="External"/><Relationship Id="rId87" Type="http://schemas.openxmlformats.org/officeDocument/2006/relationships/hyperlink" Target="http://www.sec.gov/Archives/edgar/data/797721/000119312518223698/d54898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2019-12-28T19:45:28Z</dcterms:created>
  <dcterms:modified xsi:type="dcterms:W3CDTF">2019-12-28T19:45:28Z</dcterms:modified>
</cp:coreProperties>
</file>