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51231.htm"/>
      <w:bookmarkStart w:id="1" w:name="ksvsat20251231"/>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Arial" w:hAnsi="Arial"/>
          <w:color w:val="000000"/>
          <w:sz w:val="16"/>
        </w:rPr>
      </w:pPr>
      <w:r>
        <w:rPr>
          <w:rFonts w:ascii="Arial" w:hAnsi="Arial"/>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December 31, 2025.</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Arial" w:hAnsi="Arial"/>
          <w:color w:val="000000"/>
          <w:sz w:val="18"/>
        </w:rPr>
      </w:pPr>
      <w:r>
        <w:rPr>
          <w:rFonts w:ascii="Arial" w:hAnsi="Arial"/>
          <w:color w:val="000000"/>
          <w:sz w:val="18"/>
        </w:rPr>
        <w:t>The number of shares outstanding of the registrant’s common stock, $0.0001 par value, as of January 23, 2026 was 135,831,401.</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balance_sheets">
              <w:r>
                <w:rPr>
                  <w:rStyle w:val="InternetLink"/>
                  <w:rFonts w:ascii="Arial" w:hAnsi="Arial"/>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operat">
              <w:r>
                <w:rPr>
                  <w:rStyle w:val="InternetLink"/>
                  <w:rFonts w:ascii="Arial" w:hAnsi="Arial"/>
                  <w:color w:val="0000FF"/>
                  <w:sz w:val="20"/>
                  <w:u w:val="single"/>
                </w:rPr>
                <w:t>Condensed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_equity">
              <w:r>
                <w:rPr>
                  <w:rStyle w:val="InternetLink"/>
                  <w:rFonts w:ascii="Arial" w:hAnsi="Arial"/>
                  <w:color w:val="0000FF"/>
                  <w:sz w:val="20"/>
                  <w:u w:val="single"/>
                </w:rPr>
                <w:t>Condensed Consolidated Statements of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ncia">
              <w:r>
                <w:rPr>
                  <w:rStyle w:val="InternetLink"/>
                  <w:rFonts w:ascii="Arial" w:hAnsi="Arial"/>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520" w:type="dxa"/>
        <w:jc w:val="left"/>
        <w:tblInd w:w="0" w:type="dxa"/>
        <w:tblLayout w:type="fixed"/>
        <w:tblCellMar>
          <w:top w:w="28" w:type="dxa"/>
          <w:left w:w="28" w:type="dxa"/>
          <w:bottom w:w="28" w:type="dxa"/>
          <w:right w:w="28" w:type="dxa"/>
        </w:tblCellMar>
      </w:tblPr>
      <w:tblGrid>
        <w:gridCol w:w="4646"/>
        <w:gridCol w:w="146"/>
        <w:gridCol w:w="267"/>
        <w:gridCol w:w="1353"/>
        <w:gridCol w:w="166"/>
        <w:gridCol w:w="146"/>
        <w:gridCol w:w="215"/>
        <w:gridCol w:w="1090"/>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699,552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2,648,909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7,299,465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7,405,664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416,490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2,270,777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845,778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14,911,274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908,529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1,676,654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3,652,882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2,879,402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2,357,319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2,181,153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10,280,531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10,804,224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Commitments and contingencies</w:t>
            </w:r>
            <w:r>
              <w:rPr>
                <w:rFonts w:ascii="Times New Roman" w:hAnsi="Times New Roman"/>
                <w:color w:val="000000"/>
                <w:sz w:val="20"/>
              </w:rPr>
              <w:t> </w:t>
            </w:r>
            <w:r>
              <w:rPr>
                <w:rFonts w:ascii="Arial" w:hAnsi="Arial"/>
                <w:b/>
                <w:color w:val="000000"/>
                <w:sz w:val="20"/>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4,926,259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(325,530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Viasat,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4,553,831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in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90,729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4,630,743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4,644,560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14,911,274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5"/>
        <w:gridCol w:w="146"/>
        <w:gridCol w:w="220"/>
        <w:gridCol w:w="1003"/>
        <w:gridCol w:w="166"/>
        <w:gridCol w:w="146"/>
        <w:gridCol w:w="220"/>
        <w:gridCol w:w="1003"/>
        <w:gridCol w:w="166"/>
        <w:gridCol w:w="146"/>
        <w:gridCol w:w="220"/>
        <w:gridCol w:w="1003"/>
        <w:gridCol w:w="166"/>
        <w:gridCol w:w="146"/>
        <w:gridCol w:w="220"/>
        <w:gridCol w:w="1003"/>
        <w:gridCol w:w="496"/>
      </w:tblGrid>
      <w:tr>
        <w:trPr/>
        <w:tc>
          <w:tcPr>
            <w:tcW w:w="3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Nine Months Ended</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2024</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per share data)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2,470,698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2,428,405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944,084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3,468,992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3,372,489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1,579,925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1,575,978</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671,872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761,594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108,654</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198,086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56,305</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64,396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(315,592</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(99,814</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(304,681</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income (loss) of unconsolidated affiliate,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9,592</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(290,390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net income (loss) attributable to noncontrolling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38,519</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(328,909</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net income (loss) per share attributable to Viasat,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net income (loss) per share attributable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127,968</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127,968</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(290,390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(22,203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hedging,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(37,747</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(328,137</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comprehensive income (loss) attributable to noncontrolling interest,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(366,656</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8"/>
        <w:gridCol w:w="146"/>
        <w:gridCol w:w="245"/>
        <w:gridCol w:w="1117"/>
        <w:gridCol w:w="166"/>
        <w:gridCol w:w="146"/>
        <w:gridCol w:w="238"/>
        <w:gridCol w:w="1155"/>
        <w:gridCol w:w="914"/>
      </w:tblGrid>
      <w:tr>
        <w:trPr/>
        <w:tc>
          <w:tcPr>
            <w:tcW w:w="6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(290,390</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779,675</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243,950</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63,468</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99,814</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(88,707</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52,934</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 (decrease) in cash resulting from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(11,158</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2,027</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(6,889</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(67,269</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(165,366</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609,744</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property, equipment and satellites,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(782,459</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insurance claims on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240,000</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17,577</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(524,882</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(2,376,734</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(36,284</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Distributions to minority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common stock in treasury (immediately retired) related to tax withholdings for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9,657</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(2,319</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(435,888</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(344,544</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1,901,033</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1,556,489</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expenditures not paid for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Right-of-use assets obtained in exchange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145,625</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76,423</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in satisfaction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28,063</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9"/>
        <w:gridCol w:w="146"/>
        <w:gridCol w:w="146"/>
        <w:gridCol w:w="871"/>
        <w:gridCol w:w="146"/>
        <w:gridCol w:w="146"/>
        <w:gridCol w:w="181"/>
        <w:gridCol w:w="346"/>
        <w:gridCol w:w="146"/>
        <w:gridCol w:w="146"/>
        <w:gridCol w:w="181"/>
        <w:gridCol w:w="721"/>
        <w:gridCol w:w="151"/>
        <w:gridCol w:w="146"/>
        <w:gridCol w:w="198"/>
        <w:gridCol w:w="707"/>
        <w:gridCol w:w="151"/>
        <w:gridCol w:w="146"/>
        <w:gridCol w:w="213"/>
        <w:gridCol w:w="673"/>
        <w:gridCol w:w="151"/>
        <w:gridCol w:w="146"/>
        <w:gridCol w:w="211"/>
        <w:gridCol w:w="615"/>
        <w:gridCol w:w="146"/>
        <w:gridCol w:w="146"/>
        <w:gridCol w:w="181"/>
        <w:gridCol w:w="721"/>
        <w:gridCol w:w="198"/>
      </w:tblGrid>
      <w:tr>
        <w:trPr/>
        <w:tc>
          <w:tcPr>
            <w:tcW w:w="2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Three Months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135,255,822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4,994,269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(443,408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4,573,035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27,015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27,015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and PSU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493,217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(8,523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24,968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37,496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971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135,793,619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5,013,510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(418,440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(26,144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4,630,743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Three Months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128,394,327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4,878,615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78,936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5,009,480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23,298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724,680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(2,813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(158,413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(146,907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(36,929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(36,929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129,119,007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4,899,100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(79,477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(59,015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4,846,129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5"/>
        <w:gridCol w:w="146"/>
        <w:gridCol w:w="146"/>
        <w:gridCol w:w="871"/>
        <w:gridCol w:w="146"/>
        <w:gridCol w:w="146"/>
        <w:gridCol w:w="181"/>
        <w:gridCol w:w="346"/>
        <w:gridCol w:w="146"/>
        <w:gridCol w:w="146"/>
        <w:gridCol w:w="181"/>
        <w:gridCol w:w="721"/>
        <w:gridCol w:w="151"/>
        <w:gridCol w:w="146"/>
        <w:gridCol w:w="198"/>
        <w:gridCol w:w="707"/>
        <w:gridCol w:w="151"/>
        <w:gridCol w:w="146"/>
        <w:gridCol w:w="213"/>
        <w:gridCol w:w="673"/>
        <w:gridCol w:w="151"/>
        <w:gridCol w:w="146"/>
        <w:gridCol w:w="198"/>
        <w:gridCol w:w="628"/>
        <w:gridCol w:w="151"/>
        <w:gridCol w:w="146"/>
        <w:gridCol w:w="181"/>
        <w:gridCol w:w="721"/>
        <w:gridCol w:w="197"/>
      </w:tblGrid>
      <w:tr>
        <w:trPr/>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Nine Months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130,210,407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4,926,259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(325,530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4,644,560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66,061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Shares issued in settlement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3,125,378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27,784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and PSU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1,468,625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(15,147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Distributions declared to minority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(59,695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30,855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(62,055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20,767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20,767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135,793,619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5,013,510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(418,440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(26,144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61,803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4,630,743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Nine Months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125,849,088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4,797,253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249,432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5,072,504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561,888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69,335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69,335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Shares issued in settlement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28,063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952,957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(5,208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(328,909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(290,390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(37,747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(37,747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129,119,007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4,899,100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(79,477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(59,015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85,508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4,846,129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color w:val="000000"/>
          <w:sz w:val="20"/>
        </w:rPr>
      </w:pPr>
      <w:r>
        <w:rPr>
          <w:rFonts w:ascii="Arial" w:hAnsi="Arial"/>
          <w:color w:val="000000"/>
          <w:sz w:val="20"/>
        </w:rPr>
        <w:t>The accompanying condensed consolidated balance sheet at December 31, 2025, the condensed consolidated statements of operations and comprehensive income (loss) for the three and nine months ended December 31, 2025 and 2024, the condensed consolidated statements of cash flows for the nine months ended December 31, 2025 and 2024 and the condensed consolidated statements of equity for the three and nine months ended December 31, 2025 and 2024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color w:val="000000"/>
          <w:sz w:val="20"/>
        </w:rPr>
      </w:pPr>
      <w:r>
        <w:rPr>
          <w:rFonts w:ascii="Arial" w:hAnsi="Arial"/>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condensed consolidated balance sheets.</w:t>
      </w:r>
    </w:p>
    <w:p>
      <w:pPr>
        <w:pStyle w:val="TextBody"/>
        <w:bidi w:val="0"/>
        <w:spacing w:before="180" w:after="283"/>
        <w:jc w:val="left"/>
        <w:rPr>
          <w:rFonts w:ascii="Arial" w:hAnsi="Arial"/>
          <w:color w:val="000000"/>
          <w:sz w:val="20"/>
        </w:rPr>
      </w:pPr>
      <w:r>
        <w:rPr>
          <w:rFonts w:ascii="Arial" w:hAnsi="Arial"/>
          <w:color w:val="000000"/>
          <w:sz w:val="20"/>
        </w:rPr>
        <w:t>In December 2025, the Company entered into an agreement to sell all of its interests in the Company's equity method investment, Navarino UK, to Sogra Bidco Limited, a subsidiary of ICG. The transaction is expected to close in the fourth quarter of fiscal year 2026, subject to customary closing conditions, including receipt of regulatory approvals and clearances.</w:t>
      </w:r>
    </w:p>
    <w:p>
      <w:pPr>
        <w:pStyle w:val="TextBody"/>
        <w:bidi w:val="0"/>
        <w:spacing w:before="180" w:after="283"/>
        <w:jc w:val="left"/>
        <w:rPr>
          <w:rFonts w:ascii="Arial" w:hAnsi="Arial"/>
          <w:color w:val="000000"/>
          <w:sz w:val="20"/>
        </w:rPr>
      </w:pPr>
      <w:r>
        <w:rPr>
          <w:rFonts w:ascii="Arial" w:hAnsi="Arial"/>
          <w:color w:val="000000"/>
          <w:sz w:val="20"/>
        </w:rPr>
        <w:t>In December 2024, the Company completed the divestiture of its energy services system integration business, which was part of the Company's communication services segment included in the fixed services and other business line. The energy services system integration business had minimal strategic synergies with the Company’s core growth businesses and was immaterial to the Company's consolidated financial statements.</w:t>
      </w:r>
    </w:p>
    <w:p>
      <w:pPr>
        <w:pStyle w:val="TextBody"/>
        <w:bidi w:val="0"/>
        <w:spacing w:before="18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Performance obligations</w:t>
      </w:r>
    </w:p>
    <w:p>
      <w:pPr>
        <w:pStyle w:val="TextBody"/>
        <w:bidi w:val="0"/>
        <w:spacing w:before="8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 Management Agency (DCMA), the Defense Contract Audit Agency (DCAA), and other U.S. Government agencies, as well as negotiations with U.S. Government representatives. As of December 31, 2025, the DCMA had approved the Company’s incurred costs through fiscal year 2022. The DCAA is currently auditing the Company’s fiscal year 2025 recurring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December 31, 2025 and March 31, 2025, respectively, in contract-related reserves for its estimate of potential refunds to customers for potential cost adjustments on several multi-year U.S. Government cost reimbursable contracts (see Note 8 — Commitments and Contingencies for more information).</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residential and enterprise fixed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December 31, 2025, the aggregate amount of the transaction price allocated to remaining performance obligations was $4.0</w:t>
      </w:r>
      <w:r>
        <w:rPr>
          <w:rFonts w:ascii="Times New Roman" w:hAnsi="Times New Roman"/>
          <w:color w:val="000000"/>
          <w:sz w:val="20"/>
        </w:rPr>
        <w:t xml:space="preserve"> </w:t>
      </w:r>
      <w:r>
        <w:rPr>
          <w:rFonts w:ascii="Arial" w:hAnsi="Arial"/>
          <w:color w:val="000000"/>
          <w:sz w:val="20"/>
        </w:rPr>
        <w:t>billion, of which the Company expects to recognize a little less than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Disaggregation of revenue</w:t>
      </w:r>
    </w:p>
    <w:p>
      <w:pPr>
        <w:pStyle w:val="TextBody"/>
        <w:bidi w:val="0"/>
        <w:spacing w:before="80" w:after="283"/>
        <w:jc w:val="left"/>
        <w:rPr>
          <w:rFonts w:ascii="Times New Roman" w:hAnsi="Times New Roman"/>
          <w:sz w:val="20"/>
        </w:rPr>
      </w:pPr>
      <w:r>
        <w:rPr>
          <w:rFonts w:ascii="Arial" w:hAnsi="Arial"/>
          <w:color w:val="000000"/>
          <w:sz w:val="20"/>
        </w:rPr>
        <w:t>The Company operates and manages its business in two</w:t>
      </w:r>
      <w:r>
        <w:rPr>
          <w:rFonts w:ascii="Times New Roman" w:hAnsi="Times New Roman"/>
          <w:color w:val="000000"/>
          <w:sz w:val="20"/>
        </w:rPr>
        <w:t xml:space="preserve"> </w:t>
      </w:r>
      <w:r>
        <w:rPr>
          <w:rFonts w:ascii="Arial" w:hAnsi="Arial"/>
          <w:color w:val="000000"/>
          <w:sz w:val="20"/>
        </w:rPr>
        <w:t>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10 — Segment Information for disaggregation of revenue by business line and additional disaggregated revenue disclosures.</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products and services for the three and nine months ended December 31, 2025 and 2024:</w:t>
      </w:r>
    </w:p>
    <w:p>
      <w:pPr>
        <w:pStyle w:val="TextBody"/>
        <w:bidi w:val="0"/>
        <w:jc w:val="left"/>
        <w:rPr/>
      </w:pPr>
      <w:r>
        <w:rPr/>
        <w:t> </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651"/>
        <w:gridCol w:w="146"/>
        <w:gridCol w:w="374"/>
        <w:gridCol w:w="1711"/>
        <w:gridCol w:w="146"/>
        <w:gridCol w:w="146"/>
        <w:gridCol w:w="640"/>
        <w:gridCol w:w="2420"/>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1,157,045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2,470,698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998,294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3,468,992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651"/>
        <w:gridCol w:w="146"/>
        <w:gridCol w:w="374"/>
        <w:gridCol w:w="1711"/>
        <w:gridCol w:w="146"/>
        <w:gridCol w:w="146"/>
        <w:gridCol w:w="640"/>
        <w:gridCol w:w="2420"/>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314,397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1,123,767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2,273,490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944,084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2,473,519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3,372,489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Arial" w:hAnsi="Arial"/>
          <w:color w:val="000000"/>
          <w:sz w:val="20"/>
        </w:rPr>
      </w:pPr>
      <w:r>
        <w:rPr>
          <w:rFonts w:ascii="Arial" w:hAnsi="Arial"/>
          <w:color w:val="000000"/>
          <w:sz w:val="20"/>
        </w:rPr>
        <w:t>Revenues from the U.S. Government as an individual customer comprised approximately 16% of total revenues for each of the three and nine months ended December 31, 2025, and approximately 20% and 18% of total revenues for the three and nine months ended December 31, 2024, respectively. Revenues from the U.S. Government were attributable to each of the Company's two segments, with higher revenues from the U.S. Government reported within the Company's communication services segment for each of the three and nine months ended December 31, 2025 and approximately half of such revenues reported within each of the Company's two segments for each of the three and nine months ended December 31, 2024.</w:t>
      </w:r>
    </w:p>
    <w:p>
      <w:pPr>
        <w:pStyle w:val="TextBody"/>
        <w:bidi w:val="0"/>
        <w:spacing w:before="180" w:after="283"/>
        <w:jc w:val="left"/>
        <w:rPr>
          <w:rFonts w:ascii="Arial" w:hAnsi="Arial"/>
          <w:color w:val="000000"/>
          <w:sz w:val="20"/>
        </w:rPr>
      </w:pPr>
      <w:r>
        <w:rPr>
          <w:rFonts w:ascii="Arial" w:hAnsi="Arial"/>
          <w:color w:val="000000"/>
          <w:sz w:val="20"/>
        </w:rPr>
        <w:t>Almost all of the Company's revenues are derived from fixed-price contracts (which require the Company to provide products and services under a contract at a specified price), which are reported in both of the Company's segments. The remainder of the Company's revenues is primarily from cost-reimbursement contracts (under which the Company is reimbursed for all actual costs incurred in performing the contract to the extent such costs are within the contract ceiling and allowable under the terms of the contract, plus a fee or profit), which are mainly reported within the Company's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11% of its total revenues for each of the three and nine months ended December 31, 2025, and approximately 11% and 12% of its total revenues for the three and nine months ended December 31, 2024, respectively, mainly reported within the Company's defense and advanced technologies segment.</w:t>
      </w:r>
    </w:p>
    <w:p>
      <w:pPr>
        <w:pStyle w:val="TextBody"/>
        <w:bidi w:val="0"/>
        <w:spacing w:before="100" w:after="283"/>
        <w:jc w:val="left"/>
        <w:rPr>
          <w:rFonts w:ascii="Arial" w:hAnsi="Arial"/>
          <w:i/>
          <w:color w:val="000000"/>
          <w:sz w:val="20"/>
        </w:rPr>
      </w:pPr>
      <w:r>
        <w:rPr>
          <w:rFonts w:ascii="Arial" w:hAnsi="Arial"/>
          <w:i/>
          <w:color w:val="000000"/>
          <w:sz w:val="20"/>
        </w:rPr>
        <w:t>Contract balances</w:t>
      </w:r>
    </w:p>
    <w:p>
      <w:pPr>
        <w:pStyle w:val="TextBody"/>
        <w:bidi w:val="0"/>
        <w:spacing w:before="80" w:after="283"/>
        <w:jc w:val="left"/>
        <w:rPr>
          <w:rFonts w:ascii="Arial" w:hAnsi="Arial"/>
          <w:color w:val="000000"/>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December 31, 2025 and March 31, 2025:</w:t>
      </w:r>
      <w:r>
        <w:rPr>
          <w:rFonts w:ascii="Times New Roman" w:hAnsi="Times New Roman"/>
          <w:color w:val="000000"/>
          <w:sz w:val="20"/>
        </w:rPr>
        <w:t xml:space="preserve"> </w:t>
      </w:r>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5056"/>
        <w:gridCol w:w="146"/>
        <w:gridCol w:w="291"/>
        <w:gridCol w:w="1329"/>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Unbilled accounts receivable increased by $46.9</w:t>
      </w:r>
      <w:r>
        <w:rPr>
          <w:rFonts w:ascii="Times New Roman" w:hAnsi="Times New Roman"/>
          <w:color w:val="000000"/>
          <w:sz w:val="20"/>
        </w:rPr>
        <w:t xml:space="preserve"> </w:t>
      </w:r>
      <w:r>
        <w:rPr>
          <w:rFonts w:ascii="Arial" w:hAnsi="Arial"/>
          <w:color w:val="000000"/>
          <w:sz w:val="20"/>
        </w:rPr>
        <w:t>million during the nine months ended December 31, 2025, driven by revenue recognized in excess of billings related to the Company's IFC business and for certain larger development projects.</w:t>
      </w:r>
    </w:p>
    <w:p>
      <w:pPr>
        <w:pStyle w:val="TextBody"/>
        <w:bidi w:val="0"/>
        <w:spacing w:before="180" w:after="283"/>
        <w:jc w:val="left"/>
        <w:rPr>
          <w:rFonts w:ascii="Arial" w:hAnsi="Arial"/>
          <w:color w:val="000000"/>
          <w:sz w:val="20"/>
        </w:rPr>
      </w:pPr>
      <w:r>
        <w:rPr>
          <w:rFonts w:ascii="Arial" w:hAnsi="Arial"/>
          <w:color w:val="000000"/>
          <w:sz w:val="20"/>
        </w:rPr>
        <w:t>Collections in excess of revenues and deferred revenues increased by an insignificant amount during the nine months ended December 31, 2025, driven by advances on goods or services received in excess of revenue recognized.</w:t>
      </w:r>
    </w:p>
    <w:p>
      <w:pPr>
        <w:pStyle w:val="TextBody"/>
        <w:bidi w:val="0"/>
        <w:spacing w:before="180" w:after="283"/>
        <w:jc w:val="left"/>
        <w:rPr>
          <w:rFonts w:ascii="Times New Roman" w:hAnsi="Times New Roman"/>
          <w:sz w:val="20"/>
        </w:rPr>
      </w:pPr>
      <w:r>
        <w:rPr>
          <w:rFonts w:ascii="Arial" w:hAnsi="Arial"/>
          <w:color w:val="000000"/>
          <w:sz w:val="20"/>
        </w:rPr>
        <w:t>During the three and nine months ended December 31, 2025, the Company recognized</w:t>
      </w:r>
      <w:r>
        <w:rPr>
          <w:rFonts w:ascii="Times New Roman" w:hAnsi="Times New Roman"/>
          <w:color w:val="000000"/>
          <w:sz w:val="20"/>
        </w:rPr>
        <w:t xml:space="preserve"> </w:t>
      </w:r>
      <w:r>
        <w:rPr>
          <w:rFonts w:ascii="Arial" w:hAnsi="Arial"/>
          <w:color w:val="000000"/>
          <w:sz w:val="20"/>
        </w:rPr>
        <w:t>revenue of $59.7</w:t>
      </w:r>
      <w:r>
        <w:rPr>
          <w:rFonts w:ascii="Times New Roman" w:hAnsi="Times New Roman"/>
          <w:color w:val="000000"/>
          <w:sz w:val="20"/>
        </w:rPr>
        <w:t xml:space="preserve"> </w:t>
      </w:r>
      <w:r>
        <w:rPr>
          <w:rFonts w:ascii="Arial" w:hAnsi="Arial"/>
          <w:color w:val="000000"/>
          <w:sz w:val="20"/>
        </w:rPr>
        <w:t>million and $237.5</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2025. During the three and nine months ended December 31, 2024, the Company</w:t>
      </w:r>
      <w:r>
        <w:rPr>
          <w:rFonts w:ascii="Times New Roman" w:hAnsi="Times New Roman"/>
          <w:color w:val="000000"/>
          <w:sz w:val="20"/>
        </w:rPr>
        <w:t xml:space="preserve"> </w:t>
      </w:r>
      <w:r>
        <w:rPr>
          <w:rFonts w:ascii="Arial" w:hAnsi="Arial"/>
          <w:color w:val="000000"/>
          <w:sz w:val="20"/>
        </w:rPr>
        <w:t>recognized revenue of $57.3</w:t>
      </w:r>
      <w:r>
        <w:rPr>
          <w:rFonts w:ascii="Times New Roman" w:hAnsi="Times New Roman"/>
          <w:color w:val="000000"/>
          <w:sz w:val="20"/>
        </w:rPr>
        <w:t xml:space="preserve"> </w:t>
      </w:r>
      <w:r>
        <w:rPr>
          <w:rFonts w:ascii="Arial" w:hAnsi="Arial"/>
          <w:color w:val="000000"/>
          <w:sz w:val="20"/>
        </w:rPr>
        <w:t>million and $203.5</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2024.</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color w:val="000000"/>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securities and treasuries.</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 years. Leasehold improvements are capitalized and amortized using the straight-line method over the shorter of the lease term or the life of the improvement.</w:t>
      </w:r>
    </w:p>
    <w:p>
      <w:pPr>
        <w:pStyle w:val="TextBody"/>
        <w:bidi w:val="0"/>
        <w:spacing w:before="180" w:after="283"/>
        <w:jc w:val="left"/>
        <w:rPr>
          <w:rFonts w:ascii="Times New Roman" w:hAnsi="Times New Roman"/>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color w:val="000000"/>
          <w:sz w:val="20"/>
        </w:rPr>
        <w:t>to seven years. Capitalized costs for internal-use software are included in property, equipment and satellites, net in the Company’s condensed consolidated balance sheets.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 $61.3</w:t>
      </w:r>
      <w:r>
        <w:rPr>
          <w:rFonts w:ascii="Times New Roman" w:hAnsi="Times New Roman"/>
          <w:color w:val="000000"/>
          <w:sz w:val="20"/>
        </w:rPr>
        <w:t xml:space="preserve"> </w:t>
      </w:r>
      <w:r>
        <w:rPr>
          <w:rFonts w:ascii="Arial" w:hAnsi="Arial"/>
          <w:color w:val="000000"/>
          <w:sz w:val="20"/>
        </w:rPr>
        <w:t>million and $176.9</w:t>
      </w:r>
      <w:r>
        <w:rPr>
          <w:rFonts w:ascii="Times New Roman" w:hAnsi="Times New Roman"/>
          <w:color w:val="000000"/>
          <w:sz w:val="20"/>
        </w:rPr>
        <w:t xml:space="preserve"> </w:t>
      </w:r>
      <w:r>
        <w:rPr>
          <w:rFonts w:ascii="Arial" w:hAnsi="Arial"/>
          <w:color w:val="000000"/>
          <w:sz w:val="20"/>
        </w:rPr>
        <w:t>million of interest expense for the three and nine months ended December 31, 2025, respectively, and</w:t>
      </w:r>
      <w:r>
        <w:rPr>
          <w:rFonts w:ascii="Times New Roman" w:hAnsi="Times New Roman"/>
          <w:color w:val="000000"/>
          <w:sz w:val="20"/>
        </w:rPr>
        <w:t xml:space="preserve"> </w:t>
      </w:r>
      <w:r>
        <w:rPr>
          <w:rFonts w:ascii="Arial" w:hAnsi="Arial"/>
          <w:color w:val="000000"/>
          <w:sz w:val="20"/>
        </w:rPr>
        <w:t>$59.4</w:t>
      </w:r>
      <w:r>
        <w:rPr>
          <w:rFonts w:ascii="Times New Roman" w:hAnsi="Times New Roman"/>
          <w:color w:val="000000"/>
          <w:sz w:val="20"/>
        </w:rPr>
        <w:t xml:space="preserve"> </w:t>
      </w:r>
      <w:r>
        <w:rPr>
          <w:rFonts w:ascii="Arial" w:hAnsi="Arial"/>
          <w:color w:val="000000"/>
          <w:sz w:val="20"/>
        </w:rPr>
        <w:t>million and $164.6</w:t>
      </w:r>
      <w:r>
        <w:rPr>
          <w:rFonts w:ascii="Times New Roman" w:hAnsi="Times New Roman"/>
          <w:color w:val="000000"/>
          <w:sz w:val="20"/>
        </w:rPr>
        <w:t xml:space="preserve"> </w:t>
      </w:r>
      <w:r>
        <w:rPr>
          <w:rFonts w:ascii="Arial" w:hAnsi="Arial"/>
          <w:color w:val="000000"/>
          <w:sz w:val="20"/>
        </w:rPr>
        <w:t>million for the three and nine months ended December 31, 2024, respectively.</w:t>
      </w:r>
    </w:p>
    <w:p>
      <w:pPr>
        <w:pStyle w:val="TextBody"/>
        <w:bidi w:val="0"/>
        <w:spacing w:before="180" w:after="283"/>
        <w:jc w:val="left"/>
        <w:rPr>
          <w:rFonts w:ascii="Times New Roman" w:hAnsi="Times New Roman"/>
          <w:sz w:val="20"/>
        </w:rPr>
      </w:pPr>
      <w:r>
        <w:rPr>
          <w:rFonts w:ascii="Arial" w:hAnsi="Arial"/>
          <w:color w:val="000000"/>
          <w:sz w:val="20"/>
        </w:rPr>
        <w:t>The Company's complementary fleet of 23 in service or operational satellites spans the Ka-, L- and S- bands, with 13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 hybrid Ka-/L-band satellite. In late July 2024, the ViaSat-3 F1 satellite completed in-orbit testing and was integrated into the Company's existing satellite fleet covering the Americas. In May 2025, two Ka-band highly-elliptical earth orbit satellite payloads (GX10A and GX10B) were put in service to provide polar coverage. On November 13, 2025, the Company launched the second of its third-generation ViaSat-3 class satellites, ViaSat-3 F2, into orbit with expected service launch in the first half of fiscal year 2027. Furthermore, the Company has eight additional geostationary earth orbit (GEO) satellites under development: a high-capacity Ka-band GEO satellite (ViaSat-3 F3), three adaptive Ka-band GEO satellites (GX7, GX8 and GX9) and four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2025 were $525.1</w:t>
      </w:r>
      <w:r>
        <w:rPr>
          <w:rFonts w:ascii="Times New Roman" w:hAnsi="Times New Roman"/>
          <w:color w:val="000000"/>
          <w:sz w:val="20"/>
        </w:rPr>
        <w:t xml:space="preserve"> </w:t>
      </w:r>
      <w:r>
        <w:rPr>
          <w:rFonts w:ascii="Arial" w:hAnsi="Arial"/>
          <w:color w:val="000000"/>
          <w:sz w:val="20"/>
        </w:rPr>
        <w:t>million and $348.5</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2025 were $526.0</w:t>
      </w:r>
      <w:r>
        <w:rPr>
          <w:rFonts w:ascii="Times New Roman" w:hAnsi="Times New Roman"/>
          <w:color w:val="000000"/>
          <w:sz w:val="20"/>
        </w:rPr>
        <w:t xml:space="preserve"> </w:t>
      </w:r>
      <w:r>
        <w:rPr>
          <w:rFonts w:ascii="Arial" w:hAnsi="Arial"/>
          <w:color w:val="000000"/>
          <w:sz w:val="20"/>
        </w:rPr>
        <w:t>million and $328.0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As a result of the anomalies that occurred with respect to the ViaSat-3 F1 and Inmarsat-6 F2 satellites in fiscal year 2024, the Company recorded a reduction to the carrying value of the satellites of approximately $1.67</w:t>
      </w:r>
      <w:r>
        <w:rPr>
          <w:rFonts w:ascii="Times New Roman" w:hAnsi="Times New Roman"/>
          <w:color w:val="000000"/>
          <w:sz w:val="20"/>
        </w:rPr>
        <w:t xml:space="preserve"> </w:t>
      </w:r>
      <w:r>
        <w:rPr>
          <w:rFonts w:ascii="Arial" w:hAnsi="Arial"/>
          <w:color w:val="000000"/>
          <w:sz w:val="20"/>
        </w:rPr>
        <w:t>billion in fiscal year 2024,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and for which the final payment was received in the first quarter of fiscal year 2026.</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The Company’s finance leases consist primarily of satellite lifetime Ka-band capacity leases and have remaining terms from less than one year</w:t>
      </w:r>
      <w:r>
        <w:rPr>
          <w:rFonts w:ascii="Times New Roman" w:hAnsi="Times New Roman"/>
          <w:color w:val="000000"/>
          <w:sz w:val="20"/>
        </w:rPr>
        <w:t xml:space="preserve"> </w:t>
      </w:r>
      <w:r>
        <w:rPr>
          <w:rFonts w:ascii="Arial" w:hAnsi="Arial"/>
          <w:color w:val="000000"/>
          <w:sz w:val="20"/>
        </w:rPr>
        <w:t>to 14</w:t>
      </w:r>
      <w:r>
        <w:rPr>
          <w:rFonts w:ascii="Times New Roman" w:hAnsi="Times New Roman"/>
          <w:color w:val="000000"/>
          <w:sz w:val="20"/>
        </w:rPr>
        <w:t xml:space="preserve"> </w:t>
      </w:r>
      <w:r>
        <w:rPr>
          <w:rFonts w:ascii="Arial" w:hAnsi="Arial"/>
          <w:color w:val="000000"/>
          <w:sz w:val="20"/>
        </w:rPr>
        <w:t>years. The Company reports assets obtained under finance leases in property, equipment and satellites, net and the current and non-current portions of its finance lease liabilities in current portion of long-term debt and other long-term debt, respectively, in the condensed consolidated balance sheets (see Note 1 — Basis of Presentation – Leases for more information).</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implementation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pStyle w:val="TextBody"/>
        <w:bidi w:val="0"/>
        <w:spacing w:before="80" w:after="283"/>
        <w:jc w:val="left"/>
        <w:rPr>
          <w:rFonts w:ascii="Times New Roman" w:hAnsi="Times New Roman"/>
          <w:sz w:val="20"/>
        </w:rPr>
      </w:pPr>
      <w:r>
        <w:rPr>
          <w:rFonts w:ascii="Arial" w:hAnsi="Arial"/>
          <w:color w:val="000000"/>
          <w:sz w:val="20"/>
        </w:rPr>
        <w:t>The Company has entered into several cloud computing arrangements that are hosted services contracts mainly as part of projects related to the continuous transformation of technology, integration and implementation of an ERP system. As of December 31, 2025 and March 31, 2025, gross capitalized implementation costs incurred in cloud computing arrangements was $109.2</w:t>
      </w:r>
      <w:r>
        <w:rPr>
          <w:rFonts w:ascii="Times New Roman" w:hAnsi="Times New Roman"/>
          <w:color w:val="000000"/>
          <w:sz w:val="20"/>
        </w:rPr>
        <w:t xml:space="preserve"> </w:t>
      </w:r>
      <w:r>
        <w:rPr>
          <w:rFonts w:ascii="Arial" w:hAnsi="Arial"/>
          <w:color w:val="000000"/>
          <w:sz w:val="20"/>
        </w:rPr>
        <w:t>million and $88.7</w:t>
      </w:r>
      <w:r>
        <w:rPr>
          <w:rFonts w:ascii="Times New Roman" w:hAnsi="Times New Roman"/>
          <w:color w:val="000000"/>
          <w:sz w:val="20"/>
        </w:rPr>
        <w:t xml:space="preserve"> </w:t>
      </w:r>
      <w:r>
        <w:rPr>
          <w:rFonts w:ascii="Arial" w:hAnsi="Arial"/>
          <w:color w:val="000000"/>
          <w:sz w:val="20"/>
        </w:rPr>
        <w:t>million, respectively. As of December 31, 2025 and March 31, 2025, the related accumulated amortization was $26.3</w:t>
      </w:r>
      <w:r>
        <w:rPr>
          <w:rFonts w:ascii="Times New Roman" w:hAnsi="Times New Roman"/>
          <w:color w:val="000000"/>
          <w:sz w:val="20"/>
        </w:rPr>
        <w:t xml:space="preserve"> </w:t>
      </w:r>
      <w:r>
        <w:rPr>
          <w:rFonts w:ascii="Arial" w:hAnsi="Arial"/>
          <w:color w:val="000000"/>
          <w:sz w:val="20"/>
        </w:rPr>
        <w:t>million and $18.4</w:t>
      </w:r>
      <w:r>
        <w:rPr>
          <w:rFonts w:ascii="Times New Roman" w:hAnsi="Times New Roman"/>
          <w:color w:val="000000"/>
          <w:sz w:val="20"/>
        </w:rPr>
        <w:t xml:space="preserve"> </w:t>
      </w:r>
      <w:r>
        <w:rPr>
          <w:rFonts w:ascii="Arial" w:hAnsi="Arial"/>
          <w:color w:val="000000"/>
          <w:sz w:val="20"/>
        </w:rPr>
        <w:t>million, respectively. The Company recognized amortization of capitalized implementation costs of $2.7</w:t>
      </w:r>
      <w:r>
        <w:rPr>
          <w:rFonts w:ascii="Times New Roman" w:hAnsi="Times New Roman"/>
          <w:color w:val="000000"/>
          <w:sz w:val="20"/>
        </w:rPr>
        <w:t xml:space="preserve"> </w:t>
      </w:r>
      <w:r>
        <w:rPr>
          <w:rFonts w:ascii="Arial" w:hAnsi="Arial"/>
          <w:color w:val="000000"/>
          <w:sz w:val="20"/>
        </w:rPr>
        <w:t>million and $7.8</w:t>
      </w:r>
      <w:r>
        <w:rPr>
          <w:rFonts w:ascii="Times New Roman" w:hAnsi="Times New Roman"/>
          <w:color w:val="000000"/>
          <w:sz w:val="20"/>
        </w:rPr>
        <w:t xml:space="preserve"> </w:t>
      </w:r>
      <w:r>
        <w:rPr>
          <w:rFonts w:ascii="Arial" w:hAnsi="Arial"/>
          <w:color w:val="000000"/>
          <w:sz w:val="20"/>
        </w:rPr>
        <w:t>million for three and nine months ended December 31, 2025, respectively, and $2.2</w:t>
      </w:r>
      <w:r>
        <w:rPr>
          <w:rFonts w:ascii="Times New Roman" w:hAnsi="Times New Roman"/>
          <w:color w:val="000000"/>
          <w:sz w:val="20"/>
        </w:rPr>
        <w:t xml:space="preserve"> </w:t>
      </w:r>
      <w:r>
        <w:rPr>
          <w:rFonts w:ascii="Arial" w:hAnsi="Arial"/>
          <w:color w:val="000000"/>
          <w:sz w:val="20"/>
        </w:rPr>
        <w:t>million and $5.4</w:t>
      </w:r>
      <w:r>
        <w:rPr>
          <w:rFonts w:ascii="Times New Roman" w:hAnsi="Times New Roman"/>
          <w:color w:val="000000"/>
          <w:sz w:val="20"/>
        </w:rPr>
        <w:t xml:space="preserve"> </w:t>
      </w:r>
      <w:r>
        <w:rPr>
          <w:rFonts w:ascii="Arial" w:hAnsi="Arial"/>
          <w:color w:val="000000"/>
          <w:sz w:val="20"/>
        </w:rPr>
        <w:t>million for the three and nine months ended December 31, 2024, respectively.</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Lessee accounting</w:t>
      </w:r>
    </w:p>
    <w:p>
      <w:pPr>
        <w:pStyle w:val="TextBody"/>
        <w:bidi w:val="0"/>
        <w:spacing w:before="80" w:after="283"/>
        <w:jc w:val="left"/>
        <w:rPr>
          <w:rFonts w:ascii="Times New Roman" w:hAnsi="Times New Roman"/>
          <w:sz w:val="20"/>
        </w:rPr>
      </w:pPr>
      <w:r>
        <w:rPr>
          <w:rFonts w:ascii="Arial" w:hAnsi="Arial"/>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color w:val="000000"/>
          <w:sz w:val="20"/>
        </w:rPr>
        <w:t>to 16</w:t>
      </w:r>
      <w:r>
        <w:rPr>
          <w:rFonts w:ascii="Times New Roman" w:hAnsi="Times New Roman"/>
          <w:color w:val="000000"/>
          <w:sz w:val="20"/>
        </w:rPr>
        <w:t xml:space="preserve"> </w:t>
      </w:r>
      <w:r>
        <w:rPr>
          <w:rFonts w:ascii="Arial" w:hAnsi="Arial"/>
          <w:color w:val="000000"/>
          <w:sz w:val="20"/>
        </w:rPr>
        <w:t>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condensed consolidated balance sheets.</w:t>
      </w:r>
    </w:p>
    <w:p>
      <w:pPr>
        <w:pStyle w:val="TextBody"/>
        <w:bidi w:val="0"/>
        <w:spacing w:before="100" w:after="283"/>
        <w:jc w:val="left"/>
        <w:rPr>
          <w:rFonts w:ascii="Arial" w:hAnsi="Arial"/>
          <w:i/>
          <w:color w:val="000000"/>
          <w:sz w:val="20"/>
        </w:rPr>
      </w:pPr>
      <w:r>
        <w:rPr>
          <w:rFonts w:ascii="Arial" w:hAnsi="Arial"/>
          <w:i/>
          <w:color w:val="000000"/>
          <w:sz w:val="20"/>
        </w:rPr>
        <w:t>Lessor accounting</w:t>
      </w:r>
    </w:p>
    <w:p>
      <w:pPr>
        <w:pStyle w:val="TextBody"/>
        <w:bidi w:val="0"/>
        <w:spacing w:before="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$144.2</w:t>
      </w:r>
      <w:r>
        <w:rPr>
          <w:rFonts w:ascii="Times New Roman" w:hAnsi="Times New Roman"/>
          <w:color w:val="000000"/>
          <w:sz w:val="20"/>
        </w:rPr>
        <w:t xml:space="preserve"> </w:t>
      </w:r>
      <w:r>
        <w:rPr>
          <w:rFonts w:ascii="Arial" w:hAnsi="Arial"/>
          <w:color w:val="000000"/>
          <w:sz w:val="20"/>
        </w:rPr>
        <w:t>million and $129.4</w:t>
      </w:r>
      <w:r>
        <w:rPr>
          <w:rFonts w:ascii="Times New Roman" w:hAnsi="Times New Roman"/>
          <w:color w:val="000000"/>
          <w:sz w:val="20"/>
        </w:rPr>
        <w:t xml:space="preserve"> </w:t>
      </w:r>
      <w:r>
        <w:rPr>
          <w:rFonts w:ascii="Arial" w:hAnsi="Arial"/>
          <w:color w:val="000000"/>
          <w:sz w:val="20"/>
        </w:rPr>
        <w:t>million were included in other assets as of December 31, 2025 and March 31, 2025, respectively. Accumulated amortization related to these assets was $20.6</w:t>
      </w:r>
      <w:r>
        <w:rPr>
          <w:rFonts w:ascii="Times New Roman" w:hAnsi="Times New Roman"/>
          <w:color w:val="000000"/>
          <w:sz w:val="20"/>
        </w:rPr>
        <w:t xml:space="preserve"> </w:t>
      </w:r>
      <w:r>
        <w:rPr>
          <w:rFonts w:ascii="Arial" w:hAnsi="Arial"/>
          <w:color w:val="000000"/>
          <w:sz w:val="20"/>
        </w:rPr>
        <w:t>million and $10.2</w:t>
      </w:r>
      <w:r>
        <w:rPr>
          <w:rFonts w:ascii="Times New Roman" w:hAnsi="Times New Roman"/>
          <w:color w:val="000000"/>
          <w:sz w:val="20"/>
        </w:rPr>
        <w:t xml:space="preserve"> </w:t>
      </w:r>
      <w:r>
        <w:rPr>
          <w:rFonts w:ascii="Arial" w:hAnsi="Arial"/>
          <w:color w:val="000000"/>
          <w:sz w:val="20"/>
        </w:rPr>
        <w:t>million as of December 31, 2025 and March 31, 2025, respectively. Amortization expense related to these assets was $3.7</w:t>
      </w:r>
      <w:r>
        <w:rPr>
          <w:rFonts w:ascii="Times New Roman" w:hAnsi="Times New Roman"/>
          <w:color w:val="000000"/>
          <w:sz w:val="20"/>
        </w:rPr>
        <w:t xml:space="preserve"> </w:t>
      </w:r>
      <w:r>
        <w:rPr>
          <w:rFonts w:ascii="Arial" w:hAnsi="Arial"/>
          <w:color w:val="000000"/>
          <w:sz w:val="20"/>
        </w:rPr>
        <w:t>million and $10.5</w:t>
      </w:r>
      <w:r>
        <w:rPr>
          <w:rFonts w:ascii="Times New Roman" w:hAnsi="Times New Roman"/>
          <w:color w:val="000000"/>
          <w:sz w:val="20"/>
        </w:rPr>
        <w:t xml:space="preserve"> </w:t>
      </w:r>
      <w:r>
        <w:rPr>
          <w:rFonts w:ascii="Arial" w:hAnsi="Arial"/>
          <w:color w:val="000000"/>
          <w:sz w:val="20"/>
        </w:rPr>
        <w:t>million for the three and nine months ended December 31, 2025, respectively, and was an insignificant amount and $1.3</w:t>
      </w:r>
      <w:r>
        <w:rPr>
          <w:rFonts w:ascii="Times New Roman" w:hAnsi="Times New Roman"/>
          <w:color w:val="000000"/>
          <w:sz w:val="20"/>
        </w:rPr>
        <w:t xml:space="preserve"> </w:t>
      </w:r>
      <w:r>
        <w:rPr>
          <w:rFonts w:ascii="Arial" w:hAnsi="Arial"/>
          <w:color w:val="000000"/>
          <w:sz w:val="20"/>
        </w:rPr>
        <w:t>million for the three and nine months ended December 31, 2024, respectively. If a patent, orbital slot or other license is rejected, abandoned or otherwise invalidated, the unamortized cost is expensed in that period. During the three and nine months ended December 31, 2025 and 2024, the Company did not write off any significant costs due to abandonment or impairment.</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The Company capitalized zero</w:t>
      </w:r>
      <w:r>
        <w:rPr>
          <w:rFonts w:ascii="Times New Roman" w:hAnsi="Times New Roman"/>
          <w:color w:val="000000"/>
          <w:sz w:val="20"/>
        </w:rPr>
        <w:t xml:space="preserve"> </w:t>
      </w:r>
      <w:r>
        <w:rPr>
          <w:rFonts w:ascii="Arial" w:hAnsi="Arial"/>
          <w:color w:val="000000"/>
          <w:sz w:val="20"/>
        </w:rPr>
        <w:t>and $35.6</w:t>
      </w:r>
      <w:r>
        <w:rPr>
          <w:rFonts w:ascii="Times New Roman" w:hAnsi="Times New Roman"/>
          <w:color w:val="000000"/>
          <w:sz w:val="20"/>
        </w:rPr>
        <w:t xml:space="preserve"> </w:t>
      </w:r>
      <w:r>
        <w:rPr>
          <w:rFonts w:ascii="Arial" w:hAnsi="Arial"/>
          <w:color w:val="000000"/>
          <w:sz w:val="20"/>
        </w:rPr>
        <w:t>million of debt issuance costs during the nine months ended December 31, 2025 and 2024, respectively. Unamortized debt issuance costs related to extinguished debt are expensed at the time the debt is extinguished and recorded in (loss) gain on extinguishment of debt, net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w:t>
      </w:r>
      <w:r>
        <w:rPr>
          <w:rFonts w:ascii="Times New Roman" w:hAnsi="Times New Roman"/>
          <w:color w:val="000000"/>
          <w:sz w:val="20"/>
        </w:rPr>
        <w:t xml:space="preserve"> </w:t>
      </w:r>
      <w:r>
        <w:rPr>
          <w:rFonts w:ascii="Arial" w:hAnsi="Arial"/>
          <w:color w:val="000000"/>
          <w:sz w:val="20"/>
        </w:rPr>
        <w:t>are recorded as a direct deduction from the carrying amount of the related debt, consistent with debt discounts, in accordance with ASC 835-30.</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w:t>
      </w:r>
      <w:r>
        <w:rPr>
          <w:rFonts w:ascii="Times New Roman" w:hAnsi="Times New Roman"/>
          <w:color w:val="000000"/>
          <w:sz w:val="20"/>
        </w:rPr>
        <w:t xml:space="preserve"> </w:t>
      </w:r>
      <w:r>
        <w:rPr>
          <w:rFonts w:ascii="Arial" w:hAnsi="Arial"/>
          <w:color w:val="000000"/>
          <w:sz w:val="20"/>
        </w:rPr>
        <w:t>of December 31, 2025 and March 31, 2025, the Company had $845.2</w:t>
      </w:r>
      <w:r>
        <w:rPr>
          <w:rFonts w:ascii="Times New Roman" w:hAnsi="Times New Roman"/>
          <w:color w:val="000000"/>
          <w:sz w:val="20"/>
        </w:rPr>
        <w:t xml:space="preserve"> </w:t>
      </w:r>
      <w:r>
        <w:rPr>
          <w:rFonts w:ascii="Arial" w:hAnsi="Arial"/>
          <w:color w:val="000000"/>
          <w:sz w:val="20"/>
        </w:rPr>
        <w:t>million and $780.3</w:t>
      </w:r>
      <w:r>
        <w:rPr>
          <w:rFonts w:ascii="Times New Roman" w:hAnsi="Times New Roman"/>
          <w:color w:val="000000"/>
          <w:sz w:val="20"/>
        </w:rPr>
        <w:t xml:space="preserve"> </w:t>
      </w:r>
      <w:r>
        <w:rPr>
          <w:rFonts w:ascii="Arial" w:hAnsi="Arial"/>
          <w:color w:val="000000"/>
          <w:sz w:val="20"/>
        </w:rPr>
        <w:t>million, respectively, of capitalized costs related to software developed for resale. Accumulated amortization related to these assets was $543.7</w:t>
      </w:r>
      <w:r>
        <w:rPr>
          <w:rFonts w:ascii="Times New Roman" w:hAnsi="Times New Roman"/>
          <w:color w:val="000000"/>
          <w:sz w:val="20"/>
        </w:rPr>
        <w:t xml:space="preserve"> </w:t>
      </w:r>
      <w:r>
        <w:rPr>
          <w:rFonts w:ascii="Arial" w:hAnsi="Arial"/>
          <w:color w:val="000000"/>
          <w:sz w:val="20"/>
        </w:rPr>
        <w:t>million and $515.8</w:t>
      </w:r>
      <w:r>
        <w:rPr>
          <w:rFonts w:ascii="Times New Roman" w:hAnsi="Times New Roman"/>
          <w:color w:val="000000"/>
          <w:sz w:val="20"/>
        </w:rPr>
        <w:t xml:space="preserve"> </w:t>
      </w:r>
      <w:r>
        <w:rPr>
          <w:rFonts w:ascii="Arial" w:hAnsi="Arial"/>
          <w:color w:val="000000"/>
          <w:sz w:val="20"/>
        </w:rPr>
        <w:t>million as of December 31, 2025 and March 31, 2025, respectively. The Company capitalized $29.8</w:t>
      </w:r>
      <w:r>
        <w:rPr>
          <w:rFonts w:ascii="Times New Roman" w:hAnsi="Times New Roman"/>
          <w:color w:val="000000"/>
          <w:sz w:val="20"/>
        </w:rPr>
        <w:t xml:space="preserve"> </w:t>
      </w:r>
      <w:r>
        <w:rPr>
          <w:rFonts w:ascii="Arial" w:hAnsi="Arial"/>
          <w:color w:val="000000"/>
          <w:sz w:val="20"/>
        </w:rPr>
        <w:t>million and $75.9</w:t>
      </w:r>
      <w:r>
        <w:rPr>
          <w:rFonts w:ascii="Times New Roman" w:hAnsi="Times New Roman"/>
          <w:color w:val="000000"/>
          <w:sz w:val="20"/>
        </w:rPr>
        <w:t xml:space="preserve"> </w:t>
      </w:r>
      <w:r>
        <w:rPr>
          <w:rFonts w:ascii="Arial" w:hAnsi="Arial"/>
          <w:color w:val="000000"/>
          <w:sz w:val="20"/>
        </w:rPr>
        <w:t>million of costs related to software developed for resale for the three and nine months ended December 31, 2025, respectively, and $18.3</w:t>
      </w:r>
      <w:r>
        <w:rPr>
          <w:rFonts w:ascii="Times New Roman" w:hAnsi="Times New Roman"/>
          <w:color w:val="000000"/>
          <w:sz w:val="20"/>
        </w:rPr>
        <w:t xml:space="preserve"> </w:t>
      </w:r>
      <w:r>
        <w:rPr>
          <w:rFonts w:ascii="Arial" w:hAnsi="Arial"/>
          <w:color w:val="000000"/>
          <w:sz w:val="20"/>
        </w:rPr>
        <w:t>million and $56.1</w:t>
      </w:r>
      <w:r>
        <w:rPr>
          <w:rFonts w:ascii="Times New Roman" w:hAnsi="Times New Roman"/>
          <w:color w:val="000000"/>
          <w:sz w:val="20"/>
        </w:rPr>
        <w:t xml:space="preserve"> </w:t>
      </w:r>
      <w:r>
        <w:rPr>
          <w:rFonts w:ascii="Arial" w:hAnsi="Arial"/>
          <w:color w:val="000000"/>
          <w:sz w:val="20"/>
        </w:rPr>
        <w:t>million for the three and nine months ended December 31, 2024, respectively. Amortization expense for capitalized software development costs was $10.3</w:t>
      </w:r>
      <w:r>
        <w:rPr>
          <w:rFonts w:ascii="Times New Roman" w:hAnsi="Times New Roman"/>
          <w:color w:val="000000"/>
          <w:sz w:val="20"/>
        </w:rPr>
        <w:t xml:space="preserve"> </w:t>
      </w:r>
      <w:r>
        <w:rPr>
          <w:rFonts w:ascii="Arial" w:hAnsi="Arial"/>
          <w:color w:val="000000"/>
          <w:sz w:val="20"/>
        </w:rPr>
        <w:t>million and $30.1</w:t>
      </w:r>
      <w:r>
        <w:rPr>
          <w:rFonts w:ascii="Times New Roman" w:hAnsi="Times New Roman"/>
          <w:color w:val="000000"/>
          <w:sz w:val="20"/>
        </w:rPr>
        <w:t xml:space="preserve"> </w:t>
      </w:r>
      <w:r>
        <w:rPr>
          <w:rFonts w:ascii="Arial" w:hAnsi="Arial"/>
          <w:color w:val="000000"/>
          <w:sz w:val="20"/>
        </w:rPr>
        <w:t>million for the three and nine months ended December 31, 2025, respectively, and $13.5</w:t>
      </w:r>
      <w:r>
        <w:rPr>
          <w:rFonts w:ascii="Times New Roman" w:hAnsi="Times New Roman"/>
          <w:color w:val="000000"/>
          <w:sz w:val="20"/>
        </w:rPr>
        <w:t xml:space="preserve"> </w:t>
      </w:r>
      <w:r>
        <w:rPr>
          <w:rFonts w:ascii="Arial" w:hAnsi="Arial"/>
          <w:color w:val="000000"/>
          <w:sz w:val="20"/>
        </w:rPr>
        <w:t>million and $42.9</w:t>
      </w:r>
      <w:r>
        <w:rPr>
          <w:rFonts w:ascii="Times New Roman" w:hAnsi="Times New Roman"/>
          <w:color w:val="000000"/>
          <w:sz w:val="20"/>
        </w:rPr>
        <w:t xml:space="preserve"> </w:t>
      </w:r>
      <w:r>
        <w:rPr>
          <w:rFonts w:ascii="Arial" w:hAnsi="Arial"/>
          <w:color w:val="000000"/>
          <w:sz w:val="20"/>
        </w:rPr>
        <w:t>million for the three and nine months ended December 31, 2024, respectively.</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Self-insurance and post-retirement medical benefit liabilities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recorded self-insurance liability for its plans of $5.5</w:t>
      </w:r>
      <w:r>
        <w:rPr>
          <w:rFonts w:ascii="Times New Roman" w:hAnsi="Times New Roman"/>
          <w:color w:val="000000"/>
          <w:sz w:val="20"/>
        </w:rPr>
        <w:t xml:space="preserve"> </w:t>
      </w:r>
      <w:r>
        <w:rPr>
          <w:rFonts w:ascii="Arial" w:hAnsi="Arial"/>
          <w:color w:val="000000"/>
          <w:sz w:val="20"/>
        </w:rPr>
        <w:t>million and $5.9</w:t>
      </w:r>
      <w:r>
        <w:rPr>
          <w:rFonts w:ascii="Times New Roman" w:hAnsi="Times New Roman"/>
          <w:color w:val="000000"/>
          <w:sz w:val="20"/>
        </w:rPr>
        <w:t xml:space="preserve"> </w:t>
      </w:r>
      <w:r>
        <w:rPr>
          <w:rFonts w:ascii="Arial" w:hAnsi="Arial"/>
          <w:color w:val="000000"/>
          <w:sz w:val="20"/>
        </w:rPr>
        <w:t>million as of December 31, 2025 and March 31, 2025,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condensed consolidated balance sheets in accordance with the estimated timing of the projected payments.</w:t>
      </w:r>
    </w:p>
    <w:p>
      <w:pPr>
        <w:pStyle w:val="TextBody"/>
        <w:bidi w:val="0"/>
        <w:spacing w:before="180" w:after="283"/>
        <w:jc w:val="left"/>
        <w:rPr>
          <w:rFonts w:ascii="Times New Roman" w:hAnsi="Times New Roman"/>
          <w:sz w:val="20"/>
        </w:rPr>
      </w:pPr>
      <w:r>
        <w:rPr>
          <w:rFonts w:ascii="Arial" w:hAnsi="Arial"/>
          <w:color w:val="000000"/>
          <w:sz w:val="20"/>
        </w:rPr>
        <w:t>In fiscal year 2024, the Company completed the acquisition of Connect Topco Limited, a private company limited by shares and incorporated in Guernsey (Inmarsat Holdings and, together with its subsidiaries, Inmarsat, and such acquisition, the Inmarsat Acquisition). 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color w:val="000000"/>
          <w:sz w:val="20"/>
        </w:rPr>
        <w:t>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2025 and March 31, 2025, no</w:t>
      </w:r>
      <w:r>
        <w:rPr>
          <w:rFonts w:ascii="Times New Roman" w:hAnsi="Times New Roman"/>
          <w:color w:val="000000"/>
          <w:sz w:val="20"/>
        </w:rPr>
        <w:t xml:space="preserve"> </w:t>
      </w:r>
      <w:r>
        <w:rPr>
          <w:rFonts w:ascii="Arial" w:hAnsi="Arial"/>
          <w:color w:val="000000"/>
          <w:sz w:val="20"/>
        </w:rPr>
        <w:t>such amounts were accrued related to the aforementioned provisions.</w:t>
      </w:r>
    </w:p>
    <w:p>
      <w:pPr>
        <w:pStyle w:val="TextBody"/>
        <w:bidi w:val="0"/>
        <w:spacing w:before="28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80" w:after="283"/>
        <w:jc w:val="left"/>
        <w:rPr>
          <w:rFonts w:ascii="Times New Roman" w:hAnsi="Times New Roman"/>
          <w:sz w:val="20"/>
        </w:rPr>
      </w:pPr>
      <w:r>
        <w:rPr>
          <w:rFonts w:ascii="Arial" w:hAnsi="Arial"/>
          <w:color w:val="000000"/>
          <w:sz w:val="20"/>
        </w:rPr>
        <w:t>In June 2025, TrellisWare declared a cash dividend for a total of $155.7</w:t>
      </w:r>
      <w:r>
        <w:rPr>
          <w:rFonts w:ascii="Times New Roman" w:hAnsi="Times New Roman"/>
          <w:color w:val="000000"/>
          <w:sz w:val="20"/>
        </w:rPr>
        <w:t xml:space="preserve"> </w:t>
      </w:r>
      <w:r>
        <w:rPr>
          <w:rFonts w:ascii="Arial" w:hAnsi="Arial"/>
          <w:color w:val="000000"/>
          <w:sz w:val="20"/>
        </w:rPr>
        <w:t>million. The Company's share of this dividend was $96.0</w:t>
      </w:r>
      <w:r>
        <w:rPr>
          <w:rFonts w:ascii="Times New Roman" w:hAnsi="Times New Roman"/>
          <w:color w:val="000000"/>
          <w:sz w:val="20"/>
        </w:rPr>
        <w:t xml:space="preserve"> </w:t>
      </w:r>
      <w:r>
        <w:rPr>
          <w:rFonts w:ascii="Arial" w:hAnsi="Arial"/>
          <w:color w:val="000000"/>
          <w:sz w:val="20"/>
        </w:rPr>
        <w:t>million. The remaining $59.7</w:t>
      </w:r>
      <w:r>
        <w:rPr>
          <w:rFonts w:ascii="Times New Roman" w:hAnsi="Times New Roman"/>
          <w:color w:val="000000"/>
          <w:sz w:val="20"/>
        </w:rPr>
        <w:t xml:space="preserve"> </w:t>
      </w:r>
      <w:r>
        <w:rPr>
          <w:rFonts w:ascii="Arial" w:hAnsi="Arial"/>
          <w:color w:val="000000"/>
          <w:sz w:val="20"/>
        </w:rPr>
        <w:t>million was recorded as a reduction to noncontrolling interest in subsidiary during the first quarter of fiscal year 2026 and was paid to minority shareholders during the nine months ended December 31, 2025.</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December 31, 2025 and March 31, 2025, the Company had zero</w:t>
      </w:r>
      <w:r>
        <w:rPr>
          <w:rFonts w:ascii="Times New Roman" w:hAnsi="Times New Roman"/>
          <w:color w:val="000000"/>
          <w:sz w:val="20"/>
        </w:rPr>
        <w:t xml:space="preserve"> </w:t>
      </w:r>
      <w:r>
        <w:rPr>
          <w:rFonts w:ascii="Arial" w:hAnsi="Arial"/>
          <w:color w:val="000000"/>
          <w:sz w:val="20"/>
        </w:rPr>
        <w:t>shares of common stock held in treasury.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During the three months ended December 31, 2025 and 2024, the Company issued 748,425</w:t>
      </w:r>
      <w:r>
        <w:rPr>
          <w:rFonts w:ascii="Times New Roman" w:hAnsi="Times New Roman"/>
          <w:color w:val="000000"/>
          <w:sz w:val="20"/>
        </w:rPr>
        <w:t xml:space="preserve"> </w:t>
      </w:r>
      <w:r>
        <w:rPr>
          <w:rFonts w:ascii="Arial" w:hAnsi="Arial"/>
          <w:color w:val="000000"/>
          <w:sz w:val="20"/>
        </w:rPr>
        <w:t>shares and 1,103,337</w:t>
      </w:r>
      <w:r>
        <w:rPr>
          <w:rFonts w:ascii="Times New Roman" w:hAnsi="Times New Roman"/>
          <w:color w:val="000000"/>
          <w:sz w:val="20"/>
        </w:rPr>
        <w:t xml:space="preserve"> </w:t>
      </w:r>
      <w:r>
        <w:rPr>
          <w:rFonts w:ascii="Arial" w:hAnsi="Arial"/>
          <w:color w:val="000000"/>
          <w:sz w:val="20"/>
        </w:rPr>
        <w:t>shares of common stock, respectively, and during the nine months ended December 31, 2025 and 2024, the Company issued 2,326,477</w:t>
      </w:r>
      <w:r>
        <w:rPr>
          <w:rFonts w:ascii="Times New Roman" w:hAnsi="Times New Roman"/>
          <w:color w:val="000000"/>
          <w:sz w:val="20"/>
        </w:rPr>
        <w:t xml:space="preserve"> </w:t>
      </w:r>
      <w:r>
        <w:rPr>
          <w:rFonts w:ascii="Arial" w:hAnsi="Arial"/>
          <w:color w:val="000000"/>
          <w:sz w:val="20"/>
        </w:rPr>
        <w:t>shares and 1,473,495</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(RSU) and performance-based RSU (PSU) agreements. In order for employees to satisfy minimum statutory employee tax withholding requirements related to the issuance of common stock underlying these RSU and PSU agreements, during the three months ended December 31, 2025 and 2024, the Company repurchased 255,208</w:t>
      </w:r>
      <w:r>
        <w:rPr>
          <w:rFonts w:ascii="Times New Roman" w:hAnsi="Times New Roman"/>
          <w:color w:val="000000"/>
          <w:sz w:val="20"/>
        </w:rPr>
        <w:t xml:space="preserve"> </w:t>
      </w:r>
      <w:r>
        <w:rPr>
          <w:rFonts w:ascii="Arial" w:hAnsi="Arial"/>
          <w:color w:val="000000"/>
          <w:sz w:val="20"/>
        </w:rPr>
        <w:t>shares and 378,657</w:t>
      </w:r>
      <w:r>
        <w:rPr>
          <w:rFonts w:ascii="Times New Roman" w:hAnsi="Times New Roman"/>
          <w:color w:val="000000"/>
          <w:sz w:val="20"/>
        </w:rPr>
        <w:t xml:space="preserve"> </w:t>
      </w:r>
      <w:r>
        <w:rPr>
          <w:rFonts w:ascii="Arial" w:hAnsi="Arial"/>
          <w:color w:val="000000"/>
          <w:sz w:val="20"/>
        </w:rPr>
        <w:t>shares of common stock, respectively, at cost and with a total value of $8.5</w:t>
      </w:r>
      <w:r>
        <w:rPr>
          <w:rFonts w:ascii="Times New Roman" w:hAnsi="Times New Roman"/>
          <w:color w:val="000000"/>
          <w:sz w:val="20"/>
        </w:rPr>
        <w:t xml:space="preserve"> </w:t>
      </w:r>
      <w:r>
        <w:rPr>
          <w:rFonts w:ascii="Arial" w:hAnsi="Arial"/>
          <w:color w:val="000000"/>
          <w:sz w:val="20"/>
        </w:rPr>
        <w:t>million and $2.8</w:t>
      </w:r>
      <w:r>
        <w:rPr>
          <w:rFonts w:ascii="Times New Roman" w:hAnsi="Times New Roman"/>
          <w:color w:val="000000"/>
          <w:sz w:val="20"/>
        </w:rPr>
        <w:t xml:space="preserve"> </w:t>
      </w:r>
      <w:r>
        <w:rPr>
          <w:rFonts w:ascii="Arial" w:hAnsi="Arial"/>
          <w:color w:val="000000"/>
          <w:sz w:val="20"/>
        </w:rPr>
        <w:t>million, respectively. During the nine months ended December 31, 2025 and 2024, the Company repurchased 857,852</w:t>
      </w:r>
      <w:r>
        <w:rPr>
          <w:rFonts w:ascii="Times New Roman" w:hAnsi="Times New Roman"/>
          <w:color w:val="000000"/>
          <w:sz w:val="20"/>
        </w:rPr>
        <w:t xml:space="preserve"> </w:t>
      </w:r>
      <w:r>
        <w:rPr>
          <w:rFonts w:ascii="Arial" w:hAnsi="Arial"/>
          <w:color w:val="000000"/>
          <w:sz w:val="20"/>
        </w:rPr>
        <w:t>shares and 520,538</w:t>
      </w:r>
      <w:r>
        <w:rPr>
          <w:rFonts w:ascii="Times New Roman" w:hAnsi="Times New Roman"/>
          <w:color w:val="000000"/>
          <w:sz w:val="20"/>
        </w:rPr>
        <w:t xml:space="preserve"> </w:t>
      </w:r>
      <w:r>
        <w:rPr>
          <w:rFonts w:ascii="Arial" w:hAnsi="Arial"/>
          <w:color w:val="000000"/>
          <w:sz w:val="20"/>
        </w:rPr>
        <w:t>shares of common stock, respectively, at cost and with a total value of $15.1</w:t>
      </w:r>
      <w:r>
        <w:rPr>
          <w:rFonts w:ascii="Times New Roman" w:hAnsi="Times New Roman"/>
          <w:color w:val="000000"/>
          <w:sz w:val="20"/>
        </w:rPr>
        <w:t xml:space="preserve"> </w:t>
      </w:r>
      <w:r>
        <w:rPr>
          <w:rFonts w:ascii="Arial" w:hAnsi="Arial"/>
          <w:color w:val="000000"/>
          <w:sz w:val="20"/>
        </w:rPr>
        <w:t>million and $5.2</w:t>
      </w:r>
      <w:r>
        <w:rPr>
          <w:rFonts w:ascii="Times New Roman" w:hAnsi="Times New Roman"/>
          <w:color w:val="000000"/>
          <w:sz w:val="20"/>
        </w:rPr>
        <w:t xml:space="preserve"> </w:t>
      </w:r>
      <w:r>
        <w:rPr>
          <w:rFonts w:ascii="Arial" w:hAnsi="Arial"/>
          <w:color w:val="000000"/>
          <w:sz w:val="20"/>
        </w:rPr>
        <w:t>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and PSUs. These retired shares remain as authorized stock and are considered to be unissued. The retirement of treasury stock had no impact on the Company’s total consolidated stockholders’ equity.</w:t>
      </w:r>
    </w:p>
    <w:p>
      <w:pPr>
        <w:pStyle w:val="TextBody"/>
        <w:bidi w:val="0"/>
        <w:spacing w:before="280" w:after="283"/>
        <w:jc w:val="left"/>
        <w:rPr>
          <w:rFonts w:ascii="Arial" w:hAnsi="Arial"/>
          <w:b/>
          <w:i/>
          <w:color w:val="000000"/>
          <w:sz w:val="20"/>
        </w:rPr>
      </w:pPr>
      <w:r>
        <w:rPr>
          <w:rFonts w:ascii="Arial" w:hAnsi="Arial"/>
          <w:b/>
          <w:i/>
          <w:color w:val="000000"/>
          <w:sz w:val="20"/>
        </w:rPr>
        <w:t>Derivatives</w:t>
      </w:r>
    </w:p>
    <w:p>
      <w:pPr>
        <w:pStyle w:val="TextBody"/>
        <w:bidi w:val="0"/>
        <w:spacing w:before="80" w:after="283"/>
        <w:jc w:val="left"/>
        <w:rPr>
          <w:rFonts w:ascii="Arial" w:hAnsi="Arial"/>
          <w:color w:val="000000"/>
          <w:sz w:val="20"/>
        </w:rPr>
      </w:pPr>
      <w:r>
        <w:rPr>
          <w:rFonts w:ascii="Arial" w:hAnsi="Arial"/>
          <w:color w:val="000000"/>
          <w:sz w:val="20"/>
        </w:rPr>
        <w:t>As a result of the Inmarsat Acquisition, the Company assumed interest rate cap contracts to hedge the variable interest rate under Inmarsat's senior secured term loan facilities. The interest rate cap contracts provided protection from Compound SOFR rates over 2%, covered the total nominal amount of Inmarsat's senior secured term loan facilities of $1.6 billion, and matured in February 2025. At the time of the acquisition, the Company continued to account for the interest rate cap contracts as cash-flow hedges. Upon amendment of Inmarsat's senior secured term loan facilities in March 2024 (see Note 6 — Senior Notes and Other Long-Term Debt for more information), the portion of the interest rate cap contracts related to Inmarsat's $1.3 billion senior secured term loan facility (the Inmarsat Term Loan Facility) continued to be accounted for as cash-flow hedges, as the interest rate cap contracts remained in place with their original maturity date.</w:t>
      </w:r>
    </w:p>
    <w:p>
      <w:pPr>
        <w:pStyle w:val="TextBody"/>
        <w:bidi w:val="0"/>
        <w:spacing w:before="180" w:after="283"/>
        <w:jc w:val="left"/>
        <w:rPr>
          <w:rFonts w:ascii="Arial" w:hAnsi="Arial"/>
          <w:color w:val="000000"/>
          <w:sz w:val="20"/>
        </w:rPr>
      </w:pPr>
      <w:r>
        <w:rPr>
          <w:rFonts w:ascii="Arial" w:hAnsi="Arial"/>
          <w:color w:val="000000"/>
          <w:sz w:val="20"/>
        </w:rPr>
        <w:t>The Company did not use this instrument, or these types of instruments in general, for speculative or trading purposes. The Company’s objective was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Arial" w:hAnsi="Arial"/>
          <w:color w:val="000000"/>
          <w:sz w:val="20"/>
        </w:rPr>
      </w:pPr>
      <w:r>
        <w:rPr>
          <w:rFonts w:ascii="Arial" w:hAnsi="Arial"/>
          <w:color w:val="000000"/>
          <w:sz w:val="20"/>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in the condensed consolidated statements of operations and comprehensive income (loss) as the earnings of the hedge item, with the offset recorded to other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the three and nine months ended December 31, 2024, the Company recognized a gain of an insignificant amount (and related tax expense of an insignificant amount) and a gain of $1.1</w:t>
      </w:r>
      <w:r>
        <w:rPr>
          <w:rFonts w:ascii="Times New Roman" w:hAnsi="Times New Roman"/>
          <w:color w:val="000000"/>
          <w:sz w:val="20"/>
        </w:rPr>
        <w:t xml:space="preserve"> </w:t>
      </w:r>
      <w:r>
        <w:rPr>
          <w:rFonts w:ascii="Arial" w:hAnsi="Arial"/>
          <w:color w:val="000000"/>
          <w:sz w:val="20"/>
        </w:rPr>
        <w:t>million (and related tax expense of an insignificant amount), respectively, in other comprehensive income arising from changes in the fair value of the interest rate cap contracts (designated as cash-flow hedging instruments) related to Inmarsat's senior secured term loan facilities. During the three and nine months ended December 31, 2024, the Company recorded a decrease of $5.1</w:t>
      </w:r>
      <w:r>
        <w:rPr>
          <w:rFonts w:ascii="Times New Roman" w:hAnsi="Times New Roman"/>
          <w:color w:val="000000"/>
          <w:sz w:val="20"/>
        </w:rPr>
        <w:t xml:space="preserve"> </w:t>
      </w:r>
      <w:r>
        <w:rPr>
          <w:rFonts w:ascii="Arial" w:hAnsi="Arial"/>
          <w:color w:val="000000"/>
          <w:sz w:val="20"/>
        </w:rPr>
        <w:t>million (and related tax benefit of $1.3</w:t>
      </w:r>
      <w:r>
        <w:rPr>
          <w:rFonts w:ascii="Times New Roman" w:hAnsi="Times New Roman"/>
          <w:color w:val="000000"/>
          <w:sz w:val="20"/>
        </w:rPr>
        <w:t xml:space="preserve"> </w:t>
      </w:r>
      <w:r>
        <w:rPr>
          <w:rFonts w:ascii="Arial" w:hAnsi="Arial"/>
          <w:color w:val="000000"/>
          <w:sz w:val="20"/>
        </w:rPr>
        <w:t>million) and a decrease of $13.2</w:t>
      </w:r>
      <w:r>
        <w:rPr>
          <w:rFonts w:ascii="Times New Roman" w:hAnsi="Times New Roman"/>
          <w:color w:val="000000"/>
          <w:sz w:val="20"/>
        </w:rPr>
        <w:t xml:space="preserve"> </w:t>
      </w:r>
      <w:r>
        <w:rPr>
          <w:rFonts w:ascii="Arial" w:hAnsi="Arial"/>
          <w:color w:val="000000"/>
          <w:sz w:val="20"/>
        </w:rPr>
        <w:t>million (and related tax benefit of $3.3</w:t>
      </w:r>
      <w:r>
        <w:rPr>
          <w:rFonts w:ascii="Times New Roman" w:hAnsi="Times New Roman"/>
          <w:color w:val="000000"/>
          <w:sz w:val="20"/>
        </w:rPr>
        <w:t xml:space="preserve"> </w:t>
      </w:r>
      <w:r>
        <w:rPr>
          <w:rFonts w:ascii="Arial" w:hAnsi="Arial"/>
          <w:color w:val="000000"/>
          <w:sz w:val="20"/>
        </w:rPr>
        <w:t>million), respectively, to other comprehensive income and interest expense, net of the recognition into income of the non-zero hedge inception fair value (based on the nature of the underlying transaction). During the three and nine months ended December 31, 2024, the Company received $11.5</w:t>
      </w:r>
      <w:r>
        <w:rPr>
          <w:rFonts w:ascii="Times New Roman" w:hAnsi="Times New Roman"/>
          <w:color w:val="000000"/>
          <w:sz w:val="20"/>
        </w:rPr>
        <w:t xml:space="preserve"> </w:t>
      </w:r>
      <w:r>
        <w:rPr>
          <w:rFonts w:ascii="Arial" w:hAnsi="Arial"/>
          <w:color w:val="000000"/>
          <w:sz w:val="20"/>
        </w:rPr>
        <w:t>million and $40.0</w:t>
      </w:r>
      <w:r>
        <w:rPr>
          <w:rFonts w:ascii="Times New Roman" w:hAnsi="Times New Roman"/>
          <w:color w:val="000000"/>
          <w:sz w:val="20"/>
        </w:rPr>
        <w:t xml:space="preserve"> </w:t>
      </w:r>
      <w:r>
        <w:rPr>
          <w:rFonts w:ascii="Arial" w:hAnsi="Arial"/>
          <w:color w:val="000000"/>
          <w:sz w:val="20"/>
        </w:rPr>
        <w:t>million, respectively, as a result of periodic cash settlements, which was included in operating cash flows in the condensed consolidated statements of cash flows.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Stock-based compensation</w:t>
      </w:r>
    </w:p>
    <w:p>
      <w:pPr>
        <w:pStyle w:val="TextBody"/>
        <w:bidi w:val="0"/>
        <w:spacing w:before="180" w:after="283"/>
        <w:jc w:val="left"/>
        <w:rPr>
          <w:rFonts w:ascii="Times New Roman" w:hAnsi="Times New Roman"/>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$24.1</w:t>
      </w:r>
      <w:r>
        <w:rPr>
          <w:rFonts w:ascii="Times New Roman" w:hAnsi="Times New Roman"/>
          <w:color w:val="000000"/>
          <w:sz w:val="20"/>
        </w:rPr>
        <w:t xml:space="preserve"> </w:t>
      </w:r>
      <w:r>
        <w:rPr>
          <w:rFonts w:ascii="Arial" w:hAnsi="Arial"/>
          <w:color w:val="000000"/>
          <w:sz w:val="20"/>
        </w:rPr>
        <w:t>million and $58.9</w:t>
      </w:r>
      <w:r>
        <w:rPr>
          <w:rFonts w:ascii="Times New Roman" w:hAnsi="Times New Roman"/>
          <w:color w:val="000000"/>
          <w:sz w:val="20"/>
        </w:rPr>
        <w:t xml:space="preserve"> </w:t>
      </w:r>
      <w:r>
        <w:rPr>
          <w:rFonts w:ascii="Arial" w:hAnsi="Arial"/>
          <w:color w:val="000000"/>
          <w:sz w:val="20"/>
        </w:rPr>
        <w:t>million of stock-based compensation expense for the three and nine months ended December 31, 2025, respectively. The Company recognized $21.5</w:t>
      </w:r>
      <w:r>
        <w:rPr>
          <w:rFonts w:ascii="Times New Roman" w:hAnsi="Times New Roman"/>
          <w:color w:val="000000"/>
          <w:sz w:val="20"/>
        </w:rPr>
        <w:t xml:space="preserve"> </w:t>
      </w:r>
      <w:r>
        <w:rPr>
          <w:rFonts w:ascii="Arial" w:hAnsi="Arial"/>
          <w:color w:val="000000"/>
          <w:sz w:val="20"/>
        </w:rPr>
        <w:t>million and $63.5</w:t>
      </w:r>
      <w:r>
        <w:rPr>
          <w:rFonts w:ascii="Times New Roman" w:hAnsi="Times New Roman"/>
          <w:color w:val="000000"/>
          <w:sz w:val="20"/>
        </w:rPr>
        <w:t xml:space="preserve"> </w:t>
      </w:r>
      <w:r>
        <w:rPr>
          <w:rFonts w:ascii="Arial" w:hAnsi="Arial"/>
          <w:color w:val="000000"/>
          <w:sz w:val="20"/>
        </w:rPr>
        <w:t>million of stock-based compensation expense for the three and nine months ended December 31, 2024, respectively. The Company recognizes excess tax benefits or deficiencies on vesting or settlement of awards as discrete items within income tax benefit or provision within net income (loss) and the related cash flows are classified within operating activities.</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180" w:after="283"/>
        <w:jc w:val="left"/>
        <w:rPr>
          <w:rFonts w:ascii="Times New Roman" w:hAnsi="Times New Roman"/>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color w:val="000000"/>
          <w:sz w:val="20"/>
        </w:rPr>
      </w:pPr>
      <w:r>
        <w:rPr>
          <w:rFonts w:ascii="Arial" w:hAnsi="Arial"/>
          <w:color w:val="000000"/>
          <w:sz w:val="20"/>
        </w:rPr>
        <w:t>In October 2023, the Financial Accounting Standards Board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2023, the FASB issued ASU 2023-07, Segment Reporting (Topic 280): Improvements to Reportable Segment Disclosures. This ASU requires public entities to enhance disclosures about their reportable segments' significant expenses on an interim and annual basis. The Company adopted the new guidance for annual disclosures in fiscal year 2025 and for interim disclosures in the first quarter of fiscal year 2026 on a retrospective basis. See Note 10 — Segment Information for additional information.</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Income Taxes (Topic 740): Improvements to Income Tax Disclosures. ASU 2023-09 enhances annual income tax disclosures by requiring disclosure of specific categories in the income tax rate reconciliation table and disaggregation of income taxes paid. The new standard will become effective for the Company's annual disclosures beginning in fiscal year 2026. Early adoption is permitted and the new standard should be applied prospectively, however retrospective application is permitted.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Company adopted the new guidance on a prospective basis in the first quarter of fiscal year 2026 and the guidance did not have an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2025, the FASB issued ASU 2025-04, Compensation – Stock Compensation (Topic 718) and Revenue from Contracts with Customers (Topic 606): Clarifications to Share-Based Consideration Payable to a Customer. The purpose of this ASU is to reduce diversity in practice and improve the decision usefulness and operability of the guidance for share-based consideration payable to a customer in conjunction with selling goods or services. The new standard will become effective for the Company's interim and annual disclosures beginning in fiscal year 2028. Early adoption is permitted and the new guidance should be applied either on a modified retrospective or a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July 2025, the FASB issued ASU 2025-05, Financial Instruments – Credit Losses (Topic 326): Measurement of Credit Losses for Accounts Receivable and Contract Assets. The purpose of this ASU is to allow entities to apply a practical expedient when estimating expected credit losses for current accounts receivable and current contract assets that arise from transactions accounted for under Topic 606. The new standard will become effective for the Company's interim and annual disclosures beginning in fiscal year 2027.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2025-06, Intangibles – Goodwill and Other – Internal-Use Software (Subtopic 350-40): Targeted Improvements to the Accounting for Internal-Use Software. The purpose of this ASU is to modernize the accounting guidance for the costs to develop software for internal use by removing all references to prescriptive and sequential software development project stages and providing further guidance on when an entity is required to start capitalizing eligible costs. The new standard will become effective for the Company's interim and annual disclosures beginning in fiscal year 2029. Early adoption is permitted and the new guidance should be applied either on a prospective transition, a modified transition or a retrospective transition approach.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2025-07, Derivative and Hedging (Topic 815) and Revenue from Contracts with Customers (Topic 606): Derivatives Scope Refinements and Scope Clarification for Share-Based Noncash Consideration from a Customer in a Revenue Contract. This ASU expands the scope exception in Topic 815 and clarifies the guidance on share-based noncash consideration from a customer in Topic 606. The new standard will become effective for the Company's interim and annual disclosures beginning in fiscal year 2028. Early adoption is permitted and the new guidance should be applied either on a prospective or a modified retrospective basis.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2025-08, Financial Instruments - Credit Losses (Topic 326): Purchased Loans. This ASU expands the population of acquired financial assets subject to the gross-up approach to include purchased seasoned loans.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2025-09, Derivatives and Hedging (Topic 815): Hedge Accounting Improvements. This ASU includes five targeted amendments intended to more closely align hedge accounting with the underlying economics of entities' risk management activities.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2025-10, Government Grants (Topic 832): Accounting for Government Grants Received by Business Entities. The purpose of this ASU is to reduce diversity in practice by establishing accounting guidance for recognition, measurement and presentation of a government grant received by a business entity. The new standard will become effective for the Company's interim and annual disclosures beginning in fiscal year 2030. Early adoption is permitted and the new guidance should be applied either on a modified prospective, a modified retrospective or a full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2025-11, Interim Reporting (Topic 270): Narrow-Scope Improvements. This ASU provides a comprehensive list of interim disclosures that are required by GAAP and clarifies the applicability of Topic 270, as well as a requirement to disclose events since the end of the last annual reporting period that have a material impact on the entity. The new standard will become effective for the Company's interim disclosures beginning in fiscal year 2029. Early adoption is permitted and the new guidance should be applied prospectively or retrospectively to any or all prior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2025-12, Codification Improvements. This ASU includes amendments to the FASB Accounting Standards Codification for a broad range of topics arising from technical corrections, unintended application of the Codification, clarifications, and other minor improvements. These amendments are not expected to have a significant effect on current accounting practice for most entities. The new standard will become effective for the Company's interim and annual reporting periods beginning in fiscal year 2028. Early adoption is permitted on an issue-by-issue basis and the new guidance should be applied prospectively or retrospectively on an issue-by-issue basis. The Company is currently evaluating the impact of this standard on its consolidated financial statements and disclosures.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9"/>
        <w:gridCol w:w="146"/>
        <w:gridCol w:w="241"/>
        <w:gridCol w:w="1130"/>
        <w:gridCol w:w="166"/>
        <w:gridCol w:w="146"/>
        <w:gridCol w:w="197"/>
        <w:gridCol w:w="926"/>
        <w:gridCol w:w="394"/>
      </w:tblGrid>
      <w:tr>
        <w:trPr/>
        <w:tc>
          <w:tcPr>
            <w:tcW w:w="6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As of </w:t>
              <w:br/>
              <w:t>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As of</w:t>
              <w:br/>
              <w:t> March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539,522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180,871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699,552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96,893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19,761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177,289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293,943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176,694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105,649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282,343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Equipment and software (estimated useful life of 3-7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4,094,183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3,837,083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CPE leased equipment (estimated useful life of 4-7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525,972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Furniture and fixtures (estimated useful life of</w:t>
            </w:r>
            <w:r>
              <w:rPr>
                <w:rFonts w:ascii="Times New Roman" w:hAnsi="Times New Roman"/>
                <w:color w:val="000000"/>
                <w:sz w:val="20"/>
              </w:rPr>
              <w:t xml:space="preserve"> </w:t>
            </w:r>
            <w:r>
              <w:rPr>
                <w:rFonts w:ascii="Arial" w:hAnsi="Arial"/>
                <w:color w:val="000000"/>
                <w:sz w:val="16"/>
              </w:rPr>
              <w:t>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58,153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Leasehold improvements (estimated useful life of 2-20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313,249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Buildings (estimated useful life of 12-38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19,661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722,194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(estimated useful life of 7-17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3,412,988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3,405,067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 Ka-band capacity obtained under finance leases (estimated useful life of 7-15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338,201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2,205,305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12,056,904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11,440,273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(4,757,439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(4,034,609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7,299,465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7,405,664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Contracts and customer relationships (weighted average useful life of 11</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1,432,562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Orbital slots and spectrum assets (weighted average useful life of 12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Technology (weighted average useful life of 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247,921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Trade names (weighted average useful life of 8</w:t>
            </w:r>
            <w:r>
              <w:rPr>
                <w:rFonts w:ascii="Times New Roman" w:hAnsi="Times New Roman"/>
                <w:color w:val="000000"/>
                <w:sz w:val="20"/>
              </w:rPr>
              <w:t> </w:t>
            </w:r>
            <w:r>
              <w:rPr>
                <w:rFonts w:ascii="Arial" w:hAnsi="Arial"/>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116,949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Other (weighted average useful life of 9</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2,904,049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(633,272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2,061,858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2,270,777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160,452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Capitalized software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264,492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Patents, orbital slots and other licenses,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119,193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301,641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845,778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Collections in excess of revenues and 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294,034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185,556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46,651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65,310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52,183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264,795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899,555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908,529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786,710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986,612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1,069,717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324,726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2,357,319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2,181,153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color w:val="000000"/>
          <w:sz w:val="20"/>
        </w:rPr>
      </w:pPr>
      <w:r>
        <w:rPr>
          <w:rFonts w:ascii="Arial" w:hAnsi="Arial"/>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color w:val="000000"/>
          <w:sz w:val="20"/>
        </w:rPr>
      </w:pPr>
      <w:r>
        <w:rPr>
          <w:rFonts w:ascii="Arial" w:hAnsi="Arial"/>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color w:val="000000"/>
          <w:sz w:val="20"/>
        </w:rPr>
      </w:pPr>
      <w:r>
        <w:rPr>
          <w:rFonts w:ascii="Arial" w:hAnsi="Arial"/>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December 31, 2025 and March 31, 2025.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December 31, 2025 and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29"/>
        <w:gridCol w:w="146"/>
        <w:gridCol w:w="487"/>
        <w:gridCol w:w="1839"/>
        <w:gridCol w:w="146"/>
        <w:gridCol w:w="146"/>
        <w:gridCol w:w="211"/>
        <w:gridCol w:w="796"/>
        <w:gridCol w:w="146"/>
        <w:gridCol w:w="146"/>
        <w:gridCol w:w="236"/>
        <w:gridCol w:w="388"/>
        <w:gridCol w:w="146"/>
        <w:gridCol w:w="146"/>
        <w:gridCol w:w="236"/>
        <w:gridCol w:w="388"/>
        <w:gridCol w:w="473"/>
      </w:tblGrid>
      <w:tr>
        <w:trPr/>
        <w:tc>
          <w:tcPr>
            <w:tcW w:w="4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Fair Value 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558,414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558,414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558,414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558,414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Fair Value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i/>
          <w:color w:val="000000"/>
          <w:sz w:val="20"/>
        </w:rPr>
        <w:t xml:space="preserve">Cash equivalents </w:t>
      </w:r>
      <w:r>
        <w:rPr>
          <w:rFonts w:ascii="Times New Roman" w:hAnsi="Times New Roman"/>
          <w:color w:val="000000"/>
          <w:sz w:val="20"/>
        </w:rPr>
        <w:t xml:space="preserve">— </w:t>
      </w:r>
      <w:r>
        <w:rPr>
          <w:rFonts w:ascii="Arial" w:hAnsi="Arial"/>
          <w:color w:val="000000"/>
          <w:sz w:val="20"/>
        </w:rPr>
        <w:t>The Company’s cash equivalents consist of money market funds,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 xml:space="preserve">Long-term debt </w:t>
      </w:r>
      <w:r>
        <w:rPr>
          <w:rFonts w:ascii="Times New Roman" w:hAnsi="Times New Roman"/>
          <w:color w:val="000000"/>
          <w:sz w:val="20"/>
        </w:rPr>
        <w:t xml:space="preserve">— </w:t>
      </w:r>
      <w:r>
        <w:rPr>
          <w:rFonts w:ascii="Arial" w:hAnsi="Arial"/>
          <w:color w:val="000000"/>
          <w:sz w:val="20"/>
        </w:rPr>
        <w:t>As of December 31, 2025, the Company’s long-term debt (including current portion)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and borrowings under the Inmarsat Term Loan Facility,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w:t>
      </w:r>
      <w:r>
        <w:rPr>
          <w:rFonts w:ascii="Times New Roman" w:hAnsi="Times New Roman"/>
          <w:color w:val="000000"/>
          <w:sz w:val="20"/>
        </w:rPr>
        <w:t xml:space="preserve"> </w:t>
      </w:r>
      <w:r>
        <w:rPr>
          <w:rFonts w:ascii="Arial" w:hAnsi="Arial"/>
          <w:color w:val="000000"/>
          <w:sz w:val="20"/>
        </w:rPr>
        <w:t>The estimated fair value of the Company's former direct loan facility (the Former Ex-Im Credit Facility) with the Export-Import Bank of the United States (Ex-Im Bank), which was fully repaid at maturity on October 15, 2025, was Level 2 and $19.2</w:t>
      </w:r>
      <w:r>
        <w:rPr>
          <w:rFonts w:ascii="Times New Roman" w:hAnsi="Times New Roman"/>
          <w:color w:val="000000"/>
          <w:sz w:val="20"/>
        </w:rPr>
        <w:t xml:space="preserve"> </w:t>
      </w:r>
      <w:r>
        <w:rPr>
          <w:rFonts w:ascii="Arial" w:hAnsi="Arial"/>
          <w:color w:val="000000"/>
          <w:sz w:val="20"/>
        </w:rPr>
        <w:t>million as of March 31, 2025. As of December 31, 2025 and March 31, 2025, the estimated fair value of the Company’s outstanding long-term debt related to each series of Notes was Level 2 and was $599.4</w:t>
      </w:r>
      <w:r>
        <w:rPr>
          <w:rFonts w:ascii="Times New Roman" w:hAnsi="Times New Roman"/>
          <w:color w:val="000000"/>
          <w:sz w:val="20"/>
        </w:rPr>
        <w:t xml:space="preserve"> </w:t>
      </w:r>
      <w:r>
        <w:rPr>
          <w:rFonts w:ascii="Arial" w:hAnsi="Arial"/>
          <w:color w:val="000000"/>
          <w:sz w:val="20"/>
        </w:rPr>
        <w:t>million and $575.0</w:t>
      </w:r>
      <w:r>
        <w:rPr>
          <w:rFonts w:ascii="Times New Roman" w:hAnsi="Times New Roman"/>
          <w:color w:val="000000"/>
          <w:sz w:val="20"/>
        </w:rPr>
        <w:t xml:space="preserve"> </w:t>
      </w:r>
      <w:r>
        <w:rPr>
          <w:rFonts w:ascii="Arial" w:hAnsi="Arial"/>
          <w:color w:val="000000"/>
          <w:sz w:val="20"/>
        </w:rPr>
        <w:t>million, respectively, for the 2027 Notes, $388.5</w:t>
      </w:r>
      <w:r>
        <w:rPr>
          <w:rFonts w:ascii="Times New Roman" w:hAnsi="Times New Roman"/>
          <w:color w:val="000000"/>
          <w:sz w:val="20"/>
        </w:rPr>
        <w:t xml:space="preserve"> </w:t>
      </w:r>
      <w:r>
        <w:rPr>
          <w:rFonts w:ascii="Arial" w:hAnsi="Arial"/>
          <w:color w:val="000000"/>
          <w:sz w:val="20"/>
        </w:rPr>
        <w:t>million and $350.0</w:t>
      </w:r>
      <w:r>
        <w:rPr>
          <w:rFonts w:ascii="Times New Roman" w:hAnsi="Times New Roman"/>
          <w:color w:val="000000"/>
          <w:sz w:val="20"/>
        </w:rPr>
        <w:t xml:space="preserve"> </w:t>
      </w:r>
      <w:r>
        <w:rPr>
          <w:rFonts w:ascii="Arial" w:hAnsi="Arial"/>
          <w:color w:val="000000"/>
          <w:sz w:val="20"/>
        </w:rPr>
        <w:t>million, respectively, for the 2028 Notes, $2.10</w:t>
      </w:r>
      <w:r>
        <w:rPr>
          <w:rFonts w:ascii="Times New Roman" w:hAnsi="Times New Roman"/>
          <w:color w:val="000000"/>
          <w:sz w:val="20"/>
        </w:rPr>
        <w:t xml:space="preserve"> </w:t>
      </w:r>
      <w:r>
        <w:rPr>
          <w:rFonts w:ascii="Arial" w:hAnsi="Arial"/>
          <w:color w:val="000000"/>
          <w:sz w:val="20"/>
        </w:rPr>
        <w:t>billion and</w:t>
      </w:r>
      <w:r>
        <w:rPr>
          <w:rFonts w:ascii="Times New Roman" w:hAnsi="Times New Roman"/>
          <w:color w:val="000000"/>
          <w:sz w:val="20"/>
        </w:rPr>
        <w:t xml:space="preserve"> </w:t>
      </w:r>
      <w:r>
        <w:rPr>
          <w:rFonts w:ascii="Arial" w:hAnsi="Arial"/>
          <w:color w:val="000000"/>
          <w:sz w:val="20"/>
        </w:rPr>
        <w:t>$1.82</w:t>
      </w:r>
      <w:r>
        <w:rPr>
          <w:rFonts w:ascii="Times New Roman" w:hAnsi="Times New Roman"/>
          <w:color w:val="000000"/>
          <w:sz w:val="20"/>
        </w:rPr>
        <w:t xml:space="preserve"> </w:t>
      </w:r>
      <w:r>
        <w:rPr>
          <w:rFonts w:ascii="Arial" w:hAnsi="Arial"/>
          <w:color w:val="000000"/>
          <w:sz w:val="20"/>
        </w:rPr>
        <w:t>billion, respectively, for the Inmarsat 2029 Notes, and $695.0</w:t>
      </w:r>
      <w:r>
        <w:rPr>
          <w:rFonts w:ascii="Times New Roman" w:hAnsi="Times New Roman"/>
          <w:color w:val="000000"/>
          <w:sz w:val="20"/>
        </w:rPr>
        <w:t xml:space="preserve"> </w:t>
      </w:r>
      <w:r>
        <w:rPr>
          <w:rFonts w:ascii="Arial" w:hAnsi="Arial"/>
          <w:color w:val="000000"/>
          <w:sz w:val="20"/>
        </w:rPr>
        <w:t>million and $552.8</w:t>
      </w:r>
      <w:r>
        <w:rPr>
          <w:rFonts w:ascii="Times New Roman" w:hAnsi="Times New Roman"/>
          <w:color w:val="000000"/>
          <w:sz w:val="20"/>
        </w:rPr>
        <w:t xml:space="preserve"> </w:t>
      </w:r>
      <w:r>
        <w:rPr>
          <w:rFonts w:ascii="Arial" w:hAnsi="Arial"/>
          <w:color w:val="000000"/>
          <w:sz w:val="20"/>
        </w:rPr>
        <w:t>million, respectively, for the 2031 Notes. During the first quarter of fiscal year 2026, Viasat's 5.625% Senior Notes due 2025 (the 2025 Notes) were redeemed in full, and as of March 31, 2025, their estimated fair value was Level 2 and $438.6</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2025 and March 31, 2025, the Company’s estimated satellite performance incentive obligations relating to certain satellites in commercial service, including accrued interest, were $7.5</w:t>
      </w:r>
      <w:r>
        <w:rPr>
          <w:rFonts w:ascii="Times New Roman" w:hAnsi="Times New Roman"/>
          <w:color w:val="000000"/>
          <w:sz w:val="20"/>
        </w:rPr>
        <w:t xml:space="preserve"> </w:t>
      </w:r>
      <w:r>
        <w:rPr>
          <w:rFonts w:ascii="Arial" w:hAnsi="Arial"/>
          <w:color w:val="000000"/>
          <w:sz w:val="20"/>
        </w:rPr>
        <w:t>million and $11.4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 xml:space="preserve">Note 4 — Shares Used In Computing Diluted Net Income (Loss) Per Share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4954"/>
        <w:gridCol w:w="146"/>
        <w:gridCol w:w="156"/>
        <w:gridCol w:w="852"/>
        <w:gridCol w:w="146"/>
        <w:gridCol w:w="146"/>
        <w:gridCol w:w="156"/>
        <w:gridCol w:w="852"/>
        <w:gridCol w:w="146"/>
        <w:gridCol w:w="146"/>
        <w:gridCol w:w="156"/>
        <w:gridCol w:w="852"/>
        <w:gridCol w:w="146"/>
        <w:gridCol w:w="146"/>
        <w:gridCol w:w="156"/>
        <w:gridCol w:w="852"/>
        <w:gridCol w:w="197"/>
      </w:tblGrid>
      <w:tr>
        <w:trPr/>
        <w:tc>
          <w:tcPr>
            <w:tcW w:w="4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used in computing basic net income (loss) per share attributable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 as determined by application of the treasury stock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Market-based performance stock options and market condition PSUs to purchase common stock as determined by application of the treasury stock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RSUs to acquire common stock as determined by application of the treasury stock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condition PSUs to acquire common stock as determined by application of the treasury stock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Potentially issuable shares in connection with certain terms of the Viasat 401(k) Profit Sharing Plan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used in computing diluted net income (loss) per share attributable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Antidilutive shares excluded from the calculation for the three months ended December 31, 2025</w:t>
      </w:r>
      <w:r>
        <w:rPr>
          <w:rFonts w:ascii="Times New Roman" w:hAnsi="Times New Roman"/>
          <w:color w:val="000000"/>
          <w:sz w:val="20"/>
        </w:rPr>
        <w:t xml:space="preserve"> </w:t>
      </w:r>
      <w:r>
        <w:rPr>
          <w:rFonts w:ascii="Arial" w:hAnsi="Arial"/>
          <w:color w:val="000000"/>
          <w:sz w:val="20"/>
        </w:rPr>
        <w:t>consisted of 75,586</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r>
        <w:rPr>
          <w:rFonts w:ascii="Arial" w:hAnsi="Arial"/>
          <w:color w:val="000000"/>
          <w:sz w:val="20"/>
        </w:rPr>
        <w:t>related to stock options (other than market-based performance stock options), 622,973</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r>
        <w:rPr>
          <w:rFonts w:ascii="Arial" w:hAnsi="Arial"/>
          <w:color w:val="000000"/>
          <w:sz w:val="20"/>
        </w:rPr>
        <w:t>related to market-based performance stock options and market condition PSUs, and 140,113</w:t>
      </w:r>
      <w:r>
        <w:rPr>
          <w:rFonts w:ascii="Times New Roman" w:hAnsi="Times New Roman"/>
          <w:color w:val="000000"/>
          <w:sz w:val="20"/>
        </w:rPr>
        <w:t xml:space="preserve"> </w:t>
      </w:r>
      <w:r>
        <w:rPr>
          <w:rFonts w:ascii="Arial" w:hAnsi="Arial"/>
          <w:color w:val="000000"/>
          <w:sz w:val="20"/>
        </w:rPr>
        <w:t>shares related to RSUs (other than PSUs).</w:t>
      </w:r>
    </w:p>
    <w:p>
      <w:pPr>
        <w:pStyle w:val="TextBody"/>
        <w:bidi w:val="0"/>
        <w:spacing w:before="180" w:after="283"/>
        <w:jc w:val="left"/>
        <w:rPr>
          <w:rFonts w:ascii="Arial" w:hAnsi="Arial"/>
          <w:color w:val="000000"/>
          <w:sz w:val="20"/>
        </w:rPr>
      </w:pPr>
      <w:r>
        <w:rPr>
          <w:rFonts w:ascii="Arial" w:hAnsi="Arial"/>
          <w:color w:val="000000"/>
          <w:sz w:val="20"/>
        </w:rPr>
        <w:t>The weighted average number of shares used to calculate basic and diluted net loss per share attributable to Viasat, Inc. common stockholders was the same for the nine months ended December 31, 2025 and three and nine months ended December 31, 2024, as the Company incurred a net loss attributable to Viasat, Inc. common stockholders for such periods and inclusion of potentially dilutive weighted average shares of common stock would be antidilutive.</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three months ended December 31, 2024 consisted of 227,792</w:t>
      </w:r>
      <w:r>
        <w:rPr>
          <w:rFonts w:ascii="Times New Roman" w:hAnsi="Times New Roman"/>
          <w:color w:val="000000"/>
          <w:sz w:val="20"/>
        </w:rPr>
        <w:t xml:space="preserve"> </w:t>
      </w:r>
      <w:r>
        <w:rPr>
          <w:rFonts w:ascii="Arial" w:hAnsi="Arial"/>
          <w:color w:val="000000"/>
          <w:sz w:val="20"/>
        </w:rPr>
        <w:t>shares related to stock options (other than market-based performance stock options), 6,323,440</w:t>
      </w:r>
      <w:r>
        <w:rPr>
          <w:rFonts w:ascii="Times New Roman" w:hAnsi="Times New Roman"/>
          <w:color w:val="000000"/>
          <w:sz w:val="20"/>
        </w:rPr>
        <w:t xml:space="preserve"> </w:t>
      </w:r>
      <w:r>
        <w:rPr>
          <w:rFonts w:ascii="Arial" w:hAnsi="Arial"/>
          <w:color w:val="000000"/>
          <w:sz w:val="20"/>
        </w:rPr>
        <w:t>shares related to RSUs (other than PSUs), 323,702</w:t>
      </w:r>
      <w:r>
        <w:rPr>
          <w:rFonts w:ascii="Times New Roman" w:hAnsi="Times New Roman"/>
          <w:color w:val="000000"/>
          <w:sz w:val="20"/>
        </w:rPr>
        <w:t xml:space="preserve"> </w:t>
      </w:r>
      <w:r>
        <w:rPr>
          <w:rFonts w:ascii="Arial" w:hAnsi="Arial"/>
          <w:color w:val="000000"/>
          <w:sz w:val="20"/>
        </w:rPr>
        <w:t>shares related to performance condition PSUs, and 2,198,574</w:t>
      </w:r>
      <w:r>
        <w:rPr>
          <w:rFonts w:ascii="Times New Roman" w:hAnsi="Times New Roman"/>
          <w:color w:val="000000"/>
          <w:sz w:val="20"/>
        </w:rPr>
        <w:t xml:space="preserve"> </w:t>
      </w:r>
      <w:r>
        <w:rPr>
          <w:rFonts w:ascii="Arial" w:hAnsi="Arial"/>
          <w:color w:val="000000"/>
          <w:sz w:val="20"/>
        </w:rPr>
        <w:t>shares related to certain terms of the Viasat 401(k) Profit Sharing Plan and Employee Stock Purchase Plan.</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nine months ended December 31, 2025 and 2024 consisted of 135,260 shares and 225,402 shares, respectively, related to stock options (other than market-based performance stock options), 1,383,826 shares and zero shares, respectively, related to market-based performance stock options and market condition PSUs, 4,511,837 shares and 5,622,696 shares, respectively, related to RSUs (other than PSUs), 170,168 shares and 145,329 shares, respectively, related to performance condition PSUs, and 1,395,076 shares and 2,062,866 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5 — Goodwill and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During each of the nine months ended December 31, 2025 and 2024, the Company’s goodwill remained flat year-over-year.</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Goodwill by segments as of December 31, 2025 and March 31, 2025 was as follows:</w:t>
      </w:r>
    </w:p>
    <w:p>
      <w:pPr>
        <w:pStyle w:val="TextBody"/>
        <w:bidi w:val="0"/>
        <w:jc w:val="left"/>
        <w:rPr/>
      </w:pPr>
      <w:r>
        <w:rPr/>
        <w:t> </w:t>
      </w:r>
    </w:p>
    <w:tbl>
      <w:tblPr>
        <w:tblW w:w="6825" w:type="dxa"/>
        <w:jc w:val="left"/>
        <w:tblInd w:w="0" w:type="dxa"/>
        <w:tblLayout w:type="fixed"/>
        <w:tblCellMar>
          <w:top w:w="28" w:type="dxa"/>
          <w:left w:w="28" w:type="dxa"/>
          <w:bottom w:w="28" w:type="dxa"/>
          <w:right w:w="28" w:type="dxa"/>
        </w:tblCellMar>
      </w:tblPr>
      <w:tblGrid>
        <w:gridCol w:w="3271"/>
        <w:gridCol w:w="146"/>
        <w:gridCol w:w="291"/>
        <w:gridCol w:w="1329"/>
        <w:gridCol w:w="146"/>
        <w:gridCol w:w="146"/>
        <w:gridCol w:w="235"/>
        <w:gridCol w:w="1070"/>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Acquired intangible assets are amortized using the straight-line method over their estimated useful lives of two</w:t>
      </w:r>
      <w:r>
        <w:rPr>
          <w:rFonts w:ascii="Times New Roman" w:hAnsi="Times New Roman"/>
          <w:color w:val="000000"/>
          <w:sz w:val="20"/>
        </w:rPr>
        <w:t xml:space="preserve"> </w:t>
      </w:r>
      <w:r>
        <w:rPr>
          <w:rFonts w:ascii="Arial" w:hAnsi="Arial"/>
          <w:color w:val="000000"/>
          <w:sz w:val="20"/>
        </w:rPr>
        <w:t>to 12 years</w:t>
      </w:r>
      <w:r>
        <w:rPr>
          <w:rFonts w:ascii="Times New Roman" w:hAnsi="Times New Roman"/>
          <w:color w:val="000000"/>
          <w:sz w:val="20"/>
        </w:rPr>
        <w:t xml:space="preserve"> </w:t>
      </w:r>
      <w:r>
        <w:rPr>
          <w:rFonts w:ascii="Arial" w:hAnsi="Arial"/>
          <w:color w:val="000000"/>
          <w:sz w:val="20"/>
        </w:rPr>
        <w:t>(which approximates the economic pattern of benefit). Amortization expense related to acquired intangible assets was $64.8</w:t>
      </w:r>
      <w:r>
        <w:rPr>
          <w:rFonts w:ascii="Times New Roman" w:hAnsi="Times New Roman"/>
          <w:color w:val="000000"/>
          <w:sz w:val="20"/>
        </w:rPr>
        <w:t xml:space="preserve"> </w:t>
      </w:r>
      <w:r>
        <w:rPr>
          <w:rFonts w:ascii="Arial" w:hAnsi="Arial"/>
          <w:color w:val="000000"/>
          <w:sz w:val="20"/>
        </w:rPr>
        <w:t>million and $65.8</w:t>
      </w:r>
      <w:r>
        <w:rPr>
          <w:rFonts w:ascii="Times New Roman" w:hAnsi="Times New Roman"/>
          <w:color w:val="000000"/>
          <w:sz w:val="20"/>
        </w:rPr>
        <w:t xml:space="preserve"> </w:t>
      </w:r>
      <w:r>
        <w:rPr>
          <w:rFonts w:ascii="Arial" w:hAnsi="Arial"/>
          <w:color w:val="000000"/>
          <w:sz w:val="20"/>
        </w:rPr>
        <w:t>million for the three months ended December 31, 2025 and 2024, respectively, and $195.6</w:t>
      </w:r>
      <w:r>
        <w:rPr>
          <w:rFonts w:ascii="Times New Roman" w:hAnsi="Times New Roman"/>
          <w:color w:val="000000"/>
          <w:sz w:val="20"/>
        </w:rPr>
        <w:t xml:space="preserve"> </w:t>
      </w:r>
      <w:r>
        <w:rPr>
          <w:rFonts w:ascii="Arial" w:hAnsi="Arial"/>
          <w:color w:val="000000"/>
          <w:sz w:val="20"/>
        </w:rPr>
        <w:t>million and $198.1</w:t>
      </w:r>
      <w:r>
        <w:rPr>
          <w:rFonts w:ascii="Times New Roman" w:hAnsi="Times New Roman"/>
          <w:color w:val="000000"/>
          <w:sz w:val="20"/>
        </w:rPr>
        <w:t xml:space="preserve"> </w:t>
      </w:r>
      <w:r>
        <w:rPr>
          <w:rFonts w:ascii="Arial" w:hAnsi="Arial"/>
          <w:color w:val="000000"/>
          <w:sz w:val="20"/>
        </w:rPr>
        <w:t>million for the nine months ended December 31, 2025 and 2024, respectively.</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Note 6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Total long-term debt consisted of the following as of December 31, 2025 and March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4"/>
        <w:gridCol w:w="146"/>
        <w:gridCol w:w="268"/>
        <w:gridCol w:w="1225"/>
        <w:gridCol w:w="166"/>
        <w:gridCol w:w="146"/>
        <w:gridCol w:w="228"/>
        <w:gridCol w:w="1039"/>
        <w:gridCol w:w="213"/>
      </w:tblGrid>
      <w:tr>
        <w:trPr/>
        <w:tc>
          <w:tcPr>
            <w:tcW w:w="6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Original Inmarsat Term Loan Facility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1,277,250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Former Ex-Im Credit Facility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2025 Notes </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442,550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6,406,911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7,204,275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6,243,575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6,532,284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On November 21, 2025, the remaining borrowings under Inmarsat's original senior secured term loan facility (the Original Inmarsat Term Loan Facility) were repaid early in full.</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On October 15, 2025, the Former Ex-Im Credit Facility was fully repaid at maturity.</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On May 2, 2025, the 2025 Notes were redeemed in full.</w:t>
      </w:r>
    </w:p>
    <w:p>
      <w:pPr>
        <w:pStyle w:val="TextBody"/>
        <w:bidi w:val="0"/>
        <w:spacing w:before="28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March 2022, the Company entered into the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 March 4, 2029. At December 31, 2025, the Company had $675.5</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December 31, 2025, the effective interest rate on the Company’s outstanding borrowings under the 2022 Term Loan Facility was 8.87%. The 2022 Term Loan Facility is required to be guaranteed by certain significant domestic subsidiaries of the Company (as defined in the 2022 Term Loan Facility) and secured by substantially all of the Company’s and any such subsidiaries’ assets. As of December 31, 2025, none of the Company’s subsidiaries guaranteed the 2022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2022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2022 Term Loan Facility as of December 31, 2025.</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color w:val="000000"/>
          <w:sz w:val="20"/>
        </w:rPr>
        <w:t>In connection with the closing of the Inmarsat Acquisition in May 2023, the Company entered into the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December 31, 2025, the Company had $602.8</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December 31, 2025, the effective interest rate on the Company’s outstanding borrowings under the 2023 Term Loan Facility was 9.34%.</w:t>
      </w:r>
      <w:r>
        <w:rPr>
          <w:rFonts w:ascii="Times New Roman" w:hAnsi="Times New Roman"/>
          <w:color w:val="000000"/>
          <w:sz w:val="20"/>
        </w:rPr>
        <w:t xml:space="preserve"> </w:t>
      </w:r>
      <w:r>
        <w:rPr>
          <w:rFonts w:ascii="Arial" w:hAnsi="Arial"/>
          <w:color w:val="000000"/>
          <w:sz w:val="20"/>
        </w:rPr>
        <w:t>The 2023 Term Loan Facility is required to be guaranteed by certain significant domestic subsidiaries of the Company (as defined in the 2023 Term Loan Facility) and secured by substantially all of the Company’s assets and any such subsidiaries' assets. As of December 31, 2025,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2023 Term Loan Facility as of December 31, 2025.</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Facilities</w:t>
      </w:r>
    </w:p>
    <w:p>
      <w:pPr>
        <w:pStyle w:val="TextBody"/>
        <w:bidi w:val="0"/>
        <w:spacing w:before="80" w:after="283"/>
        <w:jc w:val="left"/>
        <w:rPr>
          <w:rFonts w:ascii="Times New Roman" w:hAnsi="Times New Roman"/>
          <w:sz w:val="20"/>
        </w:rPr>
      </w:pPr>
      <w:r>
        <w:rPr>
          <w:rFonts w:ascii="Arial" w:hAnsi="Arial"/>
          <w:color w:val="000000"/>
          <w:sz w:val="20"/>
        </w:rPr>
        <w:t>In March 2024, Inmarsat amended its then-existing senior secured credit facilities to (among other matters): (1) establish the $1.3 billion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Inmarsat term loan facilities, the Inmarsat Secured Credit Facilities).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On November 21, 2025, the Company repaid early all of the $300.0</w:t>
      </w:r>
      <w:r>
        <w:rPr>
          <w:rFonts w:ascii="Times New Roman" w:hAnsi="Times New Roman"/>
          <w:color w:val="000000"/>
          <w:sz w:val="20"/>
        </w:rPr>
        <w:t xml:space="preserve"> </w:t>
      </w:r>
      <w:r>
        <w:rPr>
          <w:rFonts w:ascii="Arial" w:hAnsi="Arial"/>
          <w:color w:val="000000"/>
          <w:sz w:val="20"/>
        </w:rPr>
        <w:t>million in principal amount of outstanding borrowings under the Original Inmarsat Term Loan Facility plus accrued and unpaid interest thereon. As a result of the repayment of the Original Inmarsat Term Loan Facility, during the three months ended December 31, 2025, the Company recorded a loss of $11.6</w:t>
      </w:r>
      <w:r>
        <w:rPr>
          <w:rFonts w:ascii="Times New Roman" w:hAnsi="Times New Roman"/>
          <w:color w:val="000000"/>
          <w:sz w:val="20"/>
        </w:rPr>
        <w:t xml:space="preserve"> </w:t>
      </w:r>
      <w:r>
        <w:rPr>
          <w:rFonts w:ascii="Arial" w:hAnsi="Arial"/>
          <w:color w:val="000000"/>
          <w:sz w:val="20"/>
        </w:rPr>
        <w:t>million in loss (gain) on extinguishment of debt, net in the condensed consolidated statement of operations and comprehensive income (loss) related to an unamortized fair value adjustment made in purchase accounting. Borrowings under the Original Inmarsat Term Loan Facility were recorded as other long-term debt, net of unamortized discount, unamortized fair value adjustment made in purchase accounting and debt issuance costs, in the Company’s condensed consolidated financial statements as of March 31, 2025.</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20"/>
        </w:rPr>
        <w:t>The maturity date for the Inmarsat Term Loan Facility is September 28, 2029</w:t>
      </w:r>
      <w:r>
        <w:rPr>
          <w:rFonts w:ascii="Times New Roman" w:hAnsi="Times New Roman"/>
          <w:color w:val="000000"/>
          <w:sz w:val="20"/>
        </w:rPr>
        <w:t xml:space="preserve"> </w:t>
      </w:r>
      <w:r>
        <w:rPr>
          <w:rFonts w:ascii="Arial" w:hAnsi="Arial"/>
          <w:color w:val="000000"/>
          <w:sz w:val="20"/>
        </w:rPr>
        <w:t>and for the Inmarsat Revolving Credit Facility is March 28, 2027. As of December 31, 2025, Inmarsat had $1.3</w:t>
      </w:r>
      <w:r>
        <w:rPr>
          <w:rFonts w:ascii="Times New Roman" w:hAnsi="Times New Roman"/>
          <w:color w:val="000000"/>
          <w:sz w:val="20"/>
        </w:rPr>
        <w:t xml:space="preserve"> </w:t>
      </w:r>
      <w:r>
        <w:rPr>
          <w:rFonts w:ascii="Arial" w:hAnsi="Arial"/>
          <w:color w:val="000000"/>
          <w:sz w:val="20"/>
        </w:rPr>
        <w:t>billion in principal amount of outstanding borrowings under the Inmarsat Term Loan Facility. As of December 31, 2025, the Inmarsat Revolving Credit Facility was undrawn and there were no</w:t>
      </w:r>
      <w:r>
        <w:rPr>
          <w:rFonts w:ascii="Times New Roman" w:hAnsi="Times New Roman"/>
          <w:color w:val="000000"/>
          <w:sz w:val="20"/>
        </w:rPr>
        <w:t xml:space="preserve"> </w:t>
      </w:r>
      <w:r>
        <w:rPr>
          <w:rFonts w:ascii="Arial" w:hAnsi="Arial"/>
          <w:color w:val="000000"/>
          <w:sz w:val="20"/>
        </w:rPr>
        <w:t>amounts outstanding under standby letters of credit, leaving borrowing availability under the Inmarsat Revolving Credit Facility of $550.0</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Inmarsat Term Loan Facility are required to be repaid in quarterly installments of $3.25</w:t>
      </w:r>
      <w:r>
        <w:rPr>
          <w:rFonts w:ascii="Times New Roman" w:hAnsi="Times New Roman"/>
          <w:color w:val="000000"/>
          <w:sz w:val="20"/>
        </w:rPr>
        <w:t xml:space="preserve"> </w:t>
      </w:r>
      <w:r>
        <w:rPr>
          <w:rFonts w:ascii="Arial" w:hAnsi="Arial"/>
          <w:color w:val="000000"/>
          <w:sz w:val="20"/>
        </w:rPr>
        <w:t>million each, which commenced in June 2024, followed by a final installment of $1.23</w:t>
      </w:r>
      <w:r>
        <w:rPr>
          <w:rFonts w:ascii="Times New Roman" w:hAnsi="Times New Roman"/>
          <w:color w:val="000000"/>
          <w:sz w:val="20"/>
        </w:rPr>
        <w:t xml:space="preserve"> </w:t>
      </w:r>
      <w:r>
        <w:rPr>
          <w:rFonts w:ascii="Arial" w:hAnsi="Arial"/>
          <w:color w:val="000000"/>
          <w:sz w:val="20"/>
        </w:rPr>
        <w:t>billion at maturity.</w:t>
      </w:r>
    </w:p>
    <w:p>
      <w:pPr>
        <w:pStyle w:val="TextBody"/>
        <w:bidi w:val="0"/>
        <w:spacing w:before="180" w:after="283"/>
        <w:jc w:val="left"/>
        <w:rPr>
          <w:rFonts w:ascii="Arial" w:hAnsi="Arial"/>
          <w:color w:val="000000"/>
          <w:sz w:val="20"/>
        </w:rPr>
      </w:pPr>
      <w:r>
        <w:rPr>
          <w:rFonts w:ascii="Arial" w:hAnsi="Arial"/>
          <w:color w:val="000000"/>
          <w:sz w:val="20"/>
        </w:rPr>
        <w:t>Borrowings under the Inmarsat Secured Credit Facilities: (1) in the case of borrowings denominated in U.S. Dollars, bear interest, at Inmarsat's option, at either (i) the highest of (x) the federal funds rate plus 0.50%, (y) the forward-looking one-month term SOFR rate plus 1.00% or (z) the administrative agent's prime rate as announced from time to time, or (ii) the forward-looking term SOFR rate for the applicable interest period (subject to, in the case of the Inmarsat Term Loan Facility, a floor of 0.50% per annum and, in the case of the Inmarsat Revolving Credit Facility, a floor of 0.00%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December 31, 2025, the effective interest rate on the Company's outstanding borrowings under the Inmarsat Term Loan Facility was approximately 9.55%. The Inmarsat Secured Credit Facilities are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Facilities contain covenants that restrict, among other things, Inmarsat’s ability to incur additional debt, grant liens, sell assets, make investments and acquisitions, pay dividends and make certain other restricted payments. In addition, covenants regarding Inmarsat’s total net leverage ratio and interest coverage ratio apply to the Inmarsat Revolving Credit Facility. The borrowers under the Inmarsat Secured Credit Facilities were in compliance with the covenants under the Inmarsat Secured Credit Facilities as of December 31, 2025.</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Facility are recorded as current portion of long-term debt and as other long-term debt, net of unamortized discount, unamortized fair value adjustment made in purchase accounting and debt issuance costs, in the Company’s condensed consolidated financial statements. The Inmarsat Term Loan Facility was issued with an original issue discount of 2.00%.</w:t>
      </w:r>
    </w:p>
    <w:p>
      <w:pPr>
        <w:pStyle w:val="TextBody"/>
        <w:bidi w:val="0"/>
        <w:spacing w:before="280" w:after="283"/>
        <w:jc w:val="left"/>
        <w:rPr>
          <w:rFonts w:ascii="Times New Roman" w:hAnsi="Times New Roman"/>
          <w:sz w:val="20"/>
        </w:rPr>
      </w:pPr>
      <w:r>
        <w:rPr>
          <w:rFonts w:ascii="Arial" w:hAnsi="Arial"/>
          <w:b/>
          <w:i/>
          <w:color w:val="000000"/>
          <w:sz w:val="20"/>
        </w:rPr>
        <w:t>Former 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Former Ex-Im Credit Facility originally provided a $362.4</w:t>
      </w:r>
      <w:r>
        <w:rPr>
          <w:rFonts w:ascii="Times New Roman" w:hAnsi="Times New Roman"/>
          <w:color w:val="000000"/>
          <w:sz w:val="20"/>
        </w:rPr>
        <w:t xml:space="preserve"> </w:t>
      </w:r>
      <w:r>
        <w:rPr>
          <w:rFonts w:ascii="Arial" w:hAnsi="Arial"/>
          <w:color w:val="000000"/>
          <w:sz w:val="20"/>
        </w:rPr>
        <w:t>million senior secured direct loan facility, $321.2</w:t>
      </w:r>
      <w:r>
        <w:rPr>
          <w:rFonts w:ascii="Times New Roman" w:hAnsi="Times New Roman"/>
          <w:color w:val="000000"/>
          <w:sz w:val="20"/>
        </w:rPr>
        <w:t xml:space="preserve"> </w:t>
      </w:r>
      <w:r>
        <w:rPr>
          <w:rFonts w:ascii="Arial" w:hAnsi="Arial"/>
          <w:color w:val="000000"/>
          <w:sz w:val="20"/>
        </w:rPr>
        <w:t>million was used to finance up to 85% of the costs of construction, launch and insurance of the ViaSat-2 satellite and related goods and services, with the remaining $41.2</w:t>
      </w:r>
      <w:r>
        <w:rPr>
          <w:rFonts w:ascii="Times New Roman" w:hAnsi="Times New Roman"/>
          <w:color w:val="000000"/>
          <w:sz w:val="20"/>
        </w:rPr>
        <w:t xml:space="preserve"> </w:t>
      </w:r>
      <w:r>
        <w:rPr>
          <w:rFonts w:ascii="Arial" w:hAnsi="Arial"/>
          <w:color w:val="000000"/>
          <w:sz w:val="20"/>
        </w:rPr>
        <w:t>million used to finance the total exposure fees incurred under the Former Ex-Im Credit Facility. Borrowings under the Former Ex-Im Credit Facility bore interest at a fixed rate of 2.38%, payable semi-annually in arrears. The effective interest rate on the Company’s outstanding borrowings under the Former Ex-Im Credit Facility, which took into account timing and amount of borrowings and payments, exposure fees, debt issuance costs and other fees, was 4.54%. The Former Ex-Im Credit Facility was fully repaid and discharged at maturity on October 15, 2025. Borrowings under the Former Ex-Im Credit Facility were recorded as current portion of long-term debt, net of unamortized discount and debt issuance costs, in the Company’s condensed consolidated financial statements as of March 31, 2025. The discount of $42.3</w:t>
      </w:r>
      <w:r>
        <w:rPr>
          <w:rFonts w:ascii="Times New Roman" w:hAnsi="Times New Roman"/>
          <w:color w:val="000000"/>
          <w:sz w:val="20"/>
        </w:rPr>
        <w:t xml:space="preserve"> </w:t>
      </w:r>
      <w:r>
        <w:rPr>
          <w:rFonts w:ascii="Arial" w:hAnsi="Arial"/>
          <w:color w:val="000000"/>
          <w:sz w:val="20"/>
        </w:rPr>
        <w:t>million (consisting of the initial $6.0</w:t>
      </w:r>
      <w:r>
        <w:rPr>
          <w:rFonts w:ascii="Times New Roman" w:hAnsi="Times New Roman"/>
          <w:color w:val="000000"/>
          <w:sz w:val="20"/>
        </w:rPr>
        <w:t xml:space="preserve"> </w:t>
      </w:r>
      <w:r>
        <w:rPr>
          <w:rFonts w:ascii="Arial" w:hAnsi="Arial"/>
          <w:color w:val="000000"/>
          <w:sz w:val="20"/>
        </w:rPr>
        <w:t>million pre-exposure fee, $35.3</w:t>
      </w:r>
      <w:r>
        <w:rPr>
          <w:rFonts w:ascii="Times New Roman" w:hAnsi="Times New Roman"/>
          <w:color w:val="000000"/>
          <w:sz w:val="20"/>
        </w:rPr>
        <w:t xml:space="preserve"> </w:t>
      </w:r>
      <w:r>
        <w:rPr>
          <w:rFonts w:ascii="Arial" w:hAnsi="Arial"/>
          <w:color w:val="000000"/>
          <w:sz w:val="20"/>
        </w:rPr>
        <w:t>million of completion exposure fees, and other customary fees) and deferred financing cost associated with the issuance of the borrowings under the Former Ex-Im Credit Facility were amortized to interest expense on an effective interest rate basis over the weighted average term of the Former Ex-Im Credit Facility and in accordance with the related payment obligations.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December 31, 2025, Viasat's revolving credit facility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w:t>
      </w:r>
      <w:r>
        <w:rPr>
          <w:rFonts w:ascii="Times New Roman" w:hAnsi="Times New Roman"/>
          <w:color w:val="000000"/>
          <w:sz w:val="20"/>
        </w:rPr>
        <w:t xml:space="preserve"> </w:t>
      </w:r>
      <w:r>
        <w:rPr>
          <w:rFonts w:ascii="Arial" w:hAnsi="Arial"/>
          <w:color w:val="000000"/>
          <w:sz w:val="20"/>
        </w:rPr>
        <w:t>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As of December 31, 2025, the Viasat Revolving Credit Facility was undrawn and there was $52.7</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of $594.8</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December 31, 2025, none of the Company’s subsidiaries guaranteed the Viasat Revolving Credit Facility.</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covenants under the Viasat Revolving Credit Facility as of December 31, 2025.</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90" w:after="283"/>
        <w:jc w:val="left"/>
        <w:rPr>
          <w:rFonts w:ascii="Arial" w:hAnsi="Arial"/>
          <w:i/>
          <w:color w:val="000000"/>
          <w:sz w:val="20"/>
        </w:rPr>
      </w:pPr>
      <w:r>
        <w:rPr>
          <w:rFonts w:ascii="Arial" w:hAnsi="Arial"/>
          <w:i/>
          <w:color w:val="000000"/>
          <w:sz w:val="20"/>
        </w:rPr>
        <w:t>Senior Notes due 2025; Discharge of Indenture and Gain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2025</w:t>
      </w:r>
      <w:r>
        <w:rPr>
          <w:rFonts w:ascii="Times New Roman" w:hAnsi="Times New Roman"/>
          <w:color w:val="000000"/>
          <w:sz w:val="20"/>
        </w:rPr>
        <w:t xml:space="preserve"> </w:t>
      </w:r>
      <w:r>
        <w:rPr>
          <w:rFonts w:ascii="Arial" w:hAnsi="Arial"/>
          <w:color w:val="000000"/>
          <w:sz w:val="20"/>
        </w:rPr>
        <w:t>Notes in a private placement to institutional buyers. During the second quarter of fiscal year 2025, the Company repurchased $257.5</w:t>
      </w:r>
      <w:r>
        <w:rPr>
          <w:rFonts w:ascii="Times New Roman" w:hAnsi="Times New Roman"/>
          <w:color w:val="000000"/>
          <w:sz w:val="20"/>
        </w:rPr>
        <w:t xml:space="preserve"> </w:t>
      </w:r>
      <w:r>
        <w:rPr>
          <w:rFonts w:ascii="Arial" w:hAnsi="Arial"/>
          <w:color w:val="000000"/>
          <w:sz w:val="20"/>
        </w:rPr>
        <w:t>million in aggregate principal amount of 2025 Notes in open market transactions. As a result, during the nine months ended December 31, 2024, the Company recorded a gain of an insignificant amount in (loss) gain on extinguishment of debt, net in the condensed consolidated statement of operations and comprehensive income (loss). On May 2, 2025, the Company redeemed all of the remaining $442.6</w:t>
      </w:r>
      <w:r>
        <w:rPr>
          <w:rFonts w:ascii="Times New Roman" w:hAnsi="Times New Roman"/>
          <w:color w:val="000000"/>
          <w:sz w:val="20"/>
        </w:rPr>
        <w:t xml:space="preserve"> </w:t>
      </w:r>
      <w:r>
        <w:rPr>
          <w:rFonts w:ascii="Arial" w:hAnsi="Arial"/>
          <w:color w:val="000000"/>
          <w:sz w:val="20"/>
        </w:rPr>
        <w:t>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of the redemption of the 2025 Notes in the first quarter of fiscal year 2026, during the nine months ended December 31, 2025, the Company recorded a loss of an insignificant amount in loss (gain) on extinguishment of debt, net in the condensed consolidated statement of operations and comprehensive income (loss). The 2025 Notes bore interest at the rate of 5.625% per year, payable semi-annually in cash in arrears, and were recorded as current portion of long-term debt, net of debt issuance costs, in the Company’s condensed consolidated financial statements as of March 31, 2025.</w:t>
      </w:r>
    </w:p>
    <w:p>
      <w:pPr>
        <w:pStyle w:val="TextBody"/>
        <w:bidi w:val="0"/>
        <w:spacing w:before="180" w:after="283"/>
        <w:jc w:val="left"/>
        <w:rPr>
          <w:rFonts w:ascii="Arial" w:hAnsi="Arial"/>
          <w:i/>
          <w:color w:val="000000"/>
          <w:sz w:val="20"/>
        </w:rPr>
      </w:pPr>
      <w:r>
        <w:rPr>
          <w:rFonts w:ascii="Arial" w:hAnsi="Arial"/>
          <w:i/>
          <w:color w:val="000000"/>
          <w:sz w:val="20"/>
        </w:rPr>
        <w:t>Inmarsat Senior Secured Notes due 2026; Discharge of Indenture and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October 2019, certain subsidiaries of Inmarsat Holdings issued $2.08</w:t>
      </w:r>
      <w:r>
        <w:rPr>
          <w:rFonts w:ascii="Times New Roman" w:hAnsi="Times New Roman"/>
          <w:color w:val="000000"/>
          <w:sz w:val="20"/>
        </w:rPr>
        <w:t xml:space="preserve"> </w:t>
      </w:r>
      <w:r>
        <w:rPr>
          <w:rFonts w:ascii="Arial" w:hAnsi="Arial"/>
          <w:color w:val="000000"/>
          <w:sz w:val="20"/>
        </w:rPr>
        <w:t>billion in principal amount of Inmarsat's 6.750% Senior Secured Notes due 2026 (the Inmarsat</w:t>
      </w:r>
      <w:r>
        <w:rPr>
          <w:rFonts w:ascii="Times New Roman" w:hAnsi="Times New Roman"/>
          <w:color w:val="000000"/>
          <w:sz w:val="20"/>
        </w:rPr>
        <w:t xml:space="preserve"> </w:t>
      </w:r>
      <w:r>
        <w:rPr>
          <w:rFonts w:ascii="Arial" w:hAnsi="Arial"/>
          <w:color w:val="000000"/>
          <w:sz w:val="20"/>
        </w:rPr>
        <w:t>2026</w:t>
      </w:r>
      <w:r>
        <w:rPr>
          <w:rFonts w:ascii="Times New Roman" w:hAnsi="Times New Roman"/>
          <w:color w:val="000000"/>
          <w:sz w:val="20"/>
        </w:rPr>
        <w:t xml:space="preserve"> </w:t>
      </w:r>
      <w:r>
        <w:rPr>
          <w:rFonts w:ascii="Arial" w:hAnsi="Arial"/>
          <w:color w:val="000000"/>
          <w:sz w:val="20"/>
        </w:rPr>
        <w:t>Notes) in a private placement to institutional buyers. In July 2024, Inmarsat repurchased $101.7</w:t>
      </w:r>
      <w:r>
        <w:rPr>
          <w:rFonts w:ascii="Times New Roman" w:hAnsi="Times New Roman"/>
          <w:color w:val="000000"/>
          <w:sz w:val="20"/>
        </w:rPr>
        <w:t xml:space="preserve"> </w:t>
      </w:r>
      <w:r>
        <w:rPr>
          <w:rFonts w:ascii="Arial" w:hAnsi="Arial"/>
          <w:color w:val="000000"/>
          <w:sz w:val="20"/>
        </w:rPr>
        <w:t>million in aggregate principal amount of Inmarsat 2026 Notes in open market transactions. In October 2024, Inmarsat used the net proceeds from the issuance of the Inmarsat 2029 Notes, together with cash on hand, to redeem all of the remaining $1.97</w:t>
      </w:r>
      <w:r>
        <w:rPr>
          <w:rFonts w:ascii="Times New Roman" w:hAnsi="Times New Roman"/>
          <w:color w:val="000000"/>
          <w:sz w:val="20"/>
        </w:rPr>
        <w:t xml:space="preserve"> </w:t>
      </w:r>
      <w:r>
        <w:rPr>
          <w:rFonts w:ascii="Arial" w:hAnsi="Arial"/>
          <w:color w:val="000000"/>
          <w:sz w:val="20"/>
        </w:rPr>
        <w:t>billion in principal amount of Inmarsat 2026 Notes at a redemption price of 100% of the principal amount so redeemed, plus accrued and unpaid interest thereon to the redemption date, and the indenture governing the Inmarsat 2026 Notes was satisfied and discharged in accordance with its terms. As a result of the repurchase and redemption of the Inmarsat 2026 Notes in July and October 2024, during the three and nine months ended December 31, 2024, the Company recorded a loss of $96.6</w:t>
      </w:r>
      <w:r>
        <w:rPr>
          <w:rFonts w:ascii="Times New Roman" w:hAnsi="Times New Roman"/>
          <w:color w:val="000000"/>
          <w:sz w:val="20"/>
        </w:rPr>
        <w:t xml:space="preserve"> </w:t>
      </w:r>
      <w:r>
        <w:rPr>
          <w:rFonts w:ascii="Arial" w:hAnsi="Arial"/>
          <w:color w:val="000000"/>
          <w:sz w:val="20"/>
        </w:rPr>
        <w:t>million and $100.3</w:t>
      </w:r>
      <w:r>
        <w:rPr>
          <w:rFonts w:ascii="Times New Roman" w:hAnsi="Times New Roman"/>
          <w:color w:val="000000"/>
          <w:sz w:val="20"/>
        </w:rPr>
        <w:t xml:space="preserve"> </w:t>
      </w:r>
      <w:r>
        <w:rPr>
          <w:rFonts w:ascii="Arial" w:hAnsi="Arial"/>
          <w:color w:val="000000"/>
          <w:sz w:val="20"/>
        </w:rPr>
        <w:t>million, respectively, in (loss) gain on extinguishment of debt, net in the condensed consolidated statement of operations and comprehensive income (loss), related to an unamortized fair value adjustment made in purchase accounting.</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70" w:after="283"/>
        <w:jc w:val="left"/>
        <w:rPr>
          <w:rFonts w:ascii="Arial" w:hAnsi="Arial"/>
          <w:i/>
          <w:color w:val="000000"/>
          <w:sz w:val="20"/>
        </w:rPr>
      </w:pPr>
      <w:r>
        <w:rPr>
          <w:rFonts w:ascii="Arial" w:hAnsi="Arial"/>
          <w:i/>
          <w:color w:val="000000"/>
          <w:sz w:val="20"/>
        </w:rPr>
        <w:t>Senior Secured Notes due 2027</w:t>
      </w:r>
    </w:p>
    <w:p>
      <w:pPr>
        <w:pStyle w:val="TextBody"/>
        <w:bidi w:val="0"/>
        <w:spacing w:before="9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December 31, 2025,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2029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may be redeemed, in whole or in part, at any time at a redemption price of 100% plus accrued and unpaid interest, if any, thereon to the redemption date.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70" w:after="283"/>
        <w:jc w:val="left"/>
        <w:rPr>
          <w:rFonts w:ascii="Arial" w:hAnsi="Arial"/>
          <w:i/>
          <w:color w:val="000000"/>
          <w:sz w:val="20"/>
        </w:rPr>
      </w:pPr>
      <w:r>
        <w:rPr>
          <w:rFonts w:ascii="Arial" w:hAnsi="Arial"/>
          <w:i/>
          <w:color w:val="000000"/>
          <w:sz w:val="20"/>
        </w:rPr>
        <w:t>Senior Notes due 2028</w:t>
      </w:r>
    </w:p>
    <w:p>
      <w:pPr>
        <w:pStyle w:val="TextBody"/>
        <w:bidi w:val="0"/>
        <w:spacing w:before="9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w:t>
      </w:r>
      <w:r>
        <w:rPr>
          <w:rFonts w:ascii="Times New Roman" w:hAnsi="Times New Roman"/>
          <w:color w:val="000000"/>
          <w:sz w:val="20"/>
        </w:rPr>
        <w:t xml:space="preserve"> </w:t>
      </w:r>
      <w:r>
        <w:rPr>
          <w:rFonts w:ascii="Arial" w:hAnsi="Arial"/>
          <w:color w:val="000000"/>
          <w:sz w:val="20"/>
        </w:rPr>
        <w:t>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December 31, 2025,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2029</w:t>
      </w:r>
    </w:p>
    <w:p>
      <w:pPr>
        <w:pStyle w:val="TextBody"/>
        <w:bidi w:val="0"/>
        <w:spacing w:before="80" w:after="283"/>
        <w:jc w:val="left"/>
        <w:rPr>
          <w:rFonts w:ascii="Times New Roman" w:hAnsi="Times New Roman"/>
          <w:sz w:val="20"/>
        </w:rPr>
      </w:pPr>
      <w:r>
        <w:rPr>
          <w:rFonts w:ascii="Arial" w:hAnsi="Arial"/>
          <w:color w:val="000000"/>
          <w:sz w:val="20"/>
        </w:rPr>
        <w:t>In September 2024, certain subsidiaries of Inmarsat Holdings issued $1.975</w:t>
      </w:r>
      <w:r>
        <w:rPr>
          <w:rFonts w:ascii="Times New Roman" w:hAnsi="Times New Roman"/>
          <w:color w:val="000000"/>
          <w:sz w:val="20"/>
        </w:rPr>
        <w:t xml:space="preserve"> </w:t>
      </w:r>
      <w:r>
        <w:rPr>
          <w:rFonts w:ascii="Arial" w:hAnsi="Arial"/>
          <w:color w:val="000000"/>
          <w:sz w:val="20"/>
        </w:rPr>
        <w:t>billion in principal amount of Inmarsat 2029</w:t>
      </w:r>
      <w:r>
        <w:rPr>
          <w:rFonts w:ascii="Times New Roman" w:hAnsi="Times New Roman"/>
          <w:color w:val="000000"/>
          <w:sz w:val="20"/>
        </w:rPr>
        <w:t xml:space="preserve"> </w:t>
      </w:r>
      <w:r>
        <w:rPr>
          <w:rFonts w:ascii="Arial" w:hAnsi="Arial"/>
          <w:color w:val="000000"/>
          <w:sz w:val="20"/>
        </w:rPr>
        <w:t>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w:t>
      </w:r>
      <w:r>
        <w:rPr>
          <w:rFonts w:ascii="Times New Roman" w:hAnsi="Times New Roman"/>
          <w:color w:val="000000"/>
          <w:sz w:val="20"/>
        </w:rPr>
        <w:t xml:space="preserve"> </w:t>
      </w:r>
      <w:r>
        <w:rPr>
          <w:rFonts w:ascii="Arial" w:hAnsi="Arial"/>
          <w:color w:val="000000"/>
          <w:sz w:val="20"/>
        </w:rPr>
        <w:t>The issuers may also redeem the Inmarsat 2029 Notes prior to September 15, 2026, in whole or in part, at a redemption price equal to 100% of the principal amount thereof plus a “make-whole”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68"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In September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$733.4</w:t>
      </w:r>
      <w:r>
        <w:rPr>
          <w:rFonts w:ascii="Times New Roman" w:hAnsi="Times New Roman"/>
          <w:color w:val="000000"/>
          <w:sz w:val="20"/>
        </w:rPr>
        <w:t xml:space="preserve"> </w:t>
      </w:r>
      <w:r>
        <w:rPr>
          <w:rFonts w:ascii="Arial" w:hAnsi="Arial"/>
          <w:color w:val="000000"/>
          <w:sz w:val="20"/>
        </w:rPr>
        <w:t>million unsecured bridge loan facility that was entered into in connection with the closing of the Inmarsat Acquisition in May 2023. The 2031 Notes were issued at face value and are recorded as long-term debt, net of debt issuance costs, in the Company’s condensed</w:t>
      </w:r>
      <w:r>
        <w:rPr>
          <w:rFonts w:ascii="Times New Roman" w:hAnsi="Times New Roman"/>
          <w:color w:val="000000"/>
          <w:sz w:val="20"/>
        </w:rPr>
        <w:t xml:space="preserve"> </w:t>
      </w:r>
      <w:r>
        <w:rPr>
          <w:rFonts w:ascii="Arial" w:hAnsi="Arial"/>
          <w:color w:val="000000"/>
          <w:sz w:val="20"/>
        </w:rPr>
        <w:t>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December 31, 2025,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w:t>
      </w:r>
      <w:r>
        <w:rPr>
          <w:rFonts w:ascii="Times New Roman" w:hAnsi="Times New Roman"/>
          <w:color w:val="000000"/>
          <w:sz w:val="20"/>
        </w:rPr>
        <w:t xml:space="preserve"> </w:t>
      </w:r>
      <w:r>
        <w:rPr>
          <w:rFonts w:ascii="Arial" w:hAnsi="Arial"/>
          <w:color w:val="000000"/>
          <w:sz w:val="20"/>
        </w:rPr>
        <w:t>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Times New Roman" w:hAnsi="Times New Roman"/>
          <w:sz w:val="20"/>
        </w:rPr>
      </w:pPr>
      <w:r>
        <w:rPr>
          <w:rFonts w:ascii="Arial" w:hAnsi="Arial"/>
          <w:b/>
          <w:color w:val="000000"/>
          <w:sz w:val="20"/>
        </w:rPr>
        <w:t>Note 7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investments (Navarino UK and JSAT Mobile), which are considered related-party transactions. The Company recognized revenue from Navarino UK and JSAT Mobile in the amounts of $15.5</w:t>
      </w:r>
      <w:r>
        <w:rPr>
          <w:rFonts w:ascii="Times New Roman" w:hAnsi="Times New Roman"/>
          <w:color w:val="000000"/>
          <w:sz w:val="20"/>
        </w:rPr>
        <w:t xml:space="preserve"> </w:t>
      </w:r>
      <w:r>
        <w:rPr>
          <w:rFonts w:ascii="Arial" w:hAnsi="Arial"/>
          <w:color w:val="000000"/>
          <w:sz w:val="20"/>
        </w:rPr>
        <w:t>million and $16.2</w:t>
      </w:r>
      <w:r>
        <w:rPr>
          <w:rFonts w:ascii="Times New Roman" w:hAnsi="Times New Roman"/>
          <w:color w:val="000000"/>
          <w:sz w:val="20"/>
        </w:rPr>
        <w:t xml:space="preserve"> </w:t>
      </w:r>
      <w:r>
        <w:rPr>
          <w:rFonts w:ascii="Arial" w:hAnsi="Arial"/>
          <w:color w:val="000000"/>
          <w:sz w:val="20"/>
        </w:rPr>
        <w:t>million for the three months ended December 31, 2025 and 2024, respectively, and $47.9</w:t>
      </w:r>
      <w:r>
        <w:rPr>
          <w:rFonts w:ascii="Times New Roman" w:hAnsi="Times New Roman"/>
          <w:color w:val="000000"/>
          <w:sz w:val="20"/>
        </w:rPr>
        <w:t xml:space="preserve"> </w:t>
      </w:r>
      <w:r>
        <w:rPr>
          <w:rFonts w:ascii="Arial" w:hAnsi="Arial"/>
          <w:color w:val="000000"/>
          <w:sz w:val="20"/>
        </w:rPr>
        <w:t>million and $50.0</w:t>
      </w:r>
      <w:r>
        <w:rPr>
          <w:rFonts w:ascii="Times New Roman" w:hAnsi="Times New Roman"/>
          <w:color w:val="000000"/>
          <w:sz w:val="20"/>
        </w:rPr>
        <w:t xml:space="preserve"> </w:t>
      </w:r>
      <w:r>
        <w:rPr>
          <w:rFonts w:ascii="Arial" w:hAnsi="Arial"/>
          <w:color w:val="000000"/>
          <w:sz w:val="20"/>
        </w:rPr>
        <w:t>million for the nine months ended December 31, 2025 and 2024, respectively. The Company received cash of $15.6</w:t>
      </w:r>
      <w:r>
        <w:rPr>
          <w:rFonts w:ascii="Times New Roman" w:hAnsi="Times New Roman"/>
          <w:color w:val="000000"/>
          <w:sz w:val="20"/>
        </w:rPr>
        <w:t xml:space="preserve"> </w:t>
      </w:r>
      <w:r>
        <w:rPr>
          <w:rFonts w:ascii="Arial" w:hAnsi="Arial"/>
          <w:color w:val="000000"/>
          <w:sz w:val="20"/>
        </w:rPr>
        <w:t>million and $16.2</w:t>
      </w:r>
      <w:r>
        <w:rPr>
          <w:rFonts w:ascii="Times New Roman" w:hAnsi="Times New Roman"/>
          <w:color w:val="000000"/>
          <w:sz w:val="20"/>
        </w:rPr>
        <w:t xml:space="preserve"> </w:t>
      </w:r>
      <w:r>
        <w:rPr>
          <w:rFonts w:ascii="Arial" w:hAnsi="Arial"/>
          <w:color w:val="000000"/>
          <w:sz w:val="20"/>
        </w:rPr>
        <w:t>million from Navarino UK and JSAT Mobile for the three months ended December 31, 2025 and 2024, respectively, and $48.0</w:t>
      </w:r>
      <w:r>
        <w:rPr>
          <w:rFonts w:ascii="Times New Roman" w:hAnsi="Times New Roman"/>
          <w:color w:val="000000"/>
          <w:sz w:val="20"/>
        </w:rPr>
        <w:t xml:space="preserve"> </w:t>
      </w:r>
      <w:r>
        <w:rPr>
          <w:rFonts w:ascii="Arial" w:hAnsi="Arial"/>
          <w:color w:val="000000"/>
          <w:sz w:val="20"/>
        </w:rPr>
        <w:t>million and $52.4</w:t>
      </w:r>
      <w:r>
        <w:rPr>
          <w:rFonts w:ascii="Times New Roman" w:hAnsi="Times New Roman"/>
          <w:color w:val="000000"/>
          <w:sz w:val="20"/>
        </w:rPr>
        <w:t xml:space="preserve"> </w:t>
      </w:r>
      <w:r>
        <w:rPr>
          <w:rFonts w:ascii="Arial" w:hAnsi="Arial"/>
          <w:color w:val="000000"/>
          <w:sz w:val="20"/>
        </w:rPr>
        <w:t>million for the nine months ended December 31, 2025 and 2024, respectively. Accounts receivable from Navarino UK and JSAT Mobile was $8.4</w:t>
      </w:r>
      <w:r>
        <w:rPr>
          <w:rFonts w:ascii="Times New Roman" w:hAnsi="Times New Roman"/>
          <w:color w:val="000000"/>
          <w:sz w:val="20"/>
        </w:rPr>
        <w:t xml:space="preserve"> </w:t>
      </w:r>
      <w:r>
        <w:rPr>
          <w:rFonts w:ascii="Arial" w:hAnsi="Arial"/>
          <w:color w:val="000000"/>
          <w:sz w:val="20"/>
        </w:rPr>
        <w:t>million and $8.5</w:t>
      </w:r>
      <w:r>
        <w:rPr>
          <w:rFonts w:ascii="Times New Roman" w:hAnsi="Times New Roman"/>
          <w:color w:val="000000"/>
          <w:sz w:val="20"/>
        </w:rPr>
        <w:t xml:space="preserve"> </w:t>
      </w:r>
      <w:r>
        <w:rPr>
          <w:rFonts w:ascii="Arial" w:hAnsi="Arial"/>
          <w:color w:val="000000"/>
          <w:sz w:val="20"/>
        </w:rPr>
        <w:t>million as of December 31, 2025 and March 31, 2025, respectively.</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8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2025 for information regarding the Company’s future minimum payments under its satellite construction contracts and other satellite-related purchase commitments.</w:t>
      </w:r>
    </w:p>
    <w:p>
      <w:pPr>
        <w:pStyle w:val="TextBody"/>
        <w:bidi w:val="0"/>
        <w:spacing w:before="180" w:after="283"/>
        <w:jc w:val="left"/>
        <w:rPr>
          <w:rFonts w:ascii="Arial" w:hAnsi="Arial"/>
          <w:color w:val="000000"/>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December 31, 2025, the DCMA had approved the Company’s incurred costs through fiscal year 2022. The DCAA is currently auditing the Company's fiscal year 2025 recurring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December 31, 2025 and March 31, 2025,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180" w:after="283"/>
        <w:jc w:val="left"/>
        <w:rPr>
          <w:rFonts w:ascii="Times New Roman" w:hAnsi="Times New Roman"/>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the Company anticipates receiving an aggregate of $568</w:t>
      </w:r>
      <w:r>
        <w:rPr>
          <w:rFonts w:ascii="Times New Roman" w:hAnsi="Times New Roman"/>
          <w:color w:val="000000"/>
          <w:sz w:val="20"/>
        </w:rPr>
        <w:t xml:space="preserve"> </w:t>
      </w:r>
      <w:r>
        <w:rPr>
          <w:rFonts w:ascii="Arial" w:hAnsi="Arial"/>
          <w:color w:val="000000"/>
          <w:sz w:val="20"/>
        </w:rPr>
        <w:t>million from Ligado in fiscal year 2026, consisting of (i) a $420</w:t>
      </w:r>
      <w:r>
        <w:rPr>
          <w:rFonts w:ascii="Times New Roman" w:hAnsi="Times New Roman"/>
          <w:color w:val="000000"/>
          <w:sz w:val="20"/>
        </w:rPr>
        <w:t xml:space="preserve"> </w:t>
      </w:r>
      <w:r>
        <w:rPr>
          <w:rFonts w:ascii="Arial" w:hAnsi="Arial"/>
          <w:color w:val="000000"/>
          <w:sz w:val="20"/>
        </w:rPr>
        <w:t>million lump sum payment which was received in October 2025, (ii) a $100</w:t>
      </w:r>
      <w:r>
        <w:rPr>
          <w:rFonts w:ascii="Times New Roman" w:hAnsi="Times New Roman"/>
          <w:color w:val="000000"/>
          <w:sz w:val="20"/>
        </w:rPr>
        <w:t xml:space="preserve"> </w:t>
      </w:r>
      <w:r>
        <w:rPr>
          <w:rFonts w:ascii="Arial" w:hAnsi="Arial"/>
          <w:color w:val="000000"/>
          <w:sz w:val="20"/>
        </w:rPr>
        <w:t>million lump sum payment that is due on March 31, 2026 and (iii) a resumption of quarterly payments of approximately $16</w:t>
      </w:r>
      <w:r>
        <w:rPr>
          <w:rFonts w:ascii="Times New Roman" w:hAnsi="Times New Roman"/>
          <w:color w:val="000000"/>
          <w:sz w:val="20"/>
        </w:rPr>
        <w:t xml:space="preserve"> </w:t>
      </w:r>
      <w:r>
        <w:rPr>
          <w:rFonts w:ascii="Arial" w:hAnsi="Arial"/>
          <w:color w:val="000000"/>
          <w:sz w:val="20"/>
        </w:rPr>
        <w:t>million, which started on September 30, 2025, with an annual escalator of 3% for the life of the contract (through 2107). Upon resolution of certain conditions, during the three months ended December 31, 2025, related to the $420.0</w:t>
      </w:r>
      <w:r>
        <w:rPr>
          <w:rFonts w:ascii="Times New Roman" w:hAnsi="Times New Roman"/>
          <w:color w:val="000000"/>
          <w:sz w:val="20"/>
        </w:rPr>
        <w:t xml:space="preserve"> </w:t>
      </w:r>
      <w:r>
        <w:rPr>
          <w:rFonts w:ascii="Arial" w:hAnsi="Arial"/>
          <w:color w:val="000000"/>
          <w:sz w:val="20"/>
        </w:rPr>
        <w:t>million lump sum payment, the Company allocated and recognized $267.5</w:t>
      </w:r>
      <w:r>
        <w:rPr>
          <w:rFonts w:ascii="Times New Roman" w:hAnsi="Times New Roman"/>
          <w:color w:val="000000"/>
          <w:sz w:val="20"/>
        </w:rPr>
        <w:t xml:space="preserve"> </w:t>
      </w:r>
      <w:r>
        <w:rPr>
          <w:rFonts w:ascii="Arial" w:hAnsi="Arial"/>
          <w:color w:val="000000"/>
          <w:sz w:val="20"/>
        </w:rPr>
        <w:t>million as deferred revenue and allocated and recognized $152.5</w:t>
      </w:r>
      <w:r>
        <w:rPr>
          <w:rFonts w:ascii="Times New Roman" w:hAnsi="Times New Roman"/>
          <w:color w:val="000000"/>
          <w:sz w:val="20"/>
        </w:rPr>
        <w:t xml:space="preserve"> </w:t>
      </w:r>
      <w:r>
        <w:rPr>
          <w:rFonts w:ascii="Arial" w:hAnsi="Arial"/>
          <w:color w:val="000000"/>
          <w:sz w:val="20"/>
        </w:rPr>
        <w:t>million as interest income on the deferral of Ligado's previous quarterly fees, which were received as part of the lump sum payment.</w:t>
      </w:r>
    </w:p>
    <w:p>
      <w:pPr>
        <w:pStyle w:val="TextBody"/>
        <w:bidi w:val="0"/>
        <w:spacing w:before="180" w:after="283"/>
        <w:jc w:val="left"/>
        <w:rPr>
          <w:rFonts w:ascii="Times New Roman" w:hAnsi="Times New Roman"/>
          <w:sz w:val="20"/>
        </w:rPr>
      </w:pPr>
      <w:r>
        <w:rPr>
          <w:rFonts w:ascii="Arial" w:hAnsi="Arial"/>
          <w:color w:val="000000"/>
          <w:sz w:val="20"/>
        </w:rPr>
        <w:t>In September 2023, the Company settled certain pending litigation. Under the terms of the settlement and licensing agreement, the Company receives certain payments, which may vary based on sales of licensed products. In the first quarter of fiscal year 2026 and 2025, the Company received payments of approximately $30.8</w:t>
      </w:r>
      <w:r>
        <w:rPr>
          <w:rFonts w:ascii="Times New Roman" w:hAnsi="Times New Roman"/>
          <w:color w:val="000000"/>
          <w:sz w:val="20"/>
        </w:rPr>
        <w:t xml:space="preserve"> </w:t>
      </w:r>
      <w:r>
        <w:rPr>
          <w:rFonts w:ascii="Arial" w:hAnsi="Arial"/>
          <w:color w:val="000000"/>
          <w:sz w:val="20"/>
        </w:rPr>
        <w:t>million and $41.7</w:t>
      </w:r>
      <w:r>
        <w:rPr>
          <w:rFonts w:ascii="Times New Roman" w:hAnsi="Times New Roman"/>
          <w:color w:val="000000"/>
          <w:sz w:val="20"/>
        </w:rPr>
        <w:t xml:space="preserve"> </w:t>
      </w:r>
      <w:r>
        <w:rPr>
          <w:rFonts w:ascii="Arial" w:hAnsi="Arial"/>
          <w:color w:val="000000"/>
          <w:sz w:val="20"/>
        </w:rPr>
        <w:t>million, respectively, which were recognized as product revenues in the Company’s defense and advanced technologies segment for the nine months ended December 31, 2025 and 2024, respectively. The Company may from time to time receive additional licensing and royalty payments under the settlement and licensing agreement.</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Note 9 — Income Taxes</w:t>
      </w:r>
    </w:p>
    <w:p>
      <w:pPr>
        <w:pStyle w:val="TextBody"/>
        <w:bidi w:val="0"/>
        <w:spacing w:before="80" w:after="283"/>
        <w:jc w:val="left"/>
        <w:rPr>
          <w:rFonts w:ascii="Times New Roman" w:hAnsi="Times New Roman"/>
          <w:sz w:val="20"/>
        </w:rPr>
      </w:pPr>
      <w:r>
        <w:rPr>
          <w:rFonts w:ascii="Arial" w:hAnsi="Arial"/>
          <w:color w:val="000000"/>
          <w:sz w:val="20"/>
        </w:rPr>
        <w:t>For the three and nine months ended December 31, 2025, the Company recorded income tax provisions of $58.7</w:t>
      </w:r>
      <w:r>
        <w:rPr>
          <w:rFonts w:ascii="Times New Roman" w:hAnsi="Times New Roman"/>
          <w:color w:val="000000"/>
          <w:sz w:val="20"/>
        </w:rPr>
        <w:t xml:space="preserve"> </w:t>
      </w:r>
      <w:r>
        <w:rPr>
          <w:rFonts w:ascii="Arial" w:hAnsi="Arial"/>
          <w:color w:val="000000"/>
          <w:sz w:val="20"/>
        </w:rPr>
        <w:t>million and $76.1</w:t>
      </w:r>
      <w:r>
        <w:rPr>
          <w:rFonts w:ascii="Times New Roman" w:hAnsi="Times New Roman"/>
          <w:color w:val="000000"/>
          <w:sz w:val="20"/>
        </w:rPr>
        <w:t xml:space="preserve"> </w:t>
      </w:r>
      <w:r>
        <w:rPr>
          <w:rFonts w:ascii="Arial" w:hAnsi="Arial"/>
          <w:color w:val="000000"/>
          <w:sz w:val="20"/>
        </w:rPr>
        <w:t>million, respectively, resulting in an effective tax rate of 63%</w:t>
      </w:r>
      <w:r>
        <w:rPr>
          <w:rFonts w:ascii="Times New Roman" w:hAnsi="Times New Roman"/>
          <w:color w:val="000000"/>
          <w:sz w:val="20"/>
        </w:rPr>
        <w:t xml:space="preserve"> </w:t>
      </w:r>
      <w:r>
        <w:rPr>
          <w:rFonts w:ascii="Arial" w:hAnsi="Arial"/>
          <w:color w:val="000000"/>
          <w:sz w:val="20"/>
        </w:rPr>
        <w:t>and a meaningless effective tax rate, respectively. The effective tax rates for such periods differed from the U.S. statutory rate primarily due to a U.S. valuation allowance, foreign tax rate differences and foreign tax audit adjustments.</w:t>
      </w:r>
    </w:p>
    <w:p>
      <w:pPr>
        <w:pStyle w:val="TextBody"/>
        <w:bidi w:val="0"/>
        <w:spacing w:before="80" w:after="283"/>
        <w:jc w:val="left"/>
        <w:rPr>
          <w:rFonts w:ascii="Times New Roman" w:hAnsi="Times New Roman"/>
          <w:sz w:val="20"/>
        </w:rPr>
      </w:pPr>
      <w:r>
        <w:rPr>
          <w:rFonts w:ascii="Arial" w:hAnsi="Arial"/>
          <w:color w:val="000000"/>
          <w:sz w:val="20"/>
        </w:rPr>
        <w:t>For the three and nine months ended December 31, 2024, the Company recorded income tax benefits of $11.8</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 resulting in effective tax rates of 7%</w:t>
      </w:r>
      <w:r>
        <w:rPr>
          <w:rFonts w:ascii="Times New Roman" w:hAnsi="Times New Roman"/>
          <w:color w:val="000000"/>
          <w:sz w:val="20"/>
        </w:rPr>
        <w:t xml:space="preserve"> </w:t>
      </w:r>
      <w:r>
        <w:rPr>
          <w:rFonts w:ascii="Arial" w:hAnsi="Arial"/>
          <w:color w:val="000000"/>
          <w:sz w:val="20"/>
        </w:rPr>
        <w:t>and 2%, respectively. The effective tax rates for such periods differed from the U.S. statutory rate primarily due to a U.S. valuation allowance, foreign tax rate differences, and decreases in the Company's unrecognized tax benefits.</w:t>
      </w:r>
    </w:p>
    <w:p>
      <w:pPr>
        <w:pStyle w:val="TextBody"/>
        <w:bidi w:val="0"/>
        <w:spacing w:before="180" w:after="283"/>
        <w:jc w:val="left"/>
        <w:rPr>
          <w:rFonts w:ascii="Times New Roman" w:hAnsi="Times New Roman"/>
          <w:sz w:val="20"/>
        </w:rPr>
      </w:pPr>
      <w:r>
        <w:rPr>
          <w:rFonts w:ascii="Arial" w:hAnsi="Arial"/>
          <w:color w:val="000000"/>
          <w:sz w:val="20"/>
        </w:rPr>
        <w:t>The Company's total valuation allowance increased from $430.5</w:t>
      </w:r>
      <w:r>
        <w:rPr>
          <w:rFonts w:ascii="Times New Roman" w:hAnsi="Times New Roman"/>
          <w:color w:val="000000"/>
          <w:sz w:val="20"/>
        </w:rPr>
        <w:t xml:space="preserve"> </w:t>
      </w:r>
      <w:r>
        <w:rPr>
          <w:rFonts w:ascii="Arial" w:hAnsi="Arial"/>
          <w:color w:val="000000"/>
          <w:sz w:val="20"/>
        </w:rPr>
        <w:t>million at March 31, 2025</w:t>
      </w:r>
      <w:r>
        <w:rPr>
          <w:rFonts w:ascii="Times New Roman" w:hAnsi="Times New Roman"/>
          <w:color w:val="000000"/>
          <w:sz w:val="20"/>
        </w:rPr>
        <w:t xml:space="preserve"> </w:t>
      </w:r>
      <w:r>
        <w:rPr>
          <w:rFonts w:ascii="Arial" w:hAnsi="Arial"/>
          <w:color w:val="000000"/>
          <w:sz w:val="20"/>
        </w:rPr>
        <w:t>to $481.9</w:t>
      </w:r>
      <w:r>
        <w:rPr>
          <w:rFonts w:ascii="Times New Roman" w:hAnsi="Times New Roman"/>
          <w:color w:val="000000"/>
          <w:sz w:val="20"/>
        </w:rPr>
        <w:t xml:space="preserve"> </w:t>
      </w:r>
      <w:r>
        <w:rPr>
          <w:rFonts w:ascii="Arial" w:hAnsi="Arial"/>
          <w:color w:val="000000"/>
          <w:sz w:val="20"/>
        </w:rPr>
        <w:t>million at December 31, 2025 relating to carryforwards for federal, state, and foreign net operating losses, federal and state research and development tax credits, and foreign tax credits.</w:t>
      </w:r>
    </w:p>
    <w:p>
      <w:pPr>
        <w:pStyle w:val="TextBody"/>
        <w:bidi w:val="0"/>
        <w:spacing w:before="180" w:after="283"/>
        <w:jc w:val="left"/>
        <w:rPr>
          <w:rFonts w:ascii="Times New Roman" w:hAnsi="Times New Roman"/>
          <w:sz w:val="20"/>
        </w:rPr>
      </w:pPr>
      <w:r>
        <w:rPr>
          <w:rFonts w:ascii="Arial" w:hAnsi="Arial"/>
          <w:color w:val="000000"/>
          <w:sz w:val="20"/>
        </w:rPr>
        <w:t>For the three and nine months ended December 31, 2025, the Company’s gross unrecognized tax benefits decreased by $8.4</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and interest and penalties decreased by $6.4</w:t>
      </w:r>
      <w:r>
        <w:rPr>
          <w:rFonts w:ascii="Times New Roman" w:hAnsi="Times New Roman"/>
          <w:color w:val="000000"/>
          <w:sz w:val="20"/>
        </w:rPr>
        <w:t xml:space="preserve"> </w:t>
      </w:r>
      <w:r>
        <w:rPr>
          <w:rFonts w:ascii="Arial" w:hAnsi="Arial"/>
          <w:color w:val="000000"/>
          <w:sz w:val="20"/>
        </w:rPr>
        <w:t>million and $7.8</w:t>
      </w:r>
      <w:r>
        <w:rPr>
          <w:rFonts w:ascii="Times New Roman" w:hAnsi="Times New Roman"/>
          <w:color w:val="000000"/>
          <w:sz w:val="20"/>
        </w:rPr>
        <w:t xml:space="preserve"> </w:t>
      </w:r>
      <w:r>
        <w:rPr>
          <w:rFonts w:ascii="Arial" w:hAnsi="Arial"/>
          <w:color w:val="000000"/>
          <w:sz w:val="20"/>
        </w:rPr>
        <w:t>million, respectively. Of the total $187.1</w:t>
      </w:r>
      <w:r>
        <w:rPr>
          <w:rFonts w:ascii="Times New Roman" w:hAnsi="Times New Roman"/>
          <w:color w:val="000000"/>
          <w:sz w:val="20"/>
        </w:rPr>
        <w:t xml:space="preserve"> </w:t>
      </w:r>
      <w:r>
        <w:rPr>
          <w:rFonts w:ascii="Arial" w:hAnsi="Arial"/>
          <w:color w:val="000000"/>
          <w:sz w:val="20"/>
        </w:rPr>
        <w:t>million gross unrecognized tax benefits at December 31, 2025, $13.7</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December 31, 2025.</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On July 4, 2025, the One Big Beautiful Bill Act (OBBBA) was enacted in the U.S. The OBBBA includes a broad range of material business tax reforms, such as 100% bonus depreciation, expensing of U.S.-based research and development, modification of the interest expense limitation, and modification of various U.S. international tax provisions. For the three and nine months ended December 31, 2025, the tax law changes resulted in approximately $1.5</w:t>
      </w:r>
      <w:r>
        <w:rPr>
          <w:rFonts w:ascii="Times New Roman" w:hAnsi="Times New Roman"/>
          <w:color w:val="000000"/>
          <w:sz w:val="20"/>
        </w:rPr>
        <w:t xml:space="preserve"> </w:t>
      </w:r>
      <w:r>
        <w:rPr>
          <w:rFonts w:ascii="Arial" w:hAnsi="Arial"/>
          <w:color w:val="000000"/>
          <w:sz w:val="20"/>
        </w:rPr>
        <w:t>million and $8.0</w:t>
      </w:r>
      <w:r>
        <w:rPr>
          <w:rFonts w:ascii="Times New Roman" w:hAnsi="Times New Roman"/>
          <w:color w:val="000000"/>
          <w:sz w:val="20"/>
        </w:rPr>
        <w:t xml:space="preserve"> </w:t>
      </w:r>
      <w:r>
        <w:rPr>
          <w:rFonts w:ascii="Arial" w:hAnsi="Arial"/>
          <w:color w:val="000000"/>
          <w:sz w:val="20"/>
        </w:rPr>
        <w:t>million, respectively, of incremental non-cash tax expense to increase the Company’s U.S. valuation allowance due to material changes in the Company’s mix of gross deferred tax assets and liabilities. Additionally, the tax law changes increased prepaid income taxes associated with the Company's majority-owned subsidiary as of December 31, 2025</w:t>
      </w:r>
      <w:r>
        <w:rPr>
          <w:rFonts w:ascii="Times New Roman" w:hAnsi="Times New Roman"/>
          <w:color w:val="000000"/>
          <w:sz w:val="20"/>
        </w:rPr>
        <w:t xml:space="preserve"> </w:t>
      </w:r>
      <w:r>
        <w:rPr>
          <w:rFonts w:ascii="Arial" w:hAnsi="Arial"/>
          <w:color w:val="000000"/>
          <w:sz w:val="20"/>
        </w:rPr>
        <w:t>primarily due to the accelerated amortization of research and development expenses that were previously capitalized for tax purposes with corresponding savings to cash taxes. The Company will continue to evaluate the impacts of the tax law changes as further guidance becomes available.</w:t>
      </w:r>
    </w:p>
    <w:p>
      <w:pPr>
        <w:pStyle w:val="TextBody"/>
        <w:bidi w:val="0"/>
        <w:spacing w:before="280" w:after="283"/>
        <w:jc w:val="left"/>
        <w:rPr>
          <w:rFonts w:ascii="Times New Roman" w:hAnsi="Times New Roman"/>
          <w:sz w:val="20"/>
        </w:rPr>
      </w:pPr>
      <w:r>
        <w:rPr>
          <w:rFonts w:ascii="Arial" w:hAnsi="Arial"/>
          <w:b/>
          <w:color w:val="000000"/>
          <w:sz w:val="20"/>
        </w:rPr>
        <w:t>Note 10 — Segment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reports its results in two</w:t>
      </w:r>
      <w:r>
        <w:rPr>
          <w:rFonts w:ascii="Times New Roman" w:hAnsi="Times New Roman"/>
          <w:color w:val="000000"/>
          <w:sz w:val="20"/>
        </w:rPr>
        <w:t xml:space="preserve"> </w:t>
      </w:r>
      <w:r>
        <w:rPr>
          <w:rFonts w:ascii="Arial" w:hAnsi="Arial"/>
          <w:color w:val="000000"/>
          <w:sz w:val="20"/>
        </w:rPr>
        <w:t>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p>
    <w:p>
      <w:pPr>
        <w:pStyle w:val="TextBody"/>
        <w:bidi w:val="0"/>
        <w:spacing w:before="80" w:after="283"/>
        <w:jc w:val="left"/>
        <w:rPr>
          <w:rFonts w:ascii="Arial" w:hAnsi="Arial"/>
          <w:color w:val="000000"/>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pStyle w:val="TextBody"/>
        <w:bidi w:val="0"/>
        <w:spacing w:before="8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Segment revenues, expenses and operating profits (losses) for the three and nine months ended December 31, 2025 and 2024 were as follows:</w:t>
      </w:r>
    </w:p>
    <w:tbl>
      <w:tblPr>
        <w:tblW w:w="10205" w:type="dxa"/>
        <w:jc w:val="left"/>
        <w:tblInd w:w="0" w:type="dxa"/>
        <w:tblLayout w:type="fixed"/>
        <w:tblCellMar>
          <w:top w:w="28" w:type="dxa"/>
          <w:left w:w="28" w:type="dxa"/>
          <w:bottom w:w="28" w:type="dxa"/>
          <w:right w:w="28" w:type="dxa"/>
        </w:tblCellMar>
      </w:tblPr>
      <w:tblGrid>
        <w:gridCol w:w="3199"/>
        <w:gridCol w:w="346"/>
        <w:gridCol w:w="207"/>
        <w:gridCol w:w="875"/>
        <w:gridCol w:w="166"/>
        <w:gridCol w:w="146"/>
        <w:gridCol w:w="207"/>
        <w:gridCol w:w="875"/>
        <w:gridCol w:w="366"/>
        <w:gridCol w:w="346"/>
        <w:gridCol w:w="207"/>
        <w:gridCol w:w="875"/>
        <w:gridCol w:w="166"/>
        <w:gridCol w:w="146"/>
        <w:gridCol w:w="207"/>
        <w:gridCol w:w="875"/>
        <w:gridCol w:w="996"/>
      </w:tblGrid>
      <w:tr>
        <w:trPr/>
        <w:tc>
          <w:tcPr>
            <w:tcW w:w="31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Aviation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263,880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897,317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783,022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Government satcom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195,048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558,796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Maritime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118,895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364,021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Fixed services and other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181,162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567,651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758,985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2,312,591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2,273,490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61,362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200,029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Total communication services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820,347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2,489,368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2,473,519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50,385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154,915</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Information security and cyber defense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89,497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228,552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Space and mission systems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77,752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229,840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Tactical networking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78,528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229,972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Advanced technologies and other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55,691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253,035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821,517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744,055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Total defense and advanced technologies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303,420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979,624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898,970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Elimination of intersegment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1,157,045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1,123,767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3,468,992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3,372,489</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244,673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735,641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744,136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38,462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than acquired intangible assets amortization </w:t>
            </w:r>
            <w:r>
              <w:rPr>
                <w:rFonts w:ascii="Arial" w:hAnsi="Arial"/>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31,998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and transaction 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14,061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segment items </w:t>
            </w:r>
            <w:r>
              <w:rPr>
                <w:rFonts w:ascii="Arial" w:hAnsi="Arial"/>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494,083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1,524,131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1,527,562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6"/>
              </w:rPr>
            </w:pPr>
            <w:r>
              <w:rPr>
                <w:rFonts w:ascii="Arial" w:hAnsi="Arial"/>
                <w:color w:val="000000"/>
                <w:sz w:val="16"/>
              </w:rPr>
              <w:t xml:space="preserve">Total communication services expenses </w:t>
            </w:r>
            <w:r>
              <w:rPr>
                <w:rFonts w:ascii="Arial" w:hAnsi="Arial"/>
                <w:color w:val="000000"/>
                <w:sz w:val="11"/>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775,990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2,387,690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12,401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35,539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8,619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than acquired intangible assets amortization </w:t>
            </w:r>
            <w:r>
              <w:rPr>
                <w:rFonts w:ascii="Arial" w:hAnsi="Arial"/>
                <w:color w:val="000000"/>
                <w:sz w:val="11"/>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13,866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and transaction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6,794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12,174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segment items </w:t>
            </w:r>
            <w:r>
              <w:rPr>
                <w:rFonts w:ascii="Arial" w:hAnsi="Arial"/>
                <w:color w:val="000000"/>
                <w:sz w:val="11"/>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228,323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643,823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6"/>
              </w:rPr>
            </w:pPr>
            <w:r>
              <w:rPr>
                <w:rFonts w:ascii="Arial" w:hAnsi="Arial"/>
                <w:color w:val="000000"/>
                <w:sz w:val="16"/>
              </w:rPr>
              <w:t xml:space="preserve">Total defense and advanced technologies expenses </w:t>
            </w:r>
            <w:r>
              <w:rPr>
                <w:rFonts w:ascii="Arial" w:hAnsi="Arial"/>
                <w:color w:val="000000"/>
                <w:sz w:val="11"/>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260,682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825,516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730,408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1,065,905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1,036,672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3,164,595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3,118,098</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profits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85,829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42,738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168,562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Elimination of intersegment operating profits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operating profit (loss) before corporate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87,095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254,391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Amortization of acquired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(65,847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(198,086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17,708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64,396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(94,476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(315,592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(Loss) gain on extinguishment of debt,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(96,614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(99,814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(162,110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(304,681</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Including amortization of capitalized cloud computing implementation costs.</w:t>
      </w:r>
    </w:p>
    <w:p>
      <w:pPr>
        <w:pStyle w:val="TextBody"/>
        <w:bidi w:val="0"/>
        <w:spacing w:before="40" w:after="283"/>
        <w:jc w:val="left"/>
        <w:rPr>
          <w:rFonts w:ascii="Arial" w:hAnsi="Arial"/>
          <w:color w:val="000000"/>
          <w:sz w:val="20"/>
        </w:rPr>
      </w:pPr>
      <w:r>
        <w:rPr>
          <w:rFonts w:ascii="Arial" w:hAnsi="Arial"/>
          <w:color w:val="000000"/>
          <w:sz w:val="20"/>
        </w:rPr>
        <w:t>(2)</w:t>
      </w:r>
    </w:p>
    <w:p>
      <w:pPr>
        <w:pStyle w:val="TextBody"/>
        <w:bidi w:val="0"/>
        <w:spacing w:before="40" w:after="283"/>
        <w:jc w:val="left"/>
        <w:rPr>
          <w:rFonts w:ascii="Arial" w:hAnsi="Arial"/>
          <w:color w:val="000000"/>
          <w:sz w:val="20"/>
        </w:rPr>
      </w:pPr>
      <w:r>
        <w:rPr>
          <w:rFonts w:ascii="Arial" w:hAnsi="Arial"/>
          <w:color w:val="000000"/>
          <w:sz w:val="20"/>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pStyle w:val="TextBody"/>
        <w:bidi w:val="0"/>
        <w:spacing w:before="40" w:after="283"/>
        <w:jc w:val="left"/>
        <w:rPr>
          <w:rFonts w:ascii="Arial" w:hAnsi="Arial"/>
          <w:color w:val="000000"/>
          <w:sz w:val="20"/>
        </w:rPr>
      </w:pPr>
      <w:r>
        <w:rPr>
          <w:rFonts w:ascii="Arial" w:hAnsi="Arial"/>
          <w:color w:val="000000"/>
          <w:sz w:val="20"/>
        </w:rPr>
        <w:t>(3)</w:t>
      </w:r>
    </w:p>
    <w:p>
      <w:pPr>
        <w:pStyle w:val="TextBody"/>
        <w:bidi w:val="0"/>
        <w:spacing w:before="40" w:after="283"/>
        <w:jc w:val="left"/>
        <w:rPr>
          <w:rFonts w:ascii="Arial" w:hAnsi="Arial"/>
          <w:color w:val="000000"/>
          <w:sz w:val="20"/>
        </w:rPr>
      </w:pPr>
      <w:r>
        <w:rPr>
          <w:rFonts w:ascii="Arial" w:hAnsi="Arial"/>
          <w:color w:val="000000"/>
          <w:sz w:val="20"/>
        </w:rPr>
        <w:t>For the three and nine months ended December 31, 2025, IR&amp;D expense and related activities, including allocable depreciation, stock-based compensation and other expenses were $26.7 million and $67.5 million, respectively, for the communication services segment, and $20.2 million and $55.9 million, respectively, for the defense and advanced technologies segment. For the three and nine months ended December 31, 2024, IR&amp;D expense and related activities, including allocable depreciation, stock-based compensation and other expenses were $21.5 million and $66.9 million, respectively, for the communication services segment, and $15.2 million and $41.7 million, respectively, for the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The CODM is not regularly provided assets on a segment basis, therefore, such information is not presented.</w:t>
      </w:r>
    </w:p>
    <w:p>
      <w:pPr>
        <w:pStyle w:val="TextBody"/>
        <w:bidi w:val="0"/>
        <w:spacing w:before="280" w:after="283"/>
        <w:jc w:val="left"/>
        <w:rPr>
          <w:rFonts w:ascii="Arial" w:hAnsi="Arial"/>
          <w:color w:val="000000"/>
          <w:sz w:val="20"/>
        </w:rPr>
      </w:pPr>
      <w:r>
        <w:rPr>
          <w:rFonts w:ascii="Arial" w:hAnsi="Arial"/>
          <w:color w:val="000000"/>
          <w:sz w:val="20"/>
        </w:rPr>
        <w:t>Revenues by geographic area for the three and nine months ended December 31, 2025 and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7"/>
        <w:gridCol w:w="146"/>
        <w:gridCol w:w="229"/>
        <w:gridCol w:w="1048"/>
        <w:gridCol w:w="146"/>
        <w:gridCol w:w="146"/>
        <w:gridCol w:w="229"/>
        <w:gridCol w:w="1048"/>
        <w:gridCol w:w="146"/>
        <w:gridCol w:w="146"/>
        <w:gridCol w:w="229"/>
        <w:gridCol w:w="1048"/>
        <w:gridCol w:w="146"/>
        <w:gridCol w:w="146"/>
        <w:gridCol w:w="229"/>
        <w:gridCol w:w="1048"/>
        <w:gridCol w:w="198"/>
      </w:tblGrid>
      <w:tr>
        <w:trPr/>
        <w:tc>
          <w:tcPr>
            <w:tcW w:w="3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Nine Months Ended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2,327,663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1,096,302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1,044,826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3,468,992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3,372,489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distinguishes revenues from external customers by geographic area based on customer location.</w:t>
      </w:r>
    </w:p>
    <w:p>
      <w:pPr>
        <w:pStyle w:val="TextBody"/>
        <w:bidi w:val="0"/>
        <w:spacing w:before="280" w:after="283"/>
        <w:jc w:val="left"/>
        <w:rPr>
          <w:rFonts w:ascii="Arial" w:hAnsi="Arial"/>
          <w:b/>
          <w:color w:val="000000"/>
          <w:sz w:val="20"/>
        </w:rPr>
      </w:pPr>
      <w:r>
        <w:rPr>
          <w:rFonts w:ascii="Arial" w:hAnsi="Arial"/>
          <w:b/>
          <w:color w:val="000000"/>
          <w:sz w:val="20"/>
        </w:rPr>
        <w:t>Note 11 — Subsequent Events</w:t>
      </w:r>
    </w:p>
    <w:p>
      <w:pPr>
        <w:pStyle w:val="TextBody"/>
        <w:bidi w:val="0"/>
        <w:spacing w:before="40" w:after="283"/>
        <w:jc w:val="left"/>
        <w:rPr>
          <w:rFonts w:ascii="Times New Roman" w:hAnsi="Times New Roman"/>
          <w:sz w:val="20"/>
        </w:rPr>
      </w:pPr>
      <w:r>
        <w:rPr>
          <w:rFonts w:ascii="Arial" w:hAnsi="Arial"/>
          <w:color w:val="000000"/>
          <w:sz w:val="20"/>
        </w:rPr>
        <w:t>Subsequent to fiscal quarter end, on January 21, 2026, the Company and ViaSat Technologies Limited, entered into a $188.7</w:t>
      </w:r>
      <w:r>
        <w:rPr>
          <w:rFonts w:ascii="Times New Roman" w:hAnsi="Times New Roman"/>
          <w:color w:val="000000"/>
          <w:sz w:val="20"/>
        </w:rPr>
        <w:t xml:space="preserve"> </w:t>
      </w:r>
      <w:r>
        <w:rPr>
          <w:rFonts w:ascii="Arial" w:hAnsi="Arial"/>
          <w:color w:val="000000"/>
          <w:sz w:val="20"/>
        </w:rPr>
        <w:t>million direct loan facility with Ex-Im Bank (the Ex-Im Facility), $175.8</w:t>
      </w:r>
      <w:r>
        <w:rPr>
          <w:rFonts w:ascii="Times New Roman" w:hAnsi="Times New Roman"/>
          <w:color w:val="000000"/>
          <w:sz w:val="20"/>
        </w:rPr>
        <w:t xml:space="preserve"> </w:t>
      </w:r>
      <w:r>
        <w:rPr>
          <w:rFonts w:ascii="Arial" w:hAnsi="Arial"/>
          <w:color w:val="000000"/>
          <w:sz w:val="20"/>
        </w:rPr>
        <w:t>million of which can be used to finance up to 85% of the costs of launch and insurance of the ViaSat-3 F1 satellite and related goods and services, with the remainder used to finance the total exposure fees incurred under the Ex-Im Credit Facility of up to $12.9</w:t>
      </w:r>
      <w:r>
        <w:rPr>
          <w:rFonts w:ascii="Times New Roman" w:hAnsi="Times New Roman"/>
          <w:color w:val="000000"/>
          <w:sz w:val="20"/>
        </w:rPr>
        <w:t xml:space="preserve"> </w:t>
      </w:r>
      <w:r>
        <w:rPr>
          <w:rFonts w:ascii="Arial" w:hAnsi="Arial"/>
          <w:color w:val="000000"/>
          <w:sz w:val="20"/>
        </w:rPr>
        <w:t>million. Borrowings under the Ex-Im Credit Facility will bear interest at a fixed rate equal to Ex-Im Bank’s published Commercial Interest Reference Rate as in effect five business days prior to the first disbursement of funds under the Ex-Im Credit Facility, payable in arrears. Borrowings under the Ex-Im Credit Facility are required to be repaid in 16</w:t>
      </w:r>
      <w:r>
        <w:rPr>
          <w:rFonts w:ascii="Times New Roman" w:hAnsi="Times New Roman"/>
          <w:color w:val="000000"/>
          <w:sz w:val="20"/>
        </w:rPr>
        <w:t xml:space="preserve"> </w:t>
      </w:r>
      <w:r>
        <w:rPr>
          <w:rFonts w:ascii="Arial" w:hAnsi="Arial"/>
          <w:color w:val="000000"/>
          <w:sz w:val="20"/>
        </w:rPr>
        <w:t>approximately equal semi-annual installments, commencing on May 25, 2026, with a final maturity date of November 25, 2033.</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streams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compliance by Ligado with the terms of the Ligado settlement; our dependence on a limited number of key employees; and other factors identified under the heading “Risk Factors” in Part I, Item 1A of our Annual Report on Form 10-K for the fiscal year ended March 31, 2025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 Viasat, Inc. (Viasat) was incorporated in California in 1986, and reincorporated as a Delaware corporation in 1996.</w:t>
      </w:r>
    </w:p>
    <w:p>
      <w:pPr>
        <w:pStyle w:val="TextBody"/>
        <w:bidi w:val="0"/>
        <w:spacing w:before="280" w:after="283"/>
        <w:jc w:val="left"/>
        <w:rPr>
          <w:rFonts w:ascii="Arial" w:hAnsi="Arial"/>
          <w:b/>
          <w:color w:val="000000"/>
          <w:sz w:val="20"/>
        </w:rPr>
      </w:pPr>
      <w:r>
        <w:rPr>
          <w:rFonts w:ascii="Arial" w:hAnsi="Arial"/>
          <w:b/>
          <w:color w:val="000000"/>
          <w:sz w:val="20"/>
        </w:rPr>
        <w:t>Communication Services</w:t>
      </w:r>
    </w:p>
    <w:p>
      <w:pPr>
        <w:pStyle w:val="TextBody"/>
        <w:bidi w:val="0"/>
        <w:spacing w:before="80" w:after="283"/>
        <w:jc w:val="left"/>
        <w:rPr>
          <w:rFonts w:ascii="Arial" w:hAnsi="Arial"/>
          <w:color w:val="000000"/>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Aviation, which includes industry-leading in-flight connectivity (IFC) services, narrowband safety operational data services and other complementary services and applications for commercial aircraft, business jets and unmanned aircraft. As of December 31, 2025, we had our IFC systems installed and in service on approximately 4,460 commercial aircraft (of which approximately 140 were inactive at quarter end, mostly due to standard aircraft maintenance) and approximately 2,100 business jets with Ka-band communication services. We anticipate that approximately 1,100 additional commercial aircraft will be put into service with our IFC systems under existing customer agreements with commercial airlines. However, due to the nature of commercial airline contracts and other factors, such as increased competition and original equipment manufacturer (OEM) delays, there can be no assurance that anticipated IFC services will be activated on all such additional commercial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services and L-band Advanced Communications Element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December 31, 2025, we provided Ka-band communication services to approximately 13,400 vessels.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and other narrowband services (such as L-band managed services that enable real-time machine-to-machine position or high-value asset tracking), energy services, and prepaid internet services that provide innovative, affordable, satellite-based connectivity in communities that have little or no access to the internet. As of December 31, 2025, our U.S. fixed broadband business had approximately 143,000 subscribers with an average monthly revenue per user of $112.</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In December 2024, we completed the divestiture of our energy services system integration business which was part of our communication services segment included in the fixed services and other business line. The energy services system integration business had minimal strategic synergies with our core growth businesses and was immaterial to our consolidated financial statements.</w:t>
      </w:r>
    </w:p>
    <w:p>
      <w:pPr>
        <w:pStyle w:val="TextBody"/>
        <w:bidi w:val="0"/>
        <w:spacing w:before="280" w:after="283"/>
        <w:jc w:val="left"/>
        <w:rPr>
          <w:rFonts w:ascii="Arial" w:hAnsi="Arial"/>
          <w:b/>
          <w:color w:val="000000"/>
          <w:sz w:val="20"/>
        </w:rPr>
      </w:pPr>
      <w:r>
        <w:rPr>
          <w:rFonts w:ascii="Arial" w:hAnsi="Arial"/>
          <w:b/>
          <w:color w:val="000000"/>
          <w:sz w:val="20"/>
        </w:rPr>
        <w:t>Defense and Advanced Technologies</w:t>
      </w:r>
    </w:p>
    <w:p>
      <w:pPr>
        <w:pStyle w:val="TextBody"/>
        <w:bidi w:val="0"/>
        <w:spacing w:before="80" w:after="283"/>
        <w:jc w:val="left"/>
        <w:rPr>
          <w:rFonts w:ascii="Times New Roman" w:hAnsi="Times New Roman"/>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defense and advanced technologies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Move Out/Jump Off expeditionary tactical gateway family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Tactical networking, which provides resilient communications designed for on-the-move or on-the-pause operations in a multi-domain battlespace with friendly force tracking and narrowband solutions. Tactical networking includes the products and services offered by TrellisWare Technologies, Inc.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a summary of factors and trends affecting our results of operations, see Part II, Item 7, "Factors and Trends Affecting our Results of Operations" in our Annual Report on Form 10-K for the year ended March 31, 2025.</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Almost all of our revenues are derived from fixed-price contracts (which require us to provide products and services under a contract at a specified price), which are reported in both of our segments. The remainder of our revenues is primarily from cost-reimbursement contracts (under which we are reimbursed for all actual costs incurred in performing the contract to the extent such costs are within the contract ceiling and allowable under the terms of the contract, plus a fee or profit), which are mainly reported within our defense and advanced technologies segment.</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180" w:after="283"/>
        <w:jc w:val="left"/>
        <w:rPr>
          <w:rFonts w:ascii="Arial" w:hAnsi="Arial"/>
          <w:color w:val="000000"/>
          <w:sz w:val="20"/>
        </w:rPr>
      </w:pPr>
      <w:r>
        <w:rPr>
          <w:rFonts w:ascii="Arial" w:hAnsi="Arial"/>
          <w:color w:val="000000"/>
          <w:sz w:val="20"/>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pStyle w:val="TextBody"/>
        <w:bidi w:val="0"/>
        <w:spacing w:before="180" w:after="283"/>
        <w:jc w:val="left"/>
        <w:rPr>
          <w:rFonts w:ascii="Arial" w:hAnsi="Arial"/>
          <w:color w:val="000000"/>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 Leases 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2025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Arial" w:hAnsi="Arial"/>
          <w:b/>
          <w:i/>
          <w:color w:val="000000"/>
          <w:sz w:val="20"/>
        </w:rPr>
      </w:pPr>
      <w:r>
        <w:rPr>
          <w:rFonts w:ascii="Arial" w:hAnsi="Arial"/>
          <w:b/>
          <w:i/>
          <w:color w:val="000000"/>
          <w:sz w:val="20"/>
        </w:rPr>
        <w:t>Business combinations</w:t>
      </w:r>
    </w:p>
    <w:p>
      <w:pPr>
        <w:pStyle w:val="TextBody"/>
        <w:bidi w:val="0"/>
        <w:spacing w:before="80" w:after="283"/>
        <w:jc w:val="left"/>
        <w:rPr>
          <w:rFonts w:ascii="Times New Roman" w:hAnsi="Times New Roman"/>
          <w:sz w:val="20"/>
        </w:rPr>
      </w:pPr>
      <w:r>
        <w:rPr>
          <w:rFonts w:ascii="Arial" w:hAnsi="Arial"/>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for the three and nine months ended December 31, 2025 and 2024.</w:t>
      </w:r>
    </w:p>
    <w:p>
      <w:pPr>
        <w:pStyle w:val="TextBody"/>
        <w:bidi w:val="0"/>
        <w:spacing w:before="180" w:after="283"/>
        <w:jc w:val="left"/>
        <w:rPr>
          <w:rFonts w:ascii="Arial" w:hAnsi="Arial"/>
          <w:color w:val="000000"/>
          <w:sz w:val="20"/>
        </w:rPr>
      </w:pPr>
      <w:r>
        <w:rPr>
          <w:rFonts w:ascii="Arial" w:hAnsi="Arial"/>
          <w:color w:val="000000"/>
          <w:sz w:val="20"/>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and quantitative assessment performed during the fourth quarter of fiscal year 2025, we concluded that it was more likely than not that the estimated fair value of each of our reporting units exceeded their related carrying value as of March 31,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80" w:after="283"/>
        <w:jc w:val="left"/>
        <w:rPr>
          <w:rFonts w:ascii="Arial" w:hAnsi="Arial"/>
          <w:color w:val="000000"/>
          <w:sz w:val="20"/>
        </w:rPr>
      </w:pPr>
      <w:r>
        <w:rPr>
          <w:rFonts w:ascii="Arial" w:hAnsi="Arial"/>
          <w:color w:val="000000"/>
          <w:sz w:val="20"/>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pStyle w:val="TextBody"/>
        <w:bidi w:val="0"/>
        <w:spacing w:before="80" w:after="283"/>
        <w:jc w:val="left"/>
        <w:rPr>
          <w:rFonts w:ascii="Arial" w:hAnsi="Arial"/>
          <w:color w:val="000000"/>
          <w:sz w:val="20"/>
        </w:rPr>
      </w:pPr>
      <w:r>
        <w:rPr>
          <w:rFonts w:ascii="Arial" w:hAnsi="Arial"/>
          <w:color w:val="000000"/>
          <w:sz w:val="20"/>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presents, as a percentage of total revenues, income statement data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0"/>
        <w:gridCol w:w="146"/>
        <w:gridCol w:w="272"/>
        <w:gridCol w:w="789"/>
        <w:gridCol w:w="277"/>
        <w:gridCol w:w="149"/>
        <w:gridCol w:w="272"/>
        <w:gridCol w:w="789"/>
        <w:gridCol w:w="271"/>
        <w:gridCol w:w="146"/>
        <w:gridCol w:w="272"/>
        <w:gridCol w:w="789"/>
        <w:gridCol w:w="271"/>
        <w:gridCol w:w="146"/>
        <w:gridCol w:w="272"/>
        <w:gridCol w:w="789"/>
        <w:gridCol w:w="525"/>
      </w:tblGrid>
      <w:tr>
        <w:trPr/>
        <w:tc>
          <w:tcPr>
            <w:tcW w:w="4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31,</w:t>
              <w:b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31,</w:t>
              <w:br/>
              <w:t>2024</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Independent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on extinguishment of debt, net (see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December 31, 2025 vs. Three Months Ended December 31, 2024</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$33.3 million as a result of a $19.8 million increase in product revenues and a $13.4 million increase in service revenues. The increase in product revenues was driven by a $21.4 million increase in our defense and advanced technologies segment, partially offset by a $1.6 million decrease in our communication services segment. The increase in service revenues was driven by increases of $6.9 million in our defense and advanced technologies segment and $6.6 million in our communication services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$16.3 million due to increases of $9.1 million in cost of service revenues and $7.2 million in cost of product revenues. The increase in cost of service revenues was primarily driven by service revenue growth across both of our segments. The increase in cost of product revenues correlated to product revenue growth in our defense and advanced technologies segment. Additionally, product revenues in this segment included a higher percentage of intellectual property licensing and royalty-based revenues in the prior period, which had relatively low costs of product revenues.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735" w:type="dxa"/>
        <w:jc w:val="left"/>
        <w:tblInd w:w="0" w:type="dxa"/>
        <w:tblLayout w:type="fixed"/>
        <w:tblCellMar>
          <w:top w:w="28" w:type="dxa"/>
          <w:left w:w="28" w:type="dxa"/>
          <w:bottom w:w="28" w:type="dxa"/>
          <w:right w:w="28" w:type="dxa"/>
        </w:tblCellMar>
      </w:tblPr>
      <w:tblGrid>
        <w:gridCol w:w="3106"/>
        <w:gridCol w:w="146"/>
        <w:gridCol w:w="309"/>
        <w:gridCol w:w="861"/>
        <w:gridCol w:w="146"/>
        <w:gridCol w:w="146"/>
        <w:gridCol w:w="309"/>
        <w:gridCol w:w="861"/>
        <w:gridCol w:w="146"/>
        <w:gridCol w:w="146"/>
        <w:gridCol w:w="339"/>
        <w:gridCol w:w="606"/>
        <w:gridCol w:w="146"/>
        <w:gridCol w:w="146"/>
        <w:gridCol w:w="405"/>
        <w:gridCol w:w="586"/>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Selling, general and administrative (SG&amp;A) expenses remained relatively flat year-over-year. SG&amp;A expenses are comprised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3541"/>
        <w:gridCol w:w="146"/>
        <w:gridCol w:w="356"/>
        <w:gridCol w:w="814"/>
        <w:gridCol w:w="152"/>
        <w:gridCol w:w="152"/>
        <w:gridCol w:w="356"/>
        <w:gridCol w:w="814"/>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$10.2 million increase in independent research and development (IR&amp;D) expenses was primarily a result of increased IR&amp;D efforts supporting multi-orbit initiatives in our communication services segment and next-generation encryption products and Direct-to-Device (D2D) growth initiatives in our defense and advanced technologies segment.</w:t>
      </w:r>
    </w:p>
    <w:p>
      <w:pPr>
        <w:pStyle w:val="TextBody"/>
        <w:bidi w:val="0"/>
        <w:spacing w:before="280" w:after="283"/>
        <w:jc w:val="left"/>
        <w:rPr>
          <w:rFonts w:ascii="Times New Roman" w:hAnsi="Times New Roman"/>
          <w:sz w:val="20"/>
        </w:rPr>
      </w:pPr>
      <w:r>
        <w:rPr>
          <w:rFonts w:ascii="Arial" w:hAnsi="Arial"/>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$147.9 million increase in interest income for the three months ended December 31, 2025 compared to the prior year period was primarily due to $152.5 million recognized as interest income from the receipt of the $420.0 million lump sum payment from Ligado during the current year period. See Note 8 — Commitments and Contingencies to our condensed consolidated financial statements for further information.</w:t>
      </w:r>
    </w:p>
    <w:p>
      <w:pPr>
        <w:pStyle w:val="TextBody"/>
        <w:bidi w:val="0"/>
        <w:spacing w:before="28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$7.0 million decrease in interest expense for the three months ended December 31, 2025 compared to the prior year period was primarily due to our decreased level of indebtedness compared to the prior year period, as the aggregate principal amount of our total outstanding indebtedness was $6.4 billion as of December 31, 2025 compared to $7.2 billion as of December 31, 2024. See Note 6 — Senior Notes and Other Long-Term Debt to our condensed consolidated financial statements for further information.</w:t>
      </w:r>
    </w:p>
    <w:p>
      <w:pPr>
        <w:pStyle w:val="TextBody"/>
        <w:bidi w:val="0"/>
        <w:spacing w:before="280" w:after="283"/>
        <w:jc w:val="left"/>
        <w:rPr>
          <w:rFonts w:ascii="Arial" w:hAnsi="Arial"/>
          <w:i/>
          <w:color w:val="000000"/>
          <w:sz w:val="20"/>
        </w:rPr>
      </w:pPr>
      <w:r>
        <w:rPr>
          <w:rFonts w:ascii="Arial" w:hAnsi="Arial"/>
          <w:i/>
          <w:color w:val="000000"/>
          <w:sz w:val="20"/>
        </w:rPr>
        <w:t>Income taxes</w:t>
      </w:r>
    </w:p>
    <w:p>
      <w:pPr>
        <w:pStyle w:val="TextBody"/>
        <w:bidi w:val="0"/>
        <w:spacing w:before="80" w:after="283"/>
        <w:jc w:val="left"/>
        <w:rPr>
          <w:rFonts w:ascii="Arial" w:hAnsi="Arial"/>
          <w:color w:val="000000"/>
          <w:sz w:val="20"/>
        </w:rPr>
      </w:pPr>
      <w:r>
        <w:rPr>
          <w:rFonts w:ascii="Arial" w:hAnsi="Arial"/>
          <w:color w:val="000000"/>
          <w:sz w:val="20"/>
        </w:rPr>
        <w:t>For the three months ended December 31, 2025, we recorded an income tax provision of $58.7 million, resulting in an effective tax rate of 63%. The effective tax rate for the period differed from the U.S. statutory rate primarily due to a U.S. valuation allowance, foreign tax rate differences and foreign tax audit adjustments. For the three months ended December 31, 2024, we recorded an income tax benefit of $11.8 million, resulting in an effective tax rate of 7%. The effective tax rate for the period differed from the U.S. statutory rate primarily due to a U.S. valuation allowance, foreign tax rate differences, and decreases in our unrecognized tax benefits.</w:t>
      </w:r>
    </w:p>
    <w:p>
      <w:pPr>
        <w:pStyle w:val="TextBody"/>
        <w:bidi w:val="0"/>
        <w:spacing w:before="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December 31, 2025 vs. Three Months Ended December 31, 2024</w:t>
      </w:r>
    </w:p>
    <w:p>
      <w:pPr>
        <w:pStyle w:val="TextBody"/>
        <w:bidi w:val="0"/>
        <w:spacing w:before="80" w:after="283"/>
        <w:jc w:val="left"/>
        <w:rPr>
          <w:rFonts w:ascii="Arial" w:hAnsi="Arial"/>
          <w:b/>
          <w:i/>
          <w:color w:val="000000"/>
          <w:sz w:val="20"/>
        </w:rPr>
      </w:pPr>
      <w:r>
        <w:rPr>
          <w:rFonts w:ascii="Arial" w:hAnsi="Arial"/>
          <w:b/>
          <w:i/>
          <w:color w:val="000000"/>
          <w:sz w:val="20"/>
        </w:rPr>
        <w:t>Communication services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1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307"/>
        <w:gridCol w:w="638"/>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$5.0 million as a result of a $6.6 million increase in segment service revenues, partially offset by a $1.6 million decrease in segment product revenues. The increase in segment service revenues was due to a $39.8 million increase in aviation services and a $7.3 million increase in government satcom services, partially offset by an expected decrease in revenues of $36.6 million from fixed services and other, as we continued to allocate a greater proportion of our bandwidth to our IFC business in preference to our U.S. fixed services business due to bandwidth constraints, as well as a $3.9 million decrease in maritime. The increase in IFC service revenues was primarily driven by the increase in the number of commercial aircraft and business jets receiving our in-flight services through our IFC systems, with our IFC systems installed and in service on approximately 4,460 commercial aircraft (of which approximately 140 were inactive at quarter end, mostly due to standard aircraft maintenance), and approximately 2,100 business jets as of December 31, 2025, compared to approximately 4,030 commercial aircraft (of which approximately 80 were inactive at quarter end, mostly due to standard aircraft maintenance) and approximately 2,000 business jets as of December 31, 2024. The decrease in segment product revenues was primarily attributable to the revenues generated in the prior year period by the energy services system integration business that we sold in December 2024.</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90" w:type="dxa"/>
        <w:jc w:val="left"/>
        <w:tblInd w:w="0" w:type="dxa"/>
        <w:tblLayout w:type="fixed"/>
        <w:tblCellMar>
          <w:top w:w="28" w:type="dxa"/>
          <w:left w:w="28" w:type="dxa"/>
          <w:bottom w:w="28" w:type="dxa"/>
          <w:right w:w="28" w:type="dxa"/>
        </w:tblCellMar>
      </w:tblPr>
      <w:tblGrid>
        <w:gridCol w:w="3001"/>
        <w:gridCol w:w="146"/>
        <w:gridCol w:w="356"/>
        <w:gridCol w:w="814"/>
        <w:gridCol w:w="286"/>
        <w:gridCol w:w="146"/>
        <w:gridCol w:w="356"/>
        <w:gridCol w:w="814"/>
        <w:gridCol w:w="286"/>
        <w:gridCol w:w="146"/>
        <w:gridCol w:w="307"/>
        <w:gridCol w:w="638"/>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communication services segment operating profit was primarily due to a $5.2 million increase in IR&amp;D efforts supporting multi-orbit initiatives.</w:t>
      </w:r>
    </w:p>
    <w:p>
      <w:pPr>
        <w:pStyle w:val="TextBody"/>
        <w:bidi w:val="0"/>
        <w:spacing w:before="280" w:after="283"/>
        <w:jc w:val="left"/>
        <w:rPr>
          <w:rFonts w:ascii="Times New Roman" w:hAnsi="Times New Roman"/>
          <w:sz w:val="20"/>
        </w:rPr>
      </w:pPr>
      <w:r>
        <w:rPr>
          <w:rFonts w:ascii="Arial" w:hAnsi="Arial"/>
          <w:b/>
          <w:i/>
          <w:color w:val="000000"/>
          <w:sz w:val="20"/>
        </w:rPr>
        <w:t>Defense and advanced technologies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$28.3 million due to increases of $21.4 million in segment product revenues and $6.9 million in segment service revenues. The increase in segment product revenues was primarily driven by a $15.4 million increase in tactical networking and a $7.5 million increase in information security and cyber defense.</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3001"/>
        <w:gridCol w:w="146"/>
        <w:gridCol w:w="356"/>
        <w:gridCol w:w="814"/>
        <w:gridCol w:w="286"/>
        <w:gridCol w:w="146"/>
        <w:gridCol w:w="356"/>
        <w:gridCol w:w="814"/>
        <w:gridCol w:w="286"/>
        <w:gridCol w:w="146"/>
        <w:gridCol w:w="288"/>
        <w:gridCol w:w="657"/>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defense and advanced technologies segment operating profit was primarily attributable to higher earnings contributions of $18.5 million that correlated to our segment revenue growth, partially offset by a $5.0 million increase in IR&amp;D efforts supporting next-generation encryption products and D2D growth initiatives.</w:t>
      </w:r>
    </w:p>
    <w:p>
      <w:pPr>
        <w:pStyle w:val="TextBody"/>
        <w:bidi w:val="0"/>
        <w:spacing w:before="280" w:after="283"/>
        <w:jc w:val="left"/>
        <w:rPr>
          <w:rFonts w:ascii="Times New Roman" w:hAnsi="Times New Roman"/>
          <w:sz w:val="20"/>
        </w:rPr>
      </w:pPr>
      <w:r>
        <w:rPr>
          <w:rFonts w:ascii="Arial" w:hAnsi="Arial"/>
          <w:b/>
          <w:color w:val="000000"/>
          <w:sz w:val="20"/>
        </w:rPr>
        <w:t>Nine Months Ended December 31, 2025 vs. Nine Months Ended December 31,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$96.5 million as a result of a $54.2 million increase in product revenues and a $42.3 million increase in service revenues. The increase in product revenues was driven by a $77.5 million increase in our defense and advanced technologies segment, partially offset by a $23.3 million decrease in our communication services segment. The increase in service revenues was driven by increases of $39.1 million in our communication services segment and $3.2 million in our defense and advanced technologies segment.</w:t>
      </w:r>
    </w:p>
    <w:p>
      <w:pPr>
        <w:pStyle w:val="TextBody"/>
        <w:bidi w:val="0"/>
        <w:spacing w:before="280" w:after="283"/>
        <w:jc w:val="left"/>
        <w:rPr>
          <w:rFonts w:ascii="Arial" w:hAnsi="Arial"/>
          <w:i/>
          <w:color w:val="000000"/>
          <w:sz w:val="20"/>
        </w:rPr>
      </w:pPr>
      <w:r>
        <w:rPr>
          <w:rFonts w:ascii="Arial" w:hAnsi="Arial"/>
          <w:i/>
          <w:color w:val="000000"/>
          <w:sz w:val="20"/>
        </w:rPr>
        <w:t>Cost of revenues</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88"/>
        <w:gridCol w:w="657"/>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$48.0 million due to increases of $44.1 million in cost of product revenues and $3.9 million in cost of service revenues. The increase in cost of product revenues correlated to product revenue growth in our defense and advanced technologies segment. Additionally, product revenues in this segment included a higher percentage of intellectual property licensing and royalty-based revenues in the prior period, which had relatively low costs of product revenues. The increase in cost of service revenues was primarily driven by service revenue growth, mainly in our communication services segment.</w:t>
      </w:r>
    </w:p>
    <w:p>
      <w:pPr>
        <w:pStyle w:val="TextBody"/>
        <w:bidi w:val="0"/>
        <w:spacing w:before="280" w:after="283"/>
        <w:jc w:val="left"/>
        <w:rPr>
          <w:rFonts w:ascii="Arial" w:hAnsi="Arial"/>
          <w:i/>
          <w:color w:val="000000"/>
          <w:sz w:val="20"/>
        </w:rPr>
      </w:pPr>
      <w:r>
        <w:rPr>
          <w:rFonts w:ascii="Arial" w:hAnsi="Arial"/>
          <w:i/>
          <w:color w:val="000000"/>
          <w:sz w:val="20"/>
        </w:rPr>
        <w:t>Selling, general and administrative expenses</w:t>
      </w:r>
    </w:p>
    <w:p>
      <w:pPr>
        <w:pStyle w:val="TextBody"/>
        <w:bidi w:val="0"/>
        <w:jc w:val="left"/>
        <w:rPr/>
      </w:pPr>
      <w:r>
        <w:rPr/>
        <w:t> </w:t>
      </w:r>
    </w:p>
    <w:tbl>
      <w:tblPr>
        <w:tblW w:w="8815" w:type="dxa"/>
        <w:jc w:val="left"/>
        <w:tblInd w:w="0" w:type="dxa"/>
        <w:tblLayout w:type="fixed"/>
        <w:tblCellMar>
          <w:top w:w="28" w:type="dxa"/>
          <w:left w:w="28" w:type="dxa"/>
          <w:bottom w:w="28" w:type="dxa"/>
          <w:right w:w="28" w:type="dxa"/>
        </w:tblCellMar>
      </w:tblPr>
      <w:tblGrid>
        <w:gridCol w:w="3106"/>
        <w:gridCol w:w="146"/>
        <w:gridCol w:w="309"/>
        <w:gridCol w:w="861"/>
        <w:gridCol w:w="146"/>
        <w:gridCol w:w="146"/>
        <w:gridCol w:w="309"/>
        <w:gridCol w:w="861"/>
        <w:gridCol w:w="146"/>
        <w:gridCol w:w="146"/>
        <w:gridCol w:w="264"/>
        <w:gridCol w:w="681"/>
        <w:gridCol w:w="166"/>
        <w:gridCol w:w="146"/>
        <w:gridCol w:w="346"/>
        <w:gridCol w:w="645"/>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$16.3 million decrease in SG&amp;A expenses was primarily driven by a $13.7 million decrease in selling costs, mainly in fixed services and other within our communication services segment.</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i/>
          <w:color w:val="000000"/>
          <w:sz w:val="20"/>
        </w:rPr>
      </w:pPr>
      <w:r>
        <w:rPr>
          <w:rFonts w:ascii="Arial" w:hAnsi="Arial"/>
          <w:i/>
          <w:color w:val="000000"/>
          <w:sz w:val="20"/>
        </w:rPr>
        <w:t>Independent research and development</w:t>
      </w:r>
    </w:p>
    <w:p>
      <w:pPr>
        <w:pStyle w:val="TextBody"/>
        <w:bidi w:val="0"/>
        <w:jc w:val="left"/>
        <w:rPr/>
      </w:pPr>
      <w:r>
        <w:rPr/>
        <w:t> </w:t>
      </w:r>
    </w:p>
    <w:tbl>
      <w:tblPr>
        <w:tblW w:w="9170" w:type="dxa"/>
        <w:jc w:val="left"/>
        <w:tblInd w:w="0" w:type="dxa"/>
        <w:tblLayout w:type="fixed"/>
        <w:tblCellMar>
          <w:top w:w="28" w:type="dxa"/>
          <w:left w:w="28" w:type="dxa"/>
          <w:bottom w:w="28" w:type="dxa"/>
          <w:right w:w="28" w:type="dxa"/>
        </w:tblCellMar>
      </w:tblPr>
      <w:tblGrid>
        <w:gridCol w:w="3541"/>
        <w:gridCol w:w="146"/>
        <w:gridCol w:w="309"/>
        <w:gridCol w:w="861"/>
        <w:gridCol w:w="146"/>
        <w:gridCol w:w="146"/>
        <w:gridCol w:w="309"/>
        <w:gridCol w:w="861"/>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$14.7 million increase in IR&amp;D expenses was primarily a result of increased IR&amp;D efforts supporting next-generation encryption products and D2D growth initiatives in our defense and advanced technologies segment.</w:t>
      </w:r>
    </w:p>
    <w:p>
      <w:pPr>
        <w:pStyle w:val="TextBody"/>
        <w:bidi w:val="0"/>
        <w:spacing w:before="280" w:after="283"/>
        <w:jc w:val="left"/>
        <w:rPr>
          <w:rFonts w:ascii="Arial" w:hAnsi="Arial"/>
          <w:i/>
          <w:color w:val="000000"/>
          <w:sz w:val="20"/>
        </w:rPr>
      </w:pPr>
      <w:r>
        <w:rPr>
          <w:rFonts w:ascii="Arial" w:hAnsi="Arial"/>
          <w:i/>
          <w:color w:val="000000"/>
          <w:sz w:val="20"/>
        </w:rPr>
        <w:t>Amortization of acquired intangible assets</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Arial" w:hAnsi="Arial"/>
          <w:i/>
          <w:color w:val="000000"/>
          <w:sz w:val="20"/>
        </w:rPr>
      </w:pPr>
      <w:r>
        <w:rPr>
          <w:rFonts w:ascii="Arial" w:hAnsi="Arial"/>
          <w:i/>
          <w:color w:val="000000"/>
          <w:sz w:val="20"/>
        </w:rPr>
        <w:t>Interest income</w:t>
      </w:r>
    </w:p>
    <w:p>
      <w:pPr>
        <w:pStyle w:val="TextBody"/>
        <w:bidi w:val="0"/>
        <w:spacing w:before="80" w:after="283"/>
        <w:jc w:val="left"/>
        <w:rPr>
          <w:rFonts w:ascii="Arial" w:hAnsi="Arial"/>
          <w:color w:val="000000"/>
          <w:sz w:val="20"/>
        </w:rPr>
      </w:pPr>
      <w:r>
        <w:rPr>
          <w:rFonts w:ascii="Arial" w:hAnsi="Arial"/>
          <w:color w:val="000000"/>
          <w:sz w:val="20"/>
        </w:rPr>
        <w:t>The $128.0 million increase in interest income for the nine months ended December 31, 2025 compared to the prior year period was primarily due to $152.5 million recognized as interest income from the receipt of the $420.0 million lump sum payment from Ligado in the current year period (see Note 8 — Commitments and Contingencies to our condensed consolidated financial statements for further information), partially offset by lower interest earned as a result of lower average invested balance in combination with lower interest rates.</w:t>
      </w:r>
    </w:p>
    <w:p>
      <w:pPr>
        <w:pStyle w:val="TextBody"/>
        <w:bidi w:val="0"/>
        <w:spacing w:before="280" w:after="283"/>
        <w:jc w:val="left"/>
        <w:rPr>
          <w:rFonts w:ascii="Arial" w:hAnsi="Arial"/>
          <w:i/>
          <w:color w:val="000000"/>
          <w:sz w:val="20"/>
        </w:rPr>
      </w:pPr>
      <w:r>
        <w:rPr>
          <w:rFonts w:ascii="Arial" w:hAnsi="Arial"/>
          <w:i/>
          <w:color w:val="000000"/>
          <w:sz w:val="20"/>
        </w:rPr>
        <w:t>Interest expense</w:t>
      </w:r>
    </w:p>
    <w:p>
      <w:pPr>
        <w:pStyle w:val="TextBody"/>
        <w:bidi w:val="0"/>
        <w:spacing w:before="80" w:after="283"/>
        <w:jc w:val="left"/>
        <w:rPr>
          <w:rFonts w:ascii="Arial" w:hAnsi="Arial"/>
          <w:color w:val="000000"/>
          <w:sz w:val="20"/>
        </w:rPr>
      </w:pPr>
      <w:r>
        <w:rPr>
          <w:rFonts w:ascii="Arial" w:hAnsi="Arial"/>
          <w:color w:val="000000"/>
          <w:sz w:val="20"/>
        </w:rPr>
        <w:t>The $34.3 million decrease in interest expense for the nine months ended December 31, 2025 compared to the prior year period was primarily due to our decreased level of indebtedness compared to the prior year period, as the aggregate principal amount of our total outstanding indebtedness was $6.4 billion as of December 31, 2025 compared to $7.2 billion as of December 31, 2024 (see Note 6 — Senior Notes and Other Long-Term Debt to our condensed consolidated financial statements for further information), in addition to the increase in capitalized interest.</w:t>
      </w:r>
    </w:p>
    <w:p>
      <w:pPr>
        <w:pStyle w:val="TextBody"/>
        <w:bidi w:val="0"/>
        <w:spacing w:before="280" w:after="283"/>
        <w:jc w:val="left"/>
        <w:rPr>
          <w:rFonts w:ascii="Arial" w:hAnsi="Arial"/>
          <w:i/>
          <w:color w:val="000000"/>
          <w:sz w:val="20"/>
        </w:rPr>
      </w:pPr>
      <w:r>
        <w:rPr>
          <w:rFonts w:ascii="Arial" w:hAnsi="Arial"/>
          <w:i/>
          <w:color w:val="000000"/>
          <w:sz w:val="20"/>
        </w:rPr>
        <w:t>Income taxes</w:t>
      </w:r>
    </w:p>
    <w:p>
      <w:pPr>
        <w:pStyle w:val="TextBody"/>
        <w:bidi w:val="0"/>
        <w:spacing w:before="80" w:after="283"/>
        <w:jc w:val="left"/>
        <w:rPr>
          <w:rFonts w:ascii="Arial" w:hAnsi="Arial"/>
          <w:color w:val="000000"/>
          <w:sz w:val="20"/>
        </w:rPr>
      </w:pPr>
      <w:r>
        <w:rPr>
          <w:rFonts w:ascii="Arial" w:hAnsi="Arial"/>
          <w:color w:val="000000"/>
          <w:sz w:val="20"/>
        </w:rPr>
        <w:t>For the nine months ended December 31, 2025, we recorded an income tax provision of $76.1 million, resulting in a meaningless effective tax rate. The effective tax rate for the period differed from the U.S. statutory rate primarily due to a U.S. valuation allowance, foreign tax rate differences and foreign tax audit adjustments. For the nine months ended December 31, 2024, we recorded an income tax benefit of $4.7 million, resulting in an effective tax rate of 2%. The effective tax rate for the period differed from the U.S. statutory rate primarily due to a U.S. valuation allowance, foreign tax rate differences, and decreases in our unrecognized tax benefits.</w:t>
      </w:r>
    </w:p>
    <w:p>
      <w:pPr>
        <w:pStyle w:val="TextBody"/>
        <w:bidi w:val="0"/>
        <w:spacing w:before="280" w:after="283"/>
        <w:jc w:val="left"/>
        <w:rPr>
          <w:rFonts w:ascii="Arial" w:hAnsi="Arial"/>
          <w:b/>
          <w:color w:val="000000"/>
          <w:sz w:val="20"/>
        </w:rPr>
      </w:pPr>
      <w:r>
        <w:rPr>
          <w:rFonts w:ascii="Arial" w:hAnsi="Arial"/>
          <w:b/>
          <w:color w:val="000000"/>
          <w:sz w:val="20"/>
        </w:rPr>
        <w:t>Segment Results for the Nine Months Ended December 31, 2025 vs. Nine Months Ended December 31, 2024</w:t>
      </w:r>
    </w:p>
    <w:p>
      <w:pPr>
        <w:pStyle w:val="TextBody"/>
        <w:bidi w:val="0"/>
        <w:spacing w:before="80" w:after="283"/>
        <w:jc w:val="left"/>
        <w:rPr>
          <w:rFonts w:ascii="Arial" w:hAnsi="Arial"/>
          <w:b/>
          <w:i/>
          <w:color w:val="000000"/>
          <w:sz w:val="20"/>
        </w:rPr>
      </w:pPr>
      <w:r>
        <w:rPr>
          <w:rFonts w:ascii="Arial" w:hAnsi="Arial"/>
          <w:b/>
          <w:i/>
          <w:color w:val="000000"/>
          <w:sz w:val="20"/>
        </w:rPr>
        <w:t>Communication services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1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$15.8 million due to a $39.1 million increase in segment service revenues, partially offset by a $23.3 million decrease in segment product revenues. The increase in segment service revenues was due to a $114.3 million increase in aviation services and a $31.1 million increase in government satcom services, partially offset by an expected decrease in revenues of $92.7 million from fixed services and other, as we continued to allocate a greater proportion of our bandwidth to our IFC business in preference to our U.S. fixed services business due to bandwidth constraints, as well as a $13.7 million decrease in maritime. The increase in IFC service revenues was primarily driven by the increase in the number of commercial aircraft and business jets receiving our in-flight services through our IFC systems year-over-year, as described above. The decrease in segment product revenues was primarily attributable to the revenues generated in prior year period by the energy services system integration business that we sold in December 2024.</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3001"/>
        <w:gridCol w:w="146"/>
        <w:gridCol w:w="309"/>
        <w:gridCol w:w="861"/>
        <w:gridCol w:w="286"/>
        <w:gridCol w:w="146"/>
        <w:gridCol w:w="356"/>
        <w:gridCol w:w="814"/>
        <w:gridCol w:w="286"/>
        <w:gridCol w:w="146"/>
        <w:gridCol w:w="288"/>
        <w:gridCol w:w="657"/>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communication services segment operating profit was primarily due to higher earnings contributions of $39.8 million, reflecting our segment revenue growth and margin improvement, coupled with a $25.2 million decrease in SG&amp;A expenses (mostly related to selling costs in fixed services and other).</w:t>
      </w:r>
    </w:p>
    <w:p>
      <w:pPr>
        <w:pStyle w:val="TextBody"/>
        <w:bidi w:val="0"/>
        <w:spacing w:before="280" w:after="283"/>
        <w:jc w:val="left"/>
        <w:rPr>
          <w:rFonts w:ascii="Arial" w:hAnsi="Arial"/>
          <w:b/>
          <w:i/>
          <w:color w:val="000000"/>
          <w:sz w:val="20"/>
        </w:rPr>
      </w:pPr>
      <w:r>
        <w:rPr>
          <w:rFonts w:ascii="Arial" w:hAnsi="Arial"/>
          <w:b/>
          <w:i/>
          <w:color w:val="000000"/>
          <w:sz w:val="20"/>
        </w:rPr>
        <w:t>Defense and advanced technologies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$80.7 million due to increases of $77.5 million in segment product revenues and $3.2 million in segment service revenues. The increase in segment product revenues was driven by a $65.5 million increase in information security and cyber defense, a $13.9 million increase in space and mission systems and a $6.4 million increase in tactical networking, partially offset by an $8.3 million decrease in advanced technologies and other.</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90" w:type="dxa"/>
        <w:jc w:val="left"/>
        <w:tblInd w:w="0" w:type="dxa"/>
        <w:tblLayout w:type="fixed"/>
        <w:tblCellMar>
          <w:top w:w="28" w:type="dxa"/>
          <w:left w:w="28" w:type="dxa"/>
          <w:bottom w:w="28" w:type="dxa"/>
          <w:right w:w="28" w:type="dxa"/>
        </w:tblCellMar>
      </w:tblPr>
      <w:tblGrid>
        <w:gridCol w:w="3001"/>
        <w:gridCol w:w="146"/>
        <w:gridCol w:w="309"/>
        <w:gridCol w:w="861"/>
        <w:gridCol w:w="286"/>
        <w:gridCol w:w="146"/>
        <w:gridCol w:w="309"/>
        <w:gridCol w:w="861"/>
        <w:gridCol w:w="286"/>
        <w:gridCol w:w="146"/>
        <w:gridCol w:w="264"/>
        <w:gridCol w:w="681"/>
        <w:gridCol w:w="166"/>
        <w:gridCol w:w="146"/>
        <w:gridCol w:w="346"/>
        <w:gridCol w:w="645"/>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defense and advanced technologies segment operating profit was primarily due to a $14.1 million increase in IR&amp;D efforts supporting next-generation encryption products and D2D growth initiatives.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color w:val="000000"/>
          <w:sz w:val="20"/>
        </w:rPr>
      </w:pPr>
      <w:r>
        <w:rPr>
          <w:rFonts w:ascii="Arial" w:hAnsi="Arial"/>
          <w:color w:val="000000"/>
          <w:sz w:val="20"/>
        </w:rPr>
        <w:t>Our firm and funded backlog as of December 31, 2025 is reflected in the table below:</w:t>
      </w:r>
    </w:p>
    <w:p>
      <w:pPr>
        <w:pStyle w:val="TextBody"/>
        <w:bidi w:val="0"/>
        <w:jc w:val="left"/>
        <w:rPr/>
      </w:pPr>
      <w:r>
        <w:rPr/>
        <w:t> </w:t>
      </w:r>
    </w:p>
    <w:tbl>
      <w:tblPr>
        <w:tblW w:w="5228" w:type="dxa"/>
        <w:jc w:val="left"/>
        <w:tblInd w:w="0" w:type="dxa"/>
        <w:tblLayout w:type="fixed"/>
        <w:tblCellMar>
          <w:top w:w="28" w:type="dxa"/>
          <w:left w:w="28" w:type="dxa"/>
          <w:bottom w:w="28" w:type="dxa"/>
          <w:right w:w="28" w:type="dxa"/>
        </w:tblCellMar>
      </w:tblPr>
      <w:tblGrid>
        <w:gridCol w:w="3271"/>
        <w:gridCol w:w="146"/>
        <w:gridCol w:w="355"/>
        <w:gridCol w:w="1265"/>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firm backlog does not include contract options. As of December 31, 2025, a little less than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December 31, 2025, our IFC systems were installed and in service on approximately 4,460 commercial aircraft (of which approximately 140 were inactive at quarter end, mostly due to standard aircraft maintenance). We anticipate that approximately 1,100 additional commercial aircraft will be put into service with our IFC systems under existing customer agreements with commercial airlines. Due to the nature of commercial airline contracts and other factors such as increased competition and OEM delays, there can be no assurance that all anticipated purchase orders and requests will be placed or that anticipated IFC services will be activated on all such additional commercial aircraft.</w:t>
      </w:r>
    </w:p>
    <w:p>
      <w:pPr>
        <w:pStyle w:val="TextBody"/>
        <w:bidi w:val="0"/>
        <w:spacing w:before="180" w:after="283"/>
        <w:jc w:val="left"/>
        <w:rPr>
          <w:rFonts w:ascii="Arial" w:hAnsi="Arial"/>
          <w:color w:val="000000"/>
          <w:sz w:val="20"/>
        </w:rPr>
      </w:pPr>
      <w:r>
        <w:rPr>
          <w:rFonts w:ascii="Arial" w:hAnsi="Arial"/>
          <w:color w:val="000000"/>
          <w:sz w:val="20"/>
        </w:rPr>
        <w:t>Our total new awards (which exclude future revenue under recurring consumer commitment arrangements) were approximately $1.0 billion and $3.7 billion for the three and nine months ended December 31, 2025, respectively, compared to approximately $1.1 billion and $3.5 billion for the three and nine months ended December 31, 2024, respectively.</w:t>
      </w:r>
    </w:p>
    <w:p>
      <w:pPr>
        <w:pStyle w:val="TextBody"/>
        <w:bidi w:val="0"/>
        <w:spacing w:before="180" w:after="283"/>
        <w:jc w:val="left"/>
        <w:rPr>
          <w:rFonts w:ascii="Times New Roman" w:hAnsi="Times New Roman"/>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the termination of the related contract.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December 31, 2025, we had $1.3 billion in cash and cash equivalents, $1.4 billion in working capital, no outstanding borrowings and borrowing availability of $594.8 million under our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2025, we had $1.6 billion in cash and cash equivalents, $1.2 billion in working capital, no outstanding borrowings and borrowing availability of $593.3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pStyle w:val="TextBody"/>
        <w:bidi w:val="0"/>
        <w:spacing w:before="180" w:after="283"/>
        <w:jc w:val="left"/>
        <w:rPr>
          <w:rFonts w:ascii="Arial" w:hAnsi="Arial"/>
          <w:color w:val="000000"/>
          <w:sz w:val="20"/>
        </w:rPr>
      </w:pPr>
      <w:r>
        <w:rPr>
          <w:rFonts w:ascii="Arial" w:hAnsi="Arial"/>
          <w:color w:val="000000"/>
          <w:sz w:val="20"/>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cash needs tend to be driven by the timing and amount of capital expenditures (e.g., payments under satellite construction and launch contracts and investments in ground infrastructure roll-out), the timing and amount of investments in IR&amp;D activities, investments in joint ventures, strategic partnering arrangements, network expansion activities, investments to obtain Supplemental Type Certificates to enable the retrofit installation of our IFC and wireless in-flight entertainment equipment, investments in platforms and software to support our services and entry into new markets, as well as the quality of customer, type of contract and payment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 major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Arial" w:hAnsi="Arial"/>
          <w:color w:val="000000"/>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we anticipate receiving $568 million from Ligado in fiscal year 2026, consisting of (i) a $420 million lump sum payment which we received on October 31, 2025, (ii) a $100 million lump sum payment that is due on March 31, 2026 and (iii) a resumption of quarterly payments of approximately $16 million, which started on September 30, 2025, with an annual escalator of 3% for the life of the contract (through 2107). The $420.0 million lump sum payment was allocated and recorded as deferred revenues and interest income in our condensed consolidated financial statements (see Note 8 for further information).</w:t>
      </w:r>
    </w:p>
    <w:p>
      <w:pPr>
        <w:pStyle w:val="TextBody"/>
        <w:bidi w:val="0"/>
        <w:spacing w:before="180" w:after="283"/>
        <w:jc w:val="left"/>
        <w:rPr>
          <w:rFonts w:ascii="Arial" w:hAnsi="Arial"/>
          <w:color w:val="000000"/>
          <w:sz w:val="20"/>
        </w:rPr>
      </w:pPr>
      <w:r>
        <w:rPr>
          <w:rFonts w:ascii="Arial" w:hAnsi="Arial"/>
          <w:color w:val="000000"/>
          <w:sz w:val="20"/>
        </w:rPr>
        <w:t>In December 2025, we entered into an agreement to sell all of our interests in our equity method investment, Navarino UK, to Sogra Bidco Limited, a subsidiary of ICG. The transaction is expected to close in the fourth quarter of fiscal year 2026, subject to customary closing conditions, including receipt of regulatory approvals and clearances.</w:t>
      </w:r>
    </w:p>
    <w:p>
      <w:pPr>
        <w:pStyle w:val="TextBody"/>
        <w:bidi w:val="0"/>
        <w:spacing w:before="180" w:after="283"/>
        <w:jc w:val="left"/>
        <w:rPr>
          <w:rFonts w:ascii="Times New Roman" w:hAnsi="Times New Roman"/>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$1.96 billion in cash, as well as divestitures of non-core assets or businesses, such as the divestiture of our energy services system integration business in December 2024.</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may, from time to time, seek to retire, prepay or repurchase our outstanding debt, including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On May 2, 2025, we redeemed in full the remainder of Viasat’s 5.625% Senior Notes due 2025 and on November 21, 2025, we repaid early all of the $300.0 million in principal amount of outstanding borrowings under Inmarsat’s original senior secured term loan facility (the Original Inmarsat Term Loan Facility). As a result, we recorded a loss of $11.6 million and $11.9 million in (loss) gain on extinguishment of debt, net in the condensed consolidated statement of operations and comprehensive income (loss), mostly related to an unamortized fair value adjustment made in purchase accounting for the three and nine months ended December 31, 2025, respectively.</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Cash provided by operating activities for the first nine months of fiscal year 2026 was $1.3 billion compared to $609.7 million in the prior year period. This $657.8 million increase was driven by a $498.4 million year-over-year decrease in cash used to fund net operating assets and liabilities and operating results (net income (loss) adjusted for depreciation, amortization and other non-cash charges), which resulted in $159.5 million of higher cash provided by operating activities year-over-year. The decrease in cash used to fund net operating assets and liabilities year-over-year was primarily due to an increase in our deferred revenues that was largely attributable to the receipt of the $420.0 million lump sum payment from Ligado during the current year period (see Note 8 — Commitments and Contingencies to our condensed consolidated financial statements for further information) and timing of payments related to accrued liabilities driven by interest and income taxes payables. Cash paid for income taxes, net, during the first nine months of fiscal year 2026 and 2025 were $79.2 million and $174.6 million, respectively. Cash paid for interest (net of amounts capitalized) during the first nine months of fiscal year 2026 and 2025 were $220.9 million and $271.0 million, respectively.</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the first nine months of fiscal year 2026 was approximately $663.7 million compared to $524.9 million in the prior year period. This $138.8 million increase reflected a $230.0 million decrease in cash receipts related to satellite insurance claim proceeds as the final payment was received in the first quarter of fiscal year 2026, partially offset by a decrease of $88.0 million in cash used for capital expenditures.</w:t>
      </w:r>
    </w:p>
    <w:p>
      <w:pPr>
        <w:pStyle w:val="TextBody"/>
        <w:bidi w:val="0"/>
        <w:spacing w:before="180" w:after="283"/>
        <w:jc w:val="left"/>
        <w:rPr>
          <w:rFonts w:ascii="Arial" w:hAnsi="Arial"/>
          <w:color w:val="000000"/>
          <w:sz w:val="20"/>
        </w:rPr>
      </w:pPr>
      <w:r>
        <w:rPr>
          <w:rFonts w:ascii="Arial" w:hAnsi="Arial"/>
          <w:color w:val="000000"/>
          <w:sz w:val="20"/>
        </w:rPr>
        <w:t>Cash used in financing activities for the first nine months of fiscal year 2026 was approximately $867.5 million compared to $435.9 million in the prior year period. The $431.6 million increase was primarily attributable to the early repayment of the Original Inmarsat Term Loan Facility (see Note 6 — Senior Notes and Other Long-Term Debt to our condensed consolidated financial statements for further information) and distributions to our minority shareholders of $59.7 million in the current period.</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complementary fleet of 23 in service or operational satellites spans the Ka-, L- and S- bands, with 13 Ka-band satellites, eight L-band satellites (three of which are contingency L-band satellites that are operational but not currently in commercial service), an S-band satellite that supports the European Aviation Network to provide IFC services to commercial airlines in Europe, and a hybrid Ka-/L-band satellite. In late July 2024, the ViaSat-3 F1 satellite completed in-orbit testing and was integrated into our existing satellite fleet covering the Americas. In May 2025, two Ka-band highly-elliptical earth orbit satellite payloads (GX10A and GX10B) were put in service to provide polar coverage. On November 13, 2025, we launched the second of our third-generation ViaSat-3 class satellites, ViaSat-3 F2, into orbit with expected service launch in the first half of fiscal year 2027. Furthermore, we have eight additional GEO satellites under development: a high-capacity Ka-band GEO satellite (ViaSat-3 F3), three adaptive Ka-band GEO satellites (GX7, GX8 and GX9) and four Inmarsat-8 L-band GEO safety service satellites. Our extensive satellite fleet enables us to provide a wide array of high-quality broadband and narrowband services with near global coverage (including strong oceanic coverage) with greater redundancy and resiliency.</w:t>
      </w:r>
    </w:p>
    <w:p>
      <w:pPr>
        <w:pStyle w:val="TextBody"/>
        <w:bidi w:val="0"/>
        <w:spacing w:before="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and non-geostationary orbit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2025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December 31, 2025, the aggregate principal amount of our total outstanding indebtedness was $6.4 billion, which was comprised of (1) $600.0 million in aggregate principal amount of Viasat's 5.625% Senior Secured Notes due 2027, $400.0 million in aggregate principal amount of Viasat's 6.500% Senior Notes due 2028, $1.975 billion in aggregate principal amount of Inmarsat's 9.000% Senior Secured Notes due 2029, and $733.4 million in aggregate principal amount of Viasat's 7.500% Senior Notes due 2031, (2) $675.5 million in principal amount of outstanding borrowings under Viasat's $700.0 million senior secured term loan facility (the 2022 Term Loan Facility), $602.8 million in principal amount of outstanding borrowings under Viasat's $616.7 million senior secured term loan facility (the 2023 Term Loan Facility), $1.3 billion in aggregate principal amount of outstanding borrowings under Inmarsat's senior secured term loan facility (the Inmarsat Term Loan Facility) and no outstanding borrowings under the Revolving Credit Facilities, and (3) $142.9 million of finance lease obligations. For information regarding our outstanding indebtedness, refer to Note 6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Arial" w:hAnsi="Arial"/>
          <w:color w:val="000000"/>
          <w:sz w:val="20"/>
        </w:rPr>
      </w:pPr>
      <w:r>
        <w:rPr>
          <w:rFonts w:ascii="Arial" w:hAnsi="Arial"/>
          <w:color w:val="000000"/>
          <w:sz w:val="20"/>
        </w:rPr>
        <w:t>For a discussion of our capital expenditures and IR&amp;D investments, see Part II, Item 7, “Liquidity and Capital Resources — Capital Expenditures and IR&amp;D Investments” in our Annual Report on Form 10-K for the year ended March 31, 2025 for more information.</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table sets forth a summary of certain material cash requirements for known contractual obligations and commitments at December 31, 2025:</w:t>
      </w:r>
    </w:p>
    <w:p>
      <w:pPr>
        <w:pStyle w:val="TextBody"/>
        <w:bidi w:val="0"/>
        <w:jc w:val="left"/>
        <w:rPr/>
      </w:pPr>
      <w:r>
        <w:rPr/>
        <w:t> </w:t>
      </w:r>
    </w:p>
    <w:tbl>
      <w:tblPr>
        <w:tblW w:w="8627" w:type="dxa"/>
        <w:jc w:val="left"/>
        <w:tblInd w:w="0" w:type="dxa"/>
        <w:tblLayout w:type="fixed"/>
        <w:tblCellMar>
          <w:top w:w="28" w:type="dxa"/>
          <w:left w:w="28" w:type="dxa"/>
          <w:bottom w:w="28" w:type="dxa"/>
          <w:right w:w="28" w:type="dxa"/>
        </w:tblCellMar>
      </w:tblPr>
      <w:tblGrid>
        <w:gridCol w:w="5476"/>
        <w:gridCol w:w="146"/>
        <w:gridCol w:w="243"/>
        <w:gridCol w:w="1107"/>
        <w:gridCol w:w="146"/>
        <w:gridCol w:w="146"/>
        <w:gridCol w:w="211"/>
        <w:gridCol w:w="961"/>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Senior notes and other long-term debt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7,957,895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1,248,735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1,752,375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9,813,227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December 31, 2025 until the applicable maturity date.</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condensed consolidated balance sheets included $2.4 billion and $2.2 billion of “other liabilities” as of December 31, 2025 and March 31, 2025,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had no material off-balance sheet arrangements at December 31, 2025 as defined in Regulation S-K Item 303(b) other than as discussed under “Contractual Obligations” above or disclosed in the notes to our condensed consolidated financial statements included in this report or in our Annual Report on Form 10-K for the year ended March 31, 2025.</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our direct loan facility with the Export-Import Bank of the United States bear interest at a fixed rate and therefore our exposure to market risk for changes in interest rates relates primarily to borrowings under our remaining Credit Facilities, cash equivalents and short-term obligations.</w:t>
      </w:r>
    </w:p>
    <w:p>
      <w:pPr>
        <w:pStyle w:val="TextBody"/>
        <w:bidi w:val="0"/>
        <w:spacing w:before="180" w:after="283"/>
        <w:jc w:val="left"/>
        <w:rPr>
          <w:rFonts w:ascii="Arial" w:hAnsi="Arial"/>
          <w:color w:val="000000"/>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December 31, 2025, the effective interest rate on our outstanding borrowings under the 2022 Term Loan Facility was 8.87%, under the 2023 Term Loan Facility was 9.34%, and under the Inmarsat Term Loan Facility was 9.55%. As of December 31, 2025, the effective interest rate that would have been applied to any new SOFR-based borrowings under the Viasat Revolving Credit Facility was approximately 6.70%, and under the Inmarsat Revolving Credit Facility was approximately 6.44%. As of December 31, 2025, we had no outstanding borrowings under our Revolving Credit Facilities. Accordingly, assuming the outstanding balance under the 2022 Term Loan Facility, the 2023 Term Loan Facility and the Inmarsat Term Loan Facility remained constant over a year and we continued to have no outstanding borrowings under the Revolving Credit Facilities, a 10% increase in the interest rates would increase interest incurred, prior to effects of capitalized interest, by approximately $21.4 million over a 12-month period.</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and nine months ended December 31, 2025 and 2024.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color w:val="000000"/>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December 31, 2025, the end of the period covered by this report. Based upon the foregoing, our Chief Executive Officer and Chief Financial Officer concluded that our disclosure controls and procedures were effective at a reasonable assurance level as of December 31, 2025.</w:t>
      </w:r>
    </w:p>
    <w:p>
      <w:pPr>
        <w:pStyle w:val="TextBody"/>
        <w:bidi w:val="0"/>
        <w:spacing w:before="180" w:after="283"/>
        <w:jc w:val="left"/>
        <w:rPr>
          <w:rFonts w:ascii="Arial" w:hAnsi="Arial"/>
          <w:color w:val="000000"/>
          <w:sz w:val="20"/>
        </w:rPr>
      </w:pPr>
      <w:r>
        <w:rPr>
          <w:rFonts w:ascii="Arial" w:hAnsi="Arial"/>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2025.</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addition to the other information set forth in this report, you should carefully consider the factors discussed in Part I, Item 1A, “Risk Factors” in our Annual Report on Form 10-K for the fiscal year ended March 31, 2025, which factors could materially affect our business, financial condition, liquidity or future results. There have been no material changes to the risk factors described in the "Risk Factors" section in our Annual Report on Form 10-K for the fiscal year ended March 31, 2025. The risks described in our report on Form 10-K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bookmarkStart w:id="15" w:name="toc_page"/>
      <w:bookmarkStart w:id="16" w:name="item_5_other_information"/>
      <w:bookmarkEnd w:id="15"/>
      <w:bookmarkEnd w:id="16"/>
      <w:r>
        <w:rPr>
          <w:rFonts w:ascii="Arial" w:hAnsi="Arial"/>
          <w:b/>
          <w:color w:val="000000"/>
          <w:sz w:val="20"/>
        </w:rPr>
        <w:t>Item 5. Other Information</w:t>
      </w:r>
    </w:p>
    <w:p>
      <w:pPr>
        <w:pStyle w:val="TextBody"/>
        <w:bidi w:val="0"/>
        <w:spacing w:before="80" w:after="283"/>
        <w:jc w:val="left"/>
        <w:rPr>
          <w:rFonts w:ascii="Times New Roman" w:hAnsi="Times New Roman"/>
          <w:sz w:val="20"/>
        </w:rPr>
      </w:pPr>
      <w:r>
        <w:rPr>
          <w:rFonts w:ascii="Arial" w:hAnsi="Arial"/>
          <w:color w:val="000000"/>
          <w:sz w:val="20"/>
        </w:rPr>
        <w:t>On November 25, 2025, Craig Miller, our President of Government, adopted a Rule 10b5-1 trading arrangement that is intended to satisfy the affirmative defense conditions of Rule 10b5-1(c) for the sale of up to 62,288</w:t>
      </w:r>
      <w:r>
        <w:rPr>
          <w:rFonts w:ascii="Times New Roman" w:hAnsi="Times New Roman"/>
          <w:color w:val="000000"/>
          <w:sz w:val="20"/>
        </w:rPr>
        <w:t xml:space="preserve"> </w:t>
      </w:r>
      <w:r>
        <w:rPr>
          <w:rFonts w:ascii="Arial" w:hAnsi="Arial"/>
          <w:color w:val="000000"/>
          <w:sz w:val="20"/>
        </w:rPr>
        <w:t>shares of our common stock (including up to 45,430 shares to be acquired upon the exercise of stock options) if certain price thresholds are met from March 2, 2026 until November 30, 2026.</w:t>
      </w:r>
    </w:p>
    <w:p>
      <w:pPr>
        <w:pStyle w:val="TextBody"/>
        <w:bidi w:val="0"/>
        <w:spacing w:before="80" w:after="283"/>
        <w:jc w:val="left"/>
        <w:rPr>
          <w:rFonts w:ascii="Times New Roman" w:hAnsi="Times New Roman"/>
          <w:sz w:val="20"/>
        </w:rPr>
      </w:pPr>
      <w:r>
        <w:rPr>
          <w:rFonts w:ascii="Arial" w:hAnsi="Arial"/>
          <w:color w:val="000000"/>
          <w:sz w:val="20"/>
        </w:rPr>
        <w:t>On December 11, 2025, Ben Palmer, our President of Commercial, adopted a Rule 10b5-1 trading arrangement that is intended to satisfy the affirmative defense conditions of Rule 10b5-1(c) for the sale of up to 27,430</w:t>
      </w:r>
      <w:r>
        <w:rPr>
          <w:rFonts w:ascii="Times New Roman" w:hAnsi="Times New Roman"/>
          <w:color w:val="000000"/>
          <w:sz w:val="20"/>
        </w:rPr>
        <w:t xml:space="preserve"> </w:t>
      </w:r>
      <w:r>
        <w:rPr>
          <w:rFonts w:ascii="Arial" w:hAnsi="Arial"/>
          <w:color w:val="000000"/>
          <w:sz w:val="20"/>
        </w:rPr>
        <w:t>shares of our common stock if certain price thresholds are met from March 12, 2026 until March 11, 2027.</w:t>
      </w:r>
    </w:p>
    <w:p>
      <w:pPr>
        <w:pStyle w:val="TextBody"/>
        <w:bidi w:val="0"/>
        <w:spacing w:before="80" w:after="283"/>
        <w:jc w:val="left"/>
        <w:rPr>
          <w:rFonts w:ascii="Times New Roman" w:hAnsi="Times New Roman"/>
          <w:sz w:val="20"/>
        </w:rPr>
      </w:pPr>
      <w:r>
        <w:rPr>
          <w:rFonts w:ascii="Arial" w:hAnsi="Arial"/>
          <w:color w:val="000000"/>
          <w:sz w:val="20"/>
        </w:rPr>
        <w:t>On December 15, 2025, Robert Blair, our General Counsel and Secretary, adopted a Rule 10b5-1 trading arrangement that is intended to satisfy the affirmative defense conditions of Rule 10b5-1(c) for the sale of up to 3,929</w:t>
      </w:r>
      <w:r>
        <w:rPr>
          <w:rFonts w:ascii="Times New Roman" w:hAnsi="Times New Roman"/>
          <w:color w:val="000000"/>
          <w:sz w:val="20"/>
        </w:rPr>
        <w:t xml:space="preserve"> </w:t>
      </w:r>
      <w:r>
        <w:rPr>
          <w:rFonts w:ascii="Arial" w:hAnsi="Arial"/>
          <w:color w:val="000000"/>
          <w:sz w:val="20"/>
        </w:rPr>
        <w:t>shares of our common stock if certain price thresholds are met from March 16, 2026 until June 1, 2026.</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4"/>
        <w:gridCol w:w="259"/>
        <w:gridCol w:w="4918"/>
        <w:gridCol w:w="146"/>
        <w:gridCol w:w="526"/>
        <w:gridCol w:w="146"/>
        <w:gridCol w:w="707"/>
        <w:gridCol w:w="146"/>
        <w:gridCol w:w="661"/>
        <w:gridCol w:w="146"/>
        <w:gridCol w:w="638"/>
        <w:gridCol w:w="146"/>
        <w:gridCol w:w="962"/>
      </w:tblGrid>
      <w:tr>
        <w:trPr/>
        <w:tc>
          <w:tcPr>
            <w:tcW w:w="8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70" w:type="dxa"/>
            <w:gridSpan w:val="7"/>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04"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1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0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3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Credit Agreement, dated as of January 21, 2026, by and among ViaSat Technologies Limited, Viasat, Inc., J.P. Morgan Securities LLC (as Ex-Im Facility Agent) and the Export-Import Bank of the United States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1/26/2026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hyperlink w:anchor="vsat-ex10_2.htm">
              <w:r>
                <w:rPr>
                  <w:rStyle w:val="InternetLink"/>
                  <w:rFonts w:ascii="Arial" w:hAnsi="Arial"/>
                  <w:color w:val="0000FF"/>
                  <w:sz w:val="20"/>
                  <w:u w:val="single"/>
                </w:rPr>
                <w:t>Transition Agreement, dated as of January 26, 2026, by and between Viasat, Inc. and Shawn Duffy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hyperlink w:anchor="vsat-ex31_1.htm">
              <w:r>
                <w:rPr>
                  <w:rStyle w:val="InternetLink"/>
                  <w:rFonts w:ascii="Arial" w:hAnsi="Arial"/>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hyperlink w:anchor="vsat-ex31_2.htm">
              <w:r>
                <w:rPr>
                  <w:rStyle w:val="InternetLink"/>
                  <w:rFonts w:ascii="Arial" w:hAnsi="Arial"/>
                  <w:color w:val="0000FF"/>
                  <w:sz w:val="20"/>
                  <w:u w:val="single"/>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32.1*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hyperlink w:anchor="vsat-ex32_1.htm">
              <w:r>
                <w:rPr>
                  <w:rStyle w:val="InternetLink"/>
                  <w:rFonts w:ascii="Arial" w:hAnsi="Arial"/>
                  <w:color w:val="0000FF"/>
                  <w:sz w:val="20"/>
                  <w:u w:val="single"/>
                </w:rPr>
                <w:t>Certifications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101.INS</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101.SCH</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9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90" w:after="283"/>
        <w:jc w:val="left"/>
        <w:rPr>
          <w:rFonts w:ascii="Arial" w:hAnsi="Arial"/>
          <w:color w:val="000000"/>
          <w:sz w:val="20"/>
        </w:rPr>
      </w:pPr>
      <w:r>
        <w:rPr>
          <w:rFonts w:ascii="Arial" w:hAnsi="Arial"/>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40" w:after="283"/>
        <w:jc w:val="left"/>
        <w:rPr>
          <w:rFonts w:ascii="Arial" w:hAnsi="Arial"/>
          <w:color w:val="000000"/>
          <w:sz w:val="20"/>
        </w:rPr>
      </w:pPr>
      <w:r>
        <w:rPr>
          <w:rFonts w:ascii="Arial" w:hAnsi="Arial"/>
          <w:color w:val="000000"/>
          <w:sz w:val="20"/>
        </w:rPr>
        <w:t>** Indicates management contract, compensatory plan or arrangement.</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591"/>
        <w:gridCol w:w="146"/>
        <w:gridCol w:w="456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 xml:space="preserve">ARK </w:t>
            </w:r>
            <w:r>
              <w:rPr>
                <w:rFonts w:ascii="Arial" w:hAnsi="Arial"/>
                <w:color w:val="000000"/>
                <w:sz w:val="20"/>
              </w:rPr>
              <w:t>D</w:t>
            </w:r>
            <w:r>
              <w:rPr>
                <w:rFonts w:ascii="Arial" w:hAnsi="Arial"/>
                <w:color w:val="000000"/>
                <w:sz w:val="16"/>
              </w:rPr>
              <w:t>ANKBERG</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Chairman of the Board and Chief Executive Officer</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 xml:space="preserve">ARRETT </w:t>
            </w:r>
            <w:r>
              <w:rPr>
                <w:rFonts w:ascii="Arial" w:hAnsi="Arial"/>
                <w:color w:val="000000"/>
                <w:sz w:val="20"/>
              </w:rPr>
              <w:t>C</w:t>
            </w:r>
            <w:r>
              <w:rPr>
                <w:rFonts w:ascii="Arial" w:hAnsi="Arial"/>
                <w:color w:val="000000"/>
                <w:sz w:val="16"/>
              </w:rPr>
              <w:t>HASE</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Financial Officer</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w:t>
            </w:r>
            <w:r>
              <w:rPr>
                <w:rFonts w:ascii="Times New Roman" w:hAnsi="Times New Roman"/>
                <w:color w:val="000000"/>
                <w:sz w:val="20"/>
              </w:rPr>
              <w:t xml:space="preserve"> </w:t>
            </w:r>
            <w:r>
              <w:rPr>
                <w:rFonts w:ascii="Arial" w:hAnsi="Arial"/>
                <w:color w:val="000000"/>
                <w:sz w:val="20"/>
              </w:rPr>
              <w:t>C</w:t>
            </w:r>
            <w:r>
              <w:rPr>
                <w:rFonts w:ascii="Arial" w:hAnsi="Arial"/>
                <w:color w:val="000000"/>
                <w:sz w:val="16"/>
              </w:rPr>
              <w:t xml:space="preserve">AMELLIA </w:t>
            </w:r>
            <w:r>
              <w:rPr>
                <w:rFonts w:ascii="Arial" w:hAnsi="Arial"/>
                <w:color w:val="000000"/>
                <w:sz w:val="20"/>
              </w:rPr>
              <w:t>E.</w:t>
            </w:r>
            <w:r>
              <w:rPr>
                <w:rFonts w:ascii="Times New Roman" w:hAnsi="Times New Roman"/>
                <w:color w:val="000000"/>
                <w:sz w:val="20"/>
              </w:rPr>
              <w:t xml:space="preserve"> </w:t>
            </w:r>
            <w:r>
              <w:rPr>
                <w:rFonts w:ascii="Arial" w:hAnsi="Arial"/>
                <w:color w:val="000000"/>
                <w:sz w:val="20"/>
              </w:rPr>
              <w:t>F</w:t>
            </w:r>
            <w:r>
              <w:rPr>
                <w:rFonts w:ascii="Arial" w:hAnsi="Arial"/>
                <w:color w:val="000000"/>
                <w:sz w:val="16"/>
              </w:rPr>
              <w:t>ITZ</w:t>
            </w:r>
            <w:r>
              <w:rPr>
                <w:rFonts w:ascii="Arial" w:hAnsi="Arial"/>
                <w:color w:val="000000"/>
                <w:sz w:val="20"/>
              </w:rPr>
              <w:t>G</w:t>
            </w:r>
            <w:r>
              <w:rPr>
                <w:rFonts w:ascii="Arial" w:hAnsi="Arial"/>
                <w:color w:val="000000"/>
                <w:sz w:val="16"/>
              </w:rPr>
              <w:t>ERALD</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Camellia E. FitzGerald</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Accounting Officer</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19" w:name="vsat-ex10_2.htm"/>
      <w:bookmarkStart w:id="20" w:name="ksvsatex10_2"/>
      <w:bookmarkEnd w:id="19"/>
      <w:bookmarkEnd w:id="20"/>
      <w:r>
        <w:rPr>
          <w:rFonts w:ascii="Arial" w:hAnsi="Arial"/>
          <w:b/>
          <w:color w:val="000000"/>
          <w:sz w:val="20"/>
        </w:rPr>
        <w:t>Exhibit 10.2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TRANSITION AGREEMENT AND GENERAL RELEASE OF CLAIMS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Transition Agreement and General Release of Claims (“</w:t>
      </w:r>
      <w:r>
        <w:rPr>
          <w:rFonts w:ascii="Times New Roman" w:hAnsi="Times New Roman"/>
          <w:b/>
          <w:i/>
          <w:color w:val="000000"/>
          <w:sz w:val="20"/>
        </w:rPr>
        <w:t>Release</w:t>
      </w:r>
      <w:r>
        <w:rPr>
          <w:rFonts w:ascii="Times New Roman" w:hAnsi="Times New Roman"/>
          <w:color w:val="000000"/>
          <w:sz w:val="20"/>
        </w:rPr>
        <w:t>”) is entered into as of this 26</w:t>
      </w:r>
      <w:r>
        <w:rPr>
          <w:rFonts w:ascii="Times New Roman" w:hAnsi="Times New Roman"/>
          <w:color w:val="000000"/>
          <w:sz w:val="13"/>
        </w:rPr>
        <w:t>th</w:t>
      </w:r>
      <w:r>
        <w:rPr>
          <w:rFonts w:ascii="Times New Roman" w:hAnsi="Times New Roman"/>
          <w:color w:val="000000"/>
          <w:sz w:val="20"/>
        </w:rPr>
        <w:t xml:space="preserve"> day of January, 2026 between Shawn Duffy (“</w:t>
      </w:r>
      <w:r>
        <w:rPr>
          <w:rFonts w:ascii="Times New Roman" w:hAnsi="Times New Roman"/>
          <w:b/>
          <w:i/>
          <w:color w:val="000000"/>
          <w:sz w:val="20"/>
        </w:rPr>
        <w:t>Executive</w:t>
      </w:r>
      <w:r>
        <w:rPr>
          <w:rFonts w:ascii="Times New Roman" w:hAnsi="Times New Roman"/>
          <w:color w:val="000000"/>
          <w:sz w:val="20"/>
        </w:rPr>
        <w:t>”), and Viasat, Inc., a Delaware corporation (the “</w:t>
      </w:r>
      <w:r>
        <w:rPr>
          <w:rFonts w:ascii="Times New Roman" w:hAnsi="Times New Roman"/>
          <w:b/>
          <w:i/>
          <w:color w:val="000000"/>
          <w:sz w:val="20"/>
        </w:rPr>
        <w:t>Company</w:t>
      </w:r>
      <w:r>
        <w:rPr>
          <w:rFonts w:ascii="Times New Roman" w:hAnsi="Times New Roman"/>
          <w:color w:val="000000"/>
          <w:sz w:val="20"/>
        </w:rPr>
        <w:t>”) (collectively referred to herein as the “</w:t>
      </w:r>
      <w:r>
        <w:rPr>
          <w:rFonts w:ascii="Times New Roman" w:hAnsi="Times New Roman"/>
          <w:b/>
          <w:i/>
          <w:color w:val="000000"/>
          <w:sz w:val="20"/>
        </w:rPr>
        <w:t>Parties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WHEREAS, Executive and the Company are parties to that certain Severance Agreement dated as of November 5, 2024 (the “</w:t>
      </w:r>
      <w:r>
        <w:rPr>
          <w:rFonts w:ascii="Times New Roman" w:hAnsi="Times New Roman"/>
          <w:b/>
          <w:i/>
          <w:color w:val="000000"/>
          <w:sz w:val="20"/>
        </w:rPr>
        <w:t>Severance Agreement</w:t>
      </w:r>
      <w:r>
        <w:rPr>
          <w:rFonts w:ascii="Times New Roman" w:hAnsi="Times New Roman"/>
          <w:color w:val="000000"/>
          <w:sz w:val="20"/>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WHEREAS, Executive was employed by the Company as its Chief Accounting Officer through December 31, 2025 (the “</w:t>
      </w:r>
      <w:r>
        <w:rPr>
          <w:rFonts w:ascii="Times New Roman" w:hAnsi="Times New Roman"/>
          <w:b/>
          <w:i/>
          <w:color w:val="000000"/>
          <w:sz w:val="20"/>
        </w:rPr>
        <w:t>Transition Date</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WHEREAS, the Company and Executive together desire to conclude Executive’s full-time employment with the Company as of the Transition Date, resolve all matters between them through the Transition Date (including under the Severance Agreement), and provide for Executive’s continued employment as an Emeritus status non-executive employee through a Transition Period (as defined below), on the terms and conditions set forth in this Release;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WHEREAS, the Parties agree that Executive is entitled to certain severance benefits under the Severance Agreement as a result of the occurrence of the Transition Date, subject to Executive’s execution of this Release.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NOW, THEREFORE, in consideration of the Company’s agreements set forth herein, including, without limitation, the payments and benefits set forth in Section 2 below, the adequacy of which is hereby acknowledged by Executive, and which Executive acknowledges that she would not otherwise be entitled to receive, Executive and the Company hereby agree as follows: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Transition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Transition Period</w:t>
      </w:r>
      <w:r>
        <w:rPr>
          <w:rFonts w:ascii="Times New Roman" w:hAnsi="Times New Roman"/>
          <w:color w:val="000000"/>
          <w:sz w:val="20"/>
        </w:rPr>
        <w:t>. Executive and the Company agree that Executive ceased holding any and all positions as an officer, director or designee of the Company or any of its subsidiaries, affiliates or other entities in which it holds a direct or indirect equity interest as of the Transition Date, and Executive’s full-time employment with the Company ceased and terminated effective as of the Transition Date; provided, however, subject to Section 1(c), Executive shall remain an Emeritus status employee of the Company commencing on January 1, 2026 until Executive’s employment relationship terminates for any reason as provided in the Emeritus Status Letter (as defined below) (the date of Executive’s termination of employment, the “</w:t>
      </w:r>
      <w:r>
        <w:rPr>
          <w:rFonts w:ascii="Times New Roman" w:hAnsi="Times New Roman"/>
          <w:b/>
          <w:i/>
          <w:color w:val="000000"/>
          <w:sz w:val="20"/>
        </w:rPr>
        <w:t>Last Day of Service</w:t>
      </w:r>
      <w:r>
        <w:rPr>
          <w:color w:val="000000"/>
        </w:rPr>
        <w:t>”</w:t>
      </w:r>
      <w:r>
        <w:rPr>
          <w:rFonts w:ascii="Times New Roman" w:hAnsi="Times New Roman"/>
          <w:color w:val="000000"/>
          <w:sz w:val="20"/>
        </w:rPr>
        <w:t>); provided, however, if the Effective Date does not occur within the time period required under Section 3 below, the Last Day of Service will be December 31, 2025, and that will be Executive’s final day of employment with the Company or any of its subsidiaries, affiliates or other entities in any capacity. The period from January 1, 2026 through the Last Day of Service is referred to herein as the “</w:t>
      </w:r>
      <w:r>
        <w:rPr>
          <w:rFonts w:ascii="Times New Roman" w:hAnsi="Times New Roman"/>
          <w:b/>
          <w:i/>
          <w:color w:val="000000"/>
          <w:sz w:val="20"/>
        </w:rPr>
        <w:t>Transition Period</w:t>
      </w:r>
      <w:r>
        <w:rPr>
          <w:color w:val="000000"/>
        </w:rPr>
        <w:t>”</w:t>
      </w:r>
      <w:r>
        <w:rPr>
          <w:rFonts w:ascii="Times New Roman" w:hAnsi="Times New Roman"/>
          <w:color w:val="000000"/>
          <w:sz w:val="20"/>
        </w:rPr>
        <w:t xml:space="preserve">. Details of the position that Executive will hold during the Transition Period are set forth in the Emeritus Status letter attached hereto as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(the “</w:t>
      </w:r>
      <w:r>
        <w:rPr>
          <w:rFonts w:ascii="Times New Roman" w:hAnsi="Times New Roman"/>
          <w:b/>
          <w:i/>
          <w:color w:val="000000"/>
          <w:sz w:val="20"/>
        </w:rPr>
        <w:t>Emeritus Status Letter</w:t>
      </w:r>
      <w:r>
        <w:rPr>
          <w:color w:val="00000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Compensation During Transition Period</w:t>
      </w:r>
      <w:r>
        <w:rPr>
          <w:rFonts w:ascii="Times New Roman" w:hAnsi="Times New Roman"/>
          <w:color w:val="000000"/>
          <w:sz w:val="20"/>
        </w:rPr>
        <w:t xml:space="preserve">. As compensation for the services to be rendered by Executive to the Company during the Transition Period, Executive shall be paid the compensation and benefits set forth in the Emeritus Status Letter.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u w:val="single"/>
        </w:rPr>
        <w:t>At-Will Employment; Termination</w:t>
      </w:r>
      <w:r>
        <w:rPr>
          <w:rFonts w:ascii="Times New Roman" w:hAnsi="Times New Roman"/>
          <w:color w:val="000000"/>
          <w:sz w:val="20"/>
        </w:rPr>
        <w:t xml:space="preserve">. The Company and Executive acknowledge that Executive’s employment during the Transition Period shall be at-will, as defined under applicable law, and that Executive’s employment with the Company may be terminated by either party at any time for any or no reason, with or without notice. If Executive’s employment terminates for any reason, Executive shall not be entitled to any payments, benefits, damages, awards or compensation other than as required by applicable law or set forth in this Release or the Emeritus Status Letter.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u w:val="single"/>
        </w:rPr>
        <w:t>Transition Date and Last Day of Service Matters</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u w:val="single"/>
        </w:rPr>
        <w:t>Accrued Obligations</w:t>
      </w:r>
      <w:r>
        <w:rPr>
          <w:rFonts w:ascii="Times New Roman" w:hAnsi="Times New Roman"/>
          <w:color w:val="000000"/>
          <w:sz w:val="20"/>
        </w:rPr>
        <w:t>. The Company will pay to Executive her final pay on the Last Day of Service, including payment of any accrued but unused paid time off/vacation (“</w:t>
      </w:r>
      <w:r>
        <w:rPr>
          <w:rFonts w:ascii="Times New Roman" w:hAnsi="Times New Roman"/>
          <w:b/>
          <w:i/>
          <w:color w:val="000000"/>
          <w:sz w:val="20"/>
        </w:rPr>
        <w:t>PTO</w:t>
      </w:r>
      <w:r>
        <w:rPr>
          <w:color w:val="000000"/>
        </w:rPr>
        <w:t>”</w:t>
      </w:r>
      <w:r>
        <w:rPr>
          <w:rFonts w:ascii="Times New Roman" w:hAnsi="Times New Roman"/>
          <w:color w:val="000000"/>
          <w:sz w:val="20"/>
        </w:rPr>
        <w:t>). Upon the occurrence of the Last Day of Service, (i) the Company will pay to Executive her final pay on the Last Day of Service, (ii) the Company will reimburse Executive for any employee expenses incurred on or prior to the Last Day of Service and submitted within fourteen (14) days of the Last Day of Service, plus (iii) the Company will provide all other benefits, if any, under any Company group retirement plan, nonqualified deferred compensation plan, equity award plan or agreement (other than any such plan or agreement pertaining to Executive’s RSUs, PSOs and PSUs whose treatment is prescribed by Section 2(b) below), health benefits plan or other Company group benefit plan to which Executive may be entitled pursuant to the terms of such plans or agreements as of the Last Day of Service.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hAnsi="Times New Roman"/>
          <w:b/>
          <w:i/>
          <w:color w:val="000000"/>
          <w:sz w:val="20"/>
        </w:rPr>
        <w:t>COBRA</w:t>
      </w:r>
      <w:r>
        <w:rPr>
          <w:color w:val="000000"/>
        </w:rPr>
        <w:t>”</w:t>
      </w:r>
      <w:r>
        <w:rPr>
          <w:rFonts w:ascii="Times New Roman" w:hAnsi="Times New Roman"/>
          <w:color w:val="000000"/>
          <w:sz w:val="20"/>
        </w:rPr>
        <w:t xml:space="preserve">), for herself and any covered dependents. Executive’s entitlement to other benefits from the Company, and eligibility to participate in the Company’s other benefit plans and programs, shall cease on the Last Day of Service.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u w:val="single"/>
        </w:rPr>
        <w:t>Severance Benefits</w:t>
      </w:r>
      <w:r>
        <w:rPr>
          <w:rFonts w:ascii="Times New Roman" w:hAnsi="Times New Roman"/>
          <w:color w:val="000000"/>
          <w:sz w:val="20"/>
        </w:rPr>
        <w:t>. Subject to the occurrence of the Effective Date on or before the date specified in Section 3, and Executive’s continued compliance with the terms of this Release, the Company agrees to provide Executive with the following severance payments and benefits following the Transition Date (the “</w:t>
      </w:r>
      <w:r>
        <w:rPr>
          <w:rFonts w:ascii="Times New Roman" w:hAnsi="Times New Roman"/>
          <w:b/>
          <w:i/>
          <w:color w:val="000000"/>
          <w:sz w:val="20"/>
        </w:rPr>
        <w:t>Severance Benefits</w:t>
      </w:r>
      <w:r>
        <w:rPr>
          <w:color w:val="000000"/>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will pay to Executive the gross sum of $2,565,000 USD, which amount shall be payable within ten (10) days following the Effective Date;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will pay to Executive the gross sum of $44,385 USD, representing an amount equal to eighteen (18) multiplied by the monthly premium that Executive would be required to pay for COBRA continuation coverage for Executive and her eligible dependents who were covered under the Company’s health insurance plans as of the Transition Date (based on the premiums in effect as of the Transition Date ), which amount shall be payable within ten (10) days following the Effective Date;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0"/>
        </w:rPr>
        <w:t>The Company has previously granted Executive restricted stock unit (“</w:t>
      </w:r>
      <w:r>
        <w:rPr>
          <w:rFonts w:ascii="Times New Roman" w:hAnsi="Times New Roman"/>
          <w:b/>
          <w:i/>
          <w:color w:val="000000"/>
          <w:sz w:val="20"/>
        </w:rPr>
        <w:t>RSU</w:t>
      </w:r>
      <w:r>
        <w:rPr>
          <w:color w:val="000000"/>
        </w:rPr>
        <w:t>”</w:t>
      </w:r>
      <w:r>
        <w:rPr>
          <w:rFonts w:ascii="Times New Roman" w:hAnsi="Times New Roman"/>
          <w:color w:val="000000"/>
          <w:sz w:val="20"/>
        </w:rPr>
        <w:t>) awards with respect to shares of the Company’s common stock (collectively, the “</w:t>
      </w:r>
      <w:r>
        <w:rPr>
          <w:rFonts w:ascii="Times New Roman" w:hAnsi="Times New Roman"/>
          <w:b/>
          <w:i/>
          <w:color w:val="000000"/>
          <w:sz w:val="20"/>
        </w:rPr>
        <w:t>RSUs</w:t>
      </w:r>
      <w:r>
        <w:rPr>
          <w:color w:val="000000"/>
        </w:rPr>
        <w:t>”</w:t>
      </w:r>
      <w:r>
        <w:rPr>
          <w:rFonts w:ascii="Times New Roman" w:hAnsi="Times New Roman"/>
          <w:color w:val="000000"/>
          <w:sz w:val="20"/>
        </w:rPr>
        <w:t>) under the Company’s 1996 Equity Participation Plan, as amended and restated from time to time (the “</w:t>
      </w:r>
      <w:r>
        <w:rPr>
          <w:rFonts w:ascii="Times New Roman" w:hAnsi="Times New Roman"/>
          <w:b/>
          <w:i/>
          <w:color w:val="000000"/>
          <w:sz w:val="20"/>
        </w:rPr>
        <w:t>Equity Plan</w:t>
      </w:r>
      <w:r>
        <w:rPr>
          <w:color w:val="000000"/>
        </w:rPr>
        <w:t>”</w:t>
      </w:r>
      <w:r>
        <w:rPr>
          <w:rFonts w:ascii="Times New Roman" w:hAnsi="Times New Roman"/>
          <w:color w:val="000000"/>
          <w:sz w:val="20"/>
        </w:rPr>
        <w:t>), and pursuant to the terms of those certain Restricted Stock Unit Agreements (each, an “</w:t>
      </w:r>
      <w:r>
        <w:rPr>
          <w:rFonts w:ascii="Times New Roman" w:hAnsi="Times New Roman"/>
          <w:b/>
          <w:i/>
          <w:color w:val="000000"/>
          <w:sz w:val="20"/>
        </w:rPr>
        <w:t>RSU Agreement</w:t>
      </w:r>
      <w:r>
        <w:rPr>
          <w:color w:val="000000"/>
        </w:rPr>
        <w:t>”</w:t>
      </w:r>
      <w:r>
        <w:rPr>
          <w:rFonts w:ascii="Times New Roman" w:hAnsi="Times New Roman"/>
          <w:color w:val="000000"/>
          <w:sz w:val="20"/>
        </w:rPr>
        <w:t xml:space="preserve">). On the Effective Date, the vesting of all of Executive’s outstanding, unvested RSUs shall be accelerated, and such RSUs shall be settled in accordance with the terms of the RSU Agreements and the Equity Plan. The foregoing provisions are hereby deemed to be a part of each RSU Agreement and to supersede any less favorable provision in any agreement or plan regarding such RSUs.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pPr>
      <w:r>
        <w:rPr>
          <w:rFonts w:ascii="Times New Roman" w:hAnsi="Times New Roman"/>
          <w:color w:val="000000"/>
          <w:sz w:val="20"/>
        </w:rPr>
        <w:t>The Company has previously granted Executive performance stock option (“</w:t>
      </w:r>
      <w:r>
        <w:rPr>
          <w:rFonts w:ascii="Times New Roman" w:hAnsi="Times New Roman"/>
          <w:b/>
          <w:i/>
          <w:color w:val="000000"/>
          <w:sz w:val="20"/>
        </w:rPr>
        <w:t>PSO</w:t>
      </w:r>
      <w:r>
        <w:rPr>
          <w:color w:val="000000"/>
        </w:rPr>
        <w:t>”</w:t>
      </w:r>
      <w:r>
        <w:rPr>
          <w:rFonts w:ascii="Times New Roman" w:hAnsi="Times New Roman"/>
          <w:color w:val="000000"/>
          <w:sz w:val="20"/>
        </w:rPr>
        <w:t>) awards with respect to shares of the Company’s common stock (collectively, the “</w:t>
      </w:r>
      <w:r>
        <w:rPr>
          <w:rFonts w:ascii="Times New Roman" w:hAnsi="Times New Roman"/>
          <w:b/>
          <w:i/>
          <w:color w:val="000000"/>
          <w:sz w:val="20"/>
        </w:rPr>
        <w:t>PSOs</w:t>
      </w:r>
      <w:r>
        <w:rPr>
          <w:color w:val="000000"/>
        </w:rPr>
        <w:t>”</w:t>
      </w:r>
      <w:r>
        <w:rPr>
          <w:rFonts w:ascii="Times New Roman" w:hAnsi="Times New Roman"/>
          <w:color w:val="000000"/>
          <w:sz w:val="20"/>
        </w:rPr>
        <w:t>) under the Company’s Equity Plan and pursuant to the terms of those certain Performance Stock Option Agreements (each, a “</w:t>
      </w:r>
      <w:r>
        <w:rPr>
          <w:rFonts w:ascii="Times New Roman" w:hAnsi="Times New Roman"/>
          <w:b/>
          <w:i/>
          <w:color w:val="000000"/>
          <w:sz w:val="20"/>
        </w:rPr>
        <w:t>PSO Agreement</w:t>
      </w:r>
      <w:r>
        <w:rPr>
          <w:color w:val="000000"/>
        </w:rPr>
        <w: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On the Effective Date, all of Executive’s outstanding PSOs granted prior to October 9, 2023 shall be considered “Time-Vested Options” for purposes of the PSO Agreements. With respect to any PSOs granted to Executive prior to October 2023, Executive shall remain eligible to vest in such number of the PSOs that also become “Performance-Vested Options” in accordance with the terms of the PSO Agreements on the applicable Certification Date (as defined in the PSO Agreements).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On the Effective Date, such portion of Executive’s PSOs granted on October 9, 2023 as would have become “Time-Vested Options” on or prior to December 31, 2026 in accordance with the terms of the applicable PSO Agreement will be considered “Time-Vested Options” for purposes of such PSO Agreement. During the Transition Period, Executive shall remain eligible to vest in such October 2023 PSOs in accordance with the terms of the applicable PSO Agreement based on Executive’s continued employment following the Transition Date.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Except as specified above with respect to the acceleration of the time-based vesting of the PSOs, the PSOs shall continue to be governed by the Equity Plan and the applicable PSO Agreements. Nothing in this Section 2(b)(iv) shall be construed to limit any more favorable vesting applicable to the PSOs in the Equity Plan and/or the PSO Agreements. The foregoing provisions are hereby deemed to be a part of each PSO Agreement and to supersede any less favorable provision in any agreement or plan regarding such PSOs; and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pPr>
      <w:r>
        <w:rPr>
          <w:rFonts w:ascii="Times New Roman" w:hAnsi="Times New Roman"/>
          <w:color w:val="000000"/>
          <w:sz w:val="20"/>
        </w:rPr>
        <w:t>The Company has previously granted Executive performance stock unit (“</w:t>
      </w:r>
      <w:r>
        <w:rPr>
          <w:rFonts w:ascii="Times New Roman" w:hAnsi="Times New Roman"/>
          <w:b/>
          <w:i/>
          <w:color w:val="000000"/>
          <w:sz w:val="20"/>
        </w:rPr>
        <w:t>PSU</w:t>
      </w:r>
      <w:r>
        <w:rPr>
          <w:color w:val="000000"/>
        </w:rPr>
        <w:t>”</w:t>
      </w:r>
      <w:r>
        <w:rPr>
          <w:rFonts w:ascii="Times New Roman" w:hAnsi="Times New Roman"/>
          <w:color w:val="000000"/>
          <w:sz w:val="20"/>
        </w:rPr>
        <w:t>) awards with respect to shares of the Company’s common stock (collectively, the “</w:t>
      </w:r>
      <w:r>
        <w:rPr>
          <w:rFonts w:ascii="Times New Roman" w:hAnsi="Times New Roman"/>
          <w:b/>
          <w:i/>
          <w:color w:val="000000"/>
          <w:sz w:val="20"/>
        </w:rPr>
        <w:t>PSUs</w:t>
      </w:r>
      <w:r>
        <w:rPr>
          <w:color w:val="000000"/>
        </w:rPr>
        <w:t>”</w:t>
      </w:r>
      <w:r>
        <w:rPr>
          <w:rFonts w:ascii="Times New Roman" w:hAnsi="Times New Roman"/>
          <w:color w:val="000000"/>
          <w:sz w:val="20"/>
        </w:rPr>
        <w:t>) under the Company’s Equity Plan and pursuant to the terms of the Performance Stock Unit Agreements (each, a “</w:t>
      </w:r>
      <w:r>
        <w:rPr>
          <w:rFonts w:ascii="Times New Roman" w:hAnsi="Times New Roman"/>
          <w:b/>
          <w:i/>
          <w:color w:val="000000"/>
          <w:sz w:val="20"/>
        </w:rPr>
        <w:t>PSU Agreement</w:t>
      </w:r>
      <w:r>
        <w:rPr>
          <w:color w:val="000000"/>
        </w:rPr>
        <w:t>”</w:t>
      </w:r>
      <w:r>
        <w:rPr>
          <w:rFonts w:ascii="Times New Roman" w:hAnsi="Times New Roman"/>
          <w:color w:val="000000"/>
          <w:sz w:val="20"/>
        </w:rPr>
        <w:t>). The vesting of such portion of Executive’s outstanding PSUs as would have vested in accordance with the terms of the applicable PSU agreement on or prior to December 31, 2026, if any, shall be accelerated effective as of the Effective Date. During the Transition Period, Executive shall remain eligible to vest in such PSUs in accordance with the terms of the applicable PSU Agreement based on Executive’s continued employment following the Transition Date; provided, that any such PSUs that are solely subject to service-based vesting will, after giving effect to the accelerated vesting set forth in the previous sentence, only continue to be eligible to be considered vested as to additional PSUs (above those the vesting of which accelerates on the Effective Date pursuant to this Section 2(b)(v)) based on Executive’s continued service through the vesting dates set forth in the applicable PSU Agreement occurring on or after January 1, 2027, subject to Executive’s continued employment on the applicable vesting date. Except as specified above with respect to the acceleration of the vesting of the PSUs, Executive’s PSUs shall continue to be governed by the Equity Plan and the PSU Agreements. Nothing in this Section 2(b)(v) shall be construed to limit any more favorable vesting applicable to the PSUs in the Equity Plan and/or the PSU Agreements. The foregoing provisions are hereby deemed to be a part of each PSU Agreement and to supersede any less favorable provision in any agreement or plan regarding such PSUs.</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u w:val="single"/>
        </w:rPr>
        <w:t>Acknowledgments</w:t>
      </w:r>
      <w:r>
        <w:rPr>
          <w:rFonts w:ascii="Times New Roman" w:hAnsi="Times New Roman"/>
          <w:color w:val="000000"/>
          <w:sz w:val="20"/>
        </w:rPr>
        <w:t>. Executive acknowledges and agrees that: (i) the Severance Benefits will be in lieu of any severance benefits to which Executive may be otherwise entitled to under the Company’s standard severance program for U.S. employees or any other plan, program or agreement currently maintained by the Company or any of its subsidiaries, and (ii) the Severance Benefits constitute adequate consideration for the promises and representations made by Executive in this Release. Executive understands and agrees that her entitlement to the Severance Benefits set forth in this Section 2 are subject to the occurrence of the Effective Date within the time period provided in Section 3 below and is further conditioned on Executive’s compliance with the terms and conditions of this Release (including, without limitation, Section 5 below (including Section 5(b) regarding the return of Company property)), and the terms of the Proprietary Information Agreement (as defined below).</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color w:val="000000"/>
          <w:sz w:val="20"/>
          <w:u w:val="single"/>
        </w:rPr>
        <w:t>No Mitigation</w:t>
      </w:r>
      <w:r>
        <w:rPr>
          <w:rFonts w:ascii="Times New Roman" w:hAnsi="Times New Roman"/>
          <w:color w:val="000000"/>
          <w:sz w:val="20"/>
        </w:rPr>
        <w:t>. Executive shall not be required to mitigate the amount of any payment provided for in this Section 2 by seeking other employment or otherwise, nor shall the amount of any payment or benefit provided for in this Section 2 be reduced by any compensation earned by Executive as the result of employment by another employer or self-employment or by retirement benefits; provided, however, that loans, advances or other amounts owed by Executive to the Company may be offset by the Company against amounts payable to Executive under this Section 2.</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No Other Compensation</w:t>
      </w:r>
      <w:r>
        <w:rPr>
          <w:rFonts w:ascii="Times New Roman" w:hAnsi="Times New Roman"/>
          <w:color w:val="000000"/>
          <w:sz w:val="20"/>
        </w:rPr>
        <w:t xml:space="preserve">. Other than the payments described in this Release, Executive acknowledges that the Company will have timely paid all wages and employee benefits owed to Executive through the Transition Date, including but not limited to, all salary, bonuses, commissions, business expenses, allowances,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vacation pay, leave pay, and other employee benefits as a result of Executive’s employment with the Company and/or conclusion of that employment.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color w:val="000000"/>
          <w:sz w:val="20"/>
          <w:u w:val="single"/>
        </w:rPr>
        <w:t>No Other Severance Benefits</w:t>
      </w:r>
      <w:r>
        <w:rPr>
          <w:rFonts w:ascii="Times New Roman" w:hAnsi="Times New Roman"/>
          <w:color w:val="000000"/>
          <w:sz w:val="20"/>
        </w:rPr>
        <w:t>. Executive acknowledges that, other than the benefits to be paid pursuant to this Section 2, she will not be eligible for any further severance benefits under the Company’s standard severance program for U.S. employees or any other plan, program or agreement currently maintained by the Company or any of its subsidiaries as a result of the occurrence of the Last Day of Service following the completion of the Transition Period.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pPr>
      <w:r>
        <w:rPr>
          <w:rFonts w:ascii="Times New Roman" w:hAnsi="Times New Roman"/>
          <w:color w:val="000000"/>
          <w:sz w:val="20"/>
          <w:u w:val="single"/>
        </w:rPr>
        <w:t>General Release of Claims by Executive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 In consideration of the agreements and promises set forth herein, including the Company’s agreement to continue to employ Executive during the Transition Period, the Severance Benefits and the payments and benefits which Executive is eligible to receive under this Release and the Emeritus Status Letter, Executive, on behalf of herself and her executors, heirs, administrators, representatives and assigns, hereby agrees to release and forever discharge the Company and all predecessors, successors and is parent corporations, affiliates, related, and/or subsidiary entities, and all of their past and present investors, directors, stockholders, officers, general or limited partners, employees, attorneys, agents and representatives, and the employee benefit plans in which Executive is or has been a participant by virtue of her employment with or service to the Company or any affiliate (collectively, the “</w:t>
      </w:r>
      <w:r>
        <w:rPr>
          <w:rFonts w:ascii="Times New Roman" w:hAnsi="Times New Roman"/>
          <w:b/>
          <w:i/>
          <w:color w:val="000000"/>
          <w:sz w:val="20"/>
        </w:rPr>
        <w:t>Company Releasees</w:t>
      </w:r>
      <w:r>
        <w:rPr>
          <w:rFonts w:ascii="Times New Roman" w:hAnsi="Times New Roman"/>
          <w:color w:val="000000"/>
          <w:sz w:val="20"/>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0"/>
        </w:rPr>
        <w:t>Claims</w:t>
      </w:r>
      <w:r>
        <w:rPr>
          <w:rFonts w:ascii="Times New Roman" w:hAnsi="Times New Roman"/>
          <w:color w:val="000000"/>
          <w:sz w:val="20"/>
        </w:rPr>
        <w:t xml:space="preserve">”), which Executive has or may have had against such entities based on any events or circumstances arising or occurring on or prior to the date hereof, arising directly or indirectly out of, relating to, or in any other way involving in any manner whatsoever Executive’s employment by or service to the Company or any affiliate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Americans with Disabilities Act, as amended, 42 U.S.C. § 12101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Rehabilitation Act of 1973, as amended, 29 U.S.C. § 701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Civil Rights Act of 1866, and the Civil Rights Act of 1991; 42 U.S.C. Section 1981,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Age Discrimination in Employment Act, as amended, 29 U.S.C. Section 621,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(the “</w:t>
      </w:r>
      <w:r>
        <w:rPr>
          <w:rFonts w:ascii="Times New Roman" w:hAnsi="Times New Roman"/>
          <w:b/>
          <w:i/>
          <w:color w:val="000000"/>
          <w:sz w:val="20"/>
        </w:rPr>
        <w:t>ADEA</w:t>
      </w:r>
      <w:r>
        <w:rPr>
          <w:rFonts w:ascii="Times New Roman" w:hAnsi="Times New Roman"/>
          <w:color w:val="000000"/>
          <w:sz w:val="20"/>
        </w:rPr>
        <w:t xml:space="preserve">”); the Equal Pay Act, as amended, 29 U.S.C. Section 206(d); regulations of the Office of Federal Contract Compliance, 41 C.F.R. Section 60,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Family and Medical Leave Act, as amended, 29 U.S.C. § 2601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Fair Labor Standards Act of 1938, as amended, 29 U.S.C. § 201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the Employee Retirement Income Security Act, as amended, 29 U.S.C. § 1001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 xml:space="preserve">.; and the California Fair Employment and Housing Act, California Government Code Section 12940, </w:t>
      </w:r>
      <w:r>
        <w:rPr>
          <w:rFonts w:ascii="Times New Roman" w:hAnsi="Times New Roman"/>
          <w:color w:val="000000"/>
          <w:sz w:val="20"/>
          <w:u w:val="single"/>
        </w:rPr>
        <w:t>et</w:t>
      </w:r>
      <w:r>
        <w:rPr>
          <w:rFonts w:ascii="Times New Roman" w:hAnsi="Times New Roman"/>
          <w:color w:val="000000"/>
          <w:sz w:val="20"/>
        </w:rPr>
        <w:t xml:space="preserve"> </w:t>
      </w:r>
      <w:r>
        <w:rPr>
          <w:rFonts w:ascii="Times New Roman" w:hAnsi="Times New Roman"/>
          <w:color w:val="000000"/>
          <w:sz w:val="20"/>
          <w:u w:val="single"/>
        </w:rPr>
        <w:t>seq</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Notwithstanding the generality of the foregoing, Executive does not release any claim which, by law, may not be released, including the following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Claims for unemployment compensation or any state disability insurance benefits pursuant to the terms of applicable state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Claims for workers’ compensation insurance benefits under the terms of any worker’s compensation insurance policy or fund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Claims pursuant to the terms and conditions of the federal law known as COBRA;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(iv) Claims for indemnity under the bylaws of the Company, as provided for by California law (including California Labor Code Section 2802) or Delaware law, or under any applicable insurance policy with respect to Executive’s liability as an employee, director or officer of the Company and the Indemnification Agreement (as defined below);</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(v) Claims for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Executive does release her right to secure any damages for alleged discriminatory treatment;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jc w:val="both"/>
        <w:rPr>
          <w:rFonts w:ascii="Times New Roman" w:hAnsi="Times New Roman"/>
          <w:color w:val="000000"/>
          <w:sz w:val="20"/>
        </w:rPr>
      </w:pPr>
      <w:r>
        <w:rPr>
          <w:rFonts w:ascii="Times New Roman" w:hAnsi="Times New Roman"/>
          <w:color w:val="000000"/>
          <w:sz w:val="20"/>
        </w:rPr>
        <w:t>Claims for Executive’s right to vested equity (pursuant to the terms of the agreements governing such equity or incentive equity (as modified by this Release) and accrued, vested benefits due to terminated employees under any employee benefit plan of the Company (excluding any severance or similar plan or policy), in accordance with the terms thereof (including Executive’s right to elect COBRA continuation coverage);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rFonts w:ascii="Times New Roman" w:hAnsi="Times New Roman"/>
          <w:color w:val="000000"/>
          <w:sz w:val="20"/>
        </w:rPr>
      </w:pPr>
      <w:r>
        <w:rPr>
          <w:rFonts w:ascii="Times New Roman" w:hAnsi="Times New Roman"/>
          <w:color w:val="000000"/>
          <w:sz w:val="20"/>
        </w:rPr>
        <w:t>Claims based on any right Executive may have to enforce the Company’s executory obligations under this Release or the Emeritus Status Letter;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0"/>
        </w:rPr>
      </w:pPr>
      <w:r>
        <w:rPr>
          <w:rFonts w:ascii="Times New Roman" w:hAnsi="Times New Roman"/>
          <w:color w:val="000000"/>
          <w:sz w:val="20"/>
        </w:rPr>
        <w:t>Executive’s right to communicate directly with, cooperate with, or provide information to, any federal, state, or local government regulator.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 Executive represents that she is not aware of any unlawful conduct or conduct that violates Company policy by any Company employee that she has not expressly reported to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EXECUTIVE ACKNOWLEDGES THAT SHE HAS BEEN ADVISED OF AND IS FAMILIAR WITH THE PROVISIONS OF CALIFORNIA CIVIL CODE SECTION 1542, WHICH PROVIDES AS FOLLOWS: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b/>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BEING AWARE OF SAID CODE SECTION, EXECUTIVE HEREBY EXPRESSLY WAIVES ANY RIGHTS SHE MAY HAVE THEREUNDER, AS WELL AS UNDER ANY OTHER STATUTES OR COMMON LAW PRINCIPLES OF SIMILAR EFFECT.</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Executive acknowledges that Executive is entitled to have twenty-one (28) days’ time in which to consider this Release after the delivery of this Release to her (which, for the avoidance of doubt, was provided to Executive on December 31, 2025, so such twenty-one (21) day period will begin to run from such date). Executive further acknowledges that the Company has advised her that she is waiving her rights under the ADEA, and that Executive has the right to and should consult with an attorney of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Executive voluntarily waives any remaining consideration period. Executive further acknowledges and agrees that Executive must sign this Release by February 23, 2026, but in no event prior to the Transition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Executive understands that after executing this Release, Executive has the right to revoke it within seven (7) days after her execution of it. Executive understands that this Release will not become effective and enforceable unless the seven (7) day revocation period passes and Executive does not revoke this Release in writing. Executive understands that this Release may not be revoked after the seven (7) day revocation period has passed. Executive also understands that any revocation of this Release by Executive must be communicated to the Company by written notice of revocation to Robert J. Blair, the Company’s General Counsel, at robert.blair@viasat.com, prior to the end of the 7-day period.</w:t>
      </w:r>
    </w:p>
    <w:p>
      <w:pPr>
        <w:pStyle w:val="TextBody"/>
        <w:bidi w:val="0"/>
        <w:spacing w:before="0" w:after="240"/>
        <w:jc w:val="both"/>
        <w:rPr>
          <w:rFonts w:ascii="Times New Roman" w:hAnsi="Times New Roman"/>
          <w:sz w:val="20"/>
        </w:rPr>
      </w:pPr>
      <w:r>
        <w:rPr>
          <w:rFonts w:ascii="Times New Roman" w:hAnsi="Times New Roman"/>
          <w:color w:val="000000"/>
          <w:sz w:val="20"/>
        </w:rPr>
        <w:t>(g) Executive understands that this Release shall become effective, irrevocable, and binding upon Executive on the eighth (8</w:t>
      </w:r>
      <w:r>
        <w:rPr>
          <w:rFonts w:ascii="Times New Roman" w:hAnsi="Times New Roman"/>
          <w:color w:val="000000"/>
          <w:sz w:val="13"/>
        </w:rPr>
        <w:t>th</w:t>
      </w:r>
      <w:r>
        <w:rPr>
          <w:rFonts w:ascii="Times New Roman" w:hAnsi="Times New Roman"/>
          <w:color w:val="000000"/>
          <w:sz w:val="20"/>
        </w:rPr>
        <w:t xml:space="preserve">) day after her execution of it, so long as Executive has not revoked it within the time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0"/>
        </w:rPr>
        <w:t>period and in the manner specified in clause (f) above. The date on which this Release becomes effective and irrevocable is referred to herein as the “</w:t>
      </w:r>
      <w:r>
        <w:rPr>
          <w:rFonts w:ascii="Times New Roman" w:hAnsi="Times New Roman"/>
          <w:b/>
          <w:i/>
          <w:color w:val="000000"/>
          <w:sz w:val="20"/>
        </w:rPr>
        <w:t>Effective Date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Executive further understands that this Release shall not become effective and Executive will not be given any Severance Benefits in Section 2 of this Release unless (i) she signs this Release by February 23 2026, but in no event prior to the Transition Date, and (ii) the Effective Date occurs on or before January 1, 2026.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pPr>
      <w:r>
        <w:rPr>
          <w:rFonts w:ascii="Times New Roman" w:hAnsi="Times New Roman"/>
          <w:color w:val="000000"/>
          <w:sz w:val="20"/>
          <w:u w:val="single"/>
        </w:rPr>
        <w:t>No Assignment or Transfer of Claims</w:t>
      </w:r>
      <w:r>
        <w:rPr>
          <w:rFonts w:ascii="Times New Roman" w:hAnsi="Times New Roman"/>
          <w:color w:val="000000"/>
          <w:sz w:val="20"/>
        </w:rPr>
        <w:t xml:space="preserve">.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color w:val="000000"/>
          <w:sz w:val="20"/>
          <w:u w:val="single"/>
        </w:rPr>
        <w:t>Confirmation of Continuing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Executive hereby expressly reaffirms her obligations under that certain Employee Proprietary Information and Inventions Agreement executed by Executive in connection with her employment with the Company (the “</w:t>
      </w:r>
      <w:r>
        <w:rPr>
          <w:rFonts w:ascii="Times New Roman" w:hAnsi="Times New Roman"/>
          <w:b/>
          <w:i/>
          <w:color w:val="000000"/>
          <w:sz w:val="20"/>
        </w:rPr>
        <w:t>Proprietary Information Agreement</w:t>
      </w:r>
      <w:r>
        <w:rPr>
          <w:color w:val="000000"/>
        </w:rPr>
        <w:t>”</w:t>
      </w:r>
      <w:r>
        <w:rPr>
          <w:rFonts w:ascii="Times New Roman" w:hAnsi="Times New Roman"/>
          <w:color w:val="000000"/>
          <w:sz w:val="20"/>
        </w:rPr>
        <w:t xml:space="preserve">), a copy of which is attached hereto as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 xml:space="preserve">and incorporated herein by reference, and agrees that such obligations shall survive the Last Day of Service.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signing below, Executive agrees that, no later than the Last Day of Service, she will deliver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 Executive further agrees that any property situated on the Company’s premises and owned by the Company, including computers, hard drives, and other storage media, filing cabinets or other work areas, is subject to inspection by Company personnel at any time with or without notice. Executive’s compliance with this Section 5(b) shall be a condition to her receipt of the Severance Benefits. Executive will deliver all applicable Company property back to the Company by using a prepaid box that will be shipped to Executive’s address or by leaving any property that it wasn’t agreed that Executive would retain in Executive’s office on or prior to the Last Day of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Section 5(f), Executive agrees that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5(c) will prohibit Executive or the Company from providing truthful information in response to a subpoena or other legal process or governmental inquiry, or from exercising any other protected right that cannot be waived by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Executive covenants that, prior to the date of Executive signing this Release, Executive has not (i) discussed or disclosed, orally or in writing, the negotiations leading to this Release or any of the terms or conditions of the Release other than with Executive’s legal counsel, family members, financial advisors or professional tax advisors, or (ii) aided, assisted, or encouraged any person(s) in asserting claims against Company. Subject to Section 5(f), unless required to disclose in response to valid legal process or expressly ordered to do so by a court of law, Executive is prohibited from disclosing, discussing, or acknowledging (either orally or through a writing, including the transfer of documents) the terms or existence of this Release. Executive is permitted to make such disclosure, under express covenant of confidentiality, only to Executive’s family members, legal counsel, financial advisors and professional tax advisors as is required to calculate the amount of, or receive advice on, income tax issues or as otherwise required by law; however, any disclosure to a third party by such financial advisor, tax advisor or legal counsel shall be deemed a disclosure by Executive. Executive further agrees not to aid, assist, or encourage any person(s) asserting claims against Company, other than by providing truthful testimony as a result of a lawfully issued subpoena.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 xml:space="preserve">The receipt of the Severance Benefits shall be subject to Executive not violating the provisions of this Release or the Proprietary Information Agreement or any other similar restrictive covenant or proprietary information agreement to which Executive is a party with the Company or any of its affiliates. In the event Executive breaches the provisions of this Release or the Proprietary Information Agreement, in addition to all other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rights and remedies available to the Company under law or in equity, all Severance Benefits to which Executive may otherwise be entitled pursuant to Section 2(b) shall be immediately suspended.</w:t>
      </w:r>
      <w:r>
        <w:rPr>
          <w:color w:val="00000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Executive understands that nothing in this Release prohibits or is intended to limit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provided, however, that Executive expressly waives and relinquishes any rights Executive might have to recover damages or other relief, whether equitable or legal, in any Equal Employment Opportunity Commission proceeding (whether brought by Executive or on Executive’s behalf), (ii) exercising any rights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Executive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Executive does not need the prior authorization of the Company to make any such reports or disclosures or to participate or cooperate in any governmental investigation, action or proceeding, and Executive is not required to notify the Company that Executive has made such reports and disclosures or has participated or cooperated in any governmental investigation, action or proceeding.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pPr>
      <w:r>
        <w:rPr>
          <w:rFonts w:ascii="Times New Roman" w:hAnsi="Times New Roman"/>
          <w:color w:val="000000"/>
          <w:sz w:val="20"/>
          <w:u w:val="single"/>
        </w:rPr>
        <w:t>Additional Representations and Warranties by Executive</w:t>
      </w:r>
      <w:r>
        <w:rPr>
          <w:rFonts w:ascii="Times New Roman" w:hAnsi="Times New Roman"/>
          <w:color w:val="000000"/>
          <w:sz w:val="20"/>
        </w:rPr>
        <w:t>. Executive promises and represents that Executive has not filed any lawsuit against the Company and/or the Company Releasees, and that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above,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pPr>
      <w:r>
        <w:rPr>
          <w:rFonts w:ascii="Times New Roman" w:hAnsi="Times New Roman"/>
          <w:color w:val="000000"/>
          <w:sz w:val="20"/>
          <w:u w:val="single"/>
        </w:rPr>
        <w:t>Cooperation</w:t>
      </w:r>
      <w:r>
        <w:rPr>
          <w:rFonts w:ascii="Times New Roman" w:hAnsi="Times New Roman"/>
          <w:color w:val="000000"/>
          <w:sz w:val="20"/>
        </w:rPr>
        <w:t>. For up to two years following the Last Day of Service, Executive will reasonably cooperate in connection with any litigation, arbitration, proceedings, government hearing or investigation involving the Company or any other matter that relates to Executive’s employment period and about which Executive has knowledge; provided, however, that such cooperation shall be provided at times that are mutually convenient to Executive and the Company, and the Company shall make good faith efforts to arrange for such cooperation to be provided by Executive telephonically. The Company will provide Executive with reasonable advance notice in the event Executive’s assistance is required. The Company recognizes that Executive’s ability to cooperate will necessarily be impacted by other personal, professional, and work obligations. The Company will reimburse Executive for reasonable expenses incurred in providing such cooperation and will reasonably compensate Executive for her time based on Executive’s hourly rate with the Company as of the Last Day of Service.</w:t>
      </w:r>
      <w:r>
        <w:rPr>
          <w:color w:val="000000"/>
          <w:u w:val="single"/>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pPr>
      <w:r>
        <w:rPr>
          <w:rFonts w:ascii="Times New Roman" w:hAnsi="Times New Roman"/>
          <w:color w:val="000000"/>
          <w:sz w:val="20"/>
          <w:u w:val="single"/>
        </w:rPr>
        <w:t>No Assignment</w:t>
      </w:r>
      <w:r>
        <w:rPr>
          <w:rFonts w:ascii="Times New Roman" w:hAnsi="Times New Roman"/>
          <w:color w:val="000000"/>
          <w:sz w:val="20"/>
        </w:rPr>
        <w:t>.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color w:val="000000"/>
          <w:sz w:val="20"/>
          <w:u w:val="single"/>
        </w:rPr>
        <w:t>Survival</w:t>
      </w:r>
      <w:r>
        <w:rPr>
          <w:rFonts w:ascii="Times New Roman" w:hAnsi="Times New Roman"/>
          <w:color w:val="000000"/>
          <w:sz w:val="20"/>
        </w:rPr>
        <w:t>. The covenants, agreements, representations, and warranties contained in or made in this Release shall survive the Last Day of Service or any termination of this Release.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color w:val="000000"/>
          <w:sz w:val="20"/>
          <w:u w:val="single"/>
        </w:rPr>
        <w:t>Third-Party Beneficiaries</w:t>
      </w:r>
      <w:r>
        <w:rPr>
          <w:rFonts w:ascii="Times New Roman" w:hAnsi="Times New Roman"/>
          <w:color w:val="000000"/>
          <w:sz w:val="20"/>
        </w:rPr>
        <w:t xml:space="preserve">. Except as expressly set forth herein, this Release does not create, and shall not be construed as creating, any rights enforceable by any person not a party to this Release.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pPr>
      <w:r>
        <w:rPr>
          <w:rFonts w:ascii="Times New Roman" w:hAnsi="Times New Roman"/>
          <w:color w:val="000000"/>
          <w:sz w:val="20"/>
          <w:u w:val="single"/>
        </w:rPr>
        <w:t>Waiver</w:t>
      </w:r>
      <w:r>
        <w:rPr>
          <w:rFonts w:ascii="Times New Roman" w:hAnsi="Times New Roman"/>
          <w:color w:val="000000"/>
          <w:sz w:val="20"/>
        </w:rPr>
        <w:t xml:space="preserve">. The failure of either party hereto at any time to enforce performance by the other party of any provision of this Release shall in no way affect such party’s rights thereafter to enforce the same, nor shall the waiver by either party of any breach of any provision hereof be deemed to be a waiver by such party of any other breach of the same or any other provision 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pPr>
      <w:r>
        <w:rPr>
          <w:rFonts w:ascii="Times New Roman" w:hAnsi="Times New Roman"/>
          <w:color w:val="000000"/>
          <w:sz w:val="20"/>
          <w:u w:val="single"/>
        </w:rPr>
        <w:t>Notices</w:t>
      </w:r>
      <w:r>
        <w:rPr>
          <w:rFonts w:ascii="Times New Roman" w:hAnsi="Times New Roman"/>
          <w:color w:val="000000"/>
          <w:sz w:val="20"/>
        </w:rPr>
        <w:t>. Any notice required or permitted by this Release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Executive at the address listed on the Company’s personnel records and to the Company at its principal place of business to the attention of the Company’s General Counsel, or such other address as either party may specify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pPr>
      <w:r>
        <w:rPr>
          <w:rFonts w:ascii="Times New Roman" w:hAnsi="Times New Roman"/>
          <w:color w:val="000000"/>
          <w:sz w:val="20"/>
          <w:u w:val="single"/>
        </w:rPr>
        <w:t>Arbitration</w:t>
      </w:r>
      <w:r>
        <w:rPr>
          <w:rFonts w:ascii="Times New Roman" w:hAnsi="Times New Roman"/>
          <w:color w:val="000000"/>
          <w:sz w:val="20"/>
        </w:rPr>
        <w:t>. To aid in the rapid and economical resolution of any disputes that may arise from this Release and the terms of it, Executive and the Company agree that any and all disputes, claims, or demands in any way arising out of or relating to the terms of this Release, Company equity held by Executive, Executive’s further employment relationship with the Company, or the termination of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hAnsi="Times New Roman"/>
          <w:b/>
          <w:i/>
          <w:color w:val="000000"/>
          <w:sz w:val="20"/>
        </w:rPr>
        <w:t>JAMS Streamlined Rules</w:t>
      </w:r>
      <w:r>
        <w:rPr>
          <w:color w:val="000000"/>
        </w:rPr>
        <w:t>”</w:t>
      </w:r>
      <w:r>
        <w:rPr>
          <w:rFonts w:ascii="Times New Roman" w:hAnsi="Times New Roman"/>
          <w:color w:val="000000"/>
          <w:sz w:val="20"/>
        </w:rPr>
        <w:t>) and the Federal Arbitration Act, 9 U.S.C. Sec. 1, et seq. A copy of the JAMS Streamlined Rules may be 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Company will pay the arbitrator’s fees and arbitration expenses and any other costs unique to the arbitration hearing. The Parties agree that the prevailing party in any arbitration shall be entitled to injunctive relief in any court of competent jurisdiction to enforce the arbitration award. Nothing in this Release is intended to prevent either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pPr>
      <w:r>
        <w:rPr>
          <w:rFonts w:ascii="Times New Roman" w:hAnsi="Times New Roman"/>
          <w:color w:val="000000"/>
          <w:sz w:val="20"/>
          <w:u w:val="single"/>
        </w:rPr>
        <w:t>Interpretation; Construction</w:t>
      </w:r>
      <w:r>
        <w:rPr>
          <w:rFonts w:ascii="Times New Roman" w:hAnsi="Times New Roman"/>
          <w:color w:val="000000"/>
          <w:sz w:val="20"/>
        </w:rPr>
        <w:t xml:space="preserve">. The headings set forth in this Release are for convenience only and shall not be used in interpreting this Release. This Release has been drafted by legal counsel representing the Company, but Executive has participated in the negotiation of its terms. Furthermore, Executive acknowledges that Executive has had an opportunity to review this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pPr>
      <w:r>
        <w:rPr>
          <w:rFonts w:ascii="Times New Roman" w:hAnsi="Times New Roman"/>
          <w:color w:val="000000"/>
          <w:sz w:val="20"/>
          <w:u w:val="single"/>
        </w:rPr>
        <w:t>Withholding and Other Deductions; Right to Seek Independent Advice</w:t>
      </w:r>
      <w:r>
        <w:rPr>
          <w:rFonts w:ascii="Times New Roman" w:hAnsi="Times New Roman"/>
          <w:color w:val="000000"/>
          <w:sz w:val="20"/>
        </w:rPr>
        <w:t xml:space="preserve">. All compensation payable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Executive hereunder shall be subject to such deductions as the Company is from time to time required to make pursuant to law, governmental regulation, or order. Executive acknowledges and agrees that neither the Company nor the Company’s counsel has provided any legal or tax advice to Executive and that Executive is free to, and is hereby advised to, consult with a legal or tax advisor of her choosing.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pPr>
      <w:r>
        <w:rPr>
          <w:rFonts w:ascii="Times New Roman" w:hAnsi="Times New Roman"/>
          <w:color w:val="000000"/>
          <w:sz w:val="20"/>
          <w:u w:val="single"/>
        </w:rPr>
        <w:t>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0"/>
        </w:rPr>
        <w:t>The intent of the parties is that payments and benefits under this Release comply with, or be exempt from Section 409A of the U.S. Internal Revenue Code of 1986, as amended (the “</w:t>
      </w:r>
      <w:r>
        <w:rPr>
          <w:rFonts w:ascii="Times New Roman" w:hAnsi="Times New Roman"/>
          <w:b/>
          <w:i/>
          <w:color w:val="000000"/>
          <w:sz w:val="20"/>
        </w:rPr>
        <w:t>Code</w:t>
      </w:r>
      <w:r>
        <w:rPr>
          <w:color w:val="000000"/>
        </w:rPr>
        <w:t>”</w:t>
      </w:r>
      <w:r>
        <w:rPr>
          <w:rFonts w:ascii="Times New Roman" w:hAnsi="Times New Roman"/>
          <w:color w:val="000000"/>
          <w:sz w:val="20"/>
        </w:rPr>
        <w:t>), and the final regulations and any guidance promulgated thereunder (“</w:t>
      </w:r>
      <w:r>
        <w:rPr>
          <w:rFonts w:ascii="Times New Roman" w:hAnsi="Times New Roman"/>
          <w:b/>
          <w:i/>
          <w:color w:val="000000"/>
          <w:sz w:val="20"/>
        </w:rPr>
        <w:t>Section 409A</w:t>
      </w:r>
      <w:r>
        <w:rPr>
          <w:color w:val="000000"/>
        </w:rPr>
        <w:t>”</w:t>
      </w:r>
      <w:r>
        <w:rPr>
          <w:rFonts w:ascii="Times New Roman" w:hAnsi="Times New Roman"/>
          <w:color w:val="000000"/>
          <w:sz w:val="20"/>
        </w:rPr>
        <w:t>), and, accordingly, to the maximum extent permitted, this Release shall be interpreted to be in compliance with such intention. To the extent that any provision in this Release is ambiguous as to its compliance with or exemption from Section 409A of the Code, the provision shall be read in such a manner that no payments payable under this Release shall be subject to an “additional tax” as defined in Section 409A(a)(1)(B) of the Code.</w:t>
      </w:r>
      <w:r>
        <w:rPr>
          <w:color w:val="000000"/>
        </w:rPr>
        <w:t xml:space="preserve"> </w:t>
      </w:r>
      <w:r>
        <w:rPr>
          <w:rFonts w:ascii="Times New Roman" w:hAnsi="Times New Roman"/>
          <w:color w:val="000000"/>
          <w:sz w:val="20"/>
        </w:rPr>
        <w:t>Accordingly, the Severance Benefits payable under Section 2(b) shall be paid no later than the later of: (A) the fifteenth (15</w:t>
      </w:r>
      <w:r>
        <w:rPr>
          <w:rFonts w:ascii="Times New Roman" w:hAnsi="Times New Roman"/>
          <w:color w:val="000000"/>
          <w:sz w:val="13"/>
        </w:rPr>
        <w:t>th</w:t>
      </w:r>
      <w:r>
        <w:rPr>
          <w:rFonts w:ascii="Times New Roman" w:hAnsi="Times New Roman"/>
          <w:color w:val="000000"/>
          <w:sz w:val="20"/>
        </w:rPr>
        <w:t>) day of the third month following Executive’s first taxable year in which such severance benefit is no longer subject to a substantial risk of forfeiture, and (B) the fifteenth (15</w:t>
      </w:r>
      <w:r>
        <w:rPr>
          <w:rFonts w:ascii="Times New Roman" w:hAnsi="Times New Roman"/>
          <w:color w:val="000000"/>
          <w:sz w:val="13"/>
        </w:rPr>
        <w:t>th</w:t>
      </w:r>
      <w:r>
        <w:rPr>
          <w:rFonts w:ascii="Times New Roman" w:hAnsi="Times New Roman"/>
          <w:color w:val="000000"/>
          <w:sz w:val="20"/>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Release shall be interpreted in accordance with Code Section 409A and Department of Treasury regulations and other interpretive guidance issued thereunder. Any right to a series of installment payments pursuant to this Release is to be treated as a right to a series of separate payments.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Notwithstanding any provision to the contrary in this Release, to the extent that the payments or benefits under this Release are “nonqualified deferred compensation” subject to Code Section 409A or are intended to be exempt from Code Section 409A pursuant to Treasury Regulation Section 1.409A-1(b)(9)(iii), then, to the extent required by Code Section 409A or to satisfy such exception, no amount shall be payable to Executive unless Executive’s termination of employment constitutes a “separation from service” within the meaning of Section 409A of the Code (“</w:t>
      </w:r>
      <w:r>
        <w:rPr>
          <w:rFonts w:ascii="Times New Roman" w:hAnsi="Times New Roman"/>
          <w:b/>
          <w:i/>
          <w:color w:val="000000"/>
          <w:sz w:val="20"/>
        </w:rPr>
        <w:t>Separation from Service</w:t>
      </w:r>
      <w:r>
        <w:rPr>
          <w:color w:val="000000"/>
        </w:rPr>
        <w:t>”</w:t>
      </w:r>
      <w:r>
        <w:rPr>
          <w:rFonts w:ascii="Times New Roman" w:hAnsi="Times New Roman"/>
          <w:color w:val="000000"/>
          <w:sz w:val="20"/>
        </w:rPr>
        <w:t xml:space="preserve">). If Executive is a “specified employee” (as defined in Section 409A of the Code), as determined by the Company in accordance with Section 409A of the Code, on the date of Executive’s Separation from Service, to the extent that the payments or benefits under this Release are subject to Section 409A of the Code and the delayed payment or distribution of all or any portion of such amounts to which Executive is entitled under this Release is required in order to avoid a prohibited distribution under Section 409A(a)(2)(B)(i) of the Code, then such portion deferred pursuant to this Section 16(b) shall be paid or distributed to Executive in a lump sum on the earlier of (i) the date that is six (6)-months following Executive’s Separation from Service, (ii) the date of Executive’s death or (iii) the earliest date as is permitted under Section 409A of the Code. Any remaining payments due under this Release shall be paid as otherwise provided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that any payments or reimbursements provided to Executive under this Release are deemed to constitute compensation to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Executive’s right to such payments or reimbursement of any such expenses shall not be subject to liquidation or exchange for any other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 In no event whatsoever shall the Company be liable for any taxes, penalties or interest that may be imposed on Executive pursuant to Section 409A or under any other similar provision of state tax law, including but not limited to, damages for failing to comply with Section 409A and/or any other similar provision of state tax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pPr>
      <w:r>
        <w:rPr>
          <w:rFonts w:ascii="Times New Roman" w:hAnsi="Times New Roman"/>
          <w:color w:val="000000"/>
          <w:sz w:val="20"/>
          <w:u w:val="single"/>
        </w:rPr>
        <w:t>Successors and Assigns</w:t>
      </w:r>
      <w:r>
        <w:rPr>
          <w:rFonts w:ascii="Times New Roman" w:hAnsi="Times New Roman"/>
          <w:color w:val="000000"/>
          <w:sz w:val="20"/>
        </w:rPr>
        <w:t xml:space="preserve">. The rights of the Company under this Release may, without the consent of Executive, be assigned by the Company, in its sole and unfettered discretion, to any person, firm, corporation or other business entity which at any time, whether by purchase, merger or otherwise, directly, or indirectly, acquires all or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0"/>
        </w:rPr>
        <w:t>substantially all of the assets or business of the Company. The Company will require any successor (whether direct or indirect, by purchase, merger or otherwise) to all or substantially all of the business or assets of the Company expressly to assume and to agree to perform this Release in the same manner and to the same extent that the Company would be required to perform it if no such succession had taken place; provided, however, that no such assumption shall relieve the Company of its obligations hereunder; provided, further, that the failure of any such successor to so assume this Releases hall constitute a material breach of this Release. As used in this Release, the “</w:t>
      </w:r>
      <w:r>
        <w:rPr>
          <w:rFonts w:ascii="Times New Roman" w:hAnsi="Times New Roman"/>
          <w:b/>
          <w:i/>
          <w:color w:val="000000"/>
          <w:sz w:val="20"/>
        </w:rPr>
        <w:t>Company</w:t>
      </w:r>
      <w:r>
        <w:rPr>
          <w:color w:val="000000"/>
        </w:rPr>
        <w:t xml:space="preserve">” </w:t>
      </w:r>
      <w:r>
        <w:rPr>
          <w:rFonts w:ascii="Times New Roman" w:hAnsi="Times New Roman"/>
          <w:color w:val="000000"/>
          <w:sz w:val="20"/>
        </w:rPr>
        <w:t>shall mean the Company as hereinbefore defined and any successor to its business and/or assets as aforesaid which assumes and agrees to perform this Release by operation of law or otherwise. Executive shall not be entitled to assign any of Executive’s rights or obligations under this Release, other than the laws of descent and distribution. This Release shall inure to the benefit of and be enforceable by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pPr>
      <w:r>
        <w:rPr>
          <w:rFonts w:ascii="Times New Roman" w:hAnsi="Times New Roman"/>
          <w:color w:val="000000"/>
          <w:sz w:val="20"/>
          <w:u w:val="single"/>
        </w:rPr>
        <w:t>Severability</w:t>
      </w:r>
      <w:r>
        <w:rPr>
          <w:rFonts w:ascii="Times New Roman" w:hAnsi="Times New Roman"/>
          <w:color w:val="000000"/>
          <w:sz w:val="20"/>
        </w:rPr>
        <w:t xml:space="preserve">.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both"/>
        <w:rPr/>
      </w:pPr>
      <w:r>
        <w:rPr>
          <w:rFonts w:ascii="Times New Roman" w:hAnsi="Times New Roman"/>
          <w:color w:val="000000"/>
          <w:sz w:val="20"/>
          <w:u w:val="single"/>
        </w:rPr>
        <w:t>Governing Law and Venue</w:t>
      </w:r>
      <w:r>
        <w:rPr>
          <w:rFonts w:ascii="Times New Roman" w:hAnsi="Times New Roman"/>
          <w:color w:val="000000"/>
          <w:sz w:val="20"/>
        </w:rPr>
        <w:t xml:space="preserve">.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both"/>
        <w:rPr/>
      </w:pPr>
      <w:r>
        <w:rPr>
          <w:rFonts w:ascii="Times New Roman" w:hAnsi="Times New Roman"/>
          <w:color w:val="000000"/>
          <w:sz w:val="20"/>
          <w:u w:val="single"/>
        </w:rPr>
        <w:t>Entire Agreement</w:t>
      </w:r>
      <w:r>
        <w:rPr>
          <w:rFonts w:ascii="Times New Roman" w:hAnsi="Times New Roman"/>
          <w:color w:val="000000"/>
          <w:sz w:val="20"/>
        </w:rPr>
        <w:t xml:space="preserve">. This Release, together with the Proprietary Information Agreement, that certain Indemnification Agreement executed by Executive in connection with her employment with the Company and attached hereto as </w:t>
      </w:r>
      <w:r>
        <w:rPr>
          <w:rFonts w:ascii="Times New Roman" w:hAnsi="Times New Roman"/>
          <w:color w:val="000000"/>
          <w:sz w:val="20"/>
          <w:u w:val="single"/>
        </w:rPr>
        <w:t>Exhibit C</w:t>
      </w:r>
      <w:r>
        <w:rPr>
          <w:color w:val="000000"/>
        </w:rPr>
        <w:t xml:space="preserve"> </w:t>
      </w:r>
      <w:r>
        <w:rPr>
          <w:rFonts w:ascii="Times New Roman" w:hAnsi="Times New Roman"/>
          <w:color w:val="000000"/>
          <w:sz w:val="20"/>
        </w:rPr>
        <w:t>(the “</w:t>
      </w:r>
      <w:r>
        <w:rPr>
          <w:rFonts w:ascii="Times New Roman" w:hAnsi="Times New Roman"/>
          <w:b/>
          <w:i/>
          <w:color w:val="000000"/>
          <w:sz w:val="20"/>
        </w:rPr>
        <w:t>Indemnification Agreement</w:t>
      </w:r>
      <w:r>
        <w:rPr>
          <w:color w:val="000000"/>
        </w:rPr>
        <w:t>”</w:t>
      </w:r>
      <w:r>
        <w:rPr>
          <w:rFonts w:ascii="Times New Roman" w:hAnsi="Times New Roman"/>
          <w:color w:val="000000"/>
          <w:sz w:val="20"/>
        </w:rPr>
        <w:t xml:space="preserve">), the Emeritus Status Letter, and the other agreements referenced herein and therein, constitute the entire agreement of the Parties in respect of the subject matter contained herein and therein and supersedes all prior or simultaneous representations, discussions, negotiations and agreements, whether written or oral, including, without limitation, any offer letter with the Company, the Severance Agreement (which is, for the avoidance of doubt, hereby terminated as of the Effective Date). This Release may be amended or modified only with the written consent of Executive and an authorized representative of the Company. No oral waiver, amendment or modification will be effective under any circumstances whatsoever. In the event of any conflict between any of the terms in this Release and the terms of any other agreement between Executive and the Company, the terms of this Release will control.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pPr>
      <w:r>
        <w:rPr>
          <w:rFonts w:ascii="Times New Roman" w:hAnsi="Times New Roman"/>
          <w:color w:val="000000"/>
          <w:sz w:val="20"/>
          <w:u w:val="single"/>
        </w:rPr>
        <w:t>Counterparts; Facsimile or .pdf Signatures</w:t>
      </w:r>
      <w:r>
        <w:rPr>
          <w:rFonts w:ascii="Times New Roman" w:hAnsi="Times New Roman"/>
          <w:color w:val="000000"/>
          <w:sz w:val="20"/>
        </w:rPr>
        <w:t xml:space="preserve">.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22.</w:t>
      </w:r>
    </w:p>
    <w:p>
      <w:pPr>
        <w:pStyle w:val="TextBody"/>
        <w:bidi w:val="0"/>
        <w:jc w:val="both"/>
        <w:rPr/>
      </w:pPr>
      <w:r>
        <w:rPr>
          <w:rFonts w:ascii="Times New Roman" w:hAnsi="Times New Roman"/>
          <w:b/>
          <w:color w:val="000000"/>
          <w:sz w:val="20"/>
          <w:u w:val="single"/>
        </w:rPr>
        <w:t>KNOWING AND VOLUNTARY RELEASE</w:t>
      </w:r>
      <w:r>
        <w:rPr>
          <w:rFonts w:ascii="Times New Roman" w:hAnsi="Times New Roman"/>
          <w:b/>
          <w:color w:val="000000"/>
          <w:sz w:val="20"/>
        </w:rPr>
        <w:t>.</w:t>
      </w:r>
      <w:r>
        <w:rPr>
          <w:color w:val="000000"/>
        </w:rPr>
        <w:t xml:space="preserve"> </w:t>
      </w:r>
      <w:r>
        <w:rPr>
          <w:rFonts w:ascii="Times New Roman" w:hAnsi="Times New Roman"/>
          <w:b/>
          <w:color w:val="000000"/>
          <w:sz w:val="20"/>
        </w:rPr>
        <w:t>Executive agrees and acknowledges that Executive has the right and has had an opportunity to see and consult legal counsel in conjunction with the negotiation and execution of this Release. Executive further agrees that Executive has had adequate time to review, evaluate and negotiate this Release. Executive intends and agrees that this Release is complete, binding, and not subject to any claim of mistake or incapacity.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PLEASE READ CAREFULLY. THIS AGREEMENT CONTAINS A RELEASE OF ALL KNOWN AND UNKNOWN CLAIMS.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THE UNDERSIGNED AGREES TO THE TERMS OF THIS AGREEMENT AND VOLUNTARILY ENTERS INTO IT WITH THE INTENT TO BE BOUND THEREBY.</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Dated: </w:t>
      </w:r>
      <w:r>
        <w:rPr>
          <w:rFonts w:ascii="Times New Roman" w:hAnsi="Times New Roman"/>
          <w:color w:val="000000"/>
          <w:sz w:val="20"/>
          <w:u w:val="single"/>
        </w:rPr>
        <w:t xml:space="preserve">28 January 2026 /s/ Shawn Duffy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SHAWN DUFFY</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Dated: </w:t>
      </w:r>
      <w:r>
        <w:rPr>
          <w:rFonts w:ascii="Times New Roman" w:hAnsi="Times New Roman"/>
          <w:color w:val="000000"/>
          <w:sz w:val="20"/>
          <w:u w:val="single"/>
        </w:rPr>
        <w:t xml:space="preserve">30 January 2026 </w:t>
      </w:r>
      <w:r>
        <w:rPr>
          <w:rFonts w:ascii="Times New Roman" w:hAnsi="Times New Roman"/>
          <w:color w:val="000000"/>
          <w:sz w:val="20"/>
        </w:rPr>
        <w:t>VIASAT, INC.</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Robert Blair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Name: Robert Blair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Title: Senior Vice President, General Counsel and Secretary </w:t>
      </w:r>
    </w:p>
    <w:p>
      <w:pPr>
        <w:pStyle w:val="TextBody"/>
        <w:bidi w:val="0"/>
        <w:spacing w:before="0" w:after="160"/>
        <w:jc w:val="both"/>
        <w:rPr/>
      </w:pPr>
      <w:r>
        <w:rPr/>
        <w:t> </w:t>
      </w:r>
    </w:p>
    <w:p>
      <w:pPr>
        <w:pStyle w:val="TextBody"/>
        <w:bidi w:val="0"/>
        <w:spacing w:before="0" w:after="160"/>
        <w:jc w:val="left"/>
        <w:rPr/>
      </w:pPr>
      <w:r>
        <w:rPr/>
        <w:t> </w:t>
      </w:r>
    </w:p>
    <w:p>
      <w:pPr>
        <w:pStyle w:val="TextBody"/>
        <w:bidi w:val="0"/>
        <w:jc w:val="both"/>
        <w:rPr/>
      </w:pPr>
      <w:r>
        <w:rPr/>
        <w:t> </w:t>
      </w:r>
    </w:p>
    <w:p>
      <w:pPr>
        <w:pStyle w:val="TextBody"/>
        <w:bidi w:val="0"/>
        <w:spacing w:before="0" w:after="16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EMERITUS STATUS LETTER</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[Attached]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B</w:t>
      </w:r>
    </w:p>
    <w:p>
      <w:pPr>
        <w:pStyle w:val="TextBody"/>
        <w:bidi w:val="0"/>
        <w:jc w:val="center"/>
        <w:rPr>
          <w:rFonts w:ascii="Times New Roman" w:hAnsi="Times New Roman"/>
          <w:b/>
          <w:color w:val="000000"/>
          <w:sz w:val="20"/>
        </w:rPr>
      </w:pPr>
      <w:r>
        <w:rPr>
          <w:rFonts w:ascii="Times New Roman" w:hAnsi="Times New Roman"/>
          <w:b/>
          <w:color w:val="000000"/>
          <w:sz w:val="20"/>
        </w:rPr>
        <w:t>EMPLOYEE PROPRIETARY INFORMATION AND INVENTIONS ASSIGNMENT AGREEMENT</w:t>
      </w:r>
    </w:p>
    <w:p>
      <w:pPr>
        <w:pStyle w:val="TextBody"/>
        <w:bidi w:val="0"/>
        <w:jc w:val="center"/>
        <w:rPr>
          <w:rFonts w:ascii="Times New Roman" w:hAnsi="Times New Roman"/>
          <w:color w:val="000000"/>
          <w:sz w:val="20"/>
        </w:rPr>
      </w:pPr>
      <w:r>
        <w:rPr>
          <w:rFonts w:ascii="Times New Roman" w:hAnsi="Times New Roman"/>
          <w:color w:val="000000"/>
          <w:sz w:val="20"/>
        </w:rPr>
        <w:t>[Attached]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C</w:t>
      </w:r>
    </w:p>
    <w:p>
      <w:pPr>
        <w:pStyle w:val="TextBody"/>
        <w:bidi w:val="0"/>
        <w:jc w:val="center"/>
        <w:rPr>
          <w:rFonts w:ascii="Times New Roman" w:hAnsi="Times New Roman"/>
          <w:b/>
          <w:color w:val="000000"/>
          <w:sz w:val="20"/>
        </w:rPr>
      </w:pPr>
      <w:r>
        <w:rPr>
          <w:rFonts w:ascii="Times New Roman" w:hAnsi="Times New Roman"/>
          <w:b/>
          <w:color w:val="000000"/>
          <w:sz w:val="20"/>
        </w:rPr>
        <w:t>INDEMNIFICATION AGREEMENT</w:t>
      </w:r>
    </w:p>
    <w:p>
      <w:pPr>
        <w:pStyle w:val="TextBody"/>
        <w:bidi w:val="0"/>
        <w:jc w:val="center"/>
        <w:rPr>
          <w:rFonts w:ascii="Times New Roman" w:hAnsi="Times New Roman"/>
          <w:color w:val="000000"/>
          <w:sz w:val="20"/>
        </w:rPr>
      </w:pPr>
      <w:r>
        <w:rPr>
          <w:rFonts w:ascii="Times New Roman" w:hAnsi="Times New Roman"/>
          <w:color w:val="000000"/>
          <w:sz w:val="20"/>
        </w:rPr>
        <w:t>[Attached]</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vsat-ex31_1.htm"/>
      <w:bookmarkStart w:id="22" w:name="ksvsatex31_1"/>
      <w:bookmarkEnd w:id="21"/>
      <w:bookmarkEnd w:id="22"/>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2116"/>
        <w:gridCol w:w="146"/>
        <w:gridCol w:w="21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February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sat-ex31_2.htm"/>
      <w:bookmarkStart w:id="24" w:name="ksvsatex31_2"/>
      <w:bookmarkEnd w:id="23"/>
      <w:bookmarkEnd w:id="24"/>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Garrett Chase,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116"/>
        <w:gridCol w:w="146"/>
        <w:gridCol w:w="208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February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sat-ex32_1.htm"/>
      <w:bookmarkStart w:id="26" w:name="ksvsatex32_1"/>
      <w:bookmarkEnd w:id="25"/>
      <w:bookmarkEnd w:id="26"/>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December 31,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2116"/>
        <w:gridCol w:w="146"/>
        <w:gridCol w:w="21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February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December 31,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116"/>
        <w:gridCol w:w="146"/>
        <w:gridCol w:w="208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February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6022564/d232462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44284</Words>
  <Characters>249133</Characters>
  <CharactersWithSpaces>295140</CharactersWithSpaces>
  <Paragraphs>7502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