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 w:lineRule="exact"/>
        <w:rPr>
          <w:sz w:val="24"/>
          <w:szCs w:val="24"/>
          <w:color w:val="auto"/>
        </w:rPr>
      </w:pPr>
    </w:p>
    <w:p>
      <w:pPr>
        <w:ind w:left="460" w:right="460" w:hanging="452"/>
        <w:spacing w:after="0" w:line="245"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 2014.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1" w:lineRule="exact"/>
        <w:rPr>
          <w:sz w:val="24"/>
          <w:szCs w:val="24"/>
          <w:color w:val="auto"/>
        </w:rPr>
      </w:pPr>
    </w:p>
    <w:p>
      <w:pPr>
        <w:ind w:left="3920"/>
        <w:spacing w:after="0"/>
        <w:tabs>
          <w:tab w:leader="none" w:pos="6740" w:val="left"/>
          <w:tab w:leader="none" w:pos="74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ViaSat,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84"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33-0174996</w:t>
      </w:r>
    </w:p>
    <w:p>
      <w:pPr>
        <w:spacing w:after="0" w:line="37" w:lineRule="exact"/>
        <w:rPr>
          <w:sz w:val="24"/>
          <w:szCs w:val="24"/>
          <w:color w:val="auto"/>
        </w:rPr>
      </w:pPr>
    </w:p>
    <w:p>
      <w:pPr>
        <w:sectPr>
          <w:pgSz w:w="11900" w:h="16838" w:orient="portrait"/>
          <w:cols w:equalWidth="0" w:num="2">
            <w:col w:w="7500" w:space="720"/>
            <w:col w:w="3200"/>
          </w:cols>
          <w:pgMar w:left="240" w:top="226" w:right="239" w:bottom="1440" w:gutter="0" w:footer="0" w:header="0"/>
          <w:type w:val="continuous"/>
        </w:sectPr>
      </w:pPr>
    </w:p>
    <w:p>
      <w:pPr>
        <w:spacing w:after="0" w:line="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9" w:lineRule="exact"/>
        <w:rPr>
          <w:sz w:val="24"/>
          <w:szCs w:val="24"/>
          <w:color w:val="auto"/>
        </w:rPr>
      </w:pPr>
    </w:p>
    <w:p>
      <w:pPr>
        <w:sectPr>
          <w:pgSz w:w="11900" w:h="16838" w:orient="portrait"/>
          <w:cols w:equalWidth="0" w:num="2">
            <w:col w:w="7400" w:space="720"/>
            <w:col w:w="3300"/>
          </w:cols>
          <w:pgMar w:left="240" w:top="226"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6155 El Camino Real</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Carlsbad, California 92009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476-2200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p>
      <w:pPr>
        <w:spacing w:after="0" w:line="255" w:lineRule="exact"/>
        <w:rPr>
          <w:sz w:val="24"/>
          <w:szCs w:val="24"/>
          <w:color w:val="auto"/>
        </w:rPr>
      </w:pPr>
    </w:p>
    <w:p>
      <w:pPr>
        <w:ind w:right="28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6" w:right="239" w:bottom="1440" w:gutter="0" w:footer="0" w:header="0"/>
          <w:type w:val="continuous"/>
        </w:sectPr>
      </w:pP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26"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26" w:right="239" w:bottom="1440" w:gutter="0" w:footer="0" w:header="0"/>
          <w:type w:val="continuous"/>
        </w:sectPr>
      </w:pPr>
    </w:p>
    <w:p>
      <w:pPr>
        <w:spacing w:after="0" w:line="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26"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The number of shares outstanding of the registrant’s common stock, $0.0001 par value, as of January 31, 2014 was 46,090,013.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0" w:type="dxa"/>
            <w:vAlign w:val="bottom"/>
            <w:gridSpan w:val="10"/>
            <w:vMerge w:val="restart"/>
          </w:tcPr>
          <w:p>
            <w:pPr>
              <w:spacing w:after="0"/>
              <w:rPr>
                <w:rFonts w:ascii="Times New Roman" w:cs="Times New Roman" w:eastAsia="Times New Roman" w:hAnsi="Times New Roman"/>
                <w:sz w:val="18"/>
                <w:szCs w:val="18"/>
                <w:b w:val="1"/>
                <w:bCs w:val="1"/>
                <w:color w:val="0000EE"/>
                <w:w w:val="96"/>
              </w:rPr>
            </w:pPr>
            <w:hyperlink w:anchor="page3">
              <w:r>
                <w:rPr>
                  <w:rFonts w:ascii="Times New Roman" w:cs="Times New Roman" w:eastAsia="Times New Roman" w:hAnsi="Times New Roman"/>
                  <w:sz w:val="18"/>
                  <w:szCs w:val="18"/>
                  <w:b w:val="1"/>
                  <w:bCs w:val="1"/>
                  <w:color w:val="0000EE"/>
                  <w:w w:val="96"/>
                </w:rPr>
                <w:t>PART I. FINANCIAL INFORMATION</w:t>
              </w:r>
            </w:hyperlink>
          </w:p>
        </w:tc>
        <w:tc>
          <w:tcPr>
            <w:tcW w:w="8040" w:type="dxa"/>
            <w:vAlign w:val="bottom"/>
            <w:gridSpan w:val="8"/>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3000" w:type="dxa"/>
            <w:vAlign w:val="bottom"/>
            <w:tcBorders>
              <w:bottom w:val="single" w:sz="8" w:color="0000EE"/>
            </w:tcBorders>
            <w:gridSpan w:val="10"/>
            <w:vMerge w:val="continue"/>
          </w:tcPr>
          <w:p>
            <w:pPr>
              <w:spacing w:after="0"/>
              <w:rPr>
                <w:sz w:val="13"/>
                <w:szCs w:val="13"/>
                <w:color w:val="auto"/>
              </w:rPr>
            </w:pPr>
          </w:p>
        </w:tc>
        <w:tc>
          <w:tcPr>
            <w:tcW w:w="804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Statements of Operations and Comprehensive Income (Loss)</w:t>
              </w:r>
            </w:hyperlink>
          </w:p>
        </w:tc>
        <w:tc>
          <w:tcPr>
            <w:tcW w:w="45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w:anchor="page6">
              <w:r>
                <w:rPr>
                  <w:rFonts w:ascii="Times New Roman" w:cs="Times New Roman" w:eastAsia="Times New Roman" w:hAnsi="Times New Roman"/>
                  <w:sz w:val="18"/>
                  <w:szCs w:val="18"/>
                  <w:color w:val="0000EE"/>
                  <w:w w:val="96"/>
                </w:rPr>
                <w:t>Condensed Consolidated Statement of Equity</w:t>
              </w:r>
            </w:hyperlink>
          </w:p>
        </w:tc>
        <w:tc>
          <w:tcPr>
            <w:tcW w:w="420" w:type="dxa"/>
            <w:vAlign w:val="bottom"/>
            <w:tcBorders>
              <w:top w:val="single" w:sz="8" w:color="0000EE"/>
            </w:tcBorders>
          </w:tcPr>
          <w:p>
            <w:pPr>
              <w:spacing w:after="0"/>
              <w:rPr>
                <w:sz w:val="17"/>
                <w:szCs w:val="17"/>
                <w:color w:val="auto"/>
              </w:rPr>
            </w:pPr>
          </w:p>
        </w:tc>
        <w:tc>
          <w:tcPr>
            <w:tcW w:w="69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Notes to the Condensed Consolidated Financial Statements</w:t>
              </w:r>
            </w:hyperlink>
          </w:p>
        </w:tc>
        <w:tc>
          <w:tcPr>
            <w:tcW w:w="64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Item 3.</w:t>
              </w:r>
            </w:hyperlink>
          </w:p>
        </w:tc>
        <w:tc>
          <w:tcPr>
            <w:tcW w:w="6320" w:type="dxa"/>
            <w:vAlign w:val="bottom"/>
            <w:tcBorders>
              <w:top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Quantitative and Qualitative Disclosures About Market Risk</w:t>
              </w:r>
            </w:hyperlink>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Item 4.</w:t>
              </w:r>
            </w:hyperlink>
          </w:p>
        </w:tc>
        <w:tc>
          <w:tcPr>
            <w:tcW w:w="1760" w:type="dxa"/>
            <w:vAlign w:val="bottom"/>
            <w:tcBorders>
              <w:top w:val="single" w:sz="8" w:color="0000EE"/>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Controls and Procedures</w:t>
              </w:r>
            </w:hyperlink>
          </w:p>
        </w:tc>
        <w:tc>
          <w:tcPr>
            <w:tcW w:w="2520" w:type="dxa"/>
            <w:vAlign w:val="bottom"/>
            <w:tcBorders>
              <w:top w:val="single" w:sz="8" w:color="0000EE"/>
            </w:tcBorders>
            <w:gridSpan w:val="8"/>
          </w:tcPr>
          <w:p>
            <w:pPr>
              <w:spacing w:after="0"/>
              <w:rPr>
                <w:sz w:val="17"/>
                <w:szCs w:val="17"/>
                <w:color w:val="auto"/>
              </w:rPr>
            </w:pPr>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Item 1.</w:t>
              </w:r>
            </w:hyperlink>
          </w:p>
        </w:tc>
        <w:tc>
          <w:tcPr>
            <w:tcW w:w="1340" w:type="dxa"/>
            <w:vAlign w:val="bottom"/>
            <w:tcBorders>
              <w:top w:val="single" w:sz="8" w:color="0000EE"/>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Legal Proceedings</w:t>
              </w:r>
            </w:hyperlink>
          </w:p>
        </w:tc>
        <w:tc>
          <w:tcPr>
            <w:tcW w:w="840" w:type="dxa"/>
            <w:vAlign w:val="bottom"/>
            <w:tcBorders>
              <w:top w:val="single" w:sz="8" w:color="0000EE"/>
            </w:tcBorders>
            <w:gridSpan w:val="2"/>
          </w:tcPr>
          <w:p>
            <w:pPr>
              <w:spacing w:after="0"/>
              <w:rPr>
                <w:sz w:val="17"/>
                <w:szCs w:val="17"/>
                <w:color w:val="auto"/>
              </w:rPr>
            </w:pPr>
          </w:p>
        </w:tc>
        <w:tc>
          <w:tcPr>
            <w:tcW w:w="83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43">
              <w:r>
                <w:rPr>
                  <w:rFonts w:ascii="Times New Roman" w:cs="Times New Roman" w:eastAsia="Times New Roman" w:hAnsi="Times New Roman"/>
                  <w:sz w:val="18"/>
                  <w:szCs w:val="18"/>
                  <w:color w:val="0000EE"/>
                  <w:w w:val="96"/>
                </w:rPr>
                <w:t>Item 1A. Risk Factors</w:t>
              </w:r>
            </w:hyperlink>
          </w:p>
        </w:tc>
        <w:tc>
          <w:tcPr>
            <w:tcW w:w="94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6.</w:t>
              </w:r>
            </w:hyperlink>
          </w:p>
        </w:tc>
        <w:tc>
          <w:tcPr>
            <w:tcW w:w="62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6"/>
              </w:rPr>
            </w:pPr>
            <w:hyperlink w:anchor="page43">
              <w:r>
                <w:rPr>
                  <w:rFonts w:ascii="Times New Roman" w:cs="Times New Roman" w:eastAsia="Times New Roman" w:hAnsi="Times New Roman"/>
                  <w:sz w:val="18"/>
                  <w:szCs w:val="18"/>
                  <w:color w:val="0000EE"/>
                  <w:w w:val="96"/>
                </w:rPr>
                <w:t>Exhibits</w:t>
              </w:r>
            </w:hyperlink>
          </w:p>
        </w:tc>
        <w:tc>
          <w:tcPr>
            <w:tcW w:w="9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Signatures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 2014</w:t>
            </w:r>
          </w:p>
        </w:tc>
        <w:tc>
          <w:tcPr>
            <w:tcW w:w="2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thousands)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41,362</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519,758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Satellites,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609,081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acquired intangible assets,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1,929,408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1,794,072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112,238</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other long-term debt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269,669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991,276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ViaSat, Inc. stockholders’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held in treasury</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(48,599)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ViaSat, Inc. stockholders’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subsidiary</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1,929,408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1,794,072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60" w:type="dxa"/>
            <w:vAlign w:val="bottom"/>
            <w:gridSpan w:val="6"/>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8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3, 2014</w:t>
            </w: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28, 2012</w:t>
            </w:r>
          </w:p>
        </w:tc>
        <w:tc>
          <w:tcPr>
            <w:tcW w:w="620" w:type="dxa"/>
            <w:vAlign w:val="bottom"/>
            <w:tcBorders>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3, 2014</w:t>
            </w:r>
          </w:p>
        </w:tc>
        <w:tc>
          <w:tcPr>
            <w:tcW w:w="11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28,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60" w:type="dxa"/>
            <w:vAlign w:val="bottom"/>
            <w:gridSpan w:val="5"/>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 revenues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193,846</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164,694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586,398</w:t>
            </w:r>
          </w:p>
        </w:tc>
        <w:tc>
          <w:tcPr>
            <w:tcW w:w="6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 revenues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138,709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121,748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421,140</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330,129</w:t>
            </w: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332,555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286,442</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1,007,538</w:t>
            </w:r>
          </w:p>
        </w:tc>
        <w:tc>
          <w:tcPr>
            <w:tcW w:w="6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of product revenues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140,530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119,250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427,517</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102,606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92,145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313,010</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69,100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62,209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207,474</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7,612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6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1,266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(10,672)</w:t>
            </w:r>
          </w:p>
        </w:tc>
        <w:tc>
          <w:tcPr>
            <w:tcW w:w="16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(29,201)</w:t>
            </w:r>
          </w:p>
        </w:tc>
        <w:tc>
          <w:tcPr>
            <w:tcW w:w="4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(26,501)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(26,501)</w:t>
            </w: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(24,735)</w:t>
            </w:r>
          </w:p>
        </w:tc>
        <w:tc>
          <w:tcPr>
            <w:tcW w:w="6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(15,255)</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(19,569)</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(30,607)</w:t>
            </w: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(20,614)</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6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Less: Net income attributable to the noncontrolling interest, net of</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ViaSat, Inc.</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6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net loss per share attributable to ViaSat, Inc. common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(0.13)</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Diluted net loss per share attributable to ViaSat, Inc. common</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(0.13)</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basic net loss per share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45,935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44,189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43,662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diluted net loss per share</w:t>
            </w:r>
          </w:p>
        </w:tc>
        <w:tc>
          <w:tcPr>
            <w:tcW w:w="22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45,935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44,189</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45,576</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43,662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(5,960)</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(20,614)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(5,166)</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(loss) gain on hedging, net of tax</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6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(20,548)</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(3,670)</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(42,511)</w:t>
            </w:r>
          </w:p>
        </w:tc>
        <w:tc>
          <w:tcPr>
            <w:tcW w:w="0" w:type="dxa"/>
            <w:vAlign w:val="bottom"/>
          </w:tcPr>
          <w:p>
            <w:pPr>
              <w:spacing w:after="0"/>
              <w:rPr>
                <w:sz w:val="1"/>
                <w:szCs w:val="1"/>
                <w:color w:val="auto"/>
              </w:rPr>
            </w:pPr>
          </w:p>
        </w:tc>
      </w:tr>
      <w:tr>
        <w:trPr>
          <w:trHeight w:val="209"/>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the noncontrolling</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net of tax</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6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ViaSat, Inc.</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(5,840)</w:t>
            </w: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(20,710)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(4,434)</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4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3, 2014</w:t>
            </w:r>
          </w:p>
        </w:tc>
        <w:tc>
          <w:tcPr>
            <w:tcW w:w="11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28,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gridSpan w:val="2"/>
          </w:tcPr>
          <w:p>
            <w:pPr>
              <w:jc w:val="center"/>
              <w:ind w:right="137"/>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(5,166)</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provided by operating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117,742</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4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(20,693)</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24,592</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Non-cash loss on extinguishment of debt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Repayment of discount on 2016 Notes</w:t>
            </w:r>
          </w:p>
        </w:tc>
        <w:tc>
          <w:tcPr>
            <w:tcW w:w="180" w:type="dxa"/>
            <w:vAlign w:val="bottom"/>
          </w:tcPr>
          <w:p>
            <w:pPr>
              <w:spacing w:after="0"/>
              <w:rPr>
                <w:sz w:val="18"/>
                <w:szCs w:val="18"/>
                <w:color w:val="auto"/>
              </w:rPr>
            </w:pPr>
          </w:p>
        </w:tc>
        <w:tc>
          <w:tcPr>
            <w:tcW w:w="1460" w:type="dxa"/>
            <w:vAlign w:val="bottom"/>
            <w:gridSpan w:val="2"/>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Receipt of premium on 2020 Notes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Increase (decrease) in cash resulting from changes in operating assets and liabilities, net of effect of</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acquisition:</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4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(18,688)</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(16,470)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4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(7,059)</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134,906</w:t>
            </w:r>
          </w:p>
        </w:tc>
        <w:tc>
          <w:tcPr>
            <w:tcW w:w="7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property, equipment and satellites</w:t>
            </w:r>
          </w:p>
        </w:tc>
        <w:tc>
          <w:tcPr>
            <w:tcW w:w="180" w:type="dxa"/>
            <w:vAlign w:val="bottom"/>
          </w:tcPr>
          <w:p>
            <w:pPr>
              <w:spacing w:after="0"/>
              <w:rPr>
                <w:sz w:val="18"/>
                <w:szCs w:val="18"/>
                <w:color w:val="auto"/>
              </w:rPr>
            </w:pPr>
          </w:p>
        </w:tc>
        <w:tc>
          <w:tcPr>
            <w:tcW w:w="14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(244,863)</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paid for patents, licenses and other assets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(33,210)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related to acquisition of business, net of cash acquired</w:t>
            </w:r>
          </w:p>
        </w:tc>
        <w:tc>
          <w:tcPr>
            <w:tcW w:w="180" w:type="dxa"/>
            <w:vAlign w:val="bottom"/>
          </w:tcPr>
          <w:p>
            <w:pPr>
              <w:spacing w:after="0"/>
              <w:rPr>
                <w:sz w:val="18"/>
                <w:szCs w:val="18"/>
                <w:color w:val="auto"/>
              </w:rPr>
            </w:pPr>
          </w:p>
        </w:tc>
        <w:tc>
          <w:tcPr>
            <w:tcW w:w="14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(2,400)</w:t>
            </w: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(280,473)</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revolving credit facility borrowings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of revolving credit facility borrowings</w:t>
            </w:r>
          </w:p>
        </w:tc>
        <w:tc>
          <w:tcPr>
            <w:tcW w:w="180" w:type="dxa"/>
            <w:vAlign w:val="bottom"/>
          </w:tcPr>
          <w:p>
            <w:pPr>
              <w:spacing w:after="0"/>
              <w:rPr>
                <w:sz w:val="18"/>
                <w:szCs w:val="18"/>
                <w:color w:val="auto"/>
              </w:rPr>
            </w:pPr>
          </w:p>
        </w:tc>
        <w:tc>
          <w:tcPr>
            <w:tcW w:w="14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(60,000)</w:t>
            </w: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(2,512)</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issuance of 2020 Notes</w:t>
            </w:r>
          </w:p>
        </w:tc>
        <w:tc>
          <w:tcPr>
            <w:tcW w:w="180" w:type="dxa"/>
            <w:vAlign w:val="bottom"/>
          </w:tcPr>
          <w:p>
            <w:pPr>
              <w:spacing w:after="0"/>
              <w:rPr>
                <w:sz w:val="18"/>
                <w:szCs w:val="18"/>
                <w:color w:val="auto"/>
              </w:rPr>
            </w:pPr>
          </w:p>
        </w:tc>
        <w:tc>
          <w:tcPr>
            <w:tcW w:w="1460" w:type="dxa"/>
            <w:vAlign w:val="bottom"/>
            <w:gridSpan w:val="2"/>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 of 2016 Notes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 under equity plans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15,776</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common stock in treasury</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(14,829)</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4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(2,275)</w:t>
            </w:r>
          </w:p>
        </w:tc>
        <w:tc>
          <w:tcPr>
            <w:tcW w:w="3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81,160</w:t>
            </w:r>
          </w:p>
        </w:tc>
        <w:tc>
          <w:tcPr>
            <w:tcW w:w="7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(64,376)</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105,738</w:t>
            </w:r>
          </w:p>
        </w:tc>
        <w:tc>
          <w:tcPr>
            <w:tcW w:w="7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41,362</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112,667</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Issuance of common stock in satisfaction of certain accrued employee compensation 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w w:val="96"/>
              </w:rPr>
              <w:t>ViaSat, Inc. Stockholders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820" w:type="dxa"/>
            <w:vAlign w:val="bottom"/>
          </w:tcPr>
          <w:p>
            <w:pPr>
              <w:spacing w:after="0"/>
              <w:rPr>
                <w:sz w:val="12"/>
                <w:szCs w:val="12"/>
                <w:color w:val="auto"/>
              </w:rPr>
            </w:pPr>
          </w:p>
        </w:tc>
        <w:tc>
          <w:tcPr>
            <w:tcW w:w="1260" w:type="dxa"/>
            <w:vAlign w:val="bottom"/>
            <w:tcBorders>
              <w:bottom w:val="single" w:sz="8" w:color="auto"/>
            </w:tcBorders>
            <w:gridSpan w:val="4"/>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5"/>
          </w:tcPr>
          <w:p>
            <w:pPr>
              <w:jc w:val="right"/>
              <w:ind w:right="418"/>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 Held</w:t>
            </w:r>
          </w:p>
        </w:tc>
        <w:tc>
          <w:tcPr>
            <w:tcW w:w="9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108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5"/>
          </w:tcPr>
          <w:p>
            <w:pPr>
              <w:jc w:val="right"/>
              <w:ind w:right="698"/>
              <w:spacing w:after="0" w:line="142"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180" w:type="dxa"/>
            <w:vAlign w:val="bottom"/>
          </w:tcPr>
          <w:p>
            <w:pPr>
              <w:spacing w:after="0"/>
              <w:rPr>
                <w:sz w:val="12"/>
                <w:szCs w:val="12"/>
                <w:color w:val="auto"/>
              </w:rPr>
            </w:pPr>
          </w:p>
        </w:tc>
        <w:tc>
          <w:tcPr>
            <w:tcW w:w="720" w:type="dxa"/>
            <w:vAlign w:val="bottom"/>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2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3"/>
              </w:rPr>
              <w:t>Noncontrolling</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820" w:type="dxa"/>
            <w:vAlign w:val="bottom"/>
          </w:tcPr>
          <w:p>
            <w:pPr>
              <w:spacing w:after="0"/>
              <w:rPr>
                <w:sz w:val="10"/>
                <w:szCs w:val="10"/>
                <w:color w:val="auto"/>
              </w:rPr>
            </w:pPr>
          </w:p>
        </w:tc>
        <w:tc>
          <w:tcPr>
            <w:tcW w:w="1080" w:type="dxa"/>
            <w:vAlign w:val="bottom"/>
            <w:gridSpan w:val="3"/>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220" w:type="dxa"/>
            <w:vAlign w:val="bottom"/>
          </w:tcPr>
          <w:p>
            <w:pPr>
              <w:spacing w:after="0"/>
              <w:rPr>
                <w:sz w:val="10"/>
                <w:szCs w:val="10"/>
                <w:color w:val="auto"/>
              </w:rPr>
            </w:pPr>
          </w:p>
        </w:tc>
        <w:tc>
          <w:tcPr>
            <w:tcW w:w="920" w:type="dxa"/>
            <w:vAlign w:val="bottom"/>
            <w:gridSpan w:val="2"/>
          </w:tcPr>
          <w:p>
            <w:pPr>
              <w:jc w:val="right"/>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980" w:type="dxa"/>
            <w:vAlign w:val="bottom"/>
            <w:tcBorders>
              <w:top w:val="single" w:sz="8" w:color="auto"/>
            </w:tcBorders>
            <w:gridSpan w:val="2"/>
          </w:tcPr>
          <w:p>
            <w:pPr>
              <w:jc w:val="right"/>
              <w:ind w:right="178"/>
              <w:spacing w:after="0" w:line="12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282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Issued</w:t>
            </w: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2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90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28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7"/>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29, 2013</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45,921,793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$ 715,115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(947,607)</w:t>
            </w:r>
          </w:p>
        </w:tc>
        <w:tc>
          <w:tcPr>
            <w:tcW w:w="98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 (33,770)</w:t>
            </w: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606</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4,834</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$907,835</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10,069</w:t>
            </w: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10,070</w:t>
            </w:r>
          </w:p>
        </w:tc>
      </w:tr>
      <w:tr>
        <w:trPr>
          <w:trHeight w:val="202"/>
        </w:trPr>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Issuance of stock under Employee</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Purchase Plan</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137,921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5,706</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5,706</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25,002</w:t>
            </w: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25,002</w:t>
            </w:r>
          </w:p>
        </w:tc>
      </w:tr>
      <w:tr>
        <w:trPr>
          <w:trHeight w:val="202"/>
        </w:trPr>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Shares issued in settlement of certain</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113,126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8,018</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8,018</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RSU awards vesting</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620,875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Purchase of treasury shares pursuant</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 vesting of certain RSU</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agreements</w:t>
            </w:r>
          </w:p>
        </w:tc>
        <w:tc>
          <w:tcPr>
            <w:tcW w:w="10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(230,316)</w:t>
            </w:r>
          </w:p>
        </w:tc>
        <w:tc>
          <w:tcPr>
            <w:tcW w:w="98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(14,829)</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(14,829)</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(5,930)</w:t>
            </w:r>
          </w:p>
        </w:tc>
        <w:tc>
          <w:tcPr>
            <w:tcW w:w="9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764</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(5,166)</w:t>
            </w:r>
          </w:p>
        </w:tc>
      </w:tr>
      <w:tr>
        <w:trPr>
          <w:trHeight w:val="202"/>
        </w:trPr>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w:t>
            </w:r>
          </w:p>
        </w:tc>
        <w:tc>
          <w:tcPr>
            <w:tcW w:w="10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1,496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w:t>
            </w: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3, 2014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47,248,091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763,910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$ 215,116</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(1,177,923</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(48,599</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3"/>
              </w:rPr>
              <w:t>2,102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5,598</w:t>
            </w: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938,132</w:t>
            </w:r>
          </w:p>
        </w:tc>
        <w:tc>
          <w:tcPr>
            <w:tcW w:w="10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9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balance sheet at January 3, 2014, the condensed consolidated statements of operations and comprehensive income (loss) for the three and nine months ended January 3, 2014 and December 28, 2012, the condensed consolidated statements of cash flows for the nine months ended January 3, 2014 and December 28, 2012 and the condensed consolidated statement of equity for the nine months ended January 3, 2014 have been prepared by the management of ViaSat, Inc. (also referred to hereafter as the Company or ViaSat), and have not been audited. These financial statements have been prepared on the same basis as the audited consolidated financial statements for the fiscal year ended March 29, 2013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29, 2013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41"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120" w:lineRule="exact"/>
        <w:rPr>
          <w:sz w:val="20"/>
          <w:szCs w:val="20"/>
          <w:color w:val="auto"/>
        </w:rPr>
      </w:pPr>
    </w:p>
    <w:p>
      <w:pPr>
        <w:jc w:val="both"/>
        <w:ind w:firstLine="456"/>
        <w:spacing w:after="0" w:line="287" w:lineRule="auto"/>
        <w:rPr>
          <w:sz w:val="20"/>
          <w:szCs w:val="20"/>
          <w:color w:val="auto"/>
        </w:rPr>
      </w:pPr>
      <w:r>
        <w:rPr>
          <w:rFonts w:ascii="Times New Roman" w:cs="Times New Roman" w:eastAsia="Times New Roman" w:hAnsi="Times New Roman"/>
          <w:sz w:val="16"/>
          <w:szCs w:val="16"/>
          <w:color w:val="auto"/>
        </w:rPr>
        <w:t>The Company’s fiscal year is the 52 or 53 weeks ending on the Friday closest to March 31 of the specified year. For example, references to fiscal year 2014 refer to the fiscal year ending on April 4, 2014. The Company’s quarters for fiscal year 2014 end on June 28, 2013, October 4, 2013, January 3, 2014 and April 4, 2014. This results in a 53 week fiscal year approximately every four to five years. Fiscal year 2014 is a 53 week year, compared with a 52 week year in fiscal year</w:t>
      </w:r>
    </w:p>
    <w:p>
      <w:pPr>
        <w:spacing w:after="0" w:line="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2013. As a result of the shift in the fiscal calendar, the second quarter of fiscal year 2014 included an additional week. The Company does not believe that the extra week results in any material impact on its financial results.</w:t>
      </w:r>
    </w:p>
    <w:p>
      <w:pPr>
        <w:spacing w:after="0" w:line="13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During the first quarter of fiscal year 2014, the Company completed the acquisition of LonoCloud, Inc. (LonoCloud), an early-stage privately held company. This acquisition was accounted for as a purchase and, accordingly, the condensed consolidated financial statements include the operating results of LonoCloud from the date of acquisition.</w:t>
      </w:r>
    </w:p>
    <w:p>
      <w:pPr>
        <w:spacing w:after="0" w:line="132"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80" w:firstLine="456"/>
        <w:spacing w:after="0" w:line="290" w:lineRule="auto"/>
        <w:rPr>
          <w:sz w:val="20"/>
          <w:szCs w:val="20"/>
          <w:color w:val="auto"/>
        </w:rPr>
      </w:pPr>
      <w:r>
        <w:rPr>
          <w:rFonts w:ascii="Times New Roman" w:cs="Times New Roman" w:eastAsia="Times New Roman" w:hAnsi="Times New Roman"/>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January 3, 2014 and December 28, 2012, the Company recorded losses of approximately $1.7 million and $0.6 million, respectively, related to loss contracts. During the nine months ended January 3, 2014 and December 28, 2012, the Company recorded losses of approximately $2.7 million and $3.1 million, respectively, related to loss contracts.</w:t>
      </w:r>
    </w:p>
    <w:p>
      <w:pPr>
        <w:spacing w:after="0" w:line="11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39"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15" w:lineRule="exact"/>
        <w:rPr>
          <w:sz w:val="20"/>
          <w:szCs w:val="20"/>
          <w:color w:val="auto"/>
        </w:rPr>
      </w:pPr>
    </w:p>
    <w:p>
      <w:pPr>
        <w:ind w:right="160" w:firstLine="456"/>
        <w:spacing w:after="0" w:line="253" w:lineRule="auto"/>
        <w:rPr>
          <w:sz w:val="20"/>
          <w:szCs w:val="20"/>
          <w:color w:val="auto"/>
        </w:rPr>
      </w:pPr>
      <w:r>
        <w:rPr>
          <w:rFonts w:ascii="Times New Roman" w:cs="Times New Roman" w:eastAsia="Times New Roman" w:hAnsi="Times New Roman"/>
          <w:sz w:val="18"/>
          <w:szCs w:val="18"/>
          <w:color w:val="auto"/>
        </w:rPr>
        <w:t>To determine the selling price in multiple-element arrangements, the Company establishes VSOE of the selling price using the price charged for a deliverable when sold separately and for software license updates,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39"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32"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completed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January 3, 2014 and March 29, 2013, the Company had $7.3 million and $7.2 million, respectively, in contract-related reserves for its estimate of potential refunds to customers for potential cost adjustments on several multi-year U.S. government cost reimbursable contracts (see Note 8).</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94"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the authoritative guidance for advertising costs (ASC 720-35), advertising costs are expensed as incurred. Advertising expenses for the three months ended January 3, 2014 and December 28, 2012 were $5.4 million and $5.5 million, respectively, and for the nine months ended January 3, 2014 and December 28, 2012 were $14.5 million and $17.0 million,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Commissions</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compensates third parties based on specific commission programs directly related to certain product and service sales and these commissions costs are expensed as incurred.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satellites</w:t>
      </w:r>
    </w:p>
    <w:p>
      <w:pPr>
        <w:spacing w:after="0" w:line="94"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w:t>
      </w:r>
    </w:p>
    <w:p>
      <w:pPr>
        <w:spacing w:after="0" w:line="331"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Interest expense is capitalized on the carrying value of assets under construction, in accordance with the authoritative guidance for the capitalization of interest (ASC 835-20). During the three and nine months ended January 3, 2014, the Company capitalized $2.5 million and $5.4 million of interest expense, respectively, with respect to assets under construction. During the three and nine months ended December 28, 2012, the Company capitalized $0.7 million and $2.3 million of interest expense, respectively, with respect to assets under construction.</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 owns two satellites: ViaSat-1 (its high-capacity Ka-band spot-beam satellite, which was placed into service in January 2012) and WildBlue-1 (which was placed into service in March 2007). During the first quarter of fiscal year 2014, the Company entered into a satellite construction contract for ViaSat-2, a second high-capacity Ka-band satellite. In addition, the Company has an exclusive prepaid lifetime capital lease of Ka-band capacity over the continental United States on Telesat Canada’s Anik F2 satellite (which was placed into service in April 2005) and owns related gateway and networking equipment for all of its satellites. The Company periodically reviews the remaining estimated useful life of its satellites to determine if revisions to estimated lives are necessary. The Company procures indoor and outdoor customer premise equipment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gateway and networking equipment, CPE units and related installation costs over their estimated useful lives. The total cost and accumulated depreciation of CPE units included in property and equipment, net, as of January 3, 2014 were $215.3 million and $73.1 million, respectively. The total cost and accumulated depreciation of CPE units included in property and equipment, net, as of March 29, 2013 were $170.9 million and $51.5 million, respectively.</w:t>
      </w:r>
    </w:p>
    <w:p>
      <w:pPr>
        <w:spacing w:after="0" w:line="13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orbital slots and other licenses</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As of January 3, 2014 and March 29, 2013, the Company had $3.2 million of capitalized costs related to patents included in other assets. As of January 3, 2014 and March 29, 2013, the Company had $13.5 million and $8.6 million, respectively, of capitalized costs related to acquiring and obtaining orbital slots and other licenses included in other assets. Accumulated amortization related to these assets was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approximately $0.9 million and $0.7 million as of January 3, 2014 and March 29, 2013, respectively. Amortization expense related to these assets was an insignificant amount for the three and nine months ended January 3, 2014 and December 28, 2012. If a patent, orbital slot or orbital license is rejected, abandoned or otherwise invalidated, the unamortized cost is expensed in that period. During the three and nine months ended January 3, 2014 and December 28, 2012, the Company did not write off any significant costs due to abandonment or impairment.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Debt issuance costs are amortized and recognized as interest expense on a straight-line basis over the expected term of the related debt, the results of which are not materially different from the effective interest rate basis. During the three and nine months ended January 3, 2014, the Company paid and capitalized approximately $2.5 million of debt issuance costs. During the three and nine months ended December 28, 2012, the Company paid and capitalized debt issuance costs of approximately $5.8 million and $8.1 million, respectively. Unamortized debt issuance costs related to extinguished debt are expensed at the time the debt is extinguished and recorded in loss on extinguishment of debt in the consolidated statements of operations and comprehensive income (loss). Other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w:t>
      </w:r>
    </w:p>
    <w:p>
      <w:pPr>
        <w:spacing w:after="0" w:line="9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$82.0 million and $60.6 million related to software developed for resale were included in other assets as of January 3, 2014 and March 29, 2013, respectively. The Company capitalized $11.4 million and $28.3 million of costs related to software developed for resale for the three and nine months ended January 3, 2014, respectively. The Company capitalized $6.6 million and $19.1 million of costs related to software developed for resale for the three and nine months ended December 28, 2012, respectively. Amortization expense for software development costs was $2.3 million and $6.9 million for the three and nine months ended January 3, 2014, respectively, and $1.7 million and $5.5 million for the three and nine months ended December 28, 2012,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9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$2.7 million and $2.3 million as of January 3, 2014 and March 29, 2013,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provisions</w:t>
      </w:r>
    </w:p>
    <w:p>
      <w:pPr>
        <w:spacing w:after="0" w:line="94"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January 3, 2014 and March 29, 2013, no such amounts were accrued related to the aforementioned provisions.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94"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held in treasury</w:t>
      </w:r>
    </w:p>
    <w:p>
      <w:pPr>
        <w:spacing w:after="0" w:line="9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During the first nine months of fiscal years 2014 and 2013, the Company issued 620,875 and 576,061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230,316 and 209,135 shares of common stock with a total value of $14.8 million and $7.9 million during the first nine months of fiscal years 2014 and 2013, respectively. Repurchased shares of common stock of 1,177,923 and 947,607 were held in treasury as of January 3, 2014 and March 29, 2013,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94"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During the three months ended January 3, 2014 and December 28, 2012, the Company settled certain foreign exchange contracts and in connection therewith recognized a gain of less than $0.1 million and recognized a loss of $0.1 million, respectively, recorded in cost of revenues based on the nature of the underlying transactions. During the nine months ended January 3, 2014 and December 28, 2012, the Company settled certain foreign exchange contracts and in connection therewith recognized a loss of less than $0.1 million and $0.7 million, respectively, recorded in cost of revenues based on the nature of the underlying transactions. The fair value of the Company’s foreign currency forward contracts was an accrued liability of less than $0.1 million and $0.3 million at January 3, 2014 and March 29, 2013, respectively. The notional value of foreign currency forward contracts outstanding as of January 3, 2014 and March 29, 2013 was $5.8 million and $7.0 million, respectively.</w:t>
      </w:r>
    </w:p>
    <w:p>
      <w:pPr>
        <w:spacing w:after="0" w:line="14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At January 3, 2014, the estimated net amount of unrealized gains or losses related to foreign currency forward contracts that was expected to be reclassified to earnings within the next twelve months was less than $0.1 million. The Company’s foreign currency forward contracts outstanding as of January 3, 2014 will mature within one to eighteen months from their inception. There were no gains or losses from ineffectiveness of these derivative instruments recorded for the three and nine months ended January 3, 2014 and December 28, 2012.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(loss) for the three and nine months ended January 3, 2014 and December 28, 2012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$8.7 million and $24.4 million of stock-based compensation expense for the three and nine months ended January 3, 2014, respectively, and $7.0 million and $19.4 million of stock-based compensation expense for the three and nine months ended December 28, 2012, respectively.</w:t>
      </w:r>
    </w:p>
    <w:p>
      <w:pPr>
        <w:spacing w:after="0" w:line="138"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For the nine months ended January 3, 2014 and December 28, 2012,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Current income tax expense is the amount of income taxes expected to be payable for the current fiscal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39"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The Company’s analysis of the need for a valuation allowance on deferred tax assets considered the losses incurred during the three and nine months ended January 3, 2014 and the fiscal year ended March 29, 2013. The loss from fiscal year 2013 was more significant and a substantial portion of such loss resulted from an extinguishment of debt charge that was recorded upon the refinancing of the Company’s former 8.875% Senior Notes due 2016 (2016 Notes) with the proceeds from the issuance of additional 6.875% Senior Notes due 2020 (2020 Notes), which provides a benefit to net income due to the lower interest rate of the 2020 Notes. The Company’s evaluation considered other factors, including the Company’s history of positive earnings, current earnings trends as the Company’s satellite subscriber base scales on its recently launched satellite, ViaSat-1, taxable income adjusted for certain items, the Company’s contractual backlog, and forecasted income by jurisdiction. The Company also considered the lengthy period over which these net deferred tax assets can be realized and the Company’s history of not having federal tax loss carryforwards expire unused. Based on the Company’s analysis of the need for a valuation allowance on deferred tax assets, the Company released $2.7 million of the valuation allowance on state net operating loss carryforwards during the first nine months of fiscal year 2014, as a result of the combination of the merger of ViaSat Communications, Inc. into ViaSat and changes in the apportioned state tax rates.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authoritative guidance</w:t>
      </w:r>
    </w:p>
    <w:p>
      <w:pPr>
        <w:spacing w:after="0" w:line="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December 2011, the FASB issued ASU 2011-11, Balance Sheet (ASC 210): Disclosures about offsetting Assets and Liabilities. The new authoritative guidance requires an entity to disclose information about offsetting and related arrangements to enable users of its financial statements to evaluate the effect or potential effect of netting arrangements on an entity’s financial position, including the effect or potential effect of rights of setoff associated with certain financial instruments and derivative instruments in the scope of this authoritative guidance. This authoritative guidance became effective for the Company beginning in the first quarter of fiscal year 2014 and has been applied retrospectively for all comparative periods presented. Adoption of this authoritative guidance did not have a material impact on the Company’s consolidated financial statements and disclosures.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July 2012, the FASB issued ASU 2012-02, Intangibles—Goodwill and Other (ASC 350): Testing Indefinite-Lived Intangible Assets for Impairment. The new authoritative guidance simplifies the requirements for testing for indefinite-lived intangible assets other than goodwill and permits an entity to first assess qualitative factors to determine whether it is necessary to perform a quantitative fair value test. The guidance is effective for the Company for annual and, if any, interim impairment tests during the current fiscal year. Adoption of this standard will not have a material impact on the Company or its consolidated financial statements and disclosures.</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February 2013, the FASB issued ASU 2013-02, Comprehensive Income (ASC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The guidance, which became effective for the Company beginning in the first quarter of fiscal year 2014, required changes in presentation only and the adoption of this standard did not have a significant impact on the Company’s consolidated financial statements and disclosures. The Company considers information related to rollforward amounts and amounts reclassified out of accumulated other comprehensive income to be insignificant and therefore immaterial for separate disclosures.</w:t>
      </w:r>
    </w:p>
    <w:p>
      <w:pPr>
        <w:spacing w:after="0" w:line="14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March 2013, the FASB issued ASU 2013-05, Foreign Currency Matters (ASC 830): Parent’s Accounting for the Cumulative Translation Adjustment upon Derecognition of Certain Subsidiaries or Groups of Assets within a Foreign Entity or of an Investment in a Foreign Entity. ASU 2013-05 clarifies that the cumulative translation adjustment should be released into net income only when a reporting entity ceases to have a controlling financial interest in a subsidiary or a business within a foreign entity. Further, for an equity method investment that is a foreign entity, a pro rata portion of the cumulative translation adjustment should be released into net income upon a partial sale of such an equity method investment. These amendments are to be applied prospectively to derecognition events occurring after the effective date. This guidance is effective for the Company beginning in the first quarter of fiscal year 2015 and the adoption of this standard is not expected to have a material impact on its consolidated financial statements and disclosures.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July 2013, the FASB issued ASU 2013-11, Income Taxes (ASC 740): Presentation of an Unrecognized Tax Benefit When a Net Operating Loss Carryforward, a Similar Tax Loss, or a Tax Credit Carryforward Exists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2013-11 requires the netting of unrecognized tax benefits against available deferred tax assets for losses and other carryforward benefits that would be available to offset the liability for uncertain tax positions rather than presenting the unrecognized tax benefits on a gross basis. This guidance is effective for the Company beginning in the first quarter of fiscal year 2015 and the adoption of this standard is not expected to have a material impact on its consolidated financial statements and disclosures.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Composition of Certain Balance Sheet Captions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5"/>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 2014</w:t>
            </w:r>
          </w:p>
        </w:tc>
        <w:tc>
          <w:tcPr>
            <w:tcW w:w="3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2013</w:t>
            </w: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Billed</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155,299</w:t>
            </w:r>
          </w:p>
        </w:tc>
        <w:tc>
          <w:tcPr>
            <w:tcW w:w="4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134,206</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Unbilled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134,198</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(2,370)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282,594</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266,970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40,308</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21,298</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44,675</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126,491</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41,385</w:t>
            </w:r>
          </w:p>
        </w:tc>
        <w:tc>
          <w:tcPr>
            <w:tcW w:w="4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34,257</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6,562</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Satellite — WildBlue-1 (estimated useful life of 10 years)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195,890</w:t>
            </w:r>
          </w:p>
        </w:tc>
        <w:tc>
          <w:tcPr>
            <w:tcW w:w="4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195,890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Capital lease of satellite capacity — Anik F2 (estimated useful life of 10 years)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99,090</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Satellite — ViaSat-1 (estimated useful life of 17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363,204</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363,204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Satellite — ViaSat-2 (under construction)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112,379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770,563</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(161,482)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(123,094)</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609,081</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Machinery and equipment (estimated useful life of 2-5 years)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246,797</w:t>
            </w:r>
          </w:p>
        </w:tc>
        <w:tc>
          <w:tcPr>
            <w:tcW w:w="4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226,884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Computer equipment and software (estimated useful life of 2-7 years)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185,798</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154,202</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CPE leased equipment (estimated useful life of 4-5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170,934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Furniture and fixtures (estimated useful life of 7 years)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15,716</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Leasehold improvements (estimated useful life of 2-17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61,097</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57,691</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Building (estimated useful life of 24 years)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8,923</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Land held for sale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23"/>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757,566</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661,481</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(335,346)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(282,790)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422,220</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378,691</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acquired intangible assets, net:</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Technology (weighted average useful life of 6 years)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57,020</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53,714</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Contracts and customer relationships (weighted average useful life of 7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88,651</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Satellite co-location rights (weighted average useful life of 9 years)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Trade name (weighted average useful life of 3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(weighted average useful life of 9 years)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6,287</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166,457</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(127,415)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(115,762)</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40"/>
          </w:cols>
          <w:pgMar w:left="240" w:top="455" w:right="319" w:bottom="1440" w:gutter="0" w:footer="0" w:header="0"/>
        </w:sect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40"/>
          </w:cols>
          <w:pgMar w:left="240" w:top="455" w:right="31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Capitalized software costs, net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Patents, orbital slots and other licenses, net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117,987</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40,173</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256,008</w:t>
            </w:r>
          </w:p>
        </w:tc>
        <w:tc>
          <w:tcPr>
            <w:tcW w:w="8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205,248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Collections in excess of revenues and deferred revenues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vacation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Warranty reserve, current portion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36,763</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155,913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161,909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revenue, long-term portion</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rent, long-term portion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Warranty reserve, long-term portion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 long-term portion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Unrecognized tax position liabilities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Satellite performance incentives obligation, long-term portion</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20,652</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92" w:lineRule="exact"/>
        <w:rPr>
          <w:sz w:val="20"/>
          <w:szCs w:val="20"/>
          <w:color w:val="auto"/>
        </w:rPr>
      </w:pPr>
    </w:p>
    <w:p>
      <w:pPr>
        <w:jc w:val="both"/>
        <w:ind w:right="440" w:firstLine="456"/>
        <w:spacing w:after="0" w:line="275" w:lineRule="auto"/>
        <w:rPr>
          <w:sz w:val="20"/>
          <w:szCs w:val="20"/>
          <w:color w:val="auto"/>
        </w:rPr>
      </w:pPr>
      <w:r>
        <w:rPr>
          <w:rFonts w:ascii="Times New Roman" w:cs="Times New Roman" w:eastAsia="Times New Roman" w:hAnsi="Times New Roman"/>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39" w:lineRule="exact"/>
        <w:rPr>
          <w:sz w:val="20"/>
          <w:szCs w:val="20"/>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based on quoted market prices for identical assets or liabilities in active markets at the measurement date.</w:t>
      </w:r>
    </w:p>
    <w:p>
      <w:pPr>
        <w:spacing w:after="0" w:line="90" w:lineRule="exact"/>
        <w:rPr>
          <w:rFonts w:ascii="Times New Roman" w:cs="Times New Roman" w:eastAsia="Times New Roman" w:hAnsi="Times New Roman"/>
          <w:sz w:val="18"/>
          <w:szCs w:val="18"/>
          <w:color w:val="auto"/>
        </w:rPr>
      </w:pPr>
    </w:p>
    <w:p>
      <w:pPr>
        <w:ind w:left="440" w:right="40" w:hanging="324"/>
        <w:spacing w:after="0" w:line="26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1" w:lineRule="exact"/>
        <w:rPr>
          <w:rFonts w:ascii="Times New Roman" w:cs="Times New Roman" w:eastAsia="Times New Roman" w:hAnsi="Times New Roman"/>
          <w:sz w:val="18"/>
          <w:szCs w:val="18"/>
          <w:color w:val="auto"/>
        </w:rPr>
      </w:pPr>
    </w:p>
    <w:p>
      <w:pPr>
        <w:ind w:left="440" w:hanging="324"/>
        <w:spacing w:after="0" w:line="275"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the Company’s hierarchy for its assets and liabilities measured at fair value on a recurring basis as of January 3, 2014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2013:</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Fair Value as of</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January 3, 2014</w:t>
            </w:r>
          </w:p>
        </w:tc>
        <w:tc>
          <w:tcPr>
            <w:tcW w:w="560" w:type="dxa"/>
            <w:vAlign w:val="bottom"/>
          </w:tcPr>
          <w:p>
            <w:pPr>
              <w:spacing w:after="0"/>
              <w:rPr>
                <w:sz w:val="14"/>
                <w:szCs w:val="14"/>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Level 2</w:t>
            </w:r>
          </w:p>
        </w:tc>
        <w:tc>
          <w:tcPr>
            <w:tcW w:w="5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460" w:type="dxa"/>
            <w:vAlign w:val="bottom"/>
          </w:tcPr>
          <w:p>
            <w:pPr>
              <w:spacing w:after="0"/>
              <w:rPr>
                <w:sz w:val="18"/>
                <w:szCs w:val="18"/>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4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 on a recurring basis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Fair Value as of</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March 29, 2013</w:t>
            </w:r>
          </w:p>
        </w:tc>
        <w:tc>
          <w:tcPr>
            <w:tcW w:w="560" w:type="dxa"/>
            <w:vAlign w:val="bottom"/>
          </w:tcPr>
          <w:p>
            <w:pPr>
              <w:spacing w:after="0"/>
              <w:rPr>
                <w:sz w:val="14"/>
                <w:szCs w:val="14"/>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Level 2</w:t>
            </w:r>
          </w:p>
        </w:tc>
        <w:tc>
          <w:tcPr>
            <w:tcW w:w="5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47,427</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47,427</w:t>
            </w:r>
          </w:p>
        </w:tc>
        <w:tc>
          <w:tcPr>
            <w:tcW w:w="460" w:type="dxa"/>
            <w:vAlign w:val="bottom"/>
          </w:tcPr>
          <w:p>
            <w:pPr>
              <w:spacing w:after="0"/>
              <w:rPr>
                <w:sz w:val="18"/>
                <w:szCs w:val="18"/>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47,427</w:t>
            </w:r>
          </w:p>
        </w:tc>
        <w:tc>
          <w:tcPr>
            <w:tcW w:w="4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$ 318</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 on a recurring basis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$ 318</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20"/>
          </w:cols>
          <w:pgMar w:left="240" w:top="455" w:right="339" w:bottom="1440" w:gutter="0" w:footer="0" w:header="0"/>
        </w:sect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20"/>
          </w:cols>
          <w:pgMar w:left="240" w:top="455" w:right="3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section describes the valuation methodologies the Company uses to measure financial instruments at fair value:</w:t>
      </w:r>
    </w:p>
    <w:p>
      <w:pPr>
        <w:spacing w:after="0" w:line="169" w:lineRule="exact"/>
        <w:rPr>
          <w:sz w:val="20"/>
          <w:szCs w:val="20"/>
          <w:color w:val="auto"/>
        </w:rPr>
      </w:pPr>
    </w:p>
    <w:p>
      <w:pPr>
        <w:ind w:right="3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The Company’s cash equivalents consist of money market funds. Money market funds are valued using quoted prices for identical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in an active market with sufficient volume and frequency of transactions (Level 1).</w:t>
      </w:r>
    </w:p>
    <w:p>
      <w:pPr>
        <w:spacing w:after="0" w:line="11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forward contracts </w:t>
      </w:r>
      <w:r>
        <w:rPr>
          <w:rFonts w:ascii="Times New Roman" w:cs="Times New Roman" w:eastAsia="Times New Roman" w:hAnsi="Times New Roman"/>
          <w:sz w:val="18"/>
          <w:szCs w:val="18"/>
          <w:color w:val="auto"/>
        </w:rPr>
        <w:t>— The Company uses derivative financial instruments to manage foreign currency risk relating to foreign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The Company’s long-term debt consists of borrowings under its revolving credit facility (the Credit Facility) and $575.0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2020 Notes reported at amortized cost. However, for disclosure purposes, the Company is required to measure the fair value of outstanding debt on a recurring basis. As of January 3, 2014 and March 29, 2013, the fair value of the Company’s 2020 Notes was determined using quoted prices in active markets for identical liabilities (Level 1) and was approximately $610.9 million and $616.7 million, respectively. The fair value of the Company’s long-term debt related to the Credit Facility approximates its carrying amount due to the variable interest rate on the revolving line of credit, which approximates a market interest rate.</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Satellite performance incentives obligation </w:t>
      </w:r>
      <w:r>
        <w:rPr>
          <w:rFonts w:ascii="Times New Roman" w:cs="Times New Roman" w:eastAsia="Times New Roman" w:hAnsi="Times New Roman"/>
          <w:sz w:val="18"/>
          <w:szCs w:val="18"/>
          <w:color w:val="auto"/>
        </w:rPr>
        <w:t>— The Company’s contract with the manufacturer of ViaSat-1 requires the Company to make monthly in-orbit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each of January 3, 2014 and March 29, 2013, the Company’s estimated satellite performance incentives obligation and accrued interest was $22.8 million and $22.7 million,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Shares Used In Computing Diluted Net Loss Per Share</w:t>
      </w:r>
    </w:p>
    <w:p>
      <w:pPr>
        <w:spacing w:after="0" w:line="173"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The weighted average number of shares used to calculate basic and diluted net loss per share attributable to ViaSat, Inc. common stockholders is the same for both the three and nine months ended January 3, 2014 and December 28, 2012, as the Company incurred a net loss attributable to ViaSat, Inc. common stockholders in such periods and inclusion of common share equivalents would be antidilutive. Common share equivalents excluded from the calculation for the three months ended January 3, 2014 were 947,362 shares relating to stock options, 585,543 shares relating to restricted stock units and 112,493 shares relating to certain terms of the amended ViaSat 401(k) Profit Sharing Plan and Employee Stock Purchase Plan. Common share equivalents excluded from the calculation for the nine months ended January 3, 2014 were 878,116 shares relating to stock options, 625,587 shares relating to restricted stock units and 136,767 shares relating to certain terms of the amended ViaSat 401(k) Profit Sharing Plan and Employee Stock Purchase Plan. Common share equivalents excluded from the calculation for the three months ended December 28, 2012 were 1,579,179 shares relating to stock options, 388,487 shares relating to restricted stock units and 140,809 shares relating to certain terms of the amended ViaSat 401(k) Profit Sharing Plan and Employee Stock Purchase Plan. Common share equivalents excluded from the calculation for the nine months ended December 28, 2012 were 1,604,192 shares relating to stock options, 376,659 shares relating to restricted stock units and 158,504 shares relating to certain terms of the amended ViaSat 401(k) Profit Sharing Plan and Employee Stock Purchase Plan.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During the first nine months of fiscal year 2014, the Company’s goodwill increased by approximately $0.3 million related to the effects of foreign currency translation recorded within the Company’s government systems and commercial networks segments. Other acquired intangible assets are amortized using the straight-line method over their estimated useful lives of three to ten years. Amortization expense related to other acquired intangible assets was $3.7 million and $4.0 million for the three months ended January 3, 2014 and December 28, 2012, respectively, and $10.9 million and $12.1 million for the nine months ended January 3, 2014 and December 28, 2012, respectively.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00" w:firstLine="456"/>
        <w:spacing w:after="0" w:line="339" w:lineRule="auto"/>
        <w:rPr>
          <w:sz w:val="20"/>
          <w:szCs w:val="20"/>
          <w:color w:val="auto"/>
        </w:rPr>
      </w:pPr>
      <w:r>
        <w:rPr>
          <w:rFonts w:ascii="Times New Roman" w:cs="Times New Roman" w:eastAsia="Times New Roman" w:hAnsi="Times New Roman"/>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 January 3, 2014</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the remainder of fiscal year 2014</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39,042</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Senior Notes and Other Long-Term Debt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long-term debt consisted of the following as of January 3, 2014 and March 29, 2013:</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380" w:type="dxa"/>
            <w:vAlign w:val="bottom"/>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w w:val="96"/>
              </w:rPr>
              <w:t>January 3, 2014</w:t>
            </w:r>
          </w:p>
        </w:tc>
        <w:tc>
          <w:tcPr>
            <w:tcW w:w="17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March 29,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2020 Notes</w:t>
            </w:r>
          </w:p>
        </w:tc>
        <w:tc>
          <w:tcPr>
            <w:tcW w:w="16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premium on the 2020 Notes</w:t>
            </w:r>
          </w:p>
        </w:tc>
        <w:tc>
          <w:tcPr>
            <w:tcW w:w="1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senior notes, net of premium</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584,151</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the senior notes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senior notes long-term, net</w:t>
            </w:r>
          </w:p>
        </w:tc>
        <w:tc>
          <w:tcPr>
            <w:tcW w:w="1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584,151</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Debt</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long-term debt</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87,432</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other long-term debt</w:t>
            </w:r>
          </w:p>
        </w:tc>
        <w:tc>
          <w:tcPr>
            <w:tcW w:w="1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debt, net</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85,914</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671,583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670,065</w:t>
            </w:r>
          </w:p>
        </w:tc>
        <w:tc>
          <w:tcPr>
            <w:tcW w:w="9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 of January 3, 2014, the Company’s Credit Facility provided a $500.0 million revolving line of credit (including up to $150.0 million of letters of credit), with a maturity date of November 26, 2018. The Company entered into the Credit Facility in November 2013 to replace its former $325.0 million revolving credit facility. Borrowings under the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At January 3, 2014, the weighted average effective interest rate on the Company’s outstanding borrowings under the Credit Facility was 2.17%. The Company has capitalized certain amounts of interest expense on the Credit Facility in connection with the construction of various assets during the construction period. The Credit Facility is required to be guaranteed by certain significant domestic subsidiaries of the Company (as defined in the Credit Facility) and secured by substantially all of the Company’s and any such subsidiaries’ assets. As of January 3, 2014, none of the Company’s subsidiaries guaranteed the Credit Facility.</w:t>
      </w:r>
    </w:p>
    <w:p>
      <w:pPr>
        <w:spacing w:after="0" w:line="143"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Credit Facility contains financial covenants regarding a maximum total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Company was in compliance with its financial covenants under the Credit Facility as of January 3, 2014. At January 3, 2014, the Company had $85.0 million in principal amount of outstanding borrowings under the Credit Facility and $39.5 million outstanding under standby letters of credit, leaving borrowing availability under the Credit Facility as of January 3, 2014 of $375.5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2020</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February 2012, the Company issued $275.0 million in principal amount of 2020 Notes in a private placement to institutional buyers, which were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exchanged in August 2012 for substantially identical 2020 Notes that had been registered with the SEC. These initial 2020 Notes were issued at face value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recorded as long-term debt in the Company’s condensed consolidated financial statements. On October 12, 2012, the Company issued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$300.0 million in principal amount of 2020 Notes in a private placement to institutional buyers at an issue price of 103.50% of the principal amount, which were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exchanged in January 2013 for substantially identical 2020 Notes that had been registered with the SEC. The 2020 Notes are all treated as a single class.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Notes bear interest at the rate of 6.875% per year, payable semi-annually in cash in arrears, which interest payments commenced in June 2012.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financing cost associated with the issuance of the 2020 Notes is amortized to interest expense on a straight-line basis over the term of the 2020 Notes, the results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which are not materially different from the effective interest rate basis. The $10.5 million premium the Company received in connection with the issuance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additional 2020 Notes is recorded as long-term debt in the Company’s condensed consolidated financial statements and is being amortized as a reduction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an effective interest rate basis over the term of those 2020 Notes.</w:t>
      </w:r>
    </w:p>
    <w:p>
      <w:pPr>
        <w:spacing w:after="0" w:line="15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2020 Notes are required to be guaranteed on an unsecured senior basis by each of the Company’s existing and future subsidiaries that guarantees the Credit Facility. During the second quarter of fiscal year 2014, the last remaining subsidiary guarantor, ViaSat Communications, Inc., was merged into the Company. Accordingly, as of January 3, 2014,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Facility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39" w:lineRule="exact"/>
        <w:rPr>
          <w:sz w:val="20"/>
          <w:szCs w:val="20"/>
          <w:color w:val="auto"/>
        </w:rPr>
      </w:pPr>
    </w:p>
    <w:p>
      <w:pPr>
        <w:ind w:right="20" w:firstLine="456"/>
        <w:spacing w:after="0" w:line="283" w:lineRule="auto"/>
        <w:rPr>
          <w:sz w:val="20"/>
          <w:szCs w:val="20"/>
          <w:color w:val="auto"/>
        </w:rPr>
      </w:pPr>
      <w:r>
        <w:rPr>
          <w:rFonts w:ascii="Times New Roman" w:cs="Times New Roman" w:eastAsia="Times New Roman" w:hAnsi="Times New Roman"/>
          <w:sz w:val="16"/>
          <w:szCs w:val="16"/>
          <w:color w:val="auto"/>
        </w:rPr>
        <w:t>Prior to June 15, 2015, the Company may redeem up to 35% of the 2020 Notes at a redemption price of 106.875% of the principal amount thereof, plus accrued and unpaid interest, if any, thereon to the redemption date, from the net cash proceeds of specified equity offerings. The Company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w:t>
      </w:r>
    </w:p>
    <w:p>
      <w:pPr>
        <w:spacing w:after="0" w:line="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3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 of Indenture and Loss on Extinguishment of Debt</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Company’s issuance of the additional $300.0 million of 2020 Notes issued in October 2012, the Company repurchased and redeemed all of its $275.0 million in aggregate principal amount of 2016 Notes then outstanding through a cash tender offer and redemption, and the indenture governing the 2016 Notes was satisfied and discharged in accordance with its terms. On October 12, 2012, the Company purchased approximately $262.1 million in aggregate principal amount of the 2016 Notes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tender offer. The total cash payment to purchase the tendered 2016 Notes in the tender offer, including accrued and unpaid interest up to, but excluding, the repurchase date and a $10 consent payment per $1,000 principal amount of notes tendered, was approximately $282.5 million. On November 14, 2012, the Company redeemed the remaining $12.9 million in aggregate principal amount of 2016 Notes pursuant to the optional redemption provisions of the 2016 Notes at a redemption price of 106.656% of the principal amount, plus accrued and unpaid interest to, but not including, the redemption date. The total cash payment to redeem the remaining 2016 Notes was approximately $14.0 million.</w:t>
      </w:r>
    </w:p>
    <w:p>
      <w:pPr>
        <w:spacing w:after="0" w:line="139"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As a result of the repurchase and redemption of the 2016 Notes, the Company recognized a $26.5 million loss on extinguishment of debt during the three and nine months ended December 28, 2012, which was comprised of $19.8 million in cash payments (including tender offer consideration, consent payments, redemption premium and related professional fees), and $6.7 million in non-cash charges (including unamortized discount and unamortized debt issuance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Product Warranty</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January 3, 2014 and December 28, 2012:</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2"/>
              </w:rPr>
              <w:t>January 3, 2014</w:t>
            </w:r>
          </w:p>
        </w:tc>
        <w:tc>
          <w:tcPr>
            <w:tcW w:w="19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2012</w:t>
            </w:r>
          </w:p>
        </w:tc>
        <w:tc>
          <w:tcPr>
            <w:tcW w:w="12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thousands)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2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liability for warranties issued in period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2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Settlements made (in cash or in kind) during the period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(4,987)</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(3,707)</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13,819</w:t>
            </w:r>
          </w:p>
        </w:tc>
        <w:tc>
          <w:tcPr>
            <w:tcW w:w="12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 May 2013, the Company entered into an agreement with The Boeing Company (Boeing) to purchase ViaSat-2, the Company’s second high-capacity Ka-band satellite, at a price of approximately $358.0 million, plus an additional amount for launch support services to be performed by Boeing.</w:t>
      </w:r>
    </w:p>
    <w:p>
      <w:pPr>
        <w:spacing w:after="0" w:line="12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February 2012, the Company filed a complaint against Space Systems/Loral, Inc. (SS/L) and its former parent company Loral Space &amp; Communications, Inc. (Loral) in the United States District Court for the Southern District of California for patent infringement and breach of contract relating to the manufacture of ViaSat-1. The Company alleges, among other things, that SS/L and Loral infringed U.S. Patent Nos. 8,107,875, 8,010,043, 8,068,827 and 7,773,942 by making, using, offering to sell and/or selling other high-capacity broadband satellites, and has requested monetary damages, injunctive relief and other remedies. On December 17, 2013, the Company voluntarily dismissed its claims against SS/L under U.S. Patent No. 7,773,942.</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 June 15, 2012, SS/L filed counterclaims against the Company for patent infringement and declaratory relief. Specifically, SS/L seeks a judicial declaration that SS/L did not breach the parties’ contract for the manufacture of ViaSat-1, that SS/L does not infringe the Company’s patents described above, and that those patents are invalid and/or unenforceable. SS/L also alleges that the Company infringed U.S. Patent Nos. 6,879,808, 6,400,696 and 7,219,132 by providing broadband internet service by means of the Anik F2 satellite using ViaSat satellite gateways and satellite user terminals and has induced others to infringe by selling certain ground equipment and user terminals. On November 13, 2013, the Court granted summary judgment of non-infringement of U.S. Patent No. 6,879,808 in favor of ViaSat. On December 17, 2013, SS/L dismissed its claims against ViaSat under U.S. Patent No. 7,219,132. Trial on the remaining claims is set for March 25, 2014.</w:t>
      </w:r>
    </w:p>
    <w:p>
      <w:pPr>
        <w:spacing w:after="0" w:line="14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September 5, 2013, the Company filed a complaint against SS/L in the United States District Court for the Southern District of California for patent infringement relating to SS/L’s continued use of ViaSat’s patented technology in the manufacture of high-capacity broadband satellites. The Company alleges, among other things, that SS/L infringed U.S. Patent Nos. 8,213,929, 8,254,832 and 8,285,202 by making, using, offering to sell and/or selling other high-capacity broadband satellites. The Company has requested monetary damages, injunctive relief and other remedies.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36" w:lineRule="exact"/>
        <w:rPr>
          <w:sz w:val="20"/>
          <w:szCs w:val="20"/>
          <w:color w:val="auto"/>
        </w:rPr>
      </w:pPr>
    </w:p>
    <w:p>
      <w:pPr>
        <w:ind w:right="40" w:firstLine="456"/>
        <w:spacing w:after="0" w:line="284" w:lineRule="auto"/>
        <w:rPr>
          <w:sz w:val="20"/>
          <w:szCs w:val="20"/>
          <w:color w:val="auto"/>
        </w:rPr>
      </w:pPr>
      <w:r>
        <w:rPr>
          <w:rFonts w:ascii="Times New Roman" w:cs="Times New Roman" w:eastAsia="Times New Roman" w:hAnsi="Times New Roman"/>
          <w:sz w:val="16"/>
          <w:szCs w:val="16"/>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completed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January 3, 2014 and March 29, 2013, the Company had $7.3 million and $7.2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92"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The Company currently estimates its annual effective income tax benefit rate to be approximately 65.0% for fiscal year 2014. The estimated annual effective income tax benefit rate differs from the expected statutory rate primarily due to federal and state research and development tax credits. In addition, the income tax benefit rate recorded for the three and nine months ended January 3, 2014 differed from the estimated annual income tax benefit rate primarily due to the valuation allowance on state net operating loss carryforwards increase of $1.0 million and decrease of $2.7 million, respectively. The American Taxpayer Relief Act of 2012 was enacted on January 2, 2013. This legislation retroactively reinstated and extended the federal research and development tax credit through December 31, 2013. If the federal research and development tax credit is extended through the end of fiscal year 2014, the Company may have a higher annual effective tax benefit rate for fiscal year 2014, and the amount of any such increase in the tax benefit rate will depend on the effective date of any such extension, the terms of the extension, as well as the amount of eligible research and development expenses in the extended period.</w:t>
      </w:r>
    </w:p>
    <w:p>
      <w:pPr>
        <w:spacing w:after="0" w:line="11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Future realization of the existing deferred tax asset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The Company’s analysis of the need for a valuation allowance on deferred tax assets considered the losses incurred during the three and nine months ended January 3, 2014 and the fiscal year ended March 29, 2013. The loss from fiscal year 2013 was more significant and a substantial portion of such loss resulted from an extinguishment of debt charge that was recorded upon the refinancing of the Company’s former 2016 Notes with the proceeds from the issuance of additional 2020 Notes, which provides a benefit to net income due to the lower interest rate of the 2020 Notes. The Company’s evaluation considered other factors, including the Company’s history of positive earnings, current earnings trends as its satellite subscriber base scales on its recently launched satellite, taxable income adjusted for certain items, the Company’s contractual backlog, and forecasted income by jurisdiction. The Company also considered the lengthy period over which these net deferred tax assets can be realized and the Company’s history of not having federal tax loss carryforwards expire unused. Based on the Company’s analysis of the need for a valuation allowance on deferred tax assets, the Company released $2.7 million of the valuation allowance on state net operating loss carryforwards during the first nine months of fiscal year 2014, as a result of the combination of the merger of ViaSat Communications, Inc. into ViaSat and changes in the apportioned state tax rates.</w:t>
      </w:r>
    </w:p>
    <w:p>
      <w:pPr>
        <w:spacing w:after="0" w:line="146"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For the three and nine months ended January 3, 2014, the Company’s gross unrecognized tax benefits decreased by $0.2 million and increased by $3.0 million, respectively. In the next twelve months, it is reasonably possible that the amount of unrecognized tax benefits will decrease by up to approximately $1.0 million as a result of the expiration of the statute of limitations or settlements with tax authorities for previously filed tax returns.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primarily in the United States, as well as managed network services for the satellite communication systems of the Company’s consumer, enterprise and mobile broadband customers worldwide.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secure fixed and mobile government communications systems, products, services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Segment revenues and operating profits (losses) for the three and nine months ended January 3, 2014 and December 28, 2012 were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560"/>
              <w:spacing w:after="0" w:line="125" w:lineRule="exact"/>
              <w:rPr>
                <w:sz w:val="20"/>
                <w:szCs w:val="20"/>
                <w:color w:val="auto"/>
              </w:rPr>
            </w:pPr>
            <w:r>
              <w:rPr>
                <w:rFonts w:ascii="Times New Roman" w:cs="Times New Roman" w:eastAsia="Times New Roman" w:hAnsi="Times New Roman"/>
                <w:sz w:val="14"/>
                <w:szCs w:val="14"/>
                <w:b w:val="1"/>
                <w:bCs w:val="1"/>
                <w:color w:val="auto"/>
                <w:w w:val="93"/>
              </w:rPr>
              <w:t>January 3,</w:t>
            </w: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gridSpan w:val="6"/>
          </w:tcPr>
          <w:p>
            <w:pPr>
              <w:jc w:val="right"/>
              <w:ind w:right="10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Satellite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98,637</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284,815</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71,750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284,846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Networks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64,241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284,815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216,116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68,652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299,445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 Systems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105,990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99,800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301,552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260,623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36,058</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121,695</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142,048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146,040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423,247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381,327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332,555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286,442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1,007,538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811,027</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profits (losses):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Satellite Services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(9,761)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(18,356)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(37,377)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Networks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(6,528)</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(3,558)</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Government Systems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66,232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Elimination of intersegment operating profits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Segment operating profit (loss) before corporate and amortization of acquired</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5,226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(3,652)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(10,949)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jc w:val="right"/>
              <w:ind w:right="252"/>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Assets identifiable to segments include: accounts receivable, unbilled accounts receivable, inventory, acquired intangible assets and goodwill. The Company’s property and equipment, including its satellites, gateways and other networking equipment, are assigned to corporate assets as they are available for use by the various segments throughout their estimated useful lives. Segment assets as of January 3, 2014 and March 29, 2013 were as follows:</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29,</w:t>
            </w: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Satellite Services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 Networks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246,498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 Systems</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196,392</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segment assets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 assets</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1,398,824</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1,290,840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1,929,408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1,794,072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acquired intangible assets, net and goodwill included in segment assets as of January 3, 2014 and March 29, 2013 were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Other Acquired Intangible</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4"/>
              </w:rPr>
              <w:t>Assets, Net</w:t>
            </w:r>
          </w:p>
        </w:tc>
        <w:tc>
          <w:tcPr>
            <w:tcW w:w="7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ind w:right="239"/>
              <w:spacing w:after="0" w:line="125" w:lineRule="exact"/>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239"/>
              <w:spacing w:after="0" w:line="125" w:lineRule="exact"/>
              <w:rPr>
                <w:sz w:val="20"/>
                <w:szCs w:val="20"/>
                <w:color w:val="auto"/>
              </w:rPr>
            </w:pPr>
            <w:r>
              <w:rPr>
                <w:rFonts w:ascii="Times New Roman" w:cs="Times New Roman" w:eastAsia="Times New Roman" w:hAnsi="Times New Roman"/>
                <w:sz w:val="14"/>
                <w:szCs w:val="14"/>
                <w:b w:val="1"/>
                <w:bCs w:val="1"/>
                <w:color w:val="auto"/>
              </w:rPr>
              <w:t>As of</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4"/>
                <w:szCs w:val="14"/>
                <w:b w:val="1"/>
                <w:bCs w:val="1"/>
                <w:color w:val="auto"/>
              </w:rPr>
              <w:t>As of</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ind w:right="216"/>
              <w:spacing w:after="0" w:line="125"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0"/>
                <w:szCs w:val="10"/>
                <w:color w:val="auto"/>
              </w:rPr>
            </w:pPr>
          </w:p>
        </w:tc>
      </w:tr>
      <w:tr>
        <w:trPr>
          <w:trHeight w:val="165"/>
        </w:trPr>
        <w:tc>
          <w:tcPr>
            <w:tcW w:w="45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January 3, 2014</w:t>
            </w:r>
          </w:p>
        </w:tc>
        <w:tc>
          <w:tcPr>
            <w:tcW w:w="72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2013</w:t>
            </w:r>
          </w:p>
        </w:tc>
        <w:tc>
          <w:tcPr>
            <w:tcW w:w="3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 2014</w:t>
            </w:r>
          </w:p>
        </w:tc>
        <w:tc>
          <w:tcPr>
            <w:tcW w:w="6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29, 2013</w:t>
            </w:r>
          </w:p>
        </w:tc>
      </w:tr>
      <w:tr>
        <w:trPr>
          <w:trHeight w:val="142"/>
        </w:trPr>
        <w:tc>
          <w:tcPr>
            <w:tcW w:w="45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Services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9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39,989</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9,809</w:t>
            </w:r>
          </w:p>
        </w:tc>
        <w:tc>
          <w:tcPr>
            <w:tcW w:w="8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Commercial Networks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1,520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43,766</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43,648</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Systems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5,661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29,724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29,543</w:t>
            </w:r>
          </w:p>
        </w:tc>
        <w:tc>
          <w:tcPr>
            <w:tcW w:w="100" w:type="dxa"/>
            <w:vAlign w:val="bottom"/>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39,042</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47,170</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83,299</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acquired intangible assets by segment for the three and nine months ended January 3, 2014 and December 28, 2012 was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January 3, 2014</w:t>
            </w:r>
          </w:p>
        </w:tc>
        <w:tc>
          <w:tcPr>
            <w:tcW w:w="7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3"/>
              </w:rPr>
              <w:t>December 28, 2012</w:t>
            </w:r>
          </w:p>
        </w:tc>
        <w:tc>
          <w:tcPr>
            <w:tcW w:w="7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January 3, 2014</w:t>
            </w:r>
          </w:p>
        </w:tc>
        <w:tc>
          <w:tcPr>
            <w:tcW w:w="7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December 28, 2012</w:t>
            </w:r>
          </w:p>
        </w:tc>
        <w:tc>
          <w:tcPr>
            <w:tcW w:w="10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3"/>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Services</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1180" w:type="dxa"/>
            <w:vAlign w:val="bottom"/>
            <w:gridSpan w:val="2"/>
            <w:shd w:val="clear" w:color="auto" w:fill="CCEEFF"/>
          </w:tcPr>
          <w:p>
            <w:pPr>
              <w:jc w:val="right"/>
              <w:ind w:right="28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Commercial Networks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Systems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7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7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amortization of acquired intangible assets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72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7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740" w:type="dxa"/>
            <w:vAlign w:val="bottom"/>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information by geographic area for the three and nine months ended January 3, 2014 and December 28, 2012 was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January 3, 2014</w:t>
            </w: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28, 2012</w:t>
            </w:r>
          </w:p>
        </w:tc>
        <w:tc>
          <w:tcPr>
            <w:tcW w:w="6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3, 2014</w:t>
            </w:r>
          </w:p>
        </w:tc>
        <w:tc>
          <w:tcPr>
            <w:tcW w:w="108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December 28, 2012</w:t>
            </w:r>
          </w:p>
        </w:tc>
        <w:tc>
          <w:tcPr>
            <w:tcW w:w="10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3"/>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275,127</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221,445</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771,824</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606,669</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39,903</w:t>
            </w:r>
          </w:p>
        </w:tc>
        <w:tc>
          <w:tcPr>
            <w:tcW w:w="16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97,537</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126,448</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14,256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114,065</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35,148</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8,786</w:t>
            </w:r>
          </w:p>
        </w:tc>
        <w:tc>
          <w:tcPr>
            <w:tcW w:w="16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20,558</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and Latin America</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2,052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3,554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00" w:type="dxa"/>
            <w:vAlign w:val="bottom"/>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286,442</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1,007,538</w:t>
            </w:r>
          </w:p>
        </w:tc>
        <w:tc>
          <w:tcPr>
            <w:tcW w:w="6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811,027</w:t>
            </w:r>
          </w:p>
        </w:tc>
        <w:tc>
          <w:tcPr>
            <w:tcW w:w="10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55" w:right="4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distinguishes revenues from external customers by geographic area based on customer location.</w:t>
      </w:r>
    </w:p>
    <w:p>
      <w:pPr>
        <w:spacing w:after="0" w:line="171"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The net book value of long-lived assets located outside the United States was $19.3 million and $18.5 million at January 3, 2014 and March 29, 2013,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Certain Relationships and Related-Party Transactions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John Stenbit, a director of the Company since August 2004, also serves on the board of directors of Loral. In 2008, the Company entered into a beam sharing agreement with Loral, whereby Loral was responsible for contributing 15% of the total costs associated with the ViaSat-1 satellite project and satellite operating costs past launch. The beam sharing agreement was approved by the disinterested members of the Company’s Board of Directors, after a determination by the disinterested members of the Company’s Board that the terms and conditions of the agreement were fair to and in the best interests of the Company and its stockholders. In March 2011, Loral entered into agreements with Telesat Canada (an entity owned by TeleSat Holdings, Inc., a joint venture between Loral and the Public Sector Pension Investment Board) pursuant to which Loral assigned to Telesat Canada, and Telesat Canada assumed from Loral, all of Loral’s rights and obligations with respect to the Canadian beams on ViaSat-1. Material amounts related to the beam sharing agreement with Telesat Canada are disclosed in the tables below.</w:t>
      </w:r>
    </w:p>
    <w:p>
      <w:pPr>
        <w:spacing w:after="0" w:line="138"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In addition, from time to time, the Company enters into various contracts in the ordinary course of business with Loral and Telesat Canada. Material amounts related to these contracts are disclosed in the tables below.</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Expense for the three and nine months ended January 3, 2014 and December 28, 2012 was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13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3, 2014</w:t>
            </w:r>
          </w:p>
        </w:tc>
        <w:tc>
          <w:tcPr>
            <w:tcW w:w="1480" w:type="dxa"/>
            <w:vAlign w:val="bottom"/>
            <w:tcBorders>
              <w:bottom w:val="single" w:sz="8" w:color="auto"/>
            </w:tcBorders>
            <w:gridSpan w:val="2"/>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w w:val="93"/>
              </w:rPr>
              <w:t>December 28, 2012</w:t>
            </w:r>
          </w:p>
        </w:tc>
        <w:tc>
          <w:tcPr>
            <w:tcW w:w="7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3, 2014</w:t>
            </w:r>
          </w:p>
        </w:tc>
        <w:tc>
          <w:tcPr>
            <w:tcW w:w="1480" w:type="dxa"/>
            <w:vAlign w:val="bottom"/>
            <w:tcBorders>
              <w:bottom w:val="single" w:sz="8" w:color="auto"/>
            </w:tcBorders>
            <w:gridSpan w:val="2"/>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w w:val="93"/>
              </w:rPr>
              <w:t>December 28, 2012</w:t>
            </w:r>
          </w:p>
        </w:tc>
        <w:tc>
          <w:tcPr>
            <w:tcW w:w="10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60" w:type="dxa"/>
            <w:vAlign w:val="bottom"/>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04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Telesat Canada – ordinary course of</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4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business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2"/>
              <w:spacing w:after="0"/>
              <w:rPr>
                <w:sz w:val="20"/>
                <w:szCs w:val="20"/>
                <w:color w:val="auto"/>
              </w:rPr>
            </w:pPr>
            <w:r>
              <w:rPr>
                <w:rFonts w:ascii="Times New Roman" w:cs="Times New Roman" w:eastAsia="Times New Roman" w:hAnsi="Times New Roman"/>
                <w:sz w:val="18"/>
                <w:szCs w:val="18"/>
                <w:color w:val="auto"/>
              </w:rPr>
              <w:t>1,847</w:t>
            </w:r>
          </w:p>
        </w:tc>
        <w:tc>
          <w:tcPr>
            <w:tcW w:w="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2,467</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2"/>
              <w:spacing w:after="0"/>
              <w:rPr>
                <w:sz w:val="20"/>
                <w:szCs w:val="20"/>
                <w:color w:val="auto"/>
              </w:rPr>
            </w:pPr>
            <w:r>
              <w:rPr>
                <w:rFonts w:ascii="Times New Roman" w:cs="Times New Roman" w:eastAsia="Times New Roman" w:hAnsi="Times New Roman"/>
                <w:sz w:val="18"/>
                <w:szCs w:val="18"/>
                <w:color w:val="auto"/>
              </w:rPr>
              <w:t>5,886</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Pr>
          <w:p>
            <w:pPr>
              <w:spacing w:after="0"/>
              <w:rPr>
                <w:sz w:val="19"/>
                <w:szCs w:val="19"/>
                <w:color w:val="auto"/>
              </w:rPr>
            </w:pPr>
          </w:p>
        </w:tc>
      </w:tr>
    </w:tbl>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paid during the nine months ended January 3, 2014 and December 28, 2012 was as follows: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3, 2014</w:t>
            </w:r>
          </w:p>
        </w:tc>
        <w:tc>
          <w:tcPr>
            <w:tcW w:w="1960" w:type="dxa"/>
            <w:vAlign w:val="bottom"/>
            <w:tcBorders>
              <w:bottom w:val="single" w:sz="8" w:color="auto"/>
            </w:tcBorders>
            <w:gridSpan w:val="2"/>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28, 2012</w:t>
            </w:r>
          </w:p>
        </w:tc>
        <w:tc>
          <w:tcPr>
            <w:tcW w:w="10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tcPr>
          <w:p>
            <w:pPr>
              <w:jc w:val="center"/>
              <w:ind w:right="266"/>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Telesat Canada – ordinary course of business</w:t>
            </w:r>
          </w:p>
        </w:tc>
        <w:tc>
          <w:tcPr>
            <w:tcW w:w="20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6,203</w:t>
            </w:r>
          </w:p>
        </w:tc>
        <w:tc>
          <w:tcPr>
            <w:tcW w:w="1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Pr>
          <w:p>
            <w:pPr>
              <w:spacing w:after="0"/>
              <w:rPr>
                <w:sz w:val="19"/>
                <w:szCs w:val="19"/>
                <w:color w:val="auto"/>
              </w:rPr>
            </w:pPr>
          </w:p>
        </w:tc>
      </w:tr>
      <w:tr>
        <w:trPr>
          <w:trHeight w:val="350"/>
        </w:trPr>
        <w:tc>
          <w:tcPr>
            <w:tcW w:w="3920" w:type="dxa"/>
            <w:vAlign w:val="bottom"/>
          </w:tcPr>
          <w:p>
            <w:pPr>
              <w:spacing w:after="0"/>
              <w:rPr>
                <w:sz w:val="24"/>
                <w:szCs w:val="24"/>
                <w:color w:val="auto"/>
              </w:rPr>
            </w:pPr>
          </w:p>
        </w:tc>
        <w:tc>
          <w:tcPr>
            <w:tcW w:w="170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4180"/>
        <w:spacing w:after="0" w:line="345"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anticipated performance of products or services; satellite construction activities; the performance and anticipated benefits of the ViaSat-2 satellite; the expected capacity, service, coverage, service speeds and other features of ViaSat-2,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realize the anticipated benefits of the ViaSat-2 satellite; unexpected expenses related to the satellite project; our ability to successfully implement our business plan for our broadband satellite services on our anticipated timeline or at all, including with respect to the ViaSat-2 satellite system; risks associated with the construction, launch and operation of ViaSat-2 and our other satellites, including the effect of any anomaly, operational failure or degradation in satellite performance; negative audits by the U.S. government; continued turmoil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our ability to successfully develop, introduce and sell new technologies, products and services;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w:t>
      </w:r>
    </w:p>
    <w:p>
      <w:pPr>
        <w:spacing w:after="0" w:line="200" w:lineRule="exact"/>
        <w:rPr>
          <w:sz w:val="20"/>
          <w:szCs w:val="20"/>
          <w:color w:val="auto"/>
        </w:rPr>
      </w:pPr>
    </w:p>
    <w:p>
      <w:pPr>
        <w:spacing w:after="0" w:line="212"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6"/>
          <w:szCs w:val="16"/>
          <w:color w:val="auto"/>
        </w:rPr>
        <w:t>Item 1A of our Annual Report on Form 10-K for the fiscal year ended March 29, 2013, under the heading “Risk Factors” in Part II, Item 1A of this report,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are a leading provider of high-speed fixed and mobile broadband services, advanced satellite and other wireless networks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conduct our business through three segments: satellite services, commercial networks and government systems.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Satellite Services</w:t>
      </w:r>
    </w:p>
    <w:p>
      <w:pPr>
        <w:spacing w:after="0" w:line="9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satellite services segment provides retail and wholesale satellite-based broadband services for our consumer, enterprise and mobile broadband customers primarily in the United States. Our satellite services business also provides a platform for the provision of network management services to domestic and international satellite service providers. During the first quarter of fiscal year 2014, we entered into a satellite construction contract for ViaSat-2, our second high-capacity Ka-band satellite.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primary services offered by our satellite services segment are comprised of:</w:t>
      </w:r>
    </w:p>
    <w:p>
      <w:pPr>
        <w:spacing w:after="0" w:line="88" w:lineRule="exact"/>
        <w:rPr>
          <w:sz w:val="20"/>
          <w:szCs w:val="20"/>
          <w:color w:val="auto"/>
        </w:rPr>
      </w:pPr>
    </w:p>
    <w:p>
      <w:pPr>
        <w:ind w:left="900" w:right="240" w:hanging="325"/>
        <w:spacing w:after="0" w:line="25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and Wholesale Broadband Satellite Services. </w:t>
      </w:r>
      <w:r>
        <w:rPr>
          <w:rFonts w:ascii="Times New Roman" w:cs="Times New Roman" w:eastAsia="Times New Roman" w:hAnsi="Times New Roman"/>
          <w:sz w:val="18"/>
          <w:szCs w:val="18"/>
          <w:color w:val="auto"/>
        </w:rPr>
        <w:t>Our retail and wholesale broadband satellite services offered under the Exede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WildBlue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provide two-way satellite-based broadband internet access to consumers and small businesses in the United States and recently, voice over internet protocol (VOIP). We offer a range of service plans to both retail and wholesale customers, with pricing based on a number of different factors, including bandwidth limits, service quality levels and terms of distribution. We offer wholesale broadband services to our national and regional distribution partners, including direct-to-home satellite video providers, retail service providers and communications companies. As of January 3, 2014, we provided broadband satellite services to approximately 620,000 subscribers.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900" w:right="420" w:hanging="325"/>
        <w:spacing w:after="0" w:line="277"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Mobile Broadband Services. </w:t>
      </w:r>
      <w:r>
        <w:rPr>
          <w:rFonts w:ascii="Times New Roman" w:cs="Times New Roman" w:eastAsia="Times New Roman" w:hAnsi="Times New Roman"/>
          <w:sz w:val="18"/>
          <w:szCs w:val="18"/>
          <w:color w:val="auto"/>
        </w:rPr>
        <w:t>Our Yonder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mobile broadband services provide global network management and high-speed internet connectivity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for customers using airborne, maritime and ground-mobile satellite systems.</w:t>
      </w:r>
    </w:p>
    <w:p>
      <w:pPr>
        <w:spacing w:after="0" w:line="35" w:lineRule="exact"/>
        <w:rPr>
          <w:rFonts w:ascii="Times New Roman" w:cs="Times New Roman" w:eastAsia="Times New Roman" w:hAnsi="Times New Roman"/>
          <w:sz w:val="18"/>
          <w:szCs w:val="18"/>
          <w:color w:val="auto"/>
        </w:rPr>
      </w:pPr>
    </w:p>
    <w:p>
      <w:pPr>
        <w:jc w:val="both"/>
        <w:ind w:left="900" w:right="480" w:hanging="325"/>
        <w:spacing w:after="0" w:line="26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Broadband Services. </w:t>
      </w:r>
      <w:r>
        <w:rPr>
          <w:rFonts w:ascii="Times New Roman" w:cs="Times New Roman" w:eastAsia="Times New Roman" w:hAnsi="Times New Roman"/>
          <w:sz w:val="18"/>
          <w:szCs w:val="18"/>
          <w:color w:val="auto"/>
        </w:rPr>
        <w:t>We also offer high-speed broadband services to enterprises, who are increasingly requiring higher-speed,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economical communications in hard-to-reach locations, as well as mobile broadband solutions. Our enterprise broadband services include high definition satellite news gathering, in-flight WiFi and live on-line event streaming.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Networks</w:t>
      </w:r>
    </w:p>
    <w:p>
      <w:pPr>
        <w:spacing w:after="0" w:line="9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103" w:lineRule="exact"/>
        <w:rPr>
          <w:sz w:val="20"/>
          <w:szCs w:val="20"/>
          <w:color w:val="auto"/>
        </w:rPr>
      </w:pPr>
    </w:p>
    <w:p>
      <w:pPr>
        <w:ind w:right="720" w:firstLine="456"/>
        <w:spacing w:after="0" w:line="275" w:lineRule="auto"/>
        <w:rPr>
          <w:sz w:val="20"/>
          <w:szCs w:val="20"/>
          <w:color w:val="auto"/>
        </w:rPr>
      </w:pPr>
      <w:r>
        <w:rPr>
          <w:rFonts w:ascii="Times New Roman" w:cs="Times New Roman" w:eastAsia="Times New Roman" w:hAnsi="Times New Roman"/>
          <w:sz w:val="18"/>
          <w:szCs w:val="18"/>
          <w:color w:val="auto"/>
        </w:rPr>
        <w:t>Our satellite communication systems, ground networking equipment and products cater to a wide range of domestic and international commercial customers and include:</w:t>
      </w:r>
    </w:p>
    <w:p>
      <w:pPr>
        <w:spacing w:after="0" w:line="39"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satellite networks, including next-generation satellite network infrastructure and ground terminals to access high-capacity satellites.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broadband satellite communication systems, designed for use in aircraft, high-speed trains and seagoing vessels.</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Antenna systems for terrestrial and satellite applications, specializing in geospatial imagery, mobile satellite communication, Ka-band gateways and other multi-band antennas.</w:t>
      </w:r>
    </w:p>
    <w:p>
      <w:pPr>
        <w:spacing w:after="0" w:line="38"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Satellite networking development programs, including specialized design and technology services covering all aspects of satellite communication system architecture and technology.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Systems</w:t>
      </w:r>
    </w:p>
    <w:p>
      <w:pPr>
        <w:spacing w:after="0" w:line="9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primary products and services of our government systems segment include:</w:t>
      </w:r>
    </w:p>
    <w:p>
      <w:pPr>
        <w:spacing w:after="0" w:line="90" w:lineRule="exact"/>
        <w:rPr>
          <w:sz w:val="20"/>
          <w:szCs w:val="20"/>
          <w:color w:val="auto"/>
        </w:rPr>
      </w:pPr>
    </w:p>
    <w:p>
      <w:pPr>
        <w:ind w:left="900" w:right="100" w:hanging="325"/>
        <w:spacing w:after="0" w:line="258"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and satellite networking services, as well as products designed for manpacks, aircraft, unmanned aerial vehicles (UAVs), seagoing vessels, ground mobile vehicles and fixed applications.</w:t>
      </w:r>
    </w:p>
    <w:p>
      <w:pPr>
        <w:spacing w:after="0" w:line="55" w:lineRule="exact"/>
        <w:rPr>
          <w:rFonts w:ascii="Times New Roman" w:cs="Times New Roman" w:eastAsia="Times New Roman" w:hAnsi="Times New Roman"/>
          <w:sz w:val="18"/>
          <w:szCs w:val="18"/>
          <w:color w:val="auto"/>
        </w:rPr>
      </w:pPr>
    </w:p>
    <w:p>
      <w:pPr>
        <w:jc w:val="both"/>
        <w:ind w:left="900" w:right="480" w:hanging="325"/>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assurance products and secure networking solutions, which provide advanced, high-speed IP-based “Type 1” and High Assurance Internet Protocol Encryption (HAIPE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)-compliant encryption solutions that enable military and government users to communicate information securely over networks, and that secure data stored on computers and storage devices.</w:t>
      </w:r>
    </w:p>
    <w:p>
      <w:pPr>
        <w:spacing w:after="0" w:line="51"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Tactical data links, including Multifunctional Information Distribution System (MIDS) terminals for military fighter jets and their successor, MIDS Joint Tactical Radio System (MIDS-JTRS) terminals, “disposable” weapon data links and portable small tactical terminals.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w:t>
      </w:r>
    </w:p>
    <w:p>
      <w:pPr>
        <w:spacing w:after="0" w:line="9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Our satellite services segment revenues are primarily derived from our domestic satellite broadband services business and from our worldwide managed network services.</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products in our commercial networks and government systems segments are provided primarily through three types of contracts: fixed-price, time-and-materials and cost-reimbursement contracts. Fixed-price contracts (which require us to provide products and services under a contract at a specified price) comprised approximately 92% and 95% of our total revenues for these segments for the three months ended January 3, 2014 and December 28, 2012, respectively, and 93% and 94% of our total revenues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these segments for the nine months ended January 3, 2014 and December 28, 2012,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3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Historically, a significant portion of our revenues has been derived from customer contracts that include the research and development of products.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efforts are conducted in direct response to the customer’s specific requirements and, accordingly, expenditures related to such efforts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are included in cost of sales when incurred and the related funding (which includes a profit component) is included in revenues. Revenues for our funded research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development from our customer contracts were approximately 32% and 31% of our total revenues in the three months ended January 3, 2014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28, 2012, respectively. Revenues for our funded research and development from our customer contracts were approximately 31% and 29% of our total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in the nine months ended January 3, 2014 and December 28, 2012, respectively.</w:t>
      </w:r>
    </w:p>
    <w:p>
      <w:pPr>
        <w:spacing w:after="0" w:line="15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5% and 3% of total revenues during the three months ended January 3, 2014 and December 28, 2012, respectively, and approximately 4% and 3% of total revenues during the nine months ended January 3, 2014 and December 28, 2012, respectively. As a government contractor, we are able to recover a portion of our IR&amp;D expenses pursuant to our government contracts.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36"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January 3, 2014 and December 28, 2012, we recorded losses of approximately $1.7 million and $0.6 million, respectively, related to loss contracts. During the nine months ended January 3, 2014 and December 28, 2012, we recorded losses of approximately $2.7 million and $3.1 million, respectively, related to loss contracts.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January 3, 2014 would change our loss before income taxes by approximately $0.5 million.</w:t>
      </w:r>
    </w:p>
    <w:p>
      <w:pPr>
        <w:spacing w:after="0" w:line="14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32" w:lineRule="exact"/>
        <w:rPr>
          <w:sz w:val="20"/>
          <w:szCs w:val="20"/>
          <w:color w:val="auto"/>
        </w:rPr>
      </w:pPr>
    </w:p>
    <w:p>
      <w:pPr>
        <w:ind w:right="140" w:firstLine="456"/>
        <w:spacing w:after="0" w:line="287" w:lineRule="auto"/>
        <w:rPr>
          <w:sz w:val="20"/>
          <w:szCs w:val="20"/>
          <w:color w:val="auto"/>
        </w:rPr>
      </w:pPr>
      <w:r>
        <w:rPr>
          <w:rFonts w:ascii="Times New Roman" w:cs="Times New Roman" w:eastAsia="Times New Roman" w:hAnsi="Times New Roman"/>
          <w:sz w:val="16"/>
          <w:szCs w:val="16"/>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40" w:firstLine="8"/>
        <w:spacing w:after="0" w:line="288" w:lineRule="auto"/>
        <w:tabs>
          <w:tab w:leader="none" w:pos="2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1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41"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To determine the selling price in multiple-element arrangements, we establish VSOE of the selling price using the price charged for a deliverable when sold separately and for software license updates,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15"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reserves</w:t>
      </w:r>
    </w:p>
    <w:p>
      <w:pPr>
        <w:spacing w:after="0" w:line="9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satellites</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3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own two satellites: ViaSat-1 (our high-capacity Ka-band spot-beam satellite, which was placed into service in January 2012) and WildBlue-1 (which was placed into service in March 2007). During the first quarter of fiscal year 2014, we entered into a satellite construction contract for ViaSat-2, a second high-capacity Ka-band satellite. In addition, we have an exclusive prepaid lifetime capital lease of Ka-band capacity over the continental United States on Telesat Canada’s Anik F2 satellite (which was placed into service in April 2005) and own related gateway and networking equipment on all of our satellites. Property and equipment also includes the indoor and outdoor customer premise equipment (CPE) units leased to subscribers under a retail leasing program as part of our satellite services segment.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and other long-term assets (property, equipment and satellites, and other assets, including goodwill)</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nine months ended January 3, 2014 and December 28, 2012.</w:t>
      </w:r>
    </w:p>
    <w:p>
      <w:pPr>
        <w:spacing w:after="0" w:line="141"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We account for our goodwill under the authoritative guidance for goodwill and other intangible assets (ASC 350) and the provisions of ASU 2011-08, Testing Goodwill for Impairment, which permits us to make a qualitative assessment of whether it is more likely than not that a reporting unit’s fair value is less than its carrying amount before applying the two step goodwill impairment test. If, after completing our qualitative assessment we determine that it is more likely than not that the carrying value exceeds estimated fair value, we compare the fair value to our carrying value (including goodwill). If the estimated fair value is greater than the carrying value, we conclude that no impairment exists.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qualitative analysis we conducted in the fourth quarter of fiscal year 2013 included assessing the impact of changes in certain factors including:</w:t>
      </w:r>
    </w:p>
    <w:p>
      <w:pPr>
        <w:spacing w:after="0" w:line="21" w:lineRule="exact"/>
        <w:rPr>
          <w:sz w:val="20"/>
          <w:szCs w:val="20"/>
          <w:color w:val="auto"/>
        </w:rPr>
      </w:pPr>
    </w:p>
    <w:p>
      <w:pPr>
        <w:ind w:right="60" w:firstLine="8"/>
        <w:spacing w:after="0" w:line="254"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Based on our qualitative assessment performed during the fourth quarter of fiscal year 2013, we concluded that it was more likely than not that the estimated fair value of our reporting units exceeded its carrying value as of March 29, 2013 and, therefore, determined it was not necessary to perform the two step goodwill impairment test.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valuation allowance on deferred tax assets</w:t>
      </w:r>
    </w:p>
    <w:p>
      <w:pPr>
        <w:spacing w:after="0" w:line="9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Management evaluates the realizability of our deferred tax assets and assesses the need for a valuation allowance on a quarterly basis. In accordance with the authoritative guidance for income taxes (ASC 740), net deferred tax assets are reduced by a valuation allowance if, based on all the available evidence, it is more likely than not that some or all of the deferred tax assets will not be realized. Our valuation allowance against deferred tax assets decreased from $16.0 million at March 29, 2013 to $14.1 million at January 3, 2014. The valuation allowance primarily relates to state net operating loss carryforwards and research and development credit carryforwards available to reduce state income taxes.</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analysis of the need for a valuation allowance on deferred tax assets considered the losses incurred during the three and nine months ended January 3, 2014 and the fiscal year ended March 29, 2013. The loss from fiscal year 2013 was more significant and a substantial portion of such loss resulted from an extinguishment of debt charge that was recorded upon the refinancing of our former 8.875% Senior Notes due 2016 (2016 Notes) with the proceeds from the issuance of additional 6.875% Senior Notes due 2020 (2020 Notes), which provides a benefit to net income due to the lower interest rate of the 2020 Notes. Our evaluation considered other factors, including our history of positive earnings, current earnings trends as our satellite subscriber base scales on our recently launched satellite, ViaSat-1, taxable income adjusted for certain items, our contractual backlog, and forecasted income by jurisdiction. We also considered the lengthy period over which these net deferred tax assets can be realized and our history of not having federal tax loss carryforwards expire unused. Based on our analysis of the need for a valuation allowance on deferred tax assets, we released $2.7 million of the valuation allowance on state net operating loss carryforwards during the first nine months of fiscal year 2014, as a result of the combination of the merger of ViaSat Communications, Inc. into ViaSat and changes in the apportioned state tax rates.</w:t>
      </w:r>
    </w:p>
    <w:p>
      <w:pPr>
        <w:spacing w:after="0" w:line="14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3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as a percentage of total revenues, income statement data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4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700" w:type="dxa"/>
            <w:vAlign w:val="bottom"/>
            <w:tcBorders>
              <w:top w:val="single" w:sz="8" w:color="auto"/>
            </w:tcBorders>
            <w:gridSpan w:val="2"/>
          </w:tcPr>
          <w:p>
            <w:pPr>
              <w:jc w:val="center"/>
              <w:ind w:right="3"/>
              <w:spacing w:after="0" w:line="125" w:lineRule="exact"/>
              <w:rPr>
                <w:sz w:val="20"/>
                <w:szCs w:val="20"/>
                <w:color w:val="auto"/>
              </w:rPr>
            </w:pPr>
            <w:r>
              <w:rPr>
                <w:rFonts w:ascii="Times New Roman" w:cs="Times New Roman" w:eastAsia="Times New Roman" w:hAnsi="Times New Roman"/>
                <w:sz w:val="14"/>
                <w:szCs w:val="14"/>
                <w:b w:val="1"/>
                <w:bCs w:val="1"/>
                <w:color w:val="auto"/>
                <w:w w:val="97"/>
              </w:rPr>
              <w:t>January 3,</w:t>
            </w:r>
          </w:p>
        </w:tc>
        <w:tc>
          <w:tcPr>
            <w:tcW w:w="4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28,</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Borders>
              <w:top w:val="single" w:sz="8" w:color="auto"/>
            </w:tcBorders>
            <w:gridSpan w:val="5"/>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0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Product revenues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 revenues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product revenues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Cost of service revenues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gridSpan w:val="3"/>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0.4</w:t>
            </w:r>
          </w:p>
        </w:tc>
        <w:tc>
          <w:tcPr>
            <w:tcW w:w="28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 net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4"/>
          </w:tcPr>
          <w:p>
            <w:pPr>
              <w:jc w:val="right"/>
              <w:ind w:right="292"/>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4"/>
          </w:tcPr>
          <w:p>
            <w:pPr>
              <w:jc w:val="right"/>
              <w:ind w:right="292"/>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ViaSat, Inc.</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ind w:right="292"/>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9"/>
                <w:szCs w:val="19"/>
                <w:color w:val="auto"/>
              </w:rPr>
            </w:pP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44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45"/>
        </w:trPr>
        <w:tc>
          <w:tcPr>
            <w:tcW w:w="6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January 3, 2014 vs. Three Months Ended December 28, 2012</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4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460" w:type="dxa"/>
            <w:vAlign w:val="bottom"/>
            <w:vMerge w:val="restart"/>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3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Borders>
              <w:top w:val="single" w:sz="8" w:color="auto"/>
            </w:tcBorders>
            <w:gridSpan w:val="3"/>
          </w:tcPr>
          <w:p>
            <w:pPr>
              <w:jc w:val="right"/>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3"/>
              </w:rPr>
              <w:t>January 3,</w:t>
            </w:r>
          </w:p>
        </w:tc>
        <w:tc>
          <w:tcPr>
            <w:tcW w:w="4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gridSpan w:val="4"/>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0" w:type="dxa"/>
            <w:vAlign w:val="bottom"/>
          </w:tcPr>
          <w:p>
            <w:pPr>
              <w:spacing w:after="0"/>
              <w:rPr>
                <w:sz w:val="10"/>
                <w:szCs w:val="10"/>
                <w:color w:val="auto"/>
              </w:rPr>
            </w:pP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7"/>
        </w:trPr>
        <w:tc>
          <w:tcPr>
            <w:tcW w:w="460" w:type="dxa"/>
            <w:vAlign w:val="bottom"/>
            <w:vMerge w:val="continue"/>
          </w:tcPr>
          <w:p>
            <w:pPr>
              <w:spacing w:after="0"/>
              <w:rPr>
                <w:sz w:val="13"/>
                <w:szCs w:val="13"/>
                <w:color w:val="auto"/>
              </w:rPr>
            </w:pPr>
          </w:p>
        </w:tc>
        <w:tc>
          <w:tcPr>
            <w:tcW w:w="2000" w:type="dxa"/>
            <w:vAlign w:val="bottom"/>
            <w:tcBorders>
              <w:bottom w:val="single" w:sz="8" w:color="auto"/>
            </w:tcBorders>
            <w:vMerge w:val="continue"/>
          </w:tcPr>
          <w:p>
            <w:pPr>
              <w:spacing w:after="0"/>
              <w:rPr>
                <w:sz w:val="13"/>
                <w:szCs w:val="13"/>
                <w:color w:val="auto"/>
              </w:rPr>
            </w:pPr>
          </w:p>
        </w:tc>
        <w:tc>
          <w:tcPr>
            <w:tcW w:w="332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Pr>
          <w:p>
            <w:pPr>
              <w:spacing w:after="0"/>
              <w:rPr>
                <w:sz w:val="13"/>
                <w:szCs w:val="13"/>
                <w:color w:val="auto"/>
              </w:rPr>
            </w:pPr>
          </w:p>
        </w:tc>
        <w:tc>
          <w:tcPr>
            <w:tcW w:w="1220" w:type="dxa"/>
            <w:vAlign w:val="bottom"/>
            <w:gridSpan w:val="4"/>
          </w:tcPr>
          <w:p>
            <w:pPr>
              <w:jc w:val="right"/>
              <w:ind w:right="172"/>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4"/>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3"/>
                <w:szCs w:val="13"/>
                <w:color w:val="auto"/>
              </w:rPr>
            </w:pP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560" w:type="dxa"/>
            <w:vAlign w:val="bottom"/>
            <w:vMerge w:val="restart"/>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32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193.8</w:t>
            </w:r>
          </w:p>
        </w:tc>
        <w:tc>
          <w:tcPr>
            <w:tcW w:w="16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164.7</w:t>
            </w:r>
          </w:p>
        </w:tc>
        <w:tc>
          <w:tcPr>
            <w:tcW w:w="2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29.2</w:t>
            </w:r>
          </w:p>
        </w:tc>
        <w:tc>
          <w:tcPr>
            <w:tcW w:w="44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121.7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4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286.4</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Our total revenues grew by $46.1 million as a result of the $29.2 million increase in product revenues and the $17.0 million increase in service revenues. The product revenue increase was comprised primarily of $23.6 million in our commercial networks segment and $6.2 million in our government systems segment. The service revenue increase was comprised primarily of $27.5 million in our satellite services segment, offset by a decrease of $10.2 million in our government systems segment.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5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80" w:type="dxa"/>
            <w:vAlign w:val="bottom"/>
          </w:tcPr>
          <w:p>
            <w:pPr>
              <w:spacing w:after="0"/>
              <w:rPr>
                <w:sz w:val="10"/>
                <w:szCs w:val="10"/>
                <w:color w:val="auto"/>
              </w:rPr>
            </w:pPr>
          </w:p>
        </w:tc>
        <w:tc>
          <w:tcPr>
            <w:tcW w:w="62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January 3,</w:t>
            </w:r>
          </w:p>
        </w:tc>
        <w:tc>
          <w:tcPr>
            <w:tcW w:w="5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580" w:type="dxa"/>
            <w:vAlign w:val="bottom"/>
          </w:tcPr>
          <w:p>
            <w:pPr>
              <w:spacing w:after="0"/>
              <w:rPr>
                <w:sz w:val="10"/>
                <w:szCs w:val="10"/>
                <w:color w:val="auto"/>
              </w:rPr>
            </w:pP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2"/>
              </w:rPr>
              <w:t>(Decrease)</w:t>
            </w:r>
          </w:p>
        </w:tc>
        <w:tc>
          <w:tcPr>
            <w:tcW w:w="580" w:type="dxa"/>
            <w:vAlign w:val="bottom"/>
          </w:tcPr>
          <w:p>
            <w:pPr>
              <w:spacing w:after="0"/>
              <w:rPr>
                <w:sz w:val="13"/>
                <w:szCs w:val="13"/>
                <w:color w:val="auto"/>
              </w:rPr>
            </w:pP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38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140.5</w:t>
            </w:r>
          </w:p>
        </w:tc>
        <w:tc>
          <w:tcPr>
            <w:tcW w:w="5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119.3</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21.3</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211.4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Cost of revenues grew by $31.7 million due to a $21.3 million cost of product revenues increase and a $10.5 million cost of service revenues increase. The cost of product revenues increase was primarily due to increased revenues, causing a $21.1 million increase in cost of product revenues on a constant margin basis. This increase mainly related to growth in fixed satellite networks (driven by consumer broadband products) and mobile broadband satellite communication systems in our commercial networks segment, but product sales also grew in our government systems segment from information assurance products and tactical data link products. The cost of service revenues increase was primarily due to increased service revenues, which caused a $12.8 million increase in cost of service revenues on a constant margin basis. This increase mainly related to our Exede broadband services in our satellite services segment. Additionally, as our Exede subscribers have continued to grow and related revenues scale, we have also experienced improved margins from our broadband services in our satellite services segment.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720" w:type="dxa"/>
            <w:vAlign w:val="bottom"/>
            <w:vMerge w:val="restart"/>
          </w:tcPr>
          <w:p>
            <w:pPr>
              <w:spacing w:after="0"/>
              <w:rPr>
                <w:sz w:val="10"/>
                <w:szCs w:val="10"/>
                <w:color w:val="auto"/>
              </w:rPr>
            </w:pPr>
          </w:p>
        </w:tc>
        <w:tc>
          <w:tcPr>
            <w:tcW w:w="126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3"/>
          </w:tcPr>
          <w:p>
            <w:pPr>
              <w:jc w:val="center"/>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3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106"/>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02"/>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3"/>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5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69.1</w:t>
            </w: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62.2</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$6.9 million increase in selling, general and administrative (SG&amp;A) expenses was primarily attributable to higher support costs of $6.6 million. Of the higher support costs, $4.4 million related to our satellite services segment (due to legal expense focused on protecting and extending our technology advantages, and our increased subscriber gross additions year over year), and $2.1 million to our commercial networks segment. SG&amp;A expenses consisted primarily of personnel costs and expenses for business development, marketing and sales, bid and proposal, facilities, finance, contract administration and general management.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research and development</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720" w:type="dxa"/>
            <w:vAlign w:val="bottom"/>
            <w:vMerge w:val="restart"/>
          </w:tcPr>
          <w:p>
            <w:pPr>
              <w:spacing w:after="0"/>
              <w:rPr>
                <w:sz w:val="10"/>
                <w:szCs w:val="10"/>
                <w:color w:val="auto"/>
              </w:rPr>
            </w:pPr>
          </w:p>
        </w:tc>
        <w:tc>
          <w:tcPr>
            <w:tcW w:w="126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3"/>
          </w:tcPr>
          <w:p>
            <w:pPr>
              <w:jc w:val="center"/>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3720" w:type="dxa"/>
            <w:vAlign w:val="bottom"/>
            <w:vMerge w:val="continue"/>
          </w:tcPr>
          <w:p>
            <w:pPr>
              <w:spacing w:after="0"/>
              <w:rPr>
                <w:sz w:val="13"/>
                <w:szCs w:val="13"/>
                <w:color w:val="auto"/>
              </w:rPr>
            </w:pPr>
          </w:p>
        </w:tc>
        <w:tc>
          <w:tcPr>
            <w:tcW w:w="620" w:type="dxa"/>
            <w:vAlign w:val="bottom"/>
          </w:tcPr>
          <w:p>
            <w:pPr>
              <w:jc w:val="right"/>
              <w:ind w:right="107"/>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Pr>
          <w:p>
            <w:pPr>
              <w:spacing w:after="0"/>
              <w:rPr>
                <w:sz w:val="13"/>
                <w:szCs w:val="13"/>
                <w:color w:val="auto"/>
              </w:rPr>
            </w:pPr>
          </w:p>
        </w:tc>
        <w:tc>
          <w:tcPr>
            <w:tcW w:w="5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3"/>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5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15.1</w:t>
            </w:r>
          </w:p>
        </w:tc>
        <w:tc>
          <w:tcPr>
            <w:tcW w:w="64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7.6</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$7.5 million increase in IR&amp;D expenses reflected increased IR&amp;D efforts in our commercial networks segment of $5.3 million (primarily due to next-generation consumer broadband and next-generation satellite communication systems) and in our government systems segment of $1.9 million (primarily due to development of next-generation dual-band mobility solutions).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 assets</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amortize our acquired intangible assets from prior acquisitions over their estimated useful lives, which range from three to ten years. The $0.3 million decrease in amortization of acquired intangible assets in the third quarter of fiscal year 2014 compared to the prior year period was the result of acquired trade name intangibles in our satellite services segment becoming fully amortized over the preceding twelve months. Current and expected amortization expense for acquired intangible assets for each of the following periods is as follows:</w:t>
      </w:r>
    </w:p>
    <w:p>
      <w:pPr>
        <w:spacing w:after="0" w:line="174"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 January 3, 2014</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the remainder of fiscal year 2014</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39,042</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9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slight decrease in interest income in the three months ended January 3, 2014 compared to the prior year period was primarily due to lower average invested cash balances during the current year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$1.5 million decrease in interest expense in the three months ended January 3, 2014 compared to the prior year period was due primarily to an increase of $1.8 million in the amount of interest capitalized during the third quarter of fiscal year 2014 compared to the same period last fiscal year, coupled with the refinancing, in October 2012, of our former $275.0 million in aggregate principal amount of 2016 Notes with the proceeds from the issuance of an additional $300.0 million in aggregate principal amount of 2020 Notes, which bear interest at a lower rate. This decrease was partially offset by interest expense on outstanding borrowings under our revolving credit facility (the Credit Facility) during the third quarter of 2014. Capitalized interest expense during the three months ended January 3, 2014 related to the commencement of construction of ViaSat-2 and other assets.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45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income taxes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currently estimate our annual effective income tax benefit rate to be approximately 65.0% for fiscal year 2014. The estimated annual effective income tax benefit rate differs from the expected statutory rate primarily due to federal and state research and development tax credits. In addition, the income tax benefit rate recorded for the three and nine months ended January 3, 2014 differed from the estimated annual income tax benefit rate primarily due to the valuation allowance on state net operating loss carryforwards increase of $1.0 million and decrease of $2.7 million, respectively. The American Taxpayer Relief Act of 2012 was enacted on January 2, 2013. This legislation retroactively reinstated and extended the federal research and development tax credit through December 31, 2013. If the federal research and development tax credit is extended through the end of fiscal year 2014, we may have a higher annual effective income tax benefit rate for fiscal year 2014, and the amount of any such increase in the tax benefit rate will depend on the effective date of any such extension, the terms of the extension, as well as the amount of eligible research and development expenses in the extended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for the Three Months Ended January 3, 2014 vs. Three Months Ended December 28, 2012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Satellite services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60" w:type="dxa"/>
            <w:vAlign w:val="bottom"/>
          </w:tcPr>
          <w:p>
            <w:pPr>
              <w:spacing w:after="0"/>
              <w:rPr>
                <w:sz w:val="10"/>
                <w:szCs w:val="10"/>
                <w:color w:val="auto"/>
              </w:rPr>
            </w:pPr>
          </w:p>
        </w:tc>
        <w:tc>
          <w:tcPr>
            <w:tcW w:w="62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January 3,</w:t>
            </w:r>
          </w:p>
        </w:tc>
        <w:tc>
          <w:tcPr>
            <w:tcW w:w="6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28,</w:t>
            </w:r>
          </w:p>
        </w:tc>
        <w:tc>
          <w:tcPr>
            <w:tcW w:w="640" w:type="dxa"/>
            <w:vAlign w:val="bottom"/>
          </w:tcPr>
          <w:p>
            <w:pPr>
              <w:spacing w:after="0"/>
              <w:rPr>
                <w:sz w:val="10"/>
                <w:szCs w:val="10"/>
                <w:color w:val="auto"/>
              </w:rPr>
            </w:pPr>
          </w:p>
        </w:tc>
        <w:tc>
          <w:tcPr>
            <w:tcW w:w="1260" w:type="dxa"/>
            <w:vAlign w:val="bottom"/>
            <w:gridSpan w:val="3"/>
          </w:tcPr>
          <w:p>
            <w:pPr>
              <w:jc w:val="center"/>
              <w:ind w:right="6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9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00"/>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640" w:type="dxa"/>
            <w:vAlign w:val="bottom"/>
          </w:tcPr>
          <w:p>
            <w:pPr>
              <w:spacing w:after="0"/>
              <w:rPr>
                <w:sz w:val="13"/>
                <w:szCs w:val="13"/>
                <w:color w:val="auto"/>
              </w:rPr>
            </w:pPr>
          </w:p>
        </w:tc>
        <w:tc>
          <w:tcPr>
            <w:tcW w:w="12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36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(0.6)</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8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satellite services segment revenues grew by $26.9 million, primarily due to the increase in service revenues related to retail and wholesale broadband services. The revenue increase relating to our Exede and WildBlue broadband services was driven by a 33% increase in the number of subscribers, which grew from approximately 467,000 at December 28, 2012 to approximately 620,000 at January 3, 2014, as well as a change in the mix of retail and wholesale subscribers and related higher average revenue per subscriber.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loss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10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540" w:type="dxa"/>
            <w:vAlign w:val="bottom"/>
            <w:vMerge w:val="restart"/>
          </w:tcPr>
          <w:p>
            <w:pPr>
              <w:spacing w:after="0"/>
              <w:rPr>
                <w:sz w:val="10"/>
                <w:szCs w:val="10"/>
                <w:color w:val="auto"/>
              </w:rPr>
            </w:pPr>
          </w:p>
        </w:tc>
        <w:tc>
          <w:tcPr>
            <w:tcW w:w="138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760" w:type="dxa"/>
            <w:vAlign w:val="bottom"/>
          </w:tcPr>
          <w:p>
            <w:pPr>
              <w:spacing w:after="0"/>
              <w:rPr>
                <w:sz w:val="10"/>
                <w:szCs w:val="10"/>
                <w:color w:val="auto"/>
              </w:rPr>
            </w:pPr>
          </w:p>
        </w:tc>
        <w:tc>
          <w:tcPr>
            <w:tcW w:w="1160" w:type="dxa"/>
            <w:vAlign w:val="bottom"/>
            <w:gridSpan w:val="3"/>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(Increase)</w:t>
            </w:r>
          </w:p>
        </w:tc>
        <w:tc>
          <w:tcPr>
            <w:tcW w:w="8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82"/>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9"/>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760" w:type="dxa"/>
            <w:vAlign w:val="bottom"/>
          </w:tcPr>
          <w:p>
            <w:pPr>
              <w:spacing w:after="0"/>
              <w:rPr>
                <w:sz w:val="13"/>
                <w:szCs w:val="13"/>
                <w:color w:val="auto"/>
              </w:rPr>
            </w:pPr>
          </w:p>
        </w:tc>
        <w:tc>
          <w:tcPr>
            <w:tcW w:w="1160" w:type="dxa"/>
            <w:vAlign w:val="bottom"/>
            <w:gridSpan w:val="3"/>
          </w:tcPr>
          <w:p>
            <w:pPr>
              <w:jc w:val="center"/>
              <w:ind w:right="6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Decrease</w:t>
            </w:r>
          </w:p>
        </w:tc>
        <w:tc>
          <w:tcPr>
            <w:tcW w:w="0" w:type="dxa"/>
            <w:vAlign w:val="bottom"/>
          </w:tcPr>
          <w:p>
            <w:pPr>
              <w:spacing w:after="0"/>
              <w:rPr>
                <w:sz w:val="1"/>
                <w:szCs w:val="1"/>
                <w:color w:val="auto"/>
              </w:rPr>
            </w:pPr>
          </w:p>
        </w:tc>
      </w:tr>
      <w:tr>
        <w:trPr>
          <w:trHeight w:val="20"/>
        </w:trPr>
        <w:tc>
          <w:tcPr>
            <w:tcW w:w="5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75"/>
              </w:rPr>
              <w:t>(9.8)</w:t>
            </w:r>
          </w:p>
        </w:tc>
        <w:tc>
          <w:tcPr>
            <w:tcW w:w="7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14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9"/>
                <w:szCs w:val="19"/>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$8.6 million reduction in operating loss for our satellite services segment was primarily due to $12.7 million in higher earnings contributions as our Exede broadband services subscriber base continued to grow, which resulted in increased revenues and improved margins, partially offset by $3.8 million in higher support and selling costs. The higher support and selling costs related to legal expense focused on protecting and extending our technology advantages, and increased sales and marketing support costs as we continued to expand our consumer broadband subscriber base.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networks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60" w:type="dxa"/>
            <w:vAlign w:val="bottom"/>
          </w:tcPr>
          <w:p>
            <w:pPr>
              <w:spacing w:after="0"/>
              <w:rPr>
                <w:sz w:val="10"/>
                <w:szCs w:val="10"/>
                <w:color w:val="auto"/>
              </w:rPr>
            </w:pPr>
          </w:p>
        </w:tc>
        <w:tc>
          <w:tcPr>
            <w:tcW w:w="94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3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9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80"/>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36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87.8</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64.2</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23.6</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91.9</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68.7</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23.2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commercial networks segment revenues increased by $23.2 million, due to the $23.6 million increase in product revenues. Of this revenue increase, $18.2 million related to fixed satellite networks (driven primarily by consumer broadband products), $6.6 million to mobile broadband satellite communication systems, and $1.1 million to antenna systems products. These increases were partially offset by a $3.2 million decrease in product revenues for our satellite networking development programs.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455" w:right="2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loss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880" w:type="dxa"/>
            <w:vAlign w:val="bottom"/>
            <w:vMerge w:val="restart"/>
          </w:tcPr>
          <w:p>
            <w:pPr>
              <w:spacing w:after="0"/>
              <w:rPr>
                <w:sz w:val="10"/>
                <w:szCs w:val="10"/>
                <w:color w:val="auto"/>
              </w:rPr>
            </w:pPr>
          </w:p>
        </w:tc>
        <w:tc>
          <w:tcPr>
            <w:tcW w:w="160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jc w:val="center"/>
              <w:ind w:right="6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(Increase)</w:t>
            </w:r>
          </w:p>
        </w:tc>
        <w:tc>
          <w:tcPr>
            <w:tcW w:w="9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3"/>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188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02"/>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99"/>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6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Decrease</w:t>
            </w:r>
          </w:p>
        </w:tc>
        <w:tc>
          <w:tcPr>
            <w:tcW w:w="9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Decrease</w:t>
            </w:r>
          </w:p>
        </w:tc>
        <w:tc>
          <w:tcPr>
            <w:tcW w:w="0" w:type="dxa"/>
            <w:vAlign w:val="bottom"/>
          </w:tcPr>
          <w:p>
            <w:pPr>
              <w:spacing w:after="0"/>
              <w:rPr>
                <w:sz w:val="1"/>
                <w:szCs w:val="1"/>
                <w:color w:val="auto"/>
              </w:rPr>
            </w:pPr>
          </w:p>
        </w:tc>
      </w:tr>
      <w:tr>
        <w:trPr>
          <w:trHeight w:val="20"/>
        </w:trPr>
        <w:tc>
          <w:tcPr>
            <w:tcW w:w="3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vMerge w:val="continue"/>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w w:val="75"/>
              </w:rPr>
              <w:t>(6.5)</w:t>
            </w:r>
          </w:p>
        </w:tc>
        <w:tc>
          <w:tcPr>
            <w:tcW w:w="7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(3.1)</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9"/>
                <w:szCs w:val="19"/>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increase of $3.1 million in operating loss for our commercial networks segment was primarily due to higher IR&amp;D costs of $5.3 million and higher support and new business proposal costs of $2.0 million, partially offset by $4.2 million in higher earnings contributions from increased revenues in our consumer broadband products and in our mobile broadband satellite communication systems.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systems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4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0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28,</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9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38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106.0</w:t>
            </w:r>
          </w:p>
        </w:tc>
        <w:tc>
          <w:tcPr>
            <w:tcW w:w="5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99.8</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5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142.0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146.0</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60" w:firstLine="456"/>
        <w:spacing w:after="0" w:line="256" w:lineRule="auto"/>
        <w:rPr>
          <w:sz w:val="20"/>
          <w:szCs w:val="20"/>
          <w:color w:val="auto"/>
        </w:rPr>
      </w:pPr>
      <w:r>
        <w:rPr>
          <w:rFonts w:ascii="Times New Roman" w:cs="Times New Roman" w:eastAsia="Times New Roman" w:hAnsi="Times New Roman"/>
          <w:sz w:val="18"/>
          <w:szCs w:val="18"/>
          <w:color w:val="auto"/>
        </w:rPr>
        <w:t>Our government systems segment revenues decreased by $4.0 million, due to the $10.2 million decrease in service revenues, offset by the $6.2 million increase in product revenues. The service revenue decrease related to a government satellite communication systems decrease of $10.2 million (mainly attributable to command and control situational awareness). Of the product revenue increase, $5.4 million related to information assurance products and $2.2 million to tactical data link products, partially offset by a $1.0 million decrease in revenues related to government satellite communication systems (mainly attributable to tactical satcom networks).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profit</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12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920" w:type="dxa"/>
            <w:vAlign w:val="bottom"/>
            <w:vMerge w:val="restart"/>
          </w:tcPr>
          <w:p>
            <w:pPr>
              <w:spacing w:after="0"/>
              <w:rPr>
                <w:sz w:val="10"/>
                <w:szCs w:val="10"/>
                <w:color w:val="auto"/>
              </w:rPr>
            </w:pPr>
          </w:p>
        </w:tc>
        <w:tc>
          <w:tcPr>
            <w:tcW w:w="1640" w:type="dxa"/>
            <w:vAlign w:val="bottom"/>
          </w:tcPr>
          <w:p>
            <w:pPr>
              <w:spacing w:after="0"/>
              <w:rPr>
                <w:sz w:val="10"/>
                <w:szCs w:val="10"/>
                <w:color w:val="auto"/>
              </w:rPr>
            </w:pPr>
          </w:p>
        </w:tc>
        <w:tc>
          <w:tcPr>
            <w:tcW w:w="1320" w:type="dxa"/>
            <w:vAlign w:val="bottom"/>
            <w:tcBorders>
              <w:top w:val="single" w:sz="8" w:color="auto"/>
            </w:tcBorders>
            <w:gridSpan w:val="2"/>
          </w:tcPr>
          <w:p>
            <w:pPr>
              <w:jc w:val="right"/>
              <w:ind w:right="7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January 3,</w:t>
            </w: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tcPr>
          <w:p>
            <w:pPr>
              <w:jc w:val="center"/>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9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2260" w:type="dxa"/>
            <w:vAlign w:val="bottom"/>
            <w:gridSpan w:val="2"/>
          </w:tcPr>
          <w:p>
            <w:pPr>
              <w:jc w:val="right"/>
              <w:ind w:right="106"/>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9"/>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9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16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vMerge w:val="continue"/>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21.5</w:t>
            </w:r>
          </w:p>
        </w:tc>
        <w:tc>
          <w:tcPr>
            <w:tcW w:w="7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27.0</w:t>
            </w:r>
          </w:p>
        </w:tc>
        <w:tc>
          <w:tcPr>
            <w:tcW w:w="4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(5.5)</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29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9"/>
                <w:szCs w:val="19"/>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$5.5 million decrease in our government systems segment operating profit reflected lower earnings contributions of $2.5 million from lower revenues related to government satellite communication systems (mainly attributable to command and control situational awareness), higher IR&amp;D costs of $1.9 million, and higher selling, support and new business proposal costs of $1.1 million.</w:t>
      </w:r>
    </w:p>
    <w:p>
      <w:pPr>
        <w:spacing w:after="0" w:line="211" w:lineRule="exact"/>
        <w:rPr>
          <w:sz w:val="20"/>
          <w:szCs w:val="20"/>
          <w:color w:val="auto"/>
        </w:rPr>
      </w:pPr>
    </w:p>
    <w:p>
      <w:pPr>
        <w:ind w:right="5400"/>
        <w:spacing w:after="0" w:line="371" w:lineRule="auto"/>
        <w:rPr>
          <w:sz w:val="20"/>
          <w:szCs w:val="20"/>
          <w:color w:val="auto"/>
        </w:rPr>
      </w:pPr>
      <w:r>
        <w:rPr>
          <w:rFonts w:ascii="Times New Roman" w:cs="Times New Roman" w:eastAsia="Times New Roman" w:hAnsi="Times New Roman"/>
          <w:sz w:val="18"/>
          <w:szCs w:val="18"/>
          <w:b w:val="1"/>
          <w:bCs w:val="1"/>
          <w:color w:val="auto"/>
        </w:rPr>
        <w:t xml:space="preserve">Nine Months Ended January 3, 2014 vs. Nine Months Ended December 28, 2012 </w:t>
      </w:r>
      <w:r>
        <w:rPr>
          <w:rFonts w:ascii="Times New Roman" w:cs="Times New Roman" w:eastAsia="Times New Roman" w:hAnsi="Times New Roman"/>
          <w:sz w:val="18"/>
          <w:szCs w:val="18"/>
          <w:i w:val="1"/>
          <w:iCs w:val="1"/>
          <w:color w:val="auto"/>
        </w:rPr>
        <w:t>Revenues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4"/>
                <w:szCs w:val="14"/>
                <w:color w:val="auto"/>
              </w:rPr>
            </w:pPr>
          </w:p>
        </w:tc>
        <w:tc>
          <w:tcPr>
            <w:tcW w:w="10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4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0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28,</w:t>
            </w:r>
          </w:p>
        </w:tc>
        <w:tc>
          <w:tcPr>
            <w:tcW w:w="580" w:type="dxa"/>
            <w:vAlign w:val="bottom"/>
          </w:tcPr>
          <w:p>
            <w:pPr>
              <w:spacing w:after="0"/>
              <w:rPr>
                <w:sz w:val="10"/>
                <w:szCs w:val="10"/>
                <w:color w:val="auto"/>
              </w:rPr>
            </w:pPr>
          </w:p>
        </w:tc>
        <w:tc>
          <w:tcPr>
            <w:tcW w:w="1200" w:type="dxa"/>
            <w:vAlign w:val="bottom"/>
            <w:gridSpan w:val="3"/>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0"/>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580" w:type="dxa"/>
            <w:vAlign w:val="bottom"/>
          </w:tcPr>
          <w:p>
            <w:pPr>
              <w:spacing w:after="0"/>
              <w:rPr>
                <w:sz w:val="13"/>
                <w:szCs w:val="13"/>
                <w:color w:val="auto"/>
              </w:rPr>
            </w:pPr>
          </w:p>
        </w:tc>
        <w:tc>
          <w:tcPr>
            <w:tcW w:w="12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38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586.4</w:t>
            </w:r>
          </w:p>
        </w:tc>
        <w:tc>
          <w:tcPr>
            <w:tcW w:w="6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480.9</w:t>
            </w: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105.5</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421.1</w:t>
            </w: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2"/>
              </w:rPr>
              <w:t>1,007.5</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811.0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196.5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Our total revenues grew by $196.5 million as a result of the $105.5 million increase in product revenues and the $91.0 million increase in service revenues. The product revenue increase was comprised primarily of $68.7 million in our commercial networks segment and $40.9 million in our government systems segment. The increase in service revenue was due to the $90.6 million increase in our satellite services segment.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5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80" w:type="dxa"/>
            <w:vAlign w:val="bottom"/>
          </w:tcPr>
          <w:p>
            <w:pPr>
              <w:spacing w:after="0"/>
              <w:rPr>
                <w:sz w:val="10"/>
                <w:szCs w:val="10"/>
                <w:color w:val="auto"/>
              </w:rPr>
            </w:pPr>
          </w:p>
        </w:tc>
        <w:tc>
          <w:tcPr>
            <w:tcW w:w="62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January 3,</w:t>
            </w:r>
          </w:p>
        </w:tc>
        <w:tc>
          <w:tcPr>
            <w:tcW w:w="5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580" w:type="dxa"/>
            <w:vAlign w:val="bottom"/>
          </w:tcPr>
          <w:p>
            <w:pPr>
              <w:spacing w:after="0"/>
              <w:rPr>
                <w:sz w:val="10"/>
                <w:szCs w:val="10"/>
                <w:color w:val="auto"/>
              </w:rPr>
            </w:pP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2"/>
              </w:rPr>
              <w:t>(Decrease)</w:t>
            </w:r>
          </w:p>
        </w:tc>
        <w:tc>
          <w:tcPr>
            <w:tcW w:w="580" w:type="dxa"/>
            <w:vAlign w:val="bottom"/>
          </w:tcPr>
          <w:p>
            <w:pPr>
              <w:spacing w:after="0"/>
              <w:rPr>
                <w:sz w:val="13"/>
                <w:szCs w:val="13"/>
                <w:color w:val="auto"/>
              </w:rPr>
            </w:pP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38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427.5</w:t>
            </w:r>
          </w:p>
        </w:tc>
        <w:tc>
          <w:tcPr>
            <w:tcW w:w="5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349.7</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77.8</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615.8</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Cost of revenues grew by $124.7 million due to a $77.8 million cost of product revenues increase and a $46.9 million cost of service revenues increase. The cost of product revenues increase was primarily due to increased revenues, causing a $76.7 million increase in cost of product revenues on a constant margin basis. This increase mainly related to growth in fixed satellite networks (driven by consumer broadband products), mobile broadband satellite communication systems, and satellite payload technology development programs in our commercial networks segment, but product sales also grew in our government systems segment, from government satellite communication systems, information assurance products, and tactical satcom radio products (relating to our majority-owned subsidiary TrellisWare Technologies, Inc. (TrellisWare)). The cost of service revenues increase was primarily due to increased service revenues, which caused a $73.4 million increase in cost of service revenues on a constant margin basis. This increase mainly related to our Exede broadband services in our satellite services segment. Additionally, as our Exede subscribers have continued to grow and related revenues scale, we have also experienced improved margins from our broadband services in our satellite services segment.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80" w:type="dxa"/>
            <w:vAlign w:val="bottom"/>
            <w:vMerge w:val="restart"/>
          </w:tcPr>
          <w:p>
            <w:pPr>
              <w:spacing w:after="0"/>
              <w:rPr>
                <w:sz w:val="10"/>
                <w:szCs w:val="10"/>
                <w:color w:val="auto"/>
              </w:rPr>
            </w:pPr>
          </w:p>
        </w:tc>
        <w:tc>
          <w:tcPr>
            <w:tcW w:w="12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3880" w:type="dxa"/>
            <w:vAlign w:val="bottom"/>
            <w:vMerge w:val="continue"/>
          </w:tcPr>
          <w:p>
            <w:pPr>
              <w:spacing w:after="0"/>
              <w:rPr>
                <w:sz w:val="13"/>
                <w:szCs w:val="13"/>
                <w:color w:val="auto"/>
              </w:rPr>
            </w:pPr>
          </w:p>
        </w:tc>
        <w:tc>
          <w:tcPr>
            <w:tcW w:w="620" w:type="dxa"/>
            <w:vAlign w:val="bottom"/>
          </w:tcPr>
          <w:p>
            <w:pPr>
              <w:jc w:val="right"/>
              <w:ind w:right="107"/>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center"/>
              <w:ind w:right="5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5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207.5</w:t>
            </w:r>
          </w:p>
        </w:tc>
        <w:tc>
          <w:tcPr>
            <w:tcW w:w="5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172.8</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34.7</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$34.7 million increase in SG&amp;A expenses was primarily attributable to higher support costs of $25.8 million and higher selling costs of $8.8 million. Of the higher support costs, $15.5 million related to our satellite services segment (related to legal expense focused on protecting and extending our technology advantages, and our increased subscriber gross additions year over year), $6.9 million to our commercial networks segment, and $3.4 million to our government systems segment. The increase in higher selling costs mainly related to our satellite services segment as we continue to grow our consumer broadband subscriber base. SG&amp;A expenses consisted primarily of personnel costs and expenses for business development, marketing and sales, bid and proposal, facilities, finance, contract administration and general management.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research and development</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220" w:type="dxa"/>
            <w:vAlign w:val="bottom"/>
            <w:vMerge w:val="restart"/>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0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28,</w:t>
            </w:r>
          </w:p>
        </w:tc>
        <w:tc>
          <w:tcPr>
            <w:tcW w:w="660" w:type="dxa"/>
            <w:vAlign w:val="bottom"/>
          </w:tcPr>
          <w:p>
            <w:pPr>
              <w:spacing w:after="0"/>
              <w:rPr>
                <w:sz w:val="10"/>
                <w:szCs w:val="10"/>
                <w:color w:val="auto"/>
              </w:rPr>
            </w:pPr>
          </w:p>
        </w:tc>
        <w:tc>
          <w:tcPr>
            <w:tcW w:w="1240" w:type="dxa"/>
            <w:vAlign w:val="bottom"/>
            <w:gridSpan w:val="2"/>
          </w:tcPr>
          <w:p>
            <w:pPr>
              <w:jc w:val="center"/>
              <w:ind w:right="6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2080" w:type="dxa"/>
            <w:vAlign w:val="bottom"/>
            <w:gridSpan w:val="2"/>
          </w:tcPr>
          <w:p>
            <w:pPr>
              <w:jc w:val="right"/>
              <w:ind w:right="106"/>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660" w:type="dxa"/>
            <w:vAlign w:val="bottom"/>
          </w:tcPr>
          <w:p>
            <w:pPr>
              <w:spacing w:after="0"/>
              <w:rPr>
                <w:sz w:val="13"/>
                <w:szCs w:val="13"/>
                <w:color w:val="auto"/>
              </w:rPr>
            </w:pPr>
          </w:p>
        </w:tc>
        <w:tc>
          <w:tcPr>
            <w:tcW w:w="1240" w:type="dxa"/>
            <w:vAlign w:val="bottom"/>
            <w:gridSpan w:val="2"/>
          </w:tcPr>
          <w:p>
            <w:pPr>
              <w:jc w:val="center"/>
              <w:ind w:right="64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4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14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2"/>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44.2</w:t>
            </w: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23.7</w:t>
            </w:r>
          </w:p>
        </w:tc>
        <w:tc>
          <w:tcPr>
            <w:tcW w:w="6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20.4</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$20.4 million increase in IR&amp;D expenses reflected increased IR&amp;D efforts in our commercial networks segment of $13.1 million (primarily due to next-generation consumer broadband and next-generation satellite communication systems) and in our government systems segment of $7.9 million (primarily due to development of next-generation dual-band mobility solutions, development efforts of tactical satcom radio products, and advancement of integrated government satellite communications platforms).</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240" w:top="455" w:right="3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 assets</w:t>
      </w:r>
    </w:p>
    <w:p>
      <w:pPr>
        <w:spacing w:after="0" w:line="173"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amortize our acquired intangible assets from prior acquisitions over their estimated useful lives, which range from three to ten years. The $1.1 million decrease in amortization of acquired intangible assets in the first nine months of fiscal year 2014 compared to the prior year period was the result of acquired trade name intangibles in our satellite services segment becoming fully amortized over the preceding twelve months. Current and expected amortization expense for acquired intangible assets for each of the following periods is as follows:</w:t>
      </w:r>
    </w:p>
    <w:p>
      <w:pPr>
        <w:spacing w:after="0" w:line="174"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 January 3, 2014</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the remainder of fiscal year 2014</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39,042</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9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slight decrease in interest income in the nine months ended January 3, 2014 compared to the prior year period was primarily due to lower average invested cash balances during the current year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$4.6 million decrease in interest expense in the nine months ended January 3, 2014 compared to the prior year period was due primarily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 in October 2012, of our former $275.0 million in aggregate principal amount of 2016 Notes with the proceeds from the issuance of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$300.0 million in aggregate principal amount of 2020 Notes, which bear interest at a lower rate, coupled with an increase of $3.1 million in the amount of interest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capitalized during the nine months ended January 3, 2014 compared to the same period last fiscal year. This decrease was partially offset by interest expense 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the Credit Facility during the nine months ended January 3, 2014. Capitalized interest expense during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 2014 related to the commencement of construction of ViaSat-2 and other assets.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income taxes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currently estimate our annual effective income tax benefit rate to be approximately 65.0% for fiscal year 2014. The estimated annual effective income tax benefit rate differs from the expected statutory rate primarily due to federal and state research and development tax credits. In addition, the income tax benefit rate recorded for the three and nine months ended January 3, 2014 differed from the estimated annual income tax benefit rate primarily due to the valuation allowance on state net operating loss carryforwards increase of $1.0 million and decrease of $2.7 million, respectively. The American Taxpayer Relief Act of 2012 was enacted on January 2, 2013. This legislation retroactively reinstated and extended the federal research and development tax credit through December 31, 2013. If the federal research and development tax credit is extended through the end of fiscal year 2014, we may have a higher annual effective income tax benefit rate for fiscal year 2014, and the amount of any such increase in the tax benefit rate will depend on the effective date of any such extension, the terms of the extension, as well as the amount of eligible research and development expenses in the extended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for the Nine Months Ended January 3, 2014 vs. Nine Months Ended December 28, 2012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Satellite services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4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0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28,</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9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38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284.8</w:t>
            </w: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5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284.8</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198.4</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satellite services segment revenues grew by $86.5 million, primarily due to the increase in service revenues related to retail and wholesale broadband services. The revenue increase relating to our Exede and WildBlue broadband services was driven by a 33% increase in the number of subscribers, which grew from approximately 467,000 at December 28, 2012 to approximately 620,000 at January 3, 2014, as well as a change in the mix of retail and wholesale subscribers and related higher average revenue per subscriber.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loss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4"/>
                <w:szCs w:val="14"/>
                <w:color w:val="auto"/>
              </w:rPr>
            </w:pPr>
          </w:p>
        </w:tc>
        <w:tc>
          <w:tcPr>
            <w:tcW w:w="11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900" w:type="dxa"/>
            <w:vAlign w:val="bottom"/>
            <w:vMerge w:val="restart"/>
          </w:tcPr>
          <w:p>
            <w:pPr>
              <w:spacing w:after="0"/>
              <w:rPr>
                <w:sz w:val="10"/>
                <w:szCs w:val="10"/>
                <w:color w:val="auto"/>
              </w:rPr>
            </w:pPr>
          </w:p>
        </w:tc>
        <w:tc>
          <w:tcPr>
            <w:tcW w:w="1640" w:type="dxa"/>
            <w:vAlign w:val="bottom"/>
          </w:tcPr>
          <w:p>
            <w:pPr>
              <w:spacing w:after="0"/>
              <w:rPr>
                <w:sz w:val="10"/>
                <w:szCs w:val="10"/>
                <w:color w:val="auto"/>
              </w:rPr>
            </w:pPr>
          </w:p>
        </w:tc>
        <w:tc>
          <w:tcPr>
            <w:tcW w:w="1360" w:type="dxa"/>
            <w:vAlign w:val="bottom"/>
            <w:tcBorders>
              <w:top w:val="single" w:sz="8" w:color="auto"/>
            </w:tcBorders>
            <w:gridSpan w:val="2"/>
          </w:tcPr>
          <w:p>
            <w:pPr>
              <w:jc w:val="right"/>
              <w:ind w:right="760"/>
              <w:spacing w:after="0" w:line="125" w:lineRule="exact"/>
              <w:rPr>
                <w:sz w:val="20"/>
                <w:szCs w:val="20"/>
                <w:color w:val="auto"/>
              </w:rPr>
            </w:pPr>
            <w:r>
              <w:rPr>
                <w:rFonts w:ascii="Times New Roman" w:cs="Times New Roman" w:eastAsia="Times New Roman" w:hAnsi="Times New Roman"/>
                <w:sz w:val="14"/>
                <w:szCs w:val="14"/>
                <w:b w:val="1"/>
                <w:bCs w:val="1"/>
                <w:color w:val="auto"/>
                <w:w w:val="90"/>
              </w:rPr>
              <w:t>January 3,</w:t>
            </w:r>
          </w:p>
        </w:tc>
        <w:tc>
          <w:tcPr>
            <w:tcW w:w="80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28,</w:t>
            </w: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center"/>
              <w:ind w:right="6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(Increase)</w:t>
            </w:r>
          </w:p>
        </w:tc>
        <w:tc>
          <w:tcPr>
            <w:tcW w:w="8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260" w:type="dxa"/>
            <w:vAlign w:val="bottom"/>
            <w:gridSpan w:val="2"/>
          </w:tcPr>
          <w:p>
            <w:pPr>
              <w:jc w:val="right"/>
              <w:ind w:right="106"/>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9"/>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center"/>
              <w:ind w:right="600"/>
              <w:spacing w:after="0" w:line="152" w:lineRule="exact"/>
              <w:rPr>
                <w:sz w:val="20"/>
                <w:szCs w:val="20"/>
                <w:color w:val="auto"/>
              </w:rPr>
            </w:pPr>
            <w:r>
              <w:rPr>
                <w:rFonts w:ascii="Times New Roman" w:cs="Times New Roman" w:eastAsia="Times New Roman" w:hAnsi="Times New Roman"/>
                <w:sz w:val="14"/>
                <w:szCs w:val="14"/>
                <w:b w:val="1"/>
                <w:bCs w:val="1"/>
                <w:color w:val="auto"/>
                <w:w w:val="93"/>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Decrease</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6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2"/>
            <w:vMerge w:val="continue"/>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(37.4)</w:t>
            </w:r>
          </w:p>
        </w:tc>
        <w:tc>
          <w:tcPr>
            <w:tcW w:w="7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rPr>
              <w:t>(60.2)</w:t>
            </w:r>
          </w:p>
        </w:tc>
        <w:tc>
          <w:tcPr>
            <w:tcW w:w="2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22.9</w:t>
            </w:r>
          </w:p>
        </w:tc>
        <w:tc>
          <w:tcPr>
            <w:tcW w:w="6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8"/>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3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9"/>
                <w:szCs w:val="19"/>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(30.4)%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$22.9 million reduction in operating loss for our satellite services segment was primarily due to $45.5 million in higher earnings contributions as our Exede broadband services subscriber base continued to grow, which resulted in increased revenues and improved margins, partially offset by $23.1 million in higher support and selling costs. The higher support and selling costs related to legal expense focused on protecting and extending our technology advantages, and increased sales and marketing support costs as we continued to expand our consumer broadband subscriber base.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networks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20" w:type="dxa"/>
            <w:vAlign w:val="bottom"/>
          </w:tcPr>
          <w:p>
            <w:pPr>
              <w:spacing w:after="0"/>
              <w:rPr>
                <w:sz w:val="10"/>
                <w:szCs w:val="10"/>
                <w:color w:val="auto"/>
              </w:rPr>
            </w:pPr>
          </w:p>
        </w:tc>
        <w:tc>
          <w:tcPr>
            <w:tcW w:w="62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January 3,</w:t>
            </w:r>
          </w:p>
        </w:tc>
        <w:tc>
          <w:tcPr>
            <w:tcW w:w="66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640" w:type="dxa"/>
            <w:vAlign w:val="bottom"/>
          </w:tcPr>
          <w:p>
            <w:pPr>
              <w:spacing w:after="0"/>
              <w:rPr>
                <w:sz w:val="10"/>
                <w:szCs w:val="10"/>
                <w:color w:val="auto"/>
              </w:rPr>
            </w:pPr>
          </w:p>
        </w:tc>
        <w:tc>
          <w:tcPr>
            <w:tcW w:w="1260" w:type="dxa"/>
            <w:vAlign w:val="bottom"/>
            <w:gridSpan w:val="3"/>
          </w:tcPr>
          <w:p>
            <w:pPr>
              <w:jc w:val="center"/>
              <w:ind w:right="6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9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80"/>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97"/>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640" w:type="dxa"/>
            <w:vAlign w:val="bottom"/>
          </w:tcPr>
          <w:p>
            <w:pPr>
              <w:spacing w:after="0"/>
              <w:rPr>
                <w:sz w:val="13"/>
                <w:szCs w:val="13"/>
                <w:color w:val="auto"/>
              </w:rPr>
            </w:pPr>
          </w:p>
        </w:tc>
        <w:tc>
          <w:tcPr>
            <w:tcW w:w="12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36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284.8</w:t>
            </w:r>
          </w:p>
        </w:tc>
        <w:tc>
          <w:tcPr>
            <w:tcW w:w="6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216.1</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68.7</w:t>
            </w:r>
          </w:p>
        </w:tc>
        <w:tc>
          <w:tcPr>
            <w:tcW w:w="6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commercial networks segment revenues increased by $68.1 million, primarily due to the $68.7 million increase in product revenues. Of this product revenue increase, $53.5 million related to fixed satellite networks (driven primarily by consumer broadband products), $14.8 million to mobile broadband satellite communication systems, and $8.0 million to satellite payload technology development programs. These increases were partially offset by decreases in revenues for our satellite networking development programs of $6.3 million and for our antenna systems products of $2.2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loss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c>
          <w:tcPr>
            <w:tcW w:w="54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80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146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820" w:type="dxa"/>
            <w:vAlign w:val="bottom"/>
          </w:tcPr>
          <w:p>
            <w:pPr>
              <w:spacing w:after="0"/>
              <w:rPr>
                <w:sz w:val="10"/>
                <w:szCs w:val="10"/>
                <w:color w:val="auto"/>
              </w:rPr>
            </w:pPr>
          </w:p>
        </w:tc>
        <w:tc>
          <w:tcPr>
            <w:tcW w:w="1240" w:type="dxa"/>
            <w:vAlign w:val="bottom"/>
            <w:gridSpan w:val="3"/>
          </w:tcPr>
          <w:p>
            <w:pPr>
              <w:jc w:val="center"/>
              <w:ind w:right="6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(Increase)</w:t>
            </w:r>
          </w:p>
        </w:tc>
        <w:tc>
          <w:tcPr>
            <w:tcW w:w="8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84"/>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ind w:right="199"/>
              <w:spacing w:after="0" w:line="152" w:lineRule="exact"/>
              <w:rPr>
                <w:sz w:val="20"/>
                <w:szCs w:val="20"/>
                <w:color w:val="auto"/>
              </w:rPr>
            </w:pPr>
            <w:r>
              <w:rPr>
                <w:rFonts w:ascii="Times New Roman" w:cs="Times New Roman" w:eastAsia="Times New Roman" w:hAnsi="Times New Roman"/>
                <w:sz w:val="14"/>
                <w:szCs w:val="14"/>
                <w:b w:val="1"/>
                <w:bCs w:val="1"/>
                <w:color w:val="auto"/>
                <w:w w:val="85"/>
              </w:rPr>
              <w:t>2012</w:t>
            </w:r>
          </w:p>
        </w:tc>
        <w:tc>
          <w:tcPr>
            <w:tcW w:w="820" w:type="dxa"/>
            <w:vAlign w:val="bottom"/>
          </w:tcPr>
          <w:p>
            <w:pPr>
              <w:spacing w:after="0"/>
              <w:rPr>
                <w:sz w:val="13"/>
                <w:szCs w:val="13"/>
                <w:color w:val="auto"/>
              </w:rPr>
            </w:pPr>
          </w:p>
        </w:tc>
        <w:tc>
          <w:tcPr>
            <w:tcW w:w="1240" w:type="dxa"/>
            <w:vAlign w:val="bottom"/>
            <w:gridSpan w:val="3"/>
          </w:tcPr>
          <w:p>
            <w:pPr>
              <w:jc w:val="center"/>
              <w:ind w:right="6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Decrease</w:t>
            </w: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5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8"/>
              </w:rPr>
              <w:t>(3.6)</w:t>
            </w:r>
          </w:p>
        </w:tc>
        <w:tc>
          <w:tcPr>
            <w:tcW w:w="8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$3.7 million reduction in operating loss for our commercial networks segment was primarily due to $21.9 million in higher earnings contributions from increased revenues and improved margins in our consumer broadband products and in our mobile broadband satellite communication systems, partially offset by higher IR&amp;D costs of $13.1 million and higher support costs of $5.1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systems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5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80" w:type="dxa"/>
            <w:vAlign w:val="bottom"/>
          </w:tcPr>
          <w:p>
            <w:pPr>
              <w:spacing w:after="0"/>
              <w:rPr>
                <w:sz w:val="10"/>
                <w:szCs w:val="10"/>
                <w:color w:val="auto"/>
              </w:rPr>
            </w:pPr>
          </w:p>
        </w:tc>
        <w:tc>
          <w:tcPr>
            <w:tcW w:w="62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January 3,</w:t>
            </w:r>
          </w:p>
        </w:tc>
        <w:tc>
          <w:tcPr>
            <w:tcW w:w="5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580" w:type="dxa"/>
            <w:vAlign w:val="bottom"/>
          </w:tcPr>
          <w:p>
            <w:pPr>
              <w:spacing w:after="0"/>
              <w:rPr>
                <w:sz w:val="10"/>
                <w:szCs w:val="10"/>
                <w:color w:val="auto"/>
              </w:rPr>
            </w:pP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2"/>
              </w:rPr>
              <w:t>(Decrease)</w:t>
            </w:r>
          </w:p>
        </w:tc>
        <w:tc>
          <w:tcPr>
            <w:tcW w:w="580" w:type="dxa"/>
            <w:vAlign w:val="bottom"/>
          </w:tcPr>
          <w:p>
            <w:pPr>
              <w:spacing w:after="0"/>
              <w:rPr>
                <w:sz w:val="13"/>
                <w:szCs w:val="13"/>
                <w:color w:val="auto"/>
              </w:rPr>
            </w:pP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38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301.6</w:t>
            </w:r>
          </w:p>
        </w:tc>
        <w:tc>
          <w:tcPr>
            <w:tcW w:w="5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260.6</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40.9</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381.3</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Our government systems segment revenues grew by $41.9 million, due to an increase of $40.9 million in product revenues and $1.0 million in service revenues. The increase in product revenues was primarily due to revenue increases of $13.8 million in government satellite communication systems (mainly attributable to command and control situational awareness), $13.4 million in information assurance products, and $11.9 million in tactical satcom radio products.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profit</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4"/>
                <w:szCs w:val="14"/>
                <w:color w:val="auto"/>
              </w:rPr>
            </w:pPr>
          </w:p>
        </w:tc>
        <w:tc>
          <w:tcPr>
            <w:tcW w:w="12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920" w:type="dxa"/>
            <w:vAlign w:val="bottom"/>
            <w:vMerge w:val="restart"/>
          </w:tcPr>
          <w:p>
            <w:pPr>
              <w:spacing w:after="0"/>
              <w:rPr>
                <w:sz w:val="10"/>
                <w:szCs w:val="10"/>
                <w:color w:val="auto"/>
              </w:rPr>
            </w:pPr>
          </w:p>
        </w:tc>
        <w:tc>
          <w:tcPr>
            <w:tcW w:w="1640" w:type="dxa"/>
            <w:vAlign w:val="bottom"/>
          </w:tcPr>
          <w:p>
            <w:pPr>
              <w:spacing w:after="0"/>
              <w:rPr>
                <w:sz w:val="10"/>
                <w:szCs w:val="10"/>
                <w:color w:val="auto"/>
              </w:rPr>
            </w:pPr>
          </w:p>
        </w:tc>
        <w:tc>
          <w:tcPr>
            <w:tcW w:w="1320" w:type="dxa"/>
            <w:vAlign w:val="bottom"/>
            <w:tcBorders>
              <w:top w:val="single" w:sz="8" w:color="auto"/>
            </w:tcBorders>
            <w:gridSpan w:val="2"/>
          </w:tcPr>
          <w:p>
            <w:pPr>
              <w:jc w:val="right"/>
              <w:ind w:right="7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January 3,</w:t>
            </w: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tcPr>
          <w:p>
            <w:pPr>
              <w:jc w:val="center"/>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9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2260" w:type="dxa"/>
            <w:vAlign w:val="bottom"/>
            <w:gridSpan w:val="2"/>
          </w:tcPr>
          <w:p>
            <w:pPr>
              <w:jc w:val="right"/>
              <w:ind w:right="106"/>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9"/>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9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16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vMerge w:val="continue"/>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56.3</w:t>
            </w:r>
          </w:p>
        </w:tc>
        <w:tc>
          <w:tcPr>
            <w:tcW w:w="7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66.2</w:t>
            </w:r>
          </w:p>
        </w:tc>
        <w:tc>
          <w:tcPr>
            <w:tcW w:w="4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(9.9)</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29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$9.9 million decrease in our government systems segment operating profit reflected higher IR&amp;D costs of $7.9 million and higher selling, support and new business proposal costs of $6.5 million, offset by $4.4 million of higher earnings contributions (mainly from revenue growth in government satellite communication systems, information assurance products, and tactial satcom radio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As reflected in the table below, both firm and funded backlog decreased overall during the first nine months of fiscal year 2014 due to a decrease in firm backlog in the commercial networks segment and decreases in funded backlog in the government systems and commercial networks segments.</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January 3, 2014</w:t>
            </w:r>
          </w:p>
        </w:tc>
        <w:tc>
          <w:tcPr>
            <w:tcW w:w="1820" w:type="dxa"/>
            <w:vAlign w:val="bottom"/>
            <w:gridSpan w:val="4"/>
          </w:tcPr>
          <w:p>
            <w:pPr>
              <w:jc w:val="center"/>
              <w:ind w:left="620"/>
              <w:spacing w:after="0"/>
              <w:rPr>
                <w:sz w:val="20"/>
                <w:szCs w:val="20"/>
                <w:color w:val="auto"/>
              </w:rPr>
            </w:pPr>
            <w:r>
              <w:rPr>
                <w:rFonts w:ascii="Times New Roman" w:cs="Times New Roman" w:eastAsia="Times New Roman" w:hAnsi="Times New Roman"/>
                <w:sz w:val="14"/>
                <w:szCs w:val="14"/>
                <w:b w:val="1"/>
                <w:bCs w:val="1"/>
                <w:color w:val="auto"/>
                <w:w w:val="94"/>
              </w:rPr>
              <w:t>March 29,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millions)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Firm backlog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Satellite Services segment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Networks segment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Government Systems segment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0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Funded backlog</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Services segment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Commercial Networks segment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Systems segment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820" w:type="dxa"/>
            <w:vAlign w:val="bottom"/>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firm backlog does not include contract options. Of the $797.9 million in firm backlog, $196.4 million is expected to be delivered during the remaining three months of fiscal year 2014, and the balance is expected to be delivered in fiscal year 2015 and thereafter. We include in our backlog only those orders for which we have accepted purchase orders.</w:t>
      </w:r>
    </w:p>
    <w:p>
      <w:pPr>
        <w:spacing w:after="0" w:line="13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Our total new awards were $326.8 million and $971.9 million for the three and nine months ended January 3, 2014, respectively, compared to $265.7 million and $1,146.3 million for the three and nine months ended December 28, 2012, respectively.</w:t>
      </w:r>
    </w:p>
    <w:p>
      <w:pPr>
        <w:spacing w:after="0" w:line="12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240" w:top="455" w:right="3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We have financed our operations to date primarily with cash flows from operations, bank line of credit financing, debt financing and equity financing. At January 3, 2014, we had $41.4 million in cash and cash equivalents, $250.1 million in working capital, and $85.0 million in borrowings under our revolving credit facility. At March 29, 2013, we had $105.7 million in cash and cash equivalents, $297.7 million in working capital and no outstanding borrowings under our Credit Facility. We invest our cash in excess of current operating requirements in short-term, interest-bearing, investment-grade securities.</w:t>
      </w:r>
    </w:p>
    <w:p>
      <w:pPr>
        <w:spacing w:after="0" w:line="10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upon many factors, including the timing and amount of cash required for our ViaSat-2 satellite project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3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general cash needs of our satellite services, commercial networks and government systems segments can vary significantly. The cash needs of our satellite services segment tend to be driven by the timing of capital expenditure payments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4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To further enhance our liquidity position, we may obtain additional financing, which could consist of debt, convertible debt or equity financing from public and/or private capital markets.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for the first nine months of fiscal year 2014 was $134.9 million compared to $49.1 million in the prior year period. This $85.8 million increase was primarily driven by our operating results (net loss adjusted for depreciation, amortization and other non-cash charges) which generated $84.2 million of higher cash inflows, coupled with a $8.6 million year-over-year decrease in cash used to fund net operating assets needs. The decrease in net operating assets from March 29, 2013 was mainly due to an increase in our accounts payable due to timing of payments mainly related to the construction of our newest high-capacity satellite, ViaSat-2. Cash provided by operating activities for the first nine months of fiscal year 2013 included a $7.1 million net cash inflow related to our refinancing of the 2016 Notes.</w:t>
      </w:r>
    </w:p>
    <w:p>
      <w:pPr>
        <w:spacing w:after="0" w:line="13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Cash used in investing activities for the first nine months of fiscal year 2014 was $280.5 million compared to $139.1 million in the prior year period. The increase in cash used in investing activities reflected $94.1 million in cash used during the first nine months of fiscal year 2014 for the construction of our ViaSat-2 satellite, as well as a $32.1 million increase in capital expenditures year-over-year for new CPE units and other general purpose equipment.</w:t>
      </w:r>
    </w:p>
    <w:p>
      <w:pPr>
        <w:spacing w:after="0" w:line="132"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for the first nine months of fiscal year 2014 was $81.2 million compared to cash provided by financing activities of $30.0 million for the prior year period. This $51.1 million increase in cash provided by financing activities was primarily related to the $85.0 million in proceeds from borrowings under our Credit Facility, offset by debt issuance costs of $2.5 million during the first nine months of fiscal year 2014, compared to no borrowings in the prior year period. Cash provided by financing activities for the first nine months of fiscal year 2013 reflected the issuance of $300.0 million in aggregate principal amount of additional 2020 Notes, offset by the repurchase and redemption of all of our $275.0 million in aggregate principal amount of 2016 Notes and debt issuance costs of $8.1 million.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Satellite service-related activities</w:t>
      </w:r>
    </w:p>
    <w:p>
      <w:pPr>
        <w:spacing w:after="0" w:line="94" w:lineRule="exact"/>
        <w:rPr>
          <w:sz w:val="20"/>
          <w:szCs w:val="20"/>
          <w:color w:val="auto"/>
        </w:rPr>
      </w:pPr>
    </w:p>
    <w:p>
      <w:pPr>
        <w:ind w:right="100" w:firstLine="456"/>
        <w:spacing w:after="0" w:line="293" w:lineRule="auto"/>
        <w:rPr>
          <w:sz w:val="20"/>
          <w:szCs w:val="20"/>
          <w:color w:val="auto"/>
        </w:rPr>
      </w:pPr>
      <w:r>
        <w:rPr>
          <w:rFonts w:ascii="Times New Roman" w:cs="Times New Roman" w:eastAsia="Times New Roman" w:hAnsi="Times New Roman"/>
          <w:sz w:val="16"/>
          <w:szCs w:val="16"/>
          <w:color w:val="auto"/>
        </w:rPr>
        <w:t>In May 2013, we entered into an agreement with The Boeing Company (Boeing) to purchase ViaSat-2, our second high-capacity Ka-band satellite, at a price of approximately $358.0 million, plus an additional amount for launch support services to be performed by Boeing. The projected total cost of the ViaSat-2 project, including the satellite, launch, insurance and related gateway infrastructure, through satellite launch is estimated to be between $600.0 million to $650.0 million, and will depend on the timing of the gateway infrastructure roll-out. Our total required cash funding may be reduced through various third party agreements, including potential joint service offerings and other strategic partnering arrangements. We believe we have adequate sources of funding for the project, which include our cash on hand, available borrowing capacity and the cash we expect to generate from operations over the next few years.</w:t>
      </w:r>
    </w:p>
    <w:p>
      <w:pPr>
        <w:spacing w:after="0" w:line="11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incurred higher operating costs in connection with the launch and roll-out of our ViaSat-1 satellite and related ground infrastructure and our Exede broadband services, as well as higher interest expense as we capitalized a significantly lower amount of the interest expense on our outstanding debt. These higher operating costs included costs associated with depreciation, gateway connectivity, subscriber acquisition costs, logistics, customer care and various support systems. The higher operating costs attributed to our Exede service launch have negatively impacted income from operations during the past two fiscal years. However, as the total number of subscribers of our Exede broadband services increases, we expect the resultant increase in service revenues in our satellite services segment to improve income (loss) from operations for that segment over time. However, there can be no assurance that the number of subscribers of our Exede broadband services and service revenues in our satellite services segment will continue to increase. We also expect our capital expenditures to increase during the remainder of fiscal year 2014 as a result of increased subscriber acquisition costs relating to the expected increase in the number of subscribers on our Exede broadband services and capital required for the construction of our newest high-capacity satellite, ViaSat-2.</w:t>
      </w:r>
    </w:p>
    <w:p>
      <w:pPr>
        <w:spacing w:after="0" w:line="14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are involved in a variety of claims, suits, investigations and proceedings arising in the ordinary course of business, including actions with respect to intellectual property claims and other matters. See “Legal Proceedings” in Part II, Item 1 for a discussion of certain patent infringement litigation involving Space Systems/Loral, Inc. (SS/L) and its former parent company Loral Space &amp; Communications, Inc. (Loral). Regardless of the outcome, litigation can have an adverse impact on us because we expect to incur costs, which may vary based on interim rulings, discovery and other related activities. In addition, it is possible that an unfavorable resolution of one or more such proceedings could in the future materially and adversely affect our business, financial condition, results of operations or liquidity in a particular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94"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As of January 3, 2014, the Credit Facility provided a $500.0 million revolving line of credit (including up to $150.0 million of letters of credit) with a maturity date of November 26, 2018. We entered into the Credit Facility in November 2013 to replace our former $325.0 million revolving credit facility. Borrowings under the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January 3, 2014, the weighted average effective interest rate on our outstanding borrowings under the Credit Facility was 2.17%. The Credit Facility is required to be guaranteed by certain of our significant domestic subsidiaries (as defined in the Credit Facility) and secured by substantially all of our assets. As of January 3, 2014, none of our subsidiaries guaranteed the Credit Facility. The Credit Facility contains financial covenants regarding a maximum total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w:t>
      </w:r>
    </w:p>
    <w:p>
      <w:pPr>
        <w:spacing w:after="0" w:line="14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At January 3, 2014, we had $85.0 million in principal amount of outstanding borrowings under the Credit Facility and $39.5 million outstanding under standby letters of credit, leaving borrowing availability under the Credit Facility as of January 3, 2014 of $375.5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2020</w:t>
      </w:r>
    </w:p>
    <w:p>
      <w:pPr>
        <w:spacing w:after="0" w:line="94" w:lineRule="exact"/>
        <w:rPr>
          <w:sz w:val="20"/>
          <w:szCs w:val="20"/>
          <w:color w:val="auto"/>
        </w:rPr>
      </w:pPr>
    </w:p>
    <w:p>
      <w:pPr>
        <w:ind w:right="60" w:firstLine="456"/>
        <w:spacing w:after="0" w:line="285" w:lineRule="auto"/>
        <w:rPr>
          <w:sz w:val="20"/>
          <w:szCs w:val="20"/>
          <w:color w:val="auto"/>
        </w:rPr>
      </w:pPr>
      <w:r>
        <w:rPr>
          <w:rFonts w:ascii="Times New Roman" w:cs="Times New Roman" w:eastAsia="Times New Roman" w:hAnsi="Times New Roman"/>
          <w:sz w:val="16"/>
          <w:szCs w:val="16"/>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condensed consolidated financial statements. On October 12,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w:t>
      </w:r>
    </w:p>
    <w:p>
      <w:pPr>
        <w:ind w:right="40"/>
        <w:spacing w:after="0" w:line="253" w:lineRule="auto"/>
        <w:rPr>
          <w:sz w:val="20"/>
          <w:szCs w:val="20"/>
          <w:color w:val="auto"/>
        </w:rPr>
      </w:pPr>
      <w:r>
        <w:rPr>
          <w:rFonts w:ascii="Times New Roman" w:cs="Times New Roman" w:eastAsia="Times New Roman" w:hAnsi="Times New Roman"/>
          <w:sz w:val="18"/>
          <w:szCs w:val="18"/>
          <w:color w:val="auto"/>
        </w:rPr>
        <w:t>6.875% per year, payable semi-annually in cash in arrears, which interest payments commenced in June 2012. Deferred financing cost associated with the issuance of the 2020 Notes is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2020 Notes are required to be guaranteed on an unsecured senior basis by each of our existing and future subsidiaries that guarantees the Credit Facility. During the second quarter of fiscal year 2014, the last remaining subsidiary guarantor, ViaSat Communications, Inc., was merged into ViaSat. Accordingly, as of January 3, 2014,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Facility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41" w:lineRule="exact"/>
        <w:rPr>
          <w:sz w:val="20"/>
          <w:szCs w:val="20"/>
          <w:color w:val="auto"/>
        </w:rPr>
      </w:pPr>
    </w:p>
    <w:p>
      <w:pPr>
        <w:ind w:right="320" w:firstLine="456"/>
        <w:spacing w:after="0" w:line="256" w:lineRule="auto"/>
        <w:rPr>
          <w:sz w:val="20"/>
          <w:szCs w:val="20"/>
          <w:color w:val="auto"/>
        </w:rPr>
      </w:pPr>
      <w:r>
        <w:rPr>
          <w:rFonts w:ascii="Times New Roman" w:cs="Times New Roman" w:eastAsia="Times New Roman" w:hAnsi="Times New Roman"/>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39" w:lineRule="exact"/>
        <w:rPr>
          <w:sz w:val="20"/>
          <w:szCs w:val="20"/>
          <w:color w:val="auto"/>
        </w:rPr>
      </w:pPr>
    </w:p>
    <w:p>
      <w:pPr>
        <w:ind w:right="140" w:firstLine="456"/>
        <w:spacing w:after="0" w:line="285" w:lineRule="auto"/>
        <w:rPr>
          <w:sz w:val="20"/>
          <w:szCs w:val="20"/>
          <w:color w:val="auto"/>
        </w:rPr>
      </w:pPr>
      <w:r>
        <w:rPr>
          <w:rFonts w:ascii="Times New Roman" w:cs="Times New Roman" w:eastAsia="Times New Roman" w:hAnsi="Times New Roman"/>
          <w:sz w:val="16"/>
          <w:szCs w:val="16"/>
          <w:color w:val="auto"/>
        </w:rPr>
        <w:t>Prior to June 15, 2015, we may redeem up to 35% of the 2020 Notes at a redemption price of 106.875% of the principal amount thereof, plus accrued and unpaid interest, if any, thereon to the redemption date, from the net cash proceeds of specified equity offerings. We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w:t>
      </w:r>
    </w:p>
    <w:p>
      <w:pPr>
        <w:spacing w:after="0" w:line="3" w:lineRule="exact"/>
        <w:rPr>
          <w:sz w:val="20"/>
          <w:szCs w:val="20"/>
          <w:color w:val="auto"/>
        </w:rPr>
      </w:pPr>
    </w:p>
    <w:p>
      <w:pPr>
        <w:ind w:right="120" w:firstLine="8"/>
        <w:spacing w:after="0" w:line="252" w:lineRule="auto"/>
        <w:tabs>
          <w:tab w:leader="none" w:pos="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42"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 of Indenture and Loss on Extinguishment of Debt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our issuance of the additional $300.0 million of 2020 Notes issued in October 2012, we repurchased and redeemed all of our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$275.0 million in aggregate principal amount of 2016 Notes then outstanding through a cash tender offer and redemption, and the indenture governing the 2016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was satisfied and discharged in accordance with its terms. On October 12, 2012, we purchased approximately $262.1 million in aggregate principal amount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2016 Notes pursuant to the tender offer. The total cash payment to purchase the tendered 2016 Notes in the tender offer, including accrued and unpaid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up to, but excluding, the repurchase date and a $10 consent payment per $1,000 principal amount of notes tendered, was approximately $282.5 million.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November 14, 2012, we redeemed the remaining $12.9 million in aggregate principal amount of 2016 Notes pursuant to the optional redemption provisions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2016 Notes at a redemption price of 106.656% of the principal amount, plus accrued and unpaid interest to, but not including, the redemption date. The total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payment to redeem the remaining 2016 Notes was approximately $14.0 million.</w:t>
      </w:r>
    </w:p>
    <w:p>
      <w:pPr>
        <w:spacing w:after="0" w:line="159"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As a result of the repurchase and redemption of the 2016 Notes, we recognized a $26.5 million loss on extinguishment of debt during the three and nine months ended December 28, 2012, which was comprised of $19.8 million in cash payments (including tender offer consideration, consent payments, redemption premium and related professional fees), and $6.7 million in non-cash charges (including unamortized discount and unamortized debt issuance costs).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 summary of our obligations at January 3,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5"/>
              </w:rPr>
              <w:t>For the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Remainder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including interest where applicable)</w:t>
            </w:r>
          </w:p>
        </w:tc>
        <w:tc>
          <w:tcPr>
            <w:tcW w:w="34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Fiscal Years Ending</w:t>
            </w:r>
          </w:p>
        </w:tc>
        <w:tc>
          <w:tcPr>
            <w:tcW w:w="0" w:type="dxa"/>
            <w:vAlign w:val="bottom"/>
          </w:tcPr>
          <w:p>
            <w:pPr>
              <w:spacing w:after="0"/>
              <w:rPr>
                <w:sz w:val="1"/>
                <w:szCs w:val="1"/>
                <w:color w:val="auto"/>
              </w:rPr>
            </w:pPr>
          </w:p>
        </w:tc>
      </w:tr>
      <w:tr>
        <w:trPr>
          <w:trHeight w:val="149"/>
        </w:trPr>
        <w:tc>
          <w:tcPr>
            <w:tcW w:w="3120" w:type="dxa"/>
            <w:vAlign w:val="bottom"/>
            <w:tcBorders>
              <w:bottom w:val="single" w:sz="8" w:color="auto"/>
            </w:tcBorders>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36"/>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30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2015-2016</w:t>
            </w:r>
          </w:p>
        </w:tc>
        <w:tc>
          <w:tcPr>
            <w:tcW w:w="98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2017-2018</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leases and satellite capacity agreements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197,833</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20,443</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80,206</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36,364</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60,820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2020 Notes</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831,953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673,827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39,475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performance incentives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36,344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commitments including satellite-related agreements</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642,413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395,260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1,835,450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171,026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598,927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184,424</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881,073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our ViaSat-2 satellite, and operations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3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Our condensed consolidated balance sheets included $51.5 million and $52.6 million of “other liabilities” as of January 3, 2014 and March 29, 2013, respectively, which primarily consisted of the long-term portion of our satellite performance incentives obligation, our long-term warranty obligations, the long-term portion of deferred rent, long-term portion of deferred revenue, long-term deferred income taxes and long-term unrecognized tax position liabilities.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We had no material off-balance sheet arrangements at January 3, 2014 as defined in Regulation S-K Item 303(a)(4) other than as discussed under Contractual Obligations above or disclosed in the notes to our consolidated financial statements included in this Quarterly Report or in our Annual Report on Form 10-K for the year ended March 29, 2013.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Guidance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information regarding recently adopted and issued accounting pronouncements, see Note 1 to the condensed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trade accounts receivable, accounts payable, short-term and long-term obligations, including the Credit Facility and the 2020 Notes, and foreign currency forward contracts. We consider investments in highly liquid instruments purchased with a remaining maturity of three months or less at the date of purchase to be cash equivalents. As of January 3, 2014, we had $85.0 million under our Credit Facility and $575.0 million in aggregate principal amount outstanding of the 2020 Notes, and we held no short-term investments. Our 2020 Notes bear interest at a fixed rate and therefore our exposure to market risk for changes in interest rates relates primarily to borrowings under our Credit Facility, cash equivalents, short-term investments and short-term obligations.</w:t>
      </w:r>
    </w:p>
    <w:p>
      <w:pPr>
        <w:spacing w:after="0" w:line="13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constant over a year, changed by 50 basis points, interest income would have increased or decreased by approximately $0.1 million and $0.4 million for the three months ended January 3, 2014 and December 28, 2012, respectively.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36"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As of January 3, 2014, we had $85.0 million in principal amount of outstanding borrowings under our Credit Facility. Our primary interest rate under the Credit Facility is the Eurodollar rate plus an applicable margin that is based on our total leverage ratio. At January 3, 2014, the weighted average effective interest rate on our outstanding borrowings under the Credit Facility was 2.17%. Assuming the outstanding balance remained constant over a year, a 50 basis point increase in the interest rate would increase interest incurred, prior to effects of capitalized interest, by approximately $0.4 million over a twelve-month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of January 3, 2014, we had a number of foreign currency forward contracts outstanding which are intended to reduce the foreign currency risk for amounts payable to vendors in Euros. The foreign currency forward contracts with a notional amount of $5.8 million had a fair value of less than $0.1 million and were recorded in accrued liabilities as of January 3, 2014. If the foreign currency forward rate for the Euro to the U.S. dollar on these foreign currency forward contracts had changed by 10%, the fair value of these foreign currency forward contracts as of January 3, 2014 would have changed by approximately $0.6 million.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January 3, 2014, the end of the period covered by this Quarterly Report. Based upon the foregoing, our Chief Executive Officer and Chief Financial Officer concluded that our disclosure controls and procedures were effective at a reasonable assurance level as of January 3, 2014.</w:t>
      </w:r>
    </w:p>
    <w:p>
      <w:pPr>
        <w:spacing w:after="0" w:line="136"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During the period covered by this Quarterly Report, there were no changes in our internal control over financial reporting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2" w:lineRule="exact"/>
        <w:rPr>
          <w:sz w:val="20"/>
          <w:szCs w:val="20"/>
          <w:color w:val="auto"/>
        </w:rPr>
      </w:pPr>
    </w:p>
    <w:p>
      <w:pPr>
        <w:jc w:val="both"/>
        <w:ind w:right="220" w:firstLine="456"/>
        <w:spacing w:after="0" w:line="256" w:lineRule="auto"/>
        <w:rPr>
          <w:sz w:val="20"/>
          <w:szCs w:val="20"/>
          <w:color w:val="auto"/>
        </w:rPr>
      </w:pPr>
      <w:r>
        <w:rPr>
          <w:rFonts w:ascii="Times New Roman" w:cs="Times New Roman" w:eastAsia="Times New Roman" w:hAnsi="Times New Roman"/>
          <w:sz w:val="18"/>
          <w:szCs w:val="18"/>
          <w:color w:val="auto"/>
        </w:rPr>
        <w:t>In February 2012, we filed a complaint against SS/L and its former parent company Loral in the United States District Court for the Southern District of California for patent infringement and breach of contract relating to the manufacture of ViaSat-1. We allege, among other things, that SS/L and Loral infringed U.S. Patent Nos. 8,107,875, 8,010,043, 8,068,827 and 7,773,942 by making, using, offering to sell and/or selling other high-capacity broadband satellites, and have requested monetary damages, injunctive relief and other remedies. On December 17, 2013, we voluntarily dismissed our claims against SS/L under U.S. Patent No. 7,773,942.</w:t>
      </w:r>
    </w:p>
    <w:p>
      <w:pPr>
        <w:spacing w:after="0" w:line="139"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On June 15, 2012, SS/L filed counterclaims against us for patent infringement and declaratory relief. Specifically, SS/L seeks a judicial declaration that SS/L did not breach the parties’ contract for the manufacture of ViaSat-1, that SS/L does not infringe our patents described above, and that those patents are invalid and/or unenforceable. SS/L also alleges that we infringed U.S. Patent Nos. 6,879,808, 6,400,696 and 7,219,132 by providing broadband internet service by means of the Anik F2 satellite using ViaSat satellite gateways and satellite user terminals and have induced others to infringe by selling certain ground equipment and user terminals. On November 13, 2013, the Court granted summary judgment of non-infringement of U.S. Patent No. 6,879,808 in favor of ViaSat. On December 17, 2013, SS/L dismissed its claims against ViaSat under U.S. Patent No. 7,219,132. Trial on the remaining claims is set for March 25, 2014.</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September 5, 2013, we filed a complaint against SS/L in the United States District Court for the Southern District of California for patent infringement relating to SS/L’s continued use of ViaSat’s patented technology in the manufacture of high-capacity broadband satellites. We allege, among other things, that SS/L infringed U.S. Patent Nos. 8,213,929, 8,254,832 and 8,285,202 by making, using, offering to sell and/or selling other high-capacity broadband satellites. We have requested monetary damages, injunctive relief and other remedies.</w:t>
      </w:r>
    </w:p>
    <w:p>
      <w:pPr>
        <w:spacing w:after="0" w:line="136"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 addition to the other information set forth in this Quarterly Report, you should carefully consider the factors discussed in Part I, Item 1A, “Risk Factors” in our Annual Report on Form 10-K for the fiscal year ended March 29, 2013,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 Index on page 45 is incorporated herein by reference as the list of exhibits required as part of this Quarterly Report.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55" w:right="2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9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VIASAT, INC.</w:t>
            </w:r>
          </w:p>
        </w:tc>
      </w:tr>
      <w:tr>
        <w:trPr>
          <w:trHeight w:val="43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12, 2014</w:t>
            </w:r>
          </w:p>
        </w:tc>
        <w:tc>
          <w:tcPr>
            <w:tcW w:w="262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ANKBERG</w:t>
            </w:r>
          </w:p>
        </w:tc>
      </w:tr>
      <w:tr>
        <w:trPr>
          <w:trHeight w:val="196"/>
        </w:trPr>
        <w:tc>
          <w:tcPr>
            <w:tcW w:w="3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3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Mark Dankberg</w:t>
            </w:r>
          </w:p>
        </w:tc>
      </w:tr>
      <w:tr>
        <w:trPr>
          <w:trHeight w:val="216"/>
        </w:trPr>
        <w:tc>
          <w:tcPr>
            <w:tcW w:w="3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28"/>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7"/>
        </w:trPr>
        <w:tc>
          <w:tcPr>
            <w:tcW w:w="3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4"/>
                <w:szCs w:val="14"/>
                <w:color w:val="auto"/>
              </w:rPr>
              <w:t>RUCE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IRKS</w:t>
            </w:r>
          </w:p>
        </w:tc>
      </w:tr>
      <w:tr>
        <w:trPr>
          <w:trHeight w:val="196"/>
        </w:trPr>
        <w:tc>
          <w:tcPr>
            <w:tcW w:w="3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3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Bruce Dirks</w:t>
            </w:r>
          </w:p>
        </w:tc>
      </w:tr>
      <w:tr>
        <w:trPr>
          <w:trHeight w:val="216"/>
        </w:trPr>
        <w:tc>
          <w:tcPr>
            <w:tcW w:w="3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3"/>
        </w:trPr>
        <w:tc>
          <w:tcPr>
            <w:tcW w:w="3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HAWN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UFFY</w:t>
            </w:r>
          </w:p>
        </w:tc>
      </w:tr>
      <w:tr>
        <w:trPr>
          <w:trHeight w:val="196"/>
        </w:trPr>
        <w:tc>
          <w:tcPr>
            <w:tcW w:w="3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3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Shawn Duffy</w:t>
            </w:r>
          </w:p>
        </w:tc>
      </w:tr>
      <w:tr>
        <w:trPr>
          <w:trHeight w:val="216"/>
        </w:trPr>
        <w:tc>
          <w:tcPr>
            <w:tcW w:w="3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Corporate Controller and</w:t>
            </w:r>
          </w:p>
        </w:tc>
      </w:tr>
      <w:tr>
        <w:trPr>
          <w:trHeight w:val="216"/>
        </w:trPr>
        <w:tc>
          <w:tcPr>
            <w:tcW w:w="3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65"/>
        </w:trPr>
        <w:tc>
          <w:tcPr>
            <w:tcW w:w="3460" w:type="dxa"/>
            <w:vAlign w:val="bottom"/>
          </w:tcPr>
          <w:p>
            <w:pPr>
              <w:spacing w:after="0"/>
              <w:rPr>
                <w:sz w:val="24"/>
                <w:szCs w:val="24"/>
                <w:color w:val="auto"/>
              </w:rPr>
            </w:pPr>
          </w:p>
        </w:tc>
        <w:tc>
          <w:tcPr>
            <w:tcW w:w="2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44</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Incorporated by Reference</w:t>
            </w:r>
          </w:p>
        </w:tc>
      </w:tr>
      <w:tr>
        <w:trPr>
          <w:trHeight w:val="136"/>
        </w:trPr>
        <w:tc>
          <w:tcPr>
            <w:tcW w:w="5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400" w:type="dxa"/>
            <w:vAlign w:val="bottom"/>
          </w:tcPr>
          <w:p>
            <w:pPr>
              <w:spacing w:after="0"/>
              <w:rPr>
                <w:sz w:val="11"/>
                <w:szCs w:val="11"/>
                <w:color w:val="auto"/>
              </w:rPr>
            </w:pPr>
          </w:p>
        </w:tc>
        <w:tc>
          <w:tcPr>
            <w:tcW w:w="5700" w:type="dxa"/>
            <w:vAlign w:val="bottom"/>
            <w:tcBorders>
              <w:bottom w:val="single" w:sz="8" w:color="auto"/>
            </w:tcBorders>
          </w:tcPr>
          <w:p>
            <w:pPr>
              <w:ind w:left="2280"/>
              <w:spacing w:after="0" w:line="129"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tcPr>
          <w:p>
            <w:pPr>
              <w:spacing w:after="0"/>
              <w:rPr>
                <w:sz w:val="11"/>
                <w:szCs w:val="11"/>
                <w:color w:val="auto"/>
              </w:rPr>
            </w:pPr>
          </w:p>
        </w:tc>
        <w:tc>
          <w:tcPr>
            <w:tcW w:w="38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ind w:right="166"/>
              <w:spacing w:after="0" w:line="129" w:lineRule="exact"/>
              <w:rPr>
                <w:sz w:val="20"/>
                <w:szCs w:val="20"/>
                <w:color w:val="auto"/>
              </w:rPr>
            </w:pPr>
            <w:r>
              <w:rPr>
                <w:rFonts w:ascii="Times New Roman" w:cs="Times New Roman" w:eastAsia="Times New Roman" w:hAnsi="Times New Roman"/>
                <w:sz w:val="14"/>
                <w:szCs w:val="14"/>
                <w:b w:val="1"/>
                <w:bCs w:val="1"/>
                <w:color w:val="auto"/>
              </w:rPr>
              <w:t>File No.</w:t>
            </w: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Exhibit</w:t>
            </w:r>
          </w:p>
        </w:tc>
        <w:tc>
          <w:tcPr>
            <w:tcW w:w="340" w:type="dxa"/>
            <w:vAlign w:val="bottom"/>
            <w:tcBorders>
              <w:top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1"/>
                <w:szCs w:val="11"/>
                <w:color w:val="auto"/>
              </w:rPr>
            </w:pPr>
          </w:p>
        </w:tc>
      </w:tr>
      <w:tr>
        <w:trPr>
          <w:trHeight w:val="29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Agreement, dated as of November 26, 2013, by and among ViaSat, Inc.,</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Union Bank, N.A. (as administrative agent and collateral agent), and the other</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lenders party thereto</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000-21767</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11/26/2013</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Section 302 of the Sarbanes-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0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Certifications Pursuant to 18 U.S.C. Section 1350, as Adopted Pursuant to</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Labels Linkbase</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0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260" w:space="360"/>
            <w:col w:w="580"/>
          </w:cols>
          <w:pgMar w:left="240" w:top="455" w:right="4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ViaSat,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2014</w:t>
            </w: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ARK</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5"/>
                <w:szCs w:val="15"/>
                <w:color w:val="auto"/>
              </w:rPr>
              <w:t>ANKBERG</w:t>
            </w:r>
          </w:p>
        </w:tc>
      </w:tr>
      <w:tr>
        <w:trPr>
          <w:trHeight w:val="191"/>
        </w:trPr>
        <w:tc>
          <w:tcPr>
            <w:tcW w:w="6080" w:type="dxa"/>
            <w:vAlign w:val="bottom"/>
          </w:tcPr>
          <w:p>
            <w:pPr>
              <w:spacing w:after="0"/>
              <w:rPr>
                <w:sz w:val="16"/>
                <w:szCs w:val="16"/>
                <w:color w:val="auto"/>
              </w:rPr>
            </w:pPr>
          </w:p>
        </w:tc>
        <w:tc>
          <w:tcPr>
            <w:tcW w:w="53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Mark Dankberg</w:t>
            </w:r>
          </w:p>
        </w:tc>
      </w:tr>
      <w:tr>
        <w:trPr>
          <w:trHeight w:val="234"/>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117"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Dirks,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ViaSat,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2014</w:t>
            </w: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5"/>
                <w:szCs w:val="15"/>
                <w:color w:val="auto"/>
              </w:rPr>
              <w:t>RUCE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5"/>
                <w:szCs w:val="15"/>
                <w:color w:val="auto"/>
              </w:rPr>
              <w:t>IRKS</w:t>
            </w:r>
          </w:p>
        </w:tc>
      </w:tr>
      <w:tr>
        <w:trPr>
          <w:trHeight w:val="191"/>
        </w:trPr>
        <w:tc>
          <w:tcPr>
            <w:tcW w:w="6080" w:type="dxa"/>
            <w:vAlign w:val="bottom"/>
          </w:tcPr>
          <w:p>
            <w:pPr>
              <w:spacing w:after="0"/>
              <w:rPr>
                <w:sz w:val="16"/>
                <w:szCs w:val="16"/>
                <w:color w:val="auto"/>
              </w:rPr>
            </w:pPr>
          </w:p>
        </w:tc>
        <w:tc>
          <w:tcPr>
            <w:tcW w:w="53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Bruce Dirks</w:t>
            </w:r>
          </w:p>
        </w:tc>
      </w:tr>
      <w:tr>
        <w:trPr>
          <w:trHeight w:val="234"/>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117"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54" w:lineRule="exact"/>
        <w:rPr>
          <w:sz w:val="20"/>
          <w:szCs w:val="20"/>
          <w:color w:val="auto"/>
        </w:rPr>
      </w:pPr>
    </w:p>
    <w:p>
      <w:pPr>
        <w:ind w:right="40" w:firstLine="464"/>
        <w:spacing w:after="0" w:line="282" w:lineRule="auto"/>
        <w:tabs>
          <w:tab w:leader="none" w:pos="7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quarterly period ended January 3, 2014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2014</w:t>
            </w: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ARK</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5"/>
                <w:szCs w:val="15"/>
                <w:color w:val="auto"/>
              </w:rPr>
              <w:t>ANKBERG</w:t>
            </w:r>
          </w:p>
        </w:tc>
      </w:tr>
      <w:tr>
        <w:trPr>
          <w:trHeight w:val="191"/>
        </w:trPr>
        <w:tc>
          <w:tcPr>
            <w:tcW w:w="6080" w:type="dxa"/>
            <w:vAlign w:val="bottom"/>
          </w:tcPr>
          <w:p>
            <w:pPr>
              <w:spacing w:after="0"/>
              <w:rPr>
                <w:sz w:val="16"/>
                <w:szCs w:val="16"/>
                <w:color w:val="auto"/>
              </w:rPr>
            </w:pPr>
          </w:p>
        </w:tc>
        <w:tc>
          <w:tcPr>
            <w:tcW w:w="53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Mark Dankberg</w:t>
            </w:r>
          </w:p>
        </w:tc>
      </w:tr>
      <w:tr>
        <w:trPr>
          <w:trHeight w:val="234"/>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54" w:lineRule="exact"/>
        <w:rPr>
          <w:sz w:val="20"/>
          <w:szCs w:val="20"/>
          <w:color w:val="auto"/>
        </w:rPr>
      </w:pPr>
    </w:p>
    <w:p>
      <w:pPr>
        <w:ind w:right="40" w:firstLine="464"/>
        <w:spacing w:after="0" w:line="282" w:lineRule="auto"/>
        <w:tabs>
          <w:tab w:leader="none" w:pos="7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quarterly period ended January 3, 2014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2014</w:t>
            </w: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5"/>
                <w:szCs w:val="15"/>
                <w:color w:val="auto"/>
              </w:rPr>
              <w:t>RUCE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5"/>
                <w:szCs w:val="15"/>
                <w:color w:val="auto"/>
              </w:rPr>
              <w:t>IRKS</w:t>
            </w:r>
          </w:p>
        </w:tc>
      </w:tr>
      <w:tr>
        <w:trPr>
          <w:trHeight w:val="191"/>
        </w:trPr>
        <w:tc>
          <w:tcPr>
            <w:tcW w:w="6080" w:type="dxa"/>
            <w:vAlign w:val="bottom"/>
          </w:tcPr>
          <w:p>
            <w:pPr>
              <w:spacing w:after="0"/>
              <w:rPr>
                <w:sz w:val="16"/>
                <w:szCs w:val="16"/>
                <w:color w:val="auto"/>
              </w:rPr>
            </w:pPr>
          </w:p>
        </w:tc>
        <w:tc>
          <w:tcPr>
            <w:tcW w:w="53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Bruce Dirks</w:t>
            </w:r>
          </w:p>
        </w:tc>
      </w:tr>
      <w:tr>
        <w:trPr>
          <w:trHeight w:val="234"/>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Roman"/>
      <w:start w:val="2"/>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2019-12-05T22:30:18Z</dcterms:created>
  <dcterms:modified xsi:type="dcterms:W3CDTF">2019-12-05T22:30:18Z</dcterms:modified>
</cp:coreProperties>
</file>