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line="207" w:lineRule="auto"/>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-191135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125095</wp:posOffset>
            </wp:positionV>
            <wp:extent cx="1165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ANNUAL REPORT 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March 31, 2022</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ind w:left="180" w:hanging="172"/>
        <w:spacing w:after="0"/>
        <w:tabs>
          <w:tab w:leader="none" w:pos="1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jc w:val="center"/>
        <w:spacing w:after="0" w:line="196" w:lineRule="auto"/>
        <w:rPr>
          <w:sz w:val="20"/>
          <w:szCs w:val="20"/>
          <w:color w:val="auto"/>
        </w:rPr>
      </w:pPr>
      <w:r>
        <w:rPr>
          <w:rFonts w:ascii="Arial" w:cs="Arial" w:eastAsia="Arial" w:hAnsi="Arial"/>
          <w:sz w:val="15"/>
          <w:szCs w:val="15"/>
          <w:b w:val="1"/>
          <w:bCs w:val="1"/>
          <w:color w:val="auto"/>
        </w:rPr>
        <w:t>For the transition period from to .</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106680</wp:posOffset>
            </wp:positionV>
            <wp:extent cx="116586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414"/>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5"/>
          </w:tcPr>
          <w:p>
            <w:pPr>
              <w:jc w:val="center"/>
              <w:ind w:right="400"/>
              <w:spacing w:after="0"/>
              <w:rPr>
                <w:sz w:val="20"/>
                <w:szCs w:val="20"/>
                <w:color w:val="auto"/>
              </w:rPr>
            </w:pPr>
            <w:r>
              <w:rPr>
                <w:rFonts w:ascii="Arial" w:cs="Arial" w:eastAsia="Arial" w:hAnsi="Arial"/>
                <w:sz w:val="36"/>
                <w:szCs w:val="36"/>
                <w:b w:val="1"/>
                <w:bCs w:val="1"/>
                <w:color w:val="auto"/>
                <w:w w:val="97"/>
              </w:rPr>
              <w:t>VIASAT,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6"/>
          </w:tcPr>
          <w:p>
            <w:pPr>
              <w:jc w:val="center"/>
              <w:ind w:right="26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480" w:type="dxa"/>
            <w:vAlign w:val="bottom"/>
            <w:vMerge w:val="restart"/>
          </w:tcPr>
          <w:p>
            <w:pPr>
              <w:jc w:val="center"/>
              <w:ind w:left="1969"/>
              <w:spacing w:after="0"/>
              <w:rPr>
                <w:sz w:val="20"/>
                <w:szCs w:val="20"/>
                <w:color w:val="auto"/>
              </w:rPr>
            </w:pPr>
            <w:r>
              <w:rPr>
                <w:rFonts w:ascii="Arial" w:cs="Arial" w:eastAsia="Arial" w:hAnsi="Arial"/>
                <w:sz w:val="15"/>
                <w:szCs w:val="15"/>
                <w:b w:val="1"/>
                <w:bCs w:val="1"/>
                <w:color w:val="auto"/>
              </w:rPr>
              <w:t>Delaware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vMerge w:val="restart"/>
          </w:tcPr>
          <w:p>
            <w:pPr>
              <w:jc w:val="center"/>
              <w:ind w:right="1989"/>
              <w:spacing w:after="0"/>
              <w:rPr>
                <w:sz w:val="20"/>
                <w:szCs w:val="20"/>
                <w:color w:val="auto"/>
              </w:rPr>
            </w:pPr>
            <w:r>
              <w:rPr>
                <w:rFonts w:ascii="Arial" w:cs="Arial" w:eastAsia="Arial" w:hAnsi="Arial"/>
                <w:sz w:val="15"/>
                <w:szCs w:val="15"/>
                <w:b w:val="1"/>
                <w:bCs w:val="1"/>
                <w:color w:val="auto"/>
              </w:rPr>
              <w:t>33-0174996</w:t>
            </w:r>
          </w:p>
        </w:tc>
        <w:tc>
          <w:tcPr>
            <w:tcW w:w="0" w:type="dxa"/>
            <w:vAlign w:val="bottom"/>
          </w:tcPr>
          <w:p>
            <w:pPr>
              <w:spacing w:after="0"/>
              <w:rPr>
                <w:sz w:val="1"/>
                <w:szCs w:val="1"/>
                <w:color w:val="auto"/>
              </w:rPr>
            </w:pPr>
          </w:p>
        </w:tc>
      </w:tr>
      <w:tr>
        <w:trPr>
          <w:trHeight w:val="290"/>
        </w:trPr>
        <w:tc>
          <w:tcPr>
            <w:tcW w:w="3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800" w:type="dxa"/>
            <w:vAlign w:val="bottom"/>
            <w:gridSpan w:val="8"/>
          </w:tcPr>
          <w:p>
            <w:pPr>
              <w:jc w:val="center"/>
              <w:ind w:right="2280"/>
              <w:spacing w:after="0" w:line="135" w:lineRule="exact"/>
              <w:rPr>
                <w:sz w:val="20"/>
                <w:szCs w:val="20"/>
                <w:color w:val="auto"/>
              </w:rPr>
            </w:pPr>
            <w:r>
              <w:rPr>
                <w:rFonts w:ascii="Arial" w:cs="Arial" w:eastAsia="Arial" w:hAnsi="Arial"/>
                <w:sz w:val="13"/>
                <w:szCs w:val="13"/>
                <w:b w:val="1"/>
                <w:bCs w:val="1"/>
                <w:color w:val="auto"/>
              </w:rPr>
              <w:t>(State or other jurisdiction of</w:t>
            </w:r>
          </w:p>
        </w:tc>
        <w:tc>
          <w:tcPr>
            <w:tcW w:w="3440" w:type="dxa"/>
            <w:vAlign w:val="bottom"/>
          </w:tcPr>
          <w:p>
            <w:pPr>
              <w:jc w:val="center"/>
              <w:ind w:right="1969"/>
              <w:spacing w:after="0" w:line="135"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41"/>
        </w:trPr>
        <w:tc>
          <w:tcPr>
            <w:tcW w:w="7800" w:type="dxa"/>
            <w:vAlign w:val="bottom"/>
            <w:gridSpan w:val="8"/>
          </w:tcPr>
          <w:p>
            <w:pPr>
              <w:jc w:val="center"/>
              <w:ind w:right="2280"/>
              <w:spacing w:after="0" w:line="141" w:lineRule="exact"/>
              <w:rPr>
                <w:sz w:val="20"/>
                <w:szCs w:val="20"/>
                <w:color w:val="auto"/>
              </w:rPr>
            </w:pPr>
            <w:r>
              <w:rPr>
                <w:rFonts w:ascii="Arial" w:cs="Arial" w:eastAsia="Arial" w:hAnsi="Arial"/>
                <w:sz w:val="13"/>
                <w:szCs w:val="13"/>
                <w:b w:val="1"/>
                <w:bCs w:val="1"/>
                <w:color w:val="auto"/>
              </w:rPr>
              <w:t>incorporation or organization)</w:t>
            </w:r>
          </w:p>
        </w:tc>
        <w:tc>
          <w:tcPr>
            <w:tcW w:w="3440" w:type="dxa"/>
            <w:vAlign w:val="bottom"/>
          </w:tcPr>
          <w:p>
            <w:pPr>
              <w:jc w:val="center"/>
              <w:ind w:right="1989"/>
              <w:spacing w:after="0" w:line="141" w:lineRule="exact"/>
              <w:rPr>
                <w:sz w:val="20"/>
                <w:szCs w:val="20"/>
                <w:color w:val="auto"/>
              </w:rPr>
            </w:pPr>
            <w:r>
              <w:rPr>
                <w:rFonts w:ascii="Arial" w:cs="Arial" w:eastAsia="Arial" w:hAnsi="Arial"/>
                <w:sz w:val="13"/>
                <w:szCs w:val="13"/>
                <w:b w:val="1"/>
                <w:bCs w:val="1"/>
                <w:color w:val="auto"/>
              </w:rPr>
              <w:t>Identification No.)</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100" w:type="dxa"/>
            <w:vAlign w:val="bottom"/>
            <w:gridSpan w:val="4"/>
          </w:tcPr>
          <w:p>
            <w:pPr>
              <w:jc w:val="center"/>
              <w:ind w:right="1240"/>
              <w:spacing w:after="0" w:line="156" w:lineRule="exact"/>
              <w:rPr>
                <w:sz w:val="20"/>
                <w:szCs w:val="20"/>
                <w:color w:val="auto"/>
              </w:rPr>
            </w:pPr>
            <w:r>
              <w:rPr>
                <w:rFonts w:ascii="Arial" w:cs="Arial" w:eastAsia="Arial" w:hAnsi="Arial"/>
                <w:sz w:val="15"/>
                <w:szCs w:val="15"/>
                <w:b w:val="1"/>
                <w:bCs w:val="1"/>
                <w:color w:val="auto"/>
              </w:rPr>
              <w:t>6155 El Camino Real</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40" w:type="dxa"/>
            <w:vAlign w:val="bottom"/>
            <w:gridSpan w:val="5"/>
          </w:tcPr>
          <w:p>
            <w:pPr>
              <w:jc w:val="center"/>
              <w:ind w:right="420"/>
              <w:spacing w:after="0" w:line="135" w:lineRule="exact"/>
              <w:rPr>
                <w:sz w:val="20"/>
                <w:szCs w:val="20"/>
                <w:color w:val="auto"/>
              </w:rPr>
            </w:pPr>
            <w:r>
              <w:rPr>
                <w:rFonts w:ascii="Arial" w:cs="Arial" w:eastAsia="Arial" w:hAnsi="Arial"/>
                <w:sz w:val="15"/>
                <w:szCs w:val="15"/>
                <w:b w:val="1"/>
                <w:bCs w:val="1"/>
                <w:color w:val="auto"/>
              </w:rPr>
              <w:t>Carlsbad, California 92009</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3060" w:type="dxa"/>
            <w:vAlign w:val="bottom"/>
            <w:gridSpan w:val="4"/>
          </w:tcPr>
          <w:p>
            <w:pPr>
              <w:jc w:val="center"/>
              <w:ind w:left="1147"/>
              <w:spacing w:after="0" w:line="135" w:lineRule="exact"/>
              <w:rPr>
                <w:sz w:val="20"/>
                <w:szCs w:val="20"/>
                <w:color w:val="auto"/>
              </w:rPr>
            </w:pPr>
            <w:r>
              <w:rPr>
                <w:rFonts w:ascii="Arial" w:cs="Arial" w:eastAsia="Arial" w:hAnsi="Arial"/>
                <w:sz w:val="15"/>
                <w:szCs w:val="15"/>
                <w:b w:val="1"/>
                <w:bCs w:val="1"/>
                <w:color w:val="auto"/>
              </w:rPr>
              <w:t>(760) 476-2200</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4320" w:type="dxa"/>
            <w:vAlign w:val="bottom"/>
            <w:gridSpan w:val="7"/>
          </w:tcPr>
          <w:p>
            <w:pPr>
              <w:jc w:val="center"/>
              <w:ind w:right="40"/>
              <w:spacing w:after="0" w:line="141" w:lineRule="exact"/>
              <w:rPr>
                <w:sz w:val="20"/>
                <w:szCs w:val="20"/>
                <w:color w:val="auto"/>
              </w:rPr>
            </w:pPr>
            <w:r>
              <w:rPr>
                <w:rFonts w:ascii="Arial" w:cs="Arial" w:eastAsia="Arial" w:hAnsi="Arial"/>
                <w:sz w:val="13"/>
                <w:szCs w:val="13"/>
                <w:b w:val="1"/>
                <w:bCs w:val="1"/>
                <w:color w:val="auto"/>
              </w:rPr>
              <w:t>(Address of principal executive offices and telephone number)</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4320" w:type="dxa"/>
            <w:vAlign w:val="bottom"/>
            <w:gridSpan w:val="7"/>
          </w:tcPr>
          <w:p>
            <w:pPr>
              <w:jc w:val="center"/>
              <w:ind w:right="4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80" w:type="dxa"/>
            <w:vAlign w:val="bottom"/>
          </w:tcPr>
          <w:p>
            <w:pPr>
              <w:jc w:val="center"/>
              <w:ind w:left="149"/>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(Trading Symbol)</w:t>
            </w:r>
          </w:p>
        </w:tc>
        <w:tc>
          <w:tcPr>
            <w:tcW w:w="3440" w:type="dxa"/>
            <w:vAlign w:val="bottom"/>
          </w:tcPr>
          <w:p>
            <w:pPr>
              <w:jc w:val="center"/>
              <w:ind w:right="149"/>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480" w:type="dxa"/>
            <w:vAlign w:val="bottom"/>
            <w:tcBorders>
              <w:top w:val="single" w:sz="8" w:color="auto"/>
            </w:tcBorders>
          </w:tcPr>
          <w:p>
            <w:pPr>
              <w:jc w:val="center"/>
              <w:ind w:left="149"/>
              <w:spacing w:after="0"/>
              <w:rPr>
                <w:sz w:val="20"/>
                <w:szCs w:val="20"/>
                <w:color w:val="auto"/>
              </w:rPr>
            </w:pPr>
            <w:r>
              <w:rPr>
                <w:rFonts w:ascii="Arial" w:cs="Arial" w:eastAsia="Arial" w:hAnsi="Arial"/>
                <w:sz w:val="15"/>
                <w:szCs w:val="15"/>
                <w:b w:val="1"/>
                <w:bCs w:val="1"/>
                <w:color w:val="auto"/>
              </w:rPr>
              <w:t>Common Stock, par value $0.0001 per share</w:t>
            </w: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5"/>
                <w:szCs w:val="15"/>
                <w:b w:val="1"/>
                <w:bCs w:val="1"/>
                <w:color w:val="auto"/>
                <w:w w:val="94"/>
              </w:rPr>
              <w:t>VSAT</w:t>
            </w: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169"/>
              <w:spacing w:after="0"/>
              <w:rPr>
                <w:sz w:val="20"/>
                <w:szCs w:val="20"/>
                <w:color w:val="auto"/>
              </w:rPr>
            </w:pPr>
            <w:r>
              <w:rPr>
                <w:rFonts w:ascii="Arial" w:cs="Arial" w:eastAsia="Arial" w:hAnsi="Arial"/>
                <w:sz w:val="15"/>
                <w:szCs w:val="15"/>
                <w:b w:val="1"/>
                <w:bCs w:val="1"/>
                <w:color w:val="auto"/>
              </w:rPr>
              <w:t>The Nasdaq Stock Market LLC</w:t>
            </w:r>
          </w:p>
        </w:tc>
        <w:tc>
          <w:tcPr>
            <w:tcW w:w="0" w:type="dxa"/>
            <w:vAlign w:val="bottom"/>
          </w:tcPr>
          <w:p>
            <w:pPr>
              <w:spacing w:after="0"/>
              <w:rPr>
                <w:sz w:val="1"/>
                <w:szCs w:val="1"/>
                <w:color w:val="auto"/>
              </w:rPr>
            </w:pPr>
          </w:p>
        </w:tc>
      </w:tr>
    </w:tbl>
    <w:p>
      <w:pPr>
        <w:spacing w:after="0" w:line="28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jc w:val="center"/>
        <w:spacing w:after="0"/>
        <w:rPr>
          <w:sz w:val="20"/>
          <w:szCs w:val="20"/>
          <w:color w:val="auto"/>
        </w:rPr>
      </w:pPr>
      <w:r>
        <w:rPr>
          <w:rFonts w:ascii="Arial" w:cs="Arial" w:eastAsia="Arial" w:hAnsi="Arial"/>
          <w:sz w:val="15"/>
          <w:szCs w:val="15"/>
          <w:b w:val="1"/>
          <w:bCs w:val="1"/>
          <w:color w:val="auto"/>
        </w:rPr>
        <w:t>None</w:t>
      </w:r>
    </w:p>
    <w:p>
      <w:pPr>
        <w:spacing w:after="0" w:line="166" w:lineRule="exact"/>
        <w:rPr>
          <w:sz w:val="24"/>
          <w:szCs w:val="24"/>
          <w:color w:val="auto"/>
        </w:rPr>
      </w:pPr>
    </w:p>
    <w:p>
      <w:pPr>
        <w:ind w:left="38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of 1933.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-107315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2" w:lineRule="exact"/>
        <w:rPr>
          <w:sz w:val="24"/>
          <w:szCs w:val="24"/>
          <w:color w:val="auto"/>
        </w:rPr>
      </w:pPr>
    </w:p>
    <w:p>
      <w:pPr>
        <w:ind w:left="38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jc w:val="both"/>
        <w:ind w:right="180" w:firstLine="374"/>
        <w:spacing w:after="0" w:line="14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ind w:right="160" w:firstLine="374"/>
        <w:spacing w:after="0" w:line="14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ind w:right="280" w:firstLine="374"/>
        <w:spacing w:after="0" w:line="20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4"/>
        </w:trPr>
        <w:tc>
          <w:tcPr>
            <w:tcW w:w="2440" w:type="dxa"/>
            <w:vAlign w:val="bottom"/>
          </w:tcPr>
          <w:p>
            <w:pPr>
              <w:spacing w:after="0" w:line="144" w:lineRule="exact"/>
              <w:rPr>
                <w:sz w:val="20"/>
                <w:szCs w:val="20"/>
                <w:color w:val="auto"/>
              </w:rPr>
            </w:pPr>
            <w:r>
              <w:rPr>
                <w:rFonts w:ascii="Arial" w:cs="Arial" w:eastAsia="Arial" w:hAnsi="Arial"/>
                <w:sz w:val="15"/>
                <w:szCs w:val="15"/>
                <w:color w:val="auto"/>
              </w:rPr>
              <w:t>Large accelerated filer</w:t>
            </w:r>
          </w:p>
        </w:tc>
        <w:tc>
          <w:tcPr>
            <w:tcW w:w="3540" w:type="dxa"/>
            <w:vAlign w:val="bottom"/>
          </w:tcPr>
          <w:p>
            <w:pPr>
              <w:ind w:left="940"/>
              <w:spacing w:after="0" w:line="144"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460"/>
              <w:spacing w:after="0" w:line="144" w:lineRule="exact"/>
              <w:rPr>
                <w:sz w:val="20"/>
                <w:szCs w:val="20"/>
                <w:color w:val="auto"/>
              </w:rPr>
            </w:pPr>
            <w:r>
              <w:rPr>
                <w:rFonts w:ascii="Arial" w:cs="Arial" w:eastAsia="Arial" w:hAnsi="Arial"/>
                <w:sz w:val="15"/>
                <w:szCs w:val="15"/>
                <w:color w:val="auto"/>
              </w:rPr>
              <w:t>Accelerated filer</w:t>
            </w:r>
          </w:p>
        </w:tc>
        <w:tc>
          <w:tcPr>
            <w:tcW w:w="340" w:type="dxa"/>
            <w:vAlign w:val="bottom"/>
          </w:tcPr>
          <w:p>
            <w:pPr>
              <w:ind w:left="200"/>
              <w:spacing w:after="0" w:line="144" w:lineRule="exact"/>
              <w:rPr>
                <w:sz w:val="20"/>
                <w:szCs w:val="20"/>
                <w:color w:val="auto"/>
              </w:rPr>
            </w:pPr>
            <w:r>
              <w:rPr>
                <w:rFonts w:ascii="MS PGothic" w:cs="MS PGothic" w:eastAsia="MS PGothic" w:hAnsi="MS PGothic"/>
                <w:sz w:val="15"/>
                <w:szCs w:val="15"/>
                <w:color w:val="auto"/>
                <w:w w:val="79"/>
              </w:rPr>
              <w:t>☐</w:t>
            </w:r>
          </w:p>
        </w:tc>
      </w:tr>
      <w:tr>
        <w:trPr>
          <w:trHeight w:val="162"/>
        </w:trPr>
        <w:tc>
          <w:tcPr>
            <w:tcW w:w="2440" w:type="dxa"/>
            <w:vAlign w:val="bottom"/>
          </w:tcPr>
          <w:p>
            <w:pPr>
              <w:spacing w:after="0" w:line="162" w:lineRule="exact"/>
              <w:rPr>
                <w:sz w:val="20"/>
                <w:szCs w:val="20"/>
                <w:color w:val="auto"/>
              </w:rPr>
            </w:pPr>
            <w:r>
              <w:rPr>
                <w:rFonts w:ascii="Arial" w:cs="Arial" w:eastAsia="Arial" w:hAnsi="Arial"/>
                <w:sz w:val="15"/>
                <w:szCs w:val="15"/>
                <w:color w:val="auto"/>
              </w:rPr>
              <w:t>Non-accelerated filer</w:t>
            </w:r>
          </w:p>
        </w:tc>
        <w:tc>
          <w:tcPr>
            <w:tcW w:w="354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460"/>
              <w:spacing w:after="0" w:line="162" w:lineRule="exact"/>
              <w:rPr>
                <w:sz w:val="20"/>
                <w:szCs w:val="20"/>
                <w:color w:val="auto"/>
              </w:rPr>
            </w:pPr>
            <w:r>
              <w:rPr>
                <w:rFonts w:ascii="Arial" w:cs="Arial" w:eastAsia="Arial" w:hAnsi="Arial"/>
                <w:sz w:val="15"/>
                <w:szCs w:val="15"/>
                <w:color w:val="auto"/>
              </w:rPr>
              <w:t>Smaller reporting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99"/>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500" w:type="dxa"/>
            <w:vAlign w:val="bottom"/>
          </w:tcPr>
          <w:p>
            <w:pPr>
              <w:ind w:left="246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bl>
    <w:p>
      <w:pPr>
        <w:jc w:val="both"/>
        <w:ind w:right="380" w:firstLine="374"/>
        <w:spacing w:after="0" w:line="15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120" w:firstLine="374"/>
        <w:spacing w:after="0" w:line="14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 w:lineRule="exact"/>
        <w:rPr>
          <w:sz w:val="24"/>
          <w:szCs w:val="24"/>
          <w:color w:val="auto"/>
        </w:rPr>
      </w:pPr>
    </w:p>
    <w:p>
      <w:pPr>
        <w:ind w:left="38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 w:lineRule="exact"/>
        <w:rPr>
          <w:sz w:val="24"/>
          <w:szCs w:val="24"/>
          <w:color w:val="auto"/>
        </w:rPr>
      </w:pPr>
    </w:p>
    <w:p>
      <w:pPr>
        <w:ind w:firstLine="374"/>
        <w:spacing w:after="0" w:line="216"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2021 was approximately $3,897,588,723 (based on the closing price on that date for shares of the registrant’s common stock as reported by the Nasdaq Global Select Market).</w:t>
      </w:r>
    </w:p>
    <w:p>
      <w:pPr>
        <w:ind w:left="380"/>
        <w:spacing w:after="0" w:line="225" w:lineRule="auto"/>
        <w:rPr>
          <w:sz w:val="20"/>
          <w:szCs w:val="20"/>
          <w:color w:val="auto"/>
        </w:rPr>
      </w:pPr>
      <w:r>
        <w:rPr>
          <w:rFonts w:ascii="Arial" w:cs="Arial" w:eastAsia="Arial" w:hAnsi="Arial"/>
          <w:sz w:val="15"/>
          <w:szCs w:val="15"/>
          <w:color w:val="auto"/>
        </w:rPr>
        <w:t>The number of shares outstanding of the registrant’s common stock, $0.0001 par value, as of May 13, 2022 was 74,437,039.</w:t>
      </w:r>
    </w:p>
    <w:p>
      <w:pPr>
        <w:ind w:left="40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106680</wp:posOffset>
            </wp:positionV>
            <wp:extent cx="1165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8" w:lineRule="exact"/>
        <w:rPr>
          <w:sz w:val="24"/>
          <w:szCs w:val="24"/>
          <w:color w:val="auto"/>
        </w:rPr>
      </w:pPr>
    </w:p>
    <w:p>
      <w:pPr>
        <w:ind w:left="380"/>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w:t>
      </w:r>
    </w:p>
    <w:p>
      <w:pPr>
        <w:ind w:right="560"/>
        <w:spacing w:after="0" w:line="222" w:lineRule="auto"/>
        <w:rPr>
          <w:sz w:val="20"/>
          <w:szCs w:val="20"/>
          <w:color w:val="auto"/>
        </w:rPr>
      </w:pPr>
      <w:r>
        <w:rPr>
          <w:rFonts w:ascii="Arial" w:cs="Arial" w:eastAsia="Arial" w:hAnsi="Arial"/>
          <w:sz w:val="15"/>
          <w:szCs w:val="15"/>
          <w:color w:val="auto"/>
        </w:rPr>
        <w:t>2022 Annual Meeting of Stockholders are incorporated by reference into Part III of this Form 10-K where indicated. Such Proxy Statement will be filed with the Securities and Exchange Commission not later than 120 days after the registrant’s fiscal year ended 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15"/>
          </w:tcPr>
          <w:p>
            <w:pPr>
              <w:jc w:val="center"/>
              <w:ind w:right="4360"/>
              <w:spacing w:after="0"/>
              <w:rPr>
                <w:sz w:val="20"/>
                <w:szCs w:val="20"/>
                <w:color w:val="auto"/>
              </w:rPr>
            </w:pPr>
            <w:r>
              <w:rPr>
                <w:rFonts w:ascii="Arial" w:cs="Arial" w:eastAsia="Arial" w:hAnsi="Arial"/>
                <w:sz w:val="18"/>
                <w:szCs w:val="18"/>
                <w:b w:val="1"/>
                <w:bCs w:val="1"/>
                <w:color w:val="auto"/>
                <w:w w:val="96"/>
              </w:rPr>
              <w:t>VIASAT, INC.</w:t>
            </w:r>
          </w:p>
        </w:tc>
        <w:tc>
          <w:tcPr>
            <w:tcW w:w="6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100" w:type="dxa"/>
            <w:vAlign w:val="bottom"/>
            <w:gridSpan w:val="17"/>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2"/>
                <w:szCs w:val="22"/>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7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40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660" w:type="dxa"/>
            <w:vAlign w:val="bottom"/>
          </w:tcPr>
          <w:p>
            <w:pPr>
              <w:spacing w:after="0"/>
              <w:rPr>
                <w:sz w:val="24"/>
                <w:szCs w:val="24"/>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w:t>
            </w:r>
          </w:p>
        </w:tc>
        <w:tc>
          <w:tcPr>
            <w:tcW w:w="4300" w:type="dxa"/>
            <w:vAlign w:val="bottom"/>
            <w:gridSpan w:val="19"/>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gridSpan w:val="3"/>
          </w:tcPr>
          <w:p>
            <w:pPr>
              <w:spacing w:after="0"/>
              <w:rPr>
                <w:sz w:val="15"/>
                <w:szCs w:val="15"/>
                <w:color w:val="auto"/>
              </w:rPr>
            </w:pPr>
          </w:p>
        </w:tc>
        <w:tc>
          <w:tcPr>
            <w:tcW w:w="4420" w:type="dxa"/>
            <w:vAlign w:val="bottom"/>
            <w:gridSpan w:val="9"/>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5"/>
          </w:tcPr>
          <w:p>
            <w:pPr>
              <w:spacing w:after="0" w:line="182" w:lineRule="exact"/>
              <w:rPr>
                <w:rFonts w:ascii="Arial" w:cs="Arial" w:eastAsia="Arial" w:hAnsi="Arial"/>
                <w:sz w:val="18"/>
                <w:szCs w:val="18"/>
                <w:color w:val="0000FF"/>
                <w:w w:val="97"/>
              </w:rPr>
            </w:pPr>
            <w:hyperlink w:anchor="page26">
              <w:r>
                <w:rPr>
                  <w:rFonts w:ascii="Arial" w:cs="Arial" w:eastAsia="Arial" w:hAnsi="Arial"/>
                  <w:sz w:val="18"/>
                  <w:szCs w:val="18"/>
                  <w:color w:val="0000FF"/>
                  <w:w w:val="97"/>
                </w:rPr>
                <w:t>Risk Factors</w:t>
              </w:r>
            </w:hyperlink>
          </w:p>
        </w:tc>
        <w:tc>
          <w:tcPr>
            <w:tcW w:w="20" w:type="dxa"/>
            <w:vAlign w:val="bottom"/>
            <w:tcBorders>
              <w:bottom w:val="single" w:sz="8" w:color="0000EE"/>
            </w:tcBorders>
          </w:tcPr>
          <w:p>
            <w:pPr>
              <w:spacing w:after="0"/>
              <w:rPr>
                <w:sz w:val="15"/>
                <w:szCs w:val="15"/>
                <w:color w:val="auto"/>
              </w:rPr>
            </w:pPr>
          </w:p>
        </w:tc>
        <w:tc>
          <w:tcPr>
            <w:tcW w:w="8280" w:type="dxa"/>
            <w:vAlign w:val="bottom"/>
            <w:gridSpan w:val="25"/>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1B.</w:t>
            </w:r>
          </w:p>
        </w:tc>
        <w:tc>
          <w:tcPr>
            <w:tcW w:w="9300" w:type="dxa"/>
            <w:vAlign w:val="bottom"/>
            <w:gridSpan w:val="31"/>
          </w:tcPr>
          <w:p>
            <w:pPr>
              <w:spacing w:after="0" w:line="182" w:lineRule="exact"/>
              <w:rPr>
                <w:rFonts w:ascii="Arial" w:cs="Arial" w:eastAsia="Arial" w:hAnsi="Arial"/>
                <w:sz w:val="18"/>
                <w:szCs w:val="18"/>
                <w:color w:val="0000FF"/>
              </w:rPr>
            </w:pPr>
            <w:hyperlink w:anchor="page41">
              <w:r>
                <w:rPr>
                  <w:rFonts w:ascii="Arial" w:cs="Arial" w:eastAsia="Arial" w:hAnsi="Arial"/>
                  <w:sz w:val="18"/>
                  <w:szCs w:val="18"/>
                  <w:color w:val="0000FF"/>
                </w:rPr>
                <w:t>Unresolved Staff Comments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7"/>
              </w:rPr>
            </w:pPr>
            <w:hyperlink w:anchor="page42">
              <w:r>
                <w:rPr>
                  <w:rFonts w:ascii="Arial" w:cs="Arial" w:eastAsia="Arial" w:hAnsi="Arial"/>
                  <w:sz w:val="18"/>
                  <w:szCs w:val="18"/>
                  <w:color w:val="0000FF"/>
                  <w:w w:val="97"/>
                </w:rPr>
                <w:t>Properties</w:t>
              </w:r>
            </w:hyperlink>
          </w:p>
        </w:tc>
        <w:tc>
          <w:tcPr>
            <w:tcW w:w="20" w:type="dxa"/>
            <w:vAlign w:val="bottom"/>
            <w:tcBorders>
              <w:top w:val="single" w:sz="8" w:color="0000FF"/>
              <w:bottom w:val="single" w:sz="8" w:color="0000EE"/>
            </w:tcBorders>
          </w:tcPr>
          <w:p>
            <w:pPr>
              <w:spacing w:after="0"/>
              <w:rPr>
                <w:sz w:val="15"/>
                <w:szCs w:val="15"/>
                <w:color w:val="auto"/>
              </w:rPr>
            </w:pPr>
          </w:p>
        </w:tc>
        <w:tc>
          <w:tcPr>
            <w:tcW w:w="1400" w:type="dxa"/>
            <w:vAlign w:val="bottom"/>
            <w:tcBorders>
              <w:top w:val="single" w:sz="8" w:color="0000FF"/>
            </w:tcBorders>
            <w:gridSpan w:val="9"/>
          </w:tcPr>
          <w:p>
            <w:pPr>
              <w:spacing w:after="0"/>
              <w:rPr>
                <w:sz w:val="15"/>
                <w:szCs w:val="15"/>
                <w:color w:val="auto"/>
              </w:rPr>
            </w:pPr>
          </w:p>
        </w:tc>
        <w:tc>
          <w:tcPr>
            <w:tcW w:w="7060" w:type="dxa"/>
            <w:vAlign w:val="bottom"/>
            <w:gridSpan w:val="19"/>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9300" w:type="dxa"/>
            <w:vAlign w:val="bottom"/>
            <w:gridSpan w:val="31"/>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9300" w:type="dxa"/>
            <w:vAlign w:val="bottom"/>
            <w:gridSpan w:val="31"/>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9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400"/>
              <w:spacing w:after="0"/>
              <w:rPr>
                <w:rFonts w:ascii="Arial" w:cs="Arial" w:eastAsia="Arial" w:hAnsi="Arial"/>
                <w:sz w:val="18"/>
                <w:szCs w:val="18"/>
                <w:b w:val="1"/>
                <w:bCs w:val="1"/>
                <w:color w:val="0000FF"/>
                <w:w w:val="96"/>
              </w:rPr>
            </w:pPr>
            <w:hyperlink w:anchor="page43">
              <w:r>
                <w:rPr>
                  <w:rFonts w:ascii="Arial" w:cs="Arial" w:eastAsia="Arial" w:hAnsi="Arial"/>
                  <w:sz w:val="18"/>
                  <w:szCs w:val="18"/>
                  <w:b w:val="1"/>
                  <w:bCs w:val="1"/>
                  <w:color w:val="0000FF"/>
                  <w:w w:val="96"/>
                </w:rPr>
                <w:t>PART II</w:t>
              </w:r>
            </w:hyperlink>
          </w:p>
        </w:tc>
        <w:tc>
          <w:tcPr>
            <w:tcW w:w="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5.</w:t>
            </w:r>
          </w:p>
        </w:tc>
        <w:tc>
          <w:tcPr>
            <w:tcW w:w="888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Market for Registrant’s Common Equity, Related Stockholder Matters and Issuer Purchases of Equity Securities</w:t>
              </w:r>
            </w:hyperlink>
          </w:p>
        </w:tc>
        <w:tc>
          <w:tcPr>
            <w:tcW w:w="4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6.</w:t>
            </w:r>
          </w:p>
        </w:tc>
        <w:tc>
          <w:tcPr>
            <w:tcW w:w="9300" w:type="dxa"/>
            <w:vAlign w:val="bottom"/>
            <w:gridSpan w:val="31"/>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[Reserved]</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2"/>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w:anchor="page44">
              <w:r>
                <w:rPr>
                  <w:rFonts w:ascii="Arial" w:cs="Arial" w:eastAsia="Arial" w:hAnsi="Arial"/>
                  <w:sz w:val="18"/>
                  <w:szCs w:val="18"/>
                  <w:color w:val="0000FF"/>
                  <w:w w:val="99"/>
                </w:rPr>
                <w:t>Management’s Discussion and Analysis of Financial Condition and Results of Operations</w:t>
              </w:r>
            </w:hyperlink>
          </w:p>
        </w:tc>
        <w:tc>
          <w:tcPr>
            <w:tcW w:w="2220" w:type="dxa"/>
            <w:vAlign w:val="bottom"/>
            <w:gridSpan w:val="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7A.</w:t>
            </w:r>
          </w:p>
        </w:tc>
        <w:tc>
          <w:tcPr>
            <w:tcW w:w="9300" w:type="dxa"/>
            <w:vAlign w:val="bottom"/>
            <w:gridSpan w:val="31"/>
          </w:tcPr>
          <w:p>
            <w:pPr>
              <w:spacing w:after="0" w:line="182" w:lineRule="exact"/>
              <w:rPr>
                <w:rFonts w:ascii="Arial" w:cs="Arial" w:eastAsia="Arial" w:hAnsi="Arial"/>
                <w:sz w:val="18"/>
                <w:szCs w:val="18"/>
                <w:color w:val="0000FF"/>
              </w:rPr>
            </w:pPr>
            <w:hyperlink w:anchor="page61">
              <w:r>
                <w:rPr>
                  <w:rFonts w:ascii="Arial" w:cs="Arial" w:eastAsia="Arial" w:hAnsi="Arial"/>
                  <w:sz w:val="18"/>
                  <w:szCs w:val="18"/>
                  <w:color w:val="0000FF"/>
                </w:rPr>
                <w:t>Quantitative and Qualitative Disclosures About Market Risk</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w:anchor="page62">
              <w:r>
                <w:rPr>
                  <w:rFonts w:ascii="Arial" w:cs="Arial" w:eastAsia="Arial" w:hAnsi="Arial"/>
                  <w:sz w:val="18"/>
                  <w:szCs w:val="18"/>
                  <w:color w:val="0000FF"/>
                  <w:w w:val="99"/>
                </w:rPr>
                <w:t>Financial Statements and Supplementary Data</w:t>
              </w:r>
            </w:hyperlink>
          </w:p>
        </w:tc>
        <w:tc>
          <w:tcPr>
            <w:tcW w:w="20" w:type="dxa"/>
            <w:vAlign w:val="bottom"/>
            <w:tcBorders>
              <w:top w:val="single" w:sz="8" w:color="0000FF"/>
              <w:bottom w:val="single" w:sz="8" w:color="0000EE"/>
            </w:tcBorders>
          </w:tcPr>
          <w:p>
            <w:pPr>
              <w:spacing w:after="0"/>
              <w:rPr>
                <w:sz w:val="15"/>
                <w:szCs w:val="15"/>
                <w:color w:val="auto"/>
              </w:rPr>
            </w:pPr>
          </w:p>
        </w:tc>
        <w:tc>
          <w:tcPr>
            <w:tcW w:w="960" w:type="dxa"/>
            <w:vAlign w:val="bottom"/>
            <w:tcBorders>
              <w:top w:val="single" w:sz="8" w:color="0000FF"/>
            </w:tcBorders>
            <w:gridSpan w:val="5"/>
          </w:tcPr>
          <w:p>
            <w:pPr>
              <w:spacing w:after="0"/>
              <w:rPr>
                <w:sz w:val="15"/>
                <w:szCs w:val="15"/>
                <w:color w:val="auto"/>
              </w:rPr>
            </w:pPr>
          </w:p>
        </w:tc>
        <w:tc>
          <w:tcPr>
            <w:tcW w:w="4600" w:type="dxa"/>
            <w:vAlign w:val="bottom"/>
            <w:gridSpan w:val="1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w:t>
            </w:r>
          </w:p>
        </w:tc>
        <w:tc>
          <w:tcPr>
            <w:tcW w:w="9300" w:type="dxa"/>
            <w:vAlign w:val="bottom"/>
            <w:gridSpan w:val="31"/>
          </w:tcPr>
          <w:p>
            <w:pPr>
              <w:spacing w:after="0" w:line="182" w:lineRule="exact"/>
              <w:rPr>
                <w:rFonts w:ascii="Arial" w:cs="Arial" w:eastAsia="Arial" w:hAnsi="Arial"/>
                <w:sz w:val="18"/>
                <w:szCs w:val="18"/>
                <w:color w:val="0000FF"/>
              </w:rPr>
            </w:pPr>
            <w:hyperlink w:anchor="page63">
              <w:r>
                <w:rPr>
                  <w:rFonts w:ascii="Arial" w:cs="Arial" w:eastAsia="Arial" w:hAnsi="Arial"/>
                  <w:sz w:val="18"/>
                  <w:szCs w:val="18"/>
                  <w:color w:val="0000FF"/>
                </w:rPr>
                <w:t>Changes in and Disagreements with Accountants on Accounting and Financial Disclosure</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w:anchor="page63">
              <w:r>
                <w:rPr>
                  <w:rFonts w:ascii="Arial" w:cs="Arial" w:eastAsia="Arial" w:hAnsi="Arial"/>
                  <w:sz w:val="18"/>
                  <w:szCs w:val="18"/>
                  <w:color w:val="0000FF"/>
                </w:rPr>
                <w:t>Controls and Procedures</w:t>
              </w:r>
            </w:hyperlink>
          </w:p>
        </w:tc>
        <w:tc>
          <w:tcPr>
            <w:tcW w:w="218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8"/>
              </w:rPr>
            </w:pPr>
            <w:hyperlink w:anchor="page63">
              <w:r>
                <w:rPr>
                  <w:rFonts w:ascii="Arial" w:cs="Arial" w:eastAsia="Arial" w:hAnsi="Arial"/>
                  <w:sz w:val="18"/>
                  <w:szCs w:val="18"/>
                  <w:color w:val="0000FF"/>
                  <w:w w:val="98"/>
                </w:rPr>
                <w:t>Other Information</w:t>
              </w:r>
            </w:hyperlink>
          </w:p>
        </w:tc>
        <w:tc>
          <w:tcPr>
            <w:tcW w:w="10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gridSpan w:val="3"/>
          </w:tcPr>
          <w:p>
            <w:pPr>
              <w:spacing w:after="0"/>
              <w:rPr>
                <w:sz w:val="15"/>
                <w:szCs w:val="15"/>
                <w:color w:val="auto"/>
              </w:rPr>
            </w:pPr>
          </w:p>
        </w:tc>
        <w:tc>
          <w:tcPr>
            <w:tcW w:w="7300" w:type="dxa"/>
            <w:vAlign w:val="bottom"/>
            <w:gridSpan w:val="2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9C.</w:t>
            </w:r>
          </w:p>
        </w:tc>
        <w:tc>
          <w:tcPr>
            <w:tcW w:w="546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w:anchor="page64">
              <w:r>
                <w:rPr>
                  <w:rFonts w:ascii="Arial" w:cs="Arial" w:eastAsia="Arial" w:hAnsi="Arial"/>
                  <w:sz w:val="18"/>
                  <w:szCs w:val="18"/>
                  <w:color w:val="0000FF"/>
                  <w:w w:val="99"/>
                </w:rPr>
                <w:t>Disclosure Regarding Foreign Jurisdictions That Prevent Inspections</w:t>
              </w:r>
            </w:hyperlink>
          </w:p>
        </w:tc>
        <w:tc>
          <w:tcPr>
            <w:tcW w:w="3840" w:type="dxa"/>
            <w:vAlign w:val="bottom"/>
            <w:gridSpan w:val="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29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gridSpan w:val="14"/>
          </w:tcPr>
          <w:p>
            <w:pPr>
              <w:jc w:val="center"/>
              <w:ind w:right="4380"/>
              <w:spacing w:after="0"/>
              <w:rPr>
                <w:rFonts w:ascii="Arial" w:cs="Arial" w:eastAsia="Arial" w:hAnsi="Arial"/>
                <w:sz w:val="18"/>
                <w:szCs w:val="18"/>
                <w:b w:val="1"/>
                <w:bCs w:val="1"/>
                <w:color w:val="0000FF"/>
                <w:w w:val="95"/>
              </w:rPr>
            </w:pPr>
            <w:hyperlink w:anchor="page65">
              <w:r>
                <w:rPr>
                  <w:rFonts w:ascii="Arial" w:cs="Arial" w:eastAsia="Arial" w:hAnsi="Arial"/>
                  <w:sz w:val="18"/>
                  <w:szCs w:val="18"/>
                  <w:b w:val="1"/>
                  <w:bCs w:val="1"/>
                  <w:color w:val="0000FF"/>
                  <w:w w:val="95"/>
                </w:rPr>
                <w:t>PART III</w:t>
              </w:r>
            </w:hyperlink>
          </w:p>
        </w:tc>
        <w:tc>
          <w:tcPr>
            <w:tcW w:w="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EE"/>
            </w:tcBorders>
            <w:gridSpan w:val="3"/>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w:anchor="page65">
              <w:r>
                <w:rPr>
                  <w:rFonts w:ascii="Arial" w:cs="Arial" w:eastAsia="Arial" w:hAnsi="Arial"/>
                  <w:sz w:val="18"/>
                  <w:szCs w:val="18"/>
                  <w:color w:val="0000FF"/>
                  <w:w w:val="99"/>
                </w:rPr>
                <w:t>Directors, Executive Officers and Corporate Governance</w:t>
              </w:r>
            </w:hyperlink>
          </w:p>
        </w:tc>
        <w:tc>
          <w:tcPr>
            <w:tcW w:w="4800" w:type="dxa"/>
            <w:vAlign w:val="bottom"/>
            <w:gridSpan w:val="11"/>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11.</w:t>
            </w:r>
          </w:p>
        </w:tc>
        <w:tc>
          <w:tcPr>
            <w:tcW w:w="9300" w:type="dxa"/>
            <w:vAlign w:val="bottom"/>
            <w:gridSpan w:val="31"/>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Executive Compensation</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12.</w:t>
            </w:r>
          </w:p>
        </w:tc>
        <w:tc>
          <w:tcPr>
            <w:tcW w:w="9300" w:type="dxa"/>
            <w:vAlign w:val="bottom"/>
            <w:gridSpan w:val="31"/>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Security Ownership of Certain Beneficial Owners and Management and Related Stockholder Matters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13.</w:t>
            </w:r>
          </w:p>
        </w:tc>
        <w:tc>
          <w:tcPr>
            <w:tcW w:w="60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9"/>
              </w:rPr>
            </w:pPr>
            <w:hyperlink w:anchor="page65">
              <w:r>
                <w:rPr>
                  <w:rFonts w:ascii="Arial" w:cs="Arial" w:eastAsia="Arial" w:hAnsi="Arial"/>
                  <w:sz w:val="18"/>
                  <w:szCs w:val="18"/>
                  <w:color w:val="0000FF"/>
                  <w:w w:val="99"/>
                </w:rPr>
                <w:t>Certain Relationships and Related Transactions, and Director Independence</w:t>
              </w:r>
            </w:hyperlink>
          </w:p>
        </w:tc>
        <w:tc>
          <w:tcPr>
            <w:tcW w:w="1920" w:type="dxa"/>
            <w:vAlign w:val="bottom"/>
            <w:tcBorders>
              <w:top w:val="single" w:sz="8" w:color="0000FF"/>
            </w:tcBorders>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14.</w:t>
            </w:r>
          </w:p>
        </w:tc>
        <w:tc>
          <w:tcPr>
            <w:tcW w:w="9300" w:type="dxa"/>
            <w:vAlign w:val="bottom"/>
            <w:gridSpan w:val="31"/>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Principal Accounting Fees and Services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29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Borders>
              <w:bottom w:val="single" w:sz="8" w:color="0000FF"/>
            </w:tcBorders>
            <w:gridSpan w:val="7"/>
          </w:tcPr>
          <w:p>
            <w:pPr>
              <w:jc w:val="center"/>
              <w:spacing w:after="0"/>
              <w:rPr>
                <w:rFonts w:ascii="Arial" w:cs="Arial" w:eastAsia="Arial" w:hAnsi="Arial"/>
                <w:sz w:val="18"/>
                <w:szCs w:val="18"/>
                <w:b w:val="1"/>
                <w:bCs w:val="1"/>
                <w:color w:val="0000FF"/>
                <w:w w:val="95"/>
              </w:rPr>
            </w:pPr>
            <w:hyperlink w:anchor="page66">
              <w:r>
                <w:rPr>
                  <w:rFonts w:ascii="Arial" w:cs="Arial" w:eastAsia="Arial" w:hAnsi="Arial"/>
                  <w:sz w:val="18"/>
                  <w:szCs w:val="18"/>
                  <w:b w:val="1"/>
                  <w:bCs w:val="1"/>
                  <w:color w:val="0000FF"/>
                  <w:w w:val="95"/>
                </w:rPr>
                <w:t>PART IV</w:t>
              </w:r>
            </w:hyperlink>
          </w:p>
        </w:tc>
        <w:tc>
          <w:tcPr>
            <w:tcW w:w="436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15.</w:t>
            </w:r>
          </w:p>
        </w:tc>
        <w:tc>
          <w:tcPr>
            <w:tcW w:w="9300" w:type="dxa"/>
            <w:vAlign w:val="bottom"/>
            <w:gridSpan w:val="31"/>
          </w:tcPr>
          <w:p>
            <w:pPr>
              <w:spacing w:after="0" w:line="182" w:lineRule="exact"/>
              <w:rPr>
                <w:rFonts w:ascii="Arial" w:cs="Arial" w:eastAsia="Arial" w:hAnsi="Arial"/>
                <w:sz w:val="18"/>
                <w:szCs w:val="18"/>
                <w:color w:val="0000FF"/>
              </w:rPr>
            </w:pPr>
            <w:hyperlink w:anchor="page66">
              <w:r>
                <w:rPr>
                  <w:rFonts w:ascii="Arial" w:cs="Arial" w:eastAsia="Arial" w:hAnsi="Arial"/>
                  <w:sz w:val="18"/>
                  <w:szCs w:val="18"/>
                  <w:color w:val="0000FF"/>
                </w:rPr>
                <w:t>Exhibits, Financial Statement Schedules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Form 10-K Summary</w:t>
              </w:r>
            </w:hyperlink>
          </w:p>
        </w:tc>
        <w:tc>
          <w:tcPr>
            <w:tcW w:w="6100" w:type="dxa"/>
            <w:vAlign w:val="bottom"/>
            <w:gridSpan w:val="17"/>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183"/>
        </w:trPr>
        <w:tc>
          <w:tcPr>
            <w:tcW w:w="1280" w:type="dxa"/>
            <w:vAlign w:val="bottom"/>
            <w:gridSpan w:val="3"/>
          </w:tcPr>
          <w:p>
            <w:pPr>
              <w:ind w:left="20"/>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642"/>
        </w:trPr>
        <w:tc>
          <w:tcPr>
            <w:tcW w:w="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20"/>
          </w:tcPr>
          <w:p>
            <w:pPr>
              <w:jc w:val="center"/>
              <w:ind w:left="411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Inmarsat Transaction (as defined below) and any statements regarding the expected timing, benefits, synergies, growth opportunities and other financial and operating benefits thereof, the closing of the Inmarsat Transaction and timing or satisfaction of regulatory and other closing conditions, or the anticipated operations, financial position, liquidity, performance, prospects or growth and scale opportunities of the combined company;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anticipated benefits of our acquisitions of RigNet, Inc. (RigNet) and Euro Broadband Infrastructure Sàrl (EBI); the development, customer acceptance and anticipated performance of technologies, products or services; satellite construction and launch activities; the performance and anticipated benefits of our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Inmarsat Transaction, including the failure to obtain, or delays in obtaining, required regulatory approvals or clearances; the risk that any such approval may result in the imposition of conditions that could adversely affect Viasat, the combined company or the expected benefits of the Inmarsat Transaction; the failure to satisfy any of the closing conditions to the Inmarsat Transaction on a timely basis or at all; any adverse impact on the business of Viasat or Inmarsat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Viasat to pay a termination fee; the risk that Viasat’s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the ability of Viasat to retain and hire key personnel and maintain relationships with its customers, suppliers and others with whom it does business; the ability of Viasat to successfully integrate Inmarsat operations, technologies and employees; the ability to realize anticipated benefits and synergies of the Inmarsat Transaction, including the expectation of enhancements to Viasat’s products and services, greater revenue or growth opportunities, operating efficiencies and cost savings; the ability to ensure continued performance and market growth of the combined company’s business; our ability to realize the anticipated benefits of the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including the RigNet and EBI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ind w:right="60"/>
        <w:spacing w:after="0" w:line="237" w:lineRule="auto"/>
        <w:rPr>
          <w:sz w:val="20"/>
          <w:szCs w:val="20"/>
          <w:color w:val="auto"/>
        </w:rPr>
      </w:pPr>
      <w:r>
        <w:rPr>
          <w:rFonts w:ascii="Arial" w:cs="Arial" w:eastAsia="Arial" w:hAnsi="Arial"/>
          <w:sz w:val="18"/>
          <w:szCs w:val="18"/>
          <w:color w:val="auto"/>
        </w:rPr>
        <w:t>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right="300" w:firstLine="509"/>
        <w:spacing w:after="0" w:line="261" w:lineRule="auto"/>
        <w:rPr>
          <w:sz w:val="20"/>
          <w:szCs w:val="20"/>
          <w:color w:val="auto"/>
        </w:rPr>
      </w:pPr>
      <w:r>
        <w:rPr>
          <w:rFonts w:ascii="Arial" w:cs="Arial" w:eastAsia="Arial" w:hAnsi="Arial"/>
          <w:sz w:val="17"/>
          <w:szCs w:val="17"/>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7"/>
          <w:szCs w:val="17"/>
          <w:i w:val="1"/>
          <w:iCs w:val="1"/>
          <w:color w:val="auto"/>
        </w:rPr>
        <w:t>www.viasat.com.</w:t>
      </w:r>
      <w:r>
        <w:rPr>
          <w:rFonts w:ascii="Arial" w:cs="Arial" w:eastAsia="Arial" w:hAnsi="Arial"/>
          <w:sz w:val="17"/>
          <w:szCs w:val="17"/>
          <w:color w:val="auto"/>
        </w:rPr>
        <w:t xml:space="preserve"> The information on our website does not constitute part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three segments: satellite services, commercial networks and government systems.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On November 8, 2021, we entered into a Share Purchase Agreement (the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Purchase Agreement, we will purchase all of the issued and outstanding shares of Inmarsat from the Sellers upon the terms and subject to the conditions set forth therein (the Inmarsat Transaction). The total consideration payable by us under the Purchase Agreement consists of $850.0 million in cash, subject to adjustments (such as the dividend paid by Inmarsat in April 2022, see below), and approximately 46.36 million unregistered shares of our common stock. On April 6, 2022, Inmarsat paid a dividend of $299.3 million to the Sellers, resulting in a $299.3 million reduction in the cash consideration payable by us at the closing of the Inmarsat Transaction. Our board of directors has unanimously approved the Purchase Agreement and the proposed Inmarsat Transaction.</w:t>
      </w:r>
    </w:p>
    <w:p>
      <w:pPr>
        <w:spacing w:after="0" w:line="15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and approval by our stockholders of the issuance of shares in the Inmarsat Transaction and an amendment to our certificate of incorporation to increase the number of shares of our common stock authorized for issuance.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spacing w:after="0" w:line="151" w:lineRule="exact"/>
        <w:rPr>
          <w:sz w:val="20"/>
          <w:szCs w:val="20"/>
          <w:color w:val="auto"/>
        </w:rPr>
      </w:pPr>
    </w:p>
    <w:p>
      <w:pPr>
        <w:jc w:val="center"/>
        <w:ind w:right="460"/>
        <w:spacing w:after="0" w:line="234" w:lineRule="auto"/>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which amount excludes the commitments that were obtained with respect to the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$700.0 million term loan facility that we entered into on March 4, 2022 to fund our standalone growth expenditures (the Term Loan Facility). In light of the $ 299.3 million reduction in the cash purchase price payable in the Inmarsat Transaction, we currently expect to incur $1.3 billion of additional indebtedness under these commitments. However, the total amount of indebtedness incurred under these commitments may change, including in the event that available cash from other sources is higher than expected. We also plan to assume $2.1 billion in principal amount of Inmarsat senior secured bonds and the outstanding indebtedness under Inmarsat’s $2.4 billion senior secured credit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ind w:right="20"/>
        <w:spacing w:after="0" w:line="238" w:lineRule="auto"/>
        <w:rPr>
          <w:sz w:val="20"/>
          <w:szCs w:val="20"/>
          <w:color w:val="auto"/>
        </w:rPr>
      </w:pPr>
      <w:r>
        <w:rPr>
          <w:rFonts w:ascii="Arial" w:cs="Arial" w:eastAsia="Arial" w:hAnsi="Arial"/>
          <w:sz w:val="18"/>
          <w:szCs w:val="18"/>
          <w:color w:val="auto"/>
        </w:rPr>
        <w:t>facilities. In addition, we obtained commitments of $ 3.2 billion to backstop certain amendments required under our revolving credit facility (the Revolving Credit Facility) and our direct loan facility with the Export-Import Bank of the United States (the Ex-Im Credit Facility and, together with the Term Loan Facility and the Revolving Credit Facility, the Credit Facilities) and Inmarsat’s $2.4 billion senior secured credit facilities, which amendments had been obtained under the Revolving Credit Facility and Inmarsat’s $2.4 billion senior secured credit facilities as of the date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On April 30, 2021, we completed our acquisition of the remaining 51% interest in EBI, a satellite broadband internet service provider in Europe, Middle East and Africa (EMEA), from Eutelsat. We paid approximately $167.0 million in cash, net of what is currently estimated to be an immaterial amount of estimated purchase price consideration (net of approximately $121.7 million of EBI’s cash on hand, resulting in a cash outlay of approximately $51.0 million).</w:t>
      </w:r>
    </w:p>
    <w:p>
      <w:pPr>
        <w:spacing w:after="0" w:line="151"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spacing w:after="0" w:line="151"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The assets and results of operations of EBI and RigNet are primarily included in our satellite services segment, with insignificant amounts included in our commercial networks segment.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9"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w:t>
      </w:r>
    </w:p>
    <w:p>
      <w:pPr>
        <w:spacing w:after="0" w:line="14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proprietary Ka-band satellites are at the core of our technology platform, and we also have access to a number of Ka-band and Ku-band satellites in service globally. We own four Ka-band satellites in service — three over North America (our second-generation ViaSat-2 satellite (launched in 2017), our first-generation ViaSat-1 satellite (launched in 2011) and the WildBlue-1 satellite (launched in 2007)), and the KA-SAT satellite (launched in 2010) over EMEA. In addition, we have lifetime leases of Ka-band capacity on two satellites. We are also planning to launch a global constellation of three third-generation ViaSat-3 class satellites currently under construction. We expect our ViaSat-3 constellation, once in service, to provide approximately eight times the capacity of the ViaSat-1 and ViaSat-2 satellites combined and to enable us to deliver affordable connectivity across most of the world.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59" w:lineRule="exact"/>
        <w:rPr>
          <w:sz w:val="20"/>
          <w:szCs w:val="20"/>
          <w:color w:val="auto"/>
        </w:rPr>
      </w:pPr>
    </w:p>
    <w:p>
      <w:pPr>
        <w:ind w:left="1020" w:right="100" w:hanging="503"/>
        <w:spacing w:after="0" w:line="245"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Fixed Broadband Services</w:t>
      </w:r>
      <w:r>
        <w:rPr>
          <w:rFonts w:ascii="Arial" w:cs="Arial" w:eastAsia="Arial" w:hAnsi="Arial"/>
          <w:sz w:val="18"/>
          <w:szCs w:val="18"/>
          <w:color w:val="auto"/>
        </w:rPr>
        <w:t>, which provide consumers and businesses with high-speed, high-quality broadband internet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and Voice over Internet Protocol (VoIP) services, primarily in the United States as well as in various countries in Europe and Latin America. Our service offerings include premium data plans with download speeds of up to 100 Mbps in select areas in the United States. We also offer wholesale and retail fixed broadband services to our distribution partners.</w:t>
      </w:r>
    </w:p>
    <w:p>
      <w:pPr>
        <w:spacing w:after="0" w:line="45"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In-Flight Services</w:t>
      </w:r>
      <w:r>
        <w:rPr>
          <w:rFonts w:ascii="Arial" w:cs="Arial" w:eastAsia="Arial" w:hAnsi="Arial"/>
          <w:sz w:val="18"/>
          <w:szCs w:val="18"/>
          <w:color w:val="auto"/>
        </w:rPr>
        <w:t>, which provide industry-leading IFC, wireless in-flight entertainment (W-IFE) and aviation software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March 31, 2022, our IFC systems were installed and in service on approximately 1,910 commercial aircraft, of which, due to impacts of the COVID-19 pandemic, approximately 80 were inactive at fiscal year end. We anticipate that approximately 970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ind w:left="1020" w:right="380"/>
        <w:spacing w:after="0" w:line="246" w:lineRule="auto"/>
        <w:rPr>
          <w:sz w:val="20"/>
          <w:szCs w:val="20"/>
          <w:color w:val="auto"/>
        </w:rPr>
      </w:pPr>
      <w:r>
        <w:rPr>
          <w:rFonts w:ascii="Arial" w:cs="Arial" w:eastAsia="Arial" w:hAnsi="Arial"/>
          <w:sz w:val="18"/>
          <w:szCs w:val="18"/>
          <w:color w:val="auto"/>
        </w:rPr>
        <w:t>airline contracts, there can be no assurance that anticipated IFC services will be activated on all such additional commercial aircraft.</w:t>
      </w:r>
    </w:p>
    <w:p>
      <w:pPr>
        <w:spacing w:after="0" w:line="44" w:lineRule="exact"/>
        <w:rPr>
          <w:sz w:val="20"/>
          <w:szCs w:val="20"/>
          <w:color w:val="auto"/>
        </w:rPr>
      </w:pPr>
    </w:p>
    <w:p>
      <w:pPr>
        <w:ind w:left="1020" w:right="120" w:hanging="503"/>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Prepaid Internet Services, </w:t>
      </w:r>
      <w:r>
        <w:rPr>
          <w:rFonts w:ascii="Arial" w:cs="Arial" w:eastAsia="Arial" w:hAnsi="Arial"/>
          <w:sz w:val="18"/>
          <w:szCs w:val="18"/>
          <w:color w:val="auto"/>
        </w:rPr>
        <w:t>which offer innovative, affordable, satellite-based connectivity in communities that have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the internet. The services help foster digital inclusion by enabling millions of people to connect to affordable high-quality internet services via a centralized community hotspot connected to the internet via satellite. We provide Prepaid Internet services in multiple regions in Mexico and Brazil and are trialing services in advance of full service launch in various other countries in South America and Central America.</w:t>
      </w:r>
    </w:p>
    <w:p>
      <w:pPr>
        <w:spacing w:after="0" w:line="49" w:lineRule="exact"/>
        <w:rPr>
          <w:rFonts w:ascii="Arial" w:cs="Arial" w:eastAsia="Arial" w:hAnsi="Arial"/>
          <w:sz w:val="18"/>
          <w:szCs w:val="18"/>
          <w:color w:val="auto"/>
        </w:rPr>
      </w:pPr>
    </w:p>
    <w:p>
      <w:pPr>
        <w:ind w:left="1020" w:right="40" w:hanging="503"/>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Mobile Broadband Services</w:t>
      </w:r>
      <w:r>
        <w:rPr>
          <w:rFonts w:ascii="Arial" w:cs="Arial" w:eastAsia="Arial" w:hAnsi="Arial"/>
          <w:sz w:val="18"/>
          <w:szCs w:val="18"/>
          <w:color w:val="auto"/>
        </w:rPr>
        <w:t>, which include high-speed, satellite-based internet services to seagoing vessels,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energy offshore vessels, cruise ships, consumer ferries and yachts. In addition, we offer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response, oil and gas pipeline monitoring, mobile fleet management and high-value asset tracking.</w:t>
      </w:r>
    </w:p>
    <w:p>
      <w:pPr>
        <w:spacing w:after="0" w:line="49" w:lineRule="exact"/>
        <w:rPr>
          <w:rFonts w:ascii="Arial" w:cs="Arial" w:eastAsia="Arial" w:hAnsi="Arial"/>
          <w:sz w:val="18"/>
          <w:szCs w:val="18"/>
          <w:color w:val="auto"/>
        </w:rPr>
      </w:pPr>
    </w:p>
    <w:p>
      <w:pPr>
        <w:ind w:left="1020" w:right="140" w:hanging="503"/>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Energy Services, </w:t>
      </w:r>
      <w:r>
        <w:rPr>
          <w:rFonts w:ascii="Arial" w:cs="Arial" w:eastAsia="Arial" w:hAnsi="Arial"/>
          <w:sz w:val="18"/>
          <w:szCs w:val="18"/>
          <w:color w:val="auto"/>
        </w:rPr>
        <w:t>which include ultra-secure solutions spanning global IP connectivity, bandwidth-optimized over-the-top</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satellite-based managed services across multiple satellite frequency bands (Ku- and Ka-band), industrial Internet-of-Things big data enablement and industry-leading machine learning analytics. These services support the evolution of digital enablement, and primarily result from our acquisition of RigNet in April 2021.</w:t>
      </w:r>
    </w:p>
    <w:p>
      <w:pPr>
        <w:spacing w:after="0" w:line="14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Our ViaSat-3 class satellites are our third-generation, high-capacity Ka-band satellite design and are expected to further improve the speed, availability and cost-efficiency of our proprietary Ka-band satellite network. The satellites will have significantly greater data capacity and geographic coverage than our second-generation ViaSat-2 satellite. Our third-generation satellite design has enhanced ability to flexibly and dynamically allocate capacity by service, time and geography, allowing us to allocate our satellite capacity to markets where bandwidth usage demands and returns are highest. The first ViaSat-3 class satellite is intended to cover the Americas, the second to cover the EMEA region, and the third to cover the Asia Pacific (APAC) region. We are continuing to make good progress on our ViaSat-3 constellation despite delays experienced as a result of the impact of COVID-19 on supply chains and labor availability challenges since the latter part of calendar year 2020. The upcoming launch of the ViaSat-3 (Americas) satellite is anticipated to support the commencement of commercial service on the satellite in the fourth quarter of fiscal year 2023, based on the current target launch date. The actual launch date of the satellite will be dependent on the completion of deliverables by our contract manufacturers, subcontractors and other third-party service providers, available launch windows and other variables.</w:t>
      </w:r>
    </w:p>
    <w:p>
      <w:pPr>
        <w:spacing w:after="0" w:line="15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We believe that growth in our satellite services segment will be driven in the coming years by continued demand for high-speed broadband services across the globe, driven by continued increases in the number of internet users, applications and connected devices. This presents opportunities across a number of Viasat satellite services businesses, including residential, business internet and prepaid internet services. Further growth in our in -flight services business is expected to be driven by the installation of our IFC systems on additional commercial aircraft and the expansion of airlines and flight routes covered by the footprint of our satellite fleet following the launch of our ViaSat-3 constellation. However, we expect that our anticipated growth will be partially offset by ramping start-up expenses in new international and vertical markets and ground network infrastructure investments associated with the launch of our ViaSat-3 constellation, and that growth in our U.S. fixed broadband business will be affected by capacity constraints ahead of the launch of commercial service of the ViaSat-3 (Americas) satellite.</w:t>
      </w:r>
    </w:p>
    <w:p>
      <w:pPr>
        <w:spacing w:after="0" w:line="15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During the COVID-19 pandemic, we experienced increased demand for our premium high-speed plans in our fixed broadband services business, reflecting customers’ increased bandwidth needs in a remote working/distance schooling environment. However, the pandemic also caused a severe decline in global air traffic, which reduced demand for our in-flight services and IFC systems in our satellite services and commercial networks segments, respectively. While domestic airline traffic increased during calendar year 2021 (with increased planes in service and passenger volumes), global airline traffic has not yet recovered to pre-pandemic levels. We expect to continue to see some negative impacts on revenues and operating cash flows from our IFC businesses in fiscal year 2023 and potentially beyond, but for the effects to continue to lessen over time with increases in passenger air traffic and the return to service of additional currently inactive aircraft. In fiscal year 2020, prior to the pandemic, less than 10% of our total revenues were generated by services and products provided to commercial airlines reported in our satellite services and commercial networks segments. The extent of the impact of the COVID-19 pandemic on our business in fiscal year 2023 and potentially beyond will depend on many factors, including the duration and scope of the public health emergency, the extent, duration and effectiveness of containment actions taken, the extent of disruption to important global, regional and local supply chains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ind w:right="100"/>
        <w:spacing w:after="0" w:line="246" w:lineRule="auto"/>
        <w:rPr>
          <w:sz w:val="20"/>
          <w:szCs w:val="20"/>
          <w:color w:val="auto"/>
        </w:rPr>
      </w:pPr>
      <w:r>
        <w:rPr>
          <w:rFonts w:ascii="Arial" w:cs="Arial" w:eastAsia="Arial" w:hAnsi="Arial"/>
          <w:sz w:val="18"/>
          <w:szCs w:val="18"/>
          <w:color w:val="auto"/>
        </w:rPr>
        <w:t>and economic markets, and the impact of the pandemic on overall supply and demand, global air travel, consumer confidence, discretionary spending levels and levels of economic activity.</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w:t>
      </w:r>
    </w:p>
    <w:p>
      <w:pPr>
        <w:spacing w:after="0" w:line="148"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Our products, systems and solutions are generally developed through a combination of customer and discretionary internal research and development (R&amp;D) funding, and products are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systems, solutions and services offered by our commercial networks segment are comprised of:</w:t>
      </w:r>
    </w:p>
    <w:p>
      <w:pPr>
        <w:spacing w:after="0" w:line="59" w:lineRule="exact"/>
        <w:rPr>
          <w:sz w:val="20"/>
          <w:szCs w:val="20"/>
          <w:color w:val="auto"/>
        </w:rPr>
      </w:pPr>
    </w:p>
    <w:p>
      <w:pPr>
        <w:ind w:left="1020" w:right="40" w:hanging="503"/>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Mobile Broadband Satellite Communication Systems</w:t>
      </w:r>
      <w:r>
        <w:rPr>
          <w:rFonts w:ascii="Arial" w:cs="Arial" w:eastAsia="Arial" w:hAnsi="Arial"/>
          <w:sz w:val="18"/>
          <w:szCs w:val="18"/>
          <w:color w:val="auto"/>
        </w:rPr>
        <w:t>, which include systems and products designed for use in aircraft and</w:t>
      </w:r>
      <w:r>
        <w:rPr>
          <w:rFonts w:ascii="Arial" w:cs="Arial" w:eastAsia="Arial" w:hAnsi="Arial"/>
          <w:sz w:val="18"/>
          <w:szCs w:val="18"/>
          <w:i w:val="1"/>
          <w:iCs w:val="1"/>
          <w:color w:val="auto"/>
        </w:rPr>
        <w:t xml:space="preserve"> </w:t>
      </w:r>
      <w:r>
        <w:rPr>
          <w:rFonts w:ascii="Arial" w:cs="Arial" w:eastAsia="Arial" w:hAnsi="Arial"/>
          <w:sz w:val="18"/>
          <w:szCs w:val="18"/>
          <w:color w:val="auto"/>
        </w:rPr>
        <w:t>seagoing vessels, such as the IFC systems we install on business and commercial aircraft. These systems and products are designed to provide high-speed, cost-efficient broadband access to customers while on the move, and also utilize fixed broadband satellite infrastructure. The COVID-19 pandemic continues to impact our mobile broadband satellite communications system business, as global airline traffic has not yet recovered to pre-pandemic levels.</w:t>
      </w:r>
    </w:p>
    <w:p>
      <w:pPr>
        <w:spacing w:after="0" w:line="49" w:lineRule="exact"/>
        <w:rPr>
          <w:rFonts w:ascii="Arial" w:cs="Arial" w:eastAsia="Arial" w:hAnsi="Arial"/>
          <w:sz w:val="18"/>
          <w:szCs w:val="18"/>
          <w:color w:val="auto"/>
        </w:rPr>
      </w:pPr>
    </w:p>
    <w:p>
      <w:pPr>
        <w:ind w:left="1020" w:right="220" w:hanging="503"/>
        <w:spacing w:after="0" w:line="24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Fixed Broadband Satellite Communication Systems</w:t>
      </w:r>
      <w:r>
        <w:rPr>
          <w:rFonts w:ascii="Arial" w:cs="Arial" w:eastAsia="Arial" w:hAnsi="Arial"/>
          <w:sz w:val="18"/>
          <w:szCs w:val="18"/>
          <w:color w:val="auto"/>
        </w:rPr>
        <w:t>, which include next-generation satellite network infrastructure and ground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terminals designed to enable satellite-based broadband access for residential, enterprise and Prepaid Internet hotspot users. Products and solutions in this category include space-to-earth connectivity systems, ground network infrastructure and user terminals. We also offer related products and services to enterprise customers to address bandwidth constraints, latency and other issues. In addition to commercial sales of these products and solutions, we also deploy our fixed broadband satellite communication systems to support our own fleet of proprietary Ka-band satellites.</w:t>
      </w:r>
    </w:p>
    <w:p>
      <w:pPr>
        <w:spacing w:after="0" w:line="48" w:lineRule="exact"/>
        <w:rPr>
          <w:rFonts w:ascii="Arial" w:cs="Arial" w:eastAsia="Arial" w:hAnsi="Arial"/>
          <w:sz w:val="18"/>
          <w:szCs w:val="18"/>
          <w:color w:val="auto"/>
        </w:rPr>
      </w:pPr>
    </w:p>
    <w:p>
      <w:pPr>
        <w:ind w:left="1020" w:right="2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Antenna Systems</w:t>
      </w:r>
      <w:r>
        <w:rPr>
          <w:rFonts w:ascii="Arial" w:cs="Arial" w:eastAsia="Arial" w:hAnsi="Arial"/>
          <w:sz w:val="18"/>
          <w:szCs w:val="18"/>
          <w:color w:val="auto"/>
        </w:rPr>
        <w:t>, which include state-of-the-art ground and airborne terminals, antennas and gateways for terrestrial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customer applications (such as real-time Earth imaging and remote sensing services, mobile satellite communication, Ka-band earth stations and other multi-band antennas).</w:t>
      </w:r>
    </w:p>
    <w:p>
      <w:pPr>
        <w:spacing w:after="0" w:line="41" w:lineRule="exact"/>
        <w:rPr>
          <w:rFonts w:ascii="Arial" w:cs="Arial" w:eastAsia="Arial" w:hAnsi="Arial"/>
          <w:sz w:val="18"/>
          <w:szCs w:val="18"/>
          <w:color w:val="auto"/>
        </w:rPr>
      </w:pPr>
    </w:p>
    <w:p>
      <w:pPr>
        <w:ind w:left="1020" w:hanging="503"/>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Satellite Networking Development</w:t>
      </w:r>
      <w:r>
        <w:rPr>
          <w:rFonts w:ascii="Arial" w:cs="Arial" w:eastAsia="Arial" w:hAnsi="Arial"/>
          <w:sz w:val="18"/>
          <w:szCs w:val="18"/>
          <w:color w:val="auto"/>
        </w:rPr>
        <w:t>, which includes specialized design and technology services covering all aspects of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system architecture and technology. Products and services include analysis, design and development of satellite and ground systems, semiconductor design for Application-Specific Integrated Circuit (ASIC) and Monolithic Microwave Integrated Circuit (MMIC) chips and network function virtualization, as well as modules and subsystems for various commercial, military and space uses.</w:t>
      </w:r>
    </w:p>
    <w:p>
      <w:pPr>
        <w:spacing w:after="0" w:line="49" w:lineRule="exact"/>
        <w:rPr>
          <w:rFonts w:ascii="Arial" w:cs="Arial" w:eastAsia="Arial" w:hAnsi="Arial"/>
          <w:sz w:val="18"/>
          <w:szCs w:val="18"/>
          <w:color w:val="auto"/>
        </w:rPr>
      </w:pPr>
    </w:p>
    <w:p>
      <w:pPr>
        <w:ind w:left="1020" w:right="100" w:hanging="503"/>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Space System Design and Development</w:t>
      </w:r>
      <w:r>
        <w:rPr>
          <w:rFonts w:ascii="Arial" w:cs="Arial" w:eastAsia="Arial" w:hAnsi="Arial"/>
          <w:sz w:val="18"/>
          <w:szCs w:val="18"/>
          <w:color w:val="auto"/>
        </w:rPr>
        <w:t>, which includes the design and development of high-capacity Ka-band satellites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associated satellite payload and antenna technologies for our own satellite fleet as well as for third parties. Our space system design and development products and services include architectures for GEO, MEO and LEO satellites and other small satellite platforms.</w:t>
      </w:r>
    </w:p>
    <w:p>
      <w:pPr>
        <w:spacing w:after="0" w:line="158" w:lineRule="exact"/>
        <w:rPr>
          <w:sz w:val="20"/>
          <w:szCs w:val="20"/>
          <w:color w:val="auto"/>
        </w:rPr>
      </w:pPr>
    </w:p>
    <w:p>
      <w:pPr>
        <w:jc w:val="both"/>
        <w:ind w:right="120" w:firstLine="509"/>
        <w:spacing w:after="0" w:line="238" w:lineRule="auto"/>
        <w:rPr>
          <w:sz w:val="20"/>
          <w:szCs w:val="20"/>
          <w:color w:val="auto"/>
        </w:rPr>
      </w:pPr>
      <w:r>
        <w:rPr>
          <w:rFonts w:ascii="Arial" w:cs="Arial" w:eastAsia="Arial" w:hAnsi="Arial"/>
          <w:sz w:val="18"/>
          <w:szCs w:val="18"/>
          <w:color w:val="auto"/>
        </w:rPr>
        <w:t>We believe growth in our commercial networks segment will be driven in the coming years by continued growth in worldwide demand for mobile and fixed broadband connectivity. As the cost-effectiveness of satellite technologies to rapidly deploy broadband services across wide geographic areas and to large numbers of people continues to increase, we believe demand for the ground networking equipment and products that enable or support access to satellite-based broadband services will continue to grow.</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9"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Customers of our government systems segment include the U.S. Department of Defense (DoD), those serving the Five Eye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59" w:lineRule="exact"/>
        <w:rPr>
          <w:sz w:val="20"/>
          <w:szCs w:val="20"/>
          <w:color w:val="auto"/>
        </w:rPr>
      </w:pPr>
    </w:p>
    <w:p>
      <w:pPr>
        <w:ind w:left="1020" w:right="80" w:hanging="503"/>
        <w:spacing w:after="0" w:line="23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Mobile Broadband Products and Services</w:t>
      </w:r>
      <w:r>
        <w:rPr>
          <w:rFonts w:ascii="Arial" w:cs="Arial" w:eastAsia="Arial" w:hAnsi="Arial"/>
          <w:sz w:val="18"/>
          <w:szCs w:val="18"/>
          <w:color w:val="auto"/>
        </w:rPr>
        <w:t>, which provide military and government users with high-speed,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 based missions. Our high-capacity, secure mobile broadband products and services are enabled by our next-generation satellite network infrastructure, which will be further enhanced following the launch of our ViaSat-3 constellation.</w:t>
      </w:r>
    </w:p>
    <w:p>
      <w:pPr>
        <w:spacing w:after="0" w:line="53" w:lineRule="exact"/>
        <w:rPr>
          <w:rFonts w:ascii="Arial" w:cs="Arial" w:eastAsia="Arial" w:hAnsi="Arial"/>
          <w:sz w:val="18"/>
          <w:szCs w:val="18"/>
          <w:color w:val="auto"/>
        </w:rPr>
      </w:pPr>
    </w:p>
    <w:p>
      <w:pPr>
        <w:ind w:left="1020" w:right="280" w:hanging="503"/>
        <w:spacing w:after="0" w:line="23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Satellite Communication (SATCOM) Systems</w:t>
      </w:r>
      <w:r>
        <w:rPr>
          <w:rFonts w:ascii="Arial" w:cs="Arial" w:eastAsia="Arial" w:hAnsi="Arial"/>
          <w:sz w:val="18"/>
          <w:szCs w:val="18"/>
          <w:color w:val="auto"/>
        </w:rPr>
        <w:t>, which offer an array of portable, mobile and fixed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modems, terminals, network access control systems and antenna systems using a 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in order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56" w:lineRule="exact"/>
        <w:rPr>
          <w:rFonts w:ascii="Arial" w:cs="Arial" w:eastAsia="Arial" w:hAnsi="Arial"/>
          <w:sz w:val="18"/>
          <w:szCs w:val="18"/>
          <w:color w:val="auto"/>
        </w:rPr>
      </w:pPr>
    </w:p>
    <w:p>
      <w:pPr>
        <w:ind w:left="1020" w:right="120" w:hanging="503"/>
        <w:spacing w:after="0" w:line="25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Secure Networking, Cybersecurity and Information Assurance Products and Services</w:t>
      </w:r>
      <w:r>
        <w:rPr>
          <w:rFonts w:ascii="Arial" w:cs="Arial" w:eastAsia="Arial" w:hAnsi="Arial"/>
          <w:sz w:val="17"/>
          <w:szCs w:val="17"/>
          <w:color w:val="auto"/>
        </w:rPr>
        <w:t>, which provide advanced, high-speed IP-based “Type 1” and High Assurance Internet Protocol Encryption (HAIPE®)-compliant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w:t>
      </w:r>
    </w:p>
    <w:p>
      <w:pPr>
        <w:spacing w:after="0" w:line="35" w:lineRule="exact"/>
        <w:rPr>
          <w:rFonts w:ascii="Arial" w:cs="Arial" w:eastAsia="Arial" w:hAnsi="Arial"/>
          <w:sz w:val="17"/>
          <w:szCs w:val="17"/>
          <w:color w:val="auto"/>
        </w:rPr>
      </w:pPr>
    </w:p>
    <w:p>
      <w:pPr>
        <w:ind w:left="1020" w:hanging="503"/>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Tactical Data Links</w:t>
      </w:r>
      <w:r>
        <w:rPr>
          <w:rFonts w:ascii="Arial" w:cs="Arial" w:eastAsia="Arial" w:hAnsi="Arial"/>
          <w:sz w:val="18"/>
          <w:szCs w:val="18"/>
          <w:color w:val="auto"/>
        </w:rPr>
        <w:t>, which comprise advanced tactical radio and information distribution systems that enable secure voice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 collection and dissemination of video and data using secure, jam-resistant transmission links. These data links communicate over Link 16 or tactical VHF/UHF networks, from manned and unmanned aircraft, ground vehicles, individual warfighters and other remote platforms to each other and networked communication and command centers. Key products in this category include our Battlefield Awareness and Targeting System — Dismounted (BATS-D) handheld Link 16 radios, our Battlefield Awareness and Targeting System — Embedded (BATS-E) handheld Link 16 radios, our Small Tactical Terminal (STT) 2-channel radios for manned and unmanned applications, “disposable” defense data links, and our Multifunctional Information Distribution System (MIDS) and MIDS Joint Tactical Radio System (MIDS-JTRS) terminals for military fighter jets.</w:t>
      </w:r>
    </w:p>
    <w:p>
      <w:pPr>
        <w:spacing w:after="0" w:line="151" w:lineRule="exact"/>
        <w:rPr>
          <w:sz w:val="20"/>
          <w:szCs w:val="20"/>
          <w:color w:val="auto"/>
        </w:rPr>
      </w:pPr>
    </w:p>
    <w:p>
      <w:pPr>
        <w:ind w:right="300" w:firstLine="509"/>
        <w:spacing w:after="0" w:line="237" w:lineRule="auto"/>
        <w:rPr>
          <w:sz w:val="20"/>
          <w:szCs w:val="20"/>
          <w:color w:val="auto"/>
        </w:rPr>
      </w:pPr>
      <w:r>
        <w:rPr>
          <w:rFonts w:ascii="Arial" w:cs="Arial" w:eastAsia="Arial" w:hAnsi="Arial"/>
          <w:sz w:val="18"/>
          <w:szCs w:val="18"/>
          <w:color w:val="auto"/>
        </w:rPr>
        <w:t>We believe the battlefield of the future will require a resilient communications architecture capable of supporting tomorrow’s Multi-Domain Command and Control (MDC2), the Internet of Battlefield Things (IoBT), and high-velocity, data-rich network-centric operations, enabling secure, reliable and ubiquitous connectivity while under attack, on the move or at fixed locations around the globe. These requirements will potentially provide significant growth opportunities in our government systems segment in the coming years, as demand increases for secure, higher-capacity, higher-quality broadband services, associated ground systems and advanced cybersecurity protections. Additional growth factors also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ind w:right="20"/>
        <w:spacing w:after="0" w:line="246" w:lineRule="auto"/>
        <w:rPr>
          <w:sz w:val="20"/>
          <w:szCs w:val="20"/>
          <w:color w:val="auto"/>
        </w:rPr>
      </w:pPr>
      <w:r>
        <w:rPr>
          <w:rFonts w:ascii="Arial" w:cs="Arial" w:eastAsia="Arial" w:hAnsi="Arial"/>
          <w:sz w:val="18"/>
          <w:szCs w:val="18"/>
          <w:color w:val="auto"/>
        </w:rPr>
        <w:t>reside in an increasing military interest for high-speed broadband BLOS connectivity, for example over Link 16 networks, supporting real-time C2 decision-making and enhanced situational awareness across ground and air applications.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following strengths position our business to capitalize on attractive growth opportunities in our business:</w:t>
      </w:r>
    </w:p>
    <w:p>
      <w:pPr>
        <w:spacing w:after="0" w:line="59" w:lineRule="exact"/>
        <w:rPr>
          <w:sz w:val="20"/>
          <w:szCs w:val="20"/>
          <w:color w:val="auto"/>
        </w:rPr>
      </w:pPr>
    </w:p>
    <w:p>
      <w:pPr>
        <w:ind w:left="1020" w:hanging="503"/>
        <w:spacing w:after="0" w:line="23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Innovation of Next-Generation Satellite and Space Technologies. </w:t>
      </w:r>
      <w:r>
        <w:rPr>
          <w:rFonts w:ascii="Arial" w:cs="Arial" w:eastAsia="Arial" w:hAnsi="Arial"/>
          <w:sz w:val="18"/>
          <w:szCs w:val="18"/>
          <w:color w:val="auto"/>
        </w:rPr>
        <w:t>We have a long history of innovation in next-generation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and space technologies. Our award-winning first-generation, high-capacity Ka-band spot-beam satellite, ViaSat-1, earned a Guinness World Records® title in 2013 as the highest-capacity communications satellite in the world at that time. Our second-generation ViaSat-2 satellite and its advanced ground network infrastructure significantly expanded our total data capacity and geographic reach, and support the flexible allocation of capacity to meet demand within the satellite’s footprint. By improving satellite speed, availability and geographic coverage area, our ViaSat-2 satellite enabled us to provide compelling premium retail service plans in select markets that can compete against traditional terrestrial broadband service providers and to significantly expand our IFC services business. In 2018, ViaSat-2 was selected as a winner in the ‘Space, Platforms’ category of Aviation Week’s 61st Annual Laureate Awards, honoring extraordinary achievements in the global aerospace arena. Our third-generation ViaSat-3 class satellites will offer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Furthermore, we are now working on the design of our next-generation ViaSat-4 satellite system, which is expected to have even greater capacity with each satellite expected to be able to deliver multiple Terabits per second—yielding another significant productivity gain relative to our ViaSat-3 class satellites.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62"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Vertically Integrated End-to-End Platform of Leading Broadband Technologies</w:t>
      </w:r>
      <w:r>
        <w:rPr>
          <w:rFonts w:ascii="Arial" w:cs="Arial" w:eastAsia="Arial" w:hAnsi="Arial"/>
          <w:sz w:val="18"/>
          <w:szCs w:val="18"/>
          <w:color w:val="auto"/>
        </w:rPr>
        <w:t>. We believe our innovative ecosystem of high-capacity Ka-band satellites, ground infrastructure and user terminals provides a vertically integrated end-to-end platform that creates significant synergies in our business and uniquely positions us to drive operational efficiencies and cost-effectively deliver a diverse portfolio of high-speed, high-quality broadband solutions and applications to enterprises, consumers, military and government users. Our product, system and service offerings are often linked through common underlying technologies, customer applications and market relationships.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56" w:lineRule="exact"/>
        <w:rPr>
          <w:rFonts w:ascii="Arial" w:cs="Arial" w:eastAsia="Arial" w:hAnsi="Arial"/>
          <w:sz w:val="18"/>
          <w:szCs w:val="18"/>
          <w:color w:val="auto"/>
        </w:rPr>
      </w:pPr>
    </w:p>
    <w:p>
      <w:pPr>
        <w:ind w:left="1020" w:right="100" w:hanging="503"/>
        <w:spacing w:after="0" w:line="23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Our fixed broadband services range from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services at high data speeds to Prepaid Internet services designed to provide affordable internet access via satellite-powered centralized community hotspots in countries with significant unserved or underserved populations. Our IFC systems and services support high-speed broadband services for commercial, private and military aircraft around the globe. In addition, we offer software that combines cutting-edge artificial intelligence and machine learning to help customers digitally transform data into actionable results. We also sell complex satellite communication systems and products to communications service providers, enterprises and government users, and in our government systems segment we offer a portfolio of military tactical data link, cybersecurity and information assurance products and services. This diversification in product and service offerings, customer base and market segment helps to reduce our exposure to fluctuations in any of the individual markets we serve and to provide resilience in our business performance in times of economic or political disruption. For example, during fiscal year 2021, revenue impacts to our commercial aviation business in our satellite services and commercial networks segments resulting from the global disruption in the airline industry caused by the COVID-19 pandemic were offset by strong demand in our fixed broadband services business and other parts of our business.</w:t>
      </w:r>
    </w:p>
    <w:p>
      <w:pPr>
        <w:spacing w:after="0" w:line="56" w:lineRule="exact"/>
        <w:rPr>
          <w:rFonts w:ascii="Arial" w:cs="Arial" w:eastAsia="Arial" w:hAnsi="Arial"/>
          <w:sz w:val="18"/>
          <w:szCs w:val="18"/>
          <w:color w:val="auto"/>
        </w:rPr>
      </w:pPr>
    </w:p>
    <w:p>
      <w:pPr>
        <w:ind w:left="1020" w:right="2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Broad Array of Broadband Service Offerings, Tailored to Market Demand</w:t>
      </w:r>
      <w:r>
        <w:rPr>
          <w:rFonts w:ascii="Arial" w:cs="Arial" w:eastAsia="Arial" w:hAnsi="Arial"/>
          <w:sz w:val="18"/>
          <w:szCs w:val="18"/>
          <w:color w:val="auto"/>
        </w:rPr>
        <w:t>. Our proprietary Ka-band satellite network provides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us to provide a broad array of satellite-based high-quality, high-speed broadband services with multiple applications. Our offerings include fixed broadband services to residential and enterprise customers, market-leading mobility services to aircraft utilizing our IFC systems, and Prepaid Internet services that provide affordable and reliable high-speed connectivity via satellite-powered centralized community hotspots in unserved and underserved areas. In the U.S. residential broadband market,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ind w:left="503" w:right="20"/>
        <w:spacing w:after="0" w:line="235" w:lineRule="auto"/>
        <w:rPr>
          <w:sz w:val="20"/>
          <w:szCs w:val="20"/>
          <w:color w:val="auto"/>
        </w:rPr>
      </w:pPr>
      <w:r>
        <w:rPr>
          <w:rFonts w:ascii="Arial" w:cs="Arial" w:eastAsia="Arial" w:hAnsi="Arial"/>
          <w:sz w:val="18"/>
          <w:szCs w:val="18"/>
          <w:color w:val="auto"/>
        </w:rPr>
        <w:t>ViaSat-2 satellite supports retail service plans offering data capacity in select markets of up to 100 Mbps. We expect our ViaSat-3 satellites to support a wide array of premium service offerings in more geographic areas. Our IFC services enable connectivity services to be provided to more passengers and crew on more flights, across commercial and business aircraft, and the ability to leverage high-capacity internet services such as streaming video. Our IFC services have received numerous awards and accolades, including the 2022 APEX Passenger Choice Award Winner for Best Wi-Fi (for our services on Delta Air Lines), 2019 APEX Global Passenger Choice Award Winner and 2018 APEX Regional Passenger Choice Award Winner for Best Wi-Fi (for our services on JetBlue). These awards were tallied from passenger-submitted data, showcasing the power of the Viasat internet platform to deliver exceptional IFC services. In 2015, Viasat’s IFC systems received the Crystal Cabin Award for the best Passenger Comfort System, the Excellence in Avionics Award for In-Flight Connectivity Innovation and the Via Satellite Excellence Award for Vertical Impact. The flexibility, high data throughput and broad geographic coverage area of our ViaSat-2 and our even more powerful ViaSat-3 class satellites (once in service), combined with our ability to dynamically allocate capacity based on demand, enable us to support a wide range of high-speed broadband services addressing multiple markets, provide innovative new services creating new market opportunities, tailor our service offerings to market needs, and compete more effectively in the markets we serve.</w:t>
      </w:r>
    </w:p>
    <w:p>
      <w:pPr>
        <w:spacing w:after="0" w:line="61" w:lineRule="exact"/>
        <w:rPr>
          <w:sz w:val="20"/>
          <w:szCs w:val="20"/>
          <w:color w:val="auto"/>
        </w:rPr>
      </w:pPr>
    </w:p>
    <w:p>
      <w:pPr>
        <w:ind w:left="503" w:hanging="503"/>
        <w:spacing w:after="0" w:line="236" w:lineRule="auto"/>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Diverse Portfolio of Market-Leading Military and Government Offerings. </w:t>
      </w:r>
      <w:r>
        <w:rPr>
          <w:rFonts w:ascii="Arial" w:cs="Arial" w:eastAsia="Arial" w:hAnsi="Arial"/>
          <w:sz w:val="18"/>
          <w:szCs w:val="18"/>
          <w:color w:val="auto"/>
        </w:rPr>
        <w:t>We are a leading provider of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cybersecurity and information assurance products and solutions to the U.S. Government and other military and government users around the world. These products and services enable the transmission of secure real-time digital information and communications between fixed and mobile command centers, intelligence and defense platforms and individuals. Our portfolio of government and military offerings leverages our technological investments in our commercial business, and includes tactical data links, small satellite development, fixed and mobile satellite broadband systems and services, cybersecurity and information assurance products and services. Total new awards in our government systems segment grew from $460.9 million in fiscal year 2011 to $1.0 billion in fiscal year 2022, despite an uneven defense spending environment, reflecting the high demand for our diverse portfolio of products and services for military and government users. Our tactical data link products include our market-leading BATS-D AN/PRC-161 handheld Link 16 radios and STT KOR-24A 2-channel radios, which bridge the gap between air and ground forces by providing secure, reliable access to integrated air and ground data for improved situational awareness capabilities and support communications, and are capable of advanced concurrent multiple reception capabilities to enhance communications and reduce network congestion. Our small satellite development work is market leading and is designed to enable a new tactical space layer for our government customers, enabling increasingly advanced precision operations and maneuvering. For example, we are working with the Air Force Research Laboratory (AFRL) Space Vehicles XVI program to deliver and test the first-ever Link 16-capable LEO spacecraft. Our mobile satellite broadband offerings leverage our innovative satellite technologies and proprietary Ka-band satellite platform, allowing us to provide high-speed, high-quality internet services to government and military aircraft, ships and land vehicles. In September 2018, we were awarded an eight-year, firm fixed-price contract to provide in-flight broadband and connectivity services to U.S. Government Senior Leader and VIP aircraft. Our secure networking products and services include a broad portfolio of advanced, high-speed Type 1 encryption solutions that are capable of operating at speeds of up to 100 Gbps, as well as advanced cybersecurity products to secure information transmitted via the cloud. In February 2021, we received enhanced cybersecurity accreditation from the U.S. Department of Homeland Security (DHS) through their Enhanced Cybersecurity Services (ECS) program. As an accredited ECS provider, we will receive DHS-provided sensitive and classified cybersecurity threat indicators and information to defend U.S.-based public and private computer networks, including state and local governments, against unauthorized access, exploitation and data exfiltration.</w:t>
      </w:r>
    </w:p>
    <w:p>
      <w:pPr>
        <w:spacing w:after="0" w:line="54" w:lineRule="exact"/>
        <w:rPr>
          <w:rFonts w:ascii="Arial" w:cs="Arial" w:eastAsia="Arial" w:hAnsi="Arial"/>
          <w:sz w:val="18"/>
          <w:szCs w:val="18"/>
          <w:color w:val="auto"/>
        </w:rPr>
      </w:pPr>
    </w:p>
    <w:p>
      <w:pPr>
        <w:ind w:left="503" w:right="160" w:hanging="503"/>
        <w:spacing w:after="0" w:line="241" w:lineRule="auto"/>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Blue-Chip Customer Base</w:t>
      </w:r>
      <w:r>
        <w:rPr>
          <w:rFonts w:ascii="Arial" w:cs="Arial" w:eastAsia="Arial" w:hAnsi="Arial"/>
          <w:sz w:val="18"/>
          <w:szCs w:val="18"/>
          <w:color w:val="auto"/>
        </w:rPr>
        <w:t>. Our blue-chip customer base includes customers such as the U.S. Government, leading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defense prime contractors, allied foreign governments, civil agencies, satellite network integrators, large communications service providers, commercial airlines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desired outcomes.</w:t>
      </w:r>
    </w:p>
    <w:p>
      <w:pPr>
        <w:spacing w:after="0" w:line="202"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20" w:right="339" w:bottom="1440" w:gutter="0" w:footer="0" w:header="0"/>
        </w:sectPr>
      </w:pPr>
    </w:p>
    <w:bookmarkStart w:id="10" w:name="page11"/>
    <w:bookmarkEnd w:id="10"/>
    <w:p>
      <w:pPr>
        <w:ind w:left="1020" w:right="40" w:hanging="503"/>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and Diversified Board of Directors. </w:t>
      </w:r>
      <w:r>
        <w:rPr>
          <w:rFonts w:ascii="Arial" w:cs="Arial" w:eastAsia="Arial" w:hAnsi="Arial"/>
          <w:sz w:val="18"/>
          <w:szCs w:val="18"/>
          <w:color w:val="auto"/>
        </w:rPr>
        <w:t>Our core management team is comprised of seasoned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significant satellite communications, defense and aerospace experience. For example, our Executive Chairman, Mark Dankberg, has been with Viasat since its inception in 1986. Mr. Dankberg is considered to be a leading expert in the field of satellite, wireless and defense communications. Richard Baldridge, who assumed the position of Viasat’s President and Chief Executive Officer in November 2020, has been with Viasat for over 20 years. During Mr. Baldridge’s tenure, Viasat has grown organically and through acquisitions by more than a factor of 10. In addition, over the past several years, we have undertaken a conscious effort to diversify our Board of Directors, bringing in a wide variety of skills and experience aligned with our long-term goals. Our Board is comprised of a diverse range of high-profile corporate leaders with extensive experience in globalization, communications, space operations, and technology and business integration.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Our business strategy is to maintain our leadership position in cost-efficient, high-quality satellite-based communications products and services, focused on making connectivity accessible, available and secure for all. The principal elements of our strategy include:</w:t>
      </w:r>
    </w:p>
    <w:p>
      <w:pPr>
        <w:spacing w:after="0" w:line="202"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Drive Capital Efficiencies</w:t>
      </w:r>
    </w:p>
    <w:p>
      <w:pPr>
        <w:spacing w:after="0" w:line="80" w:lineRule="exact"/>
        <w:rPr>
          <w:rFonts w:ascii="Arial" w:cs="Arial" w:eastAsia="Arial" w:hAnsi="Arial"/>
          <w:sz w:val="18"/>
          <w:szCs w:val="18"/>
          <w:color w:val="auto"/>
        </w:rPr>
      </w:pPr>
    </w:p>
    <w:p>
      <w:pPr>
        <w:ind w:left="1540" w:right="60" w:hanging="509"/>
        <w:spacing w:after="0" w:line="2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Deliver the Most Productive Satellite Systems: </w:t>
      </w:r>
      <w:r>
        <w:rPr>
          <w:rFonts w:ascii="Arial" w:cs="Arial" w:eastAsia="Arial" w:hAnsi="Arial"/>
          <w:sz w:val="18"/>
          <w:szCs w:val="18"/>
          <w:color w:val="auto"/>
        </w:rPr>
        <w:t>We are hyper-focused on maximizing the useful bandwidth per total</w:t>
      </w:r>
      <w:r>
        <w:rPr>
          <w:rFonts w:ascii="Arial" w:cs="Arial" w:eastAsia="Arial" w:hAnsi="Arial"/>
          <w:sz w:val="18"/>
          <w:szCs w:val="18"/>
          <w:i w:val="1"/>
          <w:iCs w:val="1"/>
          <w:color w:val="auto"/>
        </w:rPr>
        <w:t xml:space="preserve"> </w:t>
      </w:r>
      <w:r>
        <w:rPr>
          <w:rFonts w:ascii="Arial" w:cs="Arial" w:eastAsia="Arial" w:hAnsi="Arial"/>
          <w:sz w:val="18"/>
          <w:szCs w:val="18"/>
          <w:color w:val="auto"/>
        </w:rPr>
        <w:t>lifetime capital cost of each satellite. We refer to this as “bandwidth productivity” and see this metric as a key factor in determining our return on satellite investment for each satellite we design, develop and build. When measured in terms of bandwidth productivity, we believe our existing and planned satellite fleet substantially outperforms other satellite operators and would also outperform our expectations for the LEO constellations proposed by new market entrants.</w:t>
      </w:r>
    </w:p>
    <w:p>
      <w:pPr>
        <w:spacing w:after="0" w:line="49" w:lineRule="exact"/>
        <w:rPr>
          <w:rFonts w:ascii="Arial" w:cs="Arial" w:eastAsia="Arial" w:hAnsi="Arial"/>
          <w:sz w:val="18"/>
          <w:szCs w:val="18"/>
          <w:color w:val="auto"/>
        </w:rPr>
      </w:pPr>
    </w:p>
    <w:p>
      <w:pPr>
        <w:ind w:left="1540" w:right="80" w:hanging="509"/>
        <w:spacing w:after="0" w:line="25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i w:val="1"/>
          <w:iCs w:val="1"/>
          <w:color w:val="auto"/>
        </w:rPr>
        <w:t xml:space="preserve">Drive Efficiencies of Scale and Operations: </w:t>
      </w:r>
      <w:r>
        <w:rPr>
          <w:rFonts w:ascii="Arial" w:cs="Arial" w:eastAsia="Arial" w:hAnsi="Arial"/>
          <w:sz w:val="17"/>
          <w:szCs w:val="17"/>
          <w:color w:val="auto"/>
        </w:rPr>
        <w:t>We intend to continue to drive efficiencies in our businesses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vertical integration strategy and increasing scale as we move into new and adjacent geographic, product and service markets. We optimize our satellite systems through our development of an end-to-end platform of next-generation Ka-band satellites, ground networking equipment and user terminals that enable the provision of a broad array of high-speed broadband services. Our ViaSat-3 class satellites are expected to further drive scale and operational efficiencies through their enhanced ability to efficiently and dynamically match supply and demand through the flexible allocation of capacity by service, time and geography within the satellite footprint, as well as through their expected global geographic reach.</w:t>
      </w:r>
    </w:p>
    <w:p>
      <w:pPr>
        <w:spacing w:after="0" w:line="19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Focus on Relentless Execution</w:t>
      </w:r>
    </w:p>
    <w:p>
      <w:pPr>
        <w:spacing w:after="0" w:line="80" w:lineRule="exact"/>
        <w:rPr>
          <w:rFonts w:ascii="Arial" w:cs="Arial" w:eastAsia="Arial" w:hAnsi="Arial"/>
          <w:sz w:val="18"/>
          <w:szCs w:val="18"/>
          <w:color w:val="auto"/>
        </w:rPr>
      </w:pPr>
    </w:p>
    <w:p>
      <w:pPr>
        <w:ind w:left="1540" w:right="140" w:hanging="509"/>
        <w:spacing w:after="0" w:line="24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continue to focus on R&amp;D to bring high-capacity, high-speed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Our R&amp;D efforts are supported by a global employee base that includes approximately 3,400 engineers and a culture that deeply values and supports innovation.</w:t>
      </w:r>
    </w:p>
    <w:p>
      <w:pPr>
        <w:spacing w:after="0" w:line="48" w:lineRule="exact"/>
        <w:rPr>
          <w:rFonts w:ascii="Arial" w:cs="Arial" w:eastAsia="Arial" w:hAnsi="Arial"/>
          <w:sz w:val="18"/>
          <w:szCs w:val="18"/>
          <w:color w:val="auto"/>
        </w:rPr>
      </w:pPr>
    </w:p>
    <w:p>
      <w:pPr>
        <w:ind w:left="1540" w:hanging="509"/>
        <w:spacing w:after="0" w:line="2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Follow Our Path of Proven Performance: </w:t>
      </w:r>
      <w:r>
        <w:rPr>
          <w:rFonts w:ascii="Arial" w:cs="Arial" w:eastAsia="Arial" w:hAnsi="Arial"/>
          <w:sz w:val="18"/>
          <w:szCs w:val="18"/>
          <w:color w:val="auto"/>
        </w:rPr>
        <w:t>We have an enviable track record for identifying and bringing to market impactful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technologies in space systems. ViaSat-1 was the highest capacity communications satellite at the time of its launch; ViaSat-2 almost doubled the capacity of ViaSat-1; and the ViaSat-3 constellation is anticipated to have approximately eight times more capacity than the capacity of the ViaSat-1 and ViaSat-2 satellites combined and to enable us to deliver affordable connectivity across most of the world.</w:t>
      </w:r>
    </w:p>
    <w:p>
      <w:pPr>
        <w:spacing w:after="0" w:line="49" w:lineRule="exact"/>
        <w:rPr>
          <w:rFonts w:ascii="Arial" w:cs="Arial" w:eastAsia="Arial" w:hAnsi="Arial"/>
          <w:sz w:val="18"/>
          <w:szCs w:val="18"/>
          <w:color w:val="auto"/>
        </w:rPr>
      </w:pPr>
    </w:p>
    <w:p>
      <w:pPr>
        <w:ind w:left="1540" w:right="20" w:hanging="509"/>
        <w:spacing w:after="0" w:line="2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Customer-Centricity Evolution: </w:t>
      </w:r>
      <w:r>
        <w:rPr>
          <w:rFonts w:ascii="Arial" w:cs="Arial" w:eastAsia="Arial" w:hAnsi="Arial"/>
          <w:sz w:val="18"/>
          <w:szCs w:val="18"/>
          <w:color w:val="auto"/>
        </w:rPr>
        <w:t>We are focused on increasing our customer interactions and have incorporated new</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tools and learnings from artificial intelligence and machine learning to enhanced customer intimacy techniques and customer advisory councils. We strive to continue to improve our ongoing customer engagements through proactive response, deeper customer insights and enhanced customer exchanges. This is an ongoing effort that will continue to be an investment and nurture opportunity for us.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1" w:name="page12"/>
    <w:bookmarkEnd w:id="11"/>
    <w:p>
      <w:pPr>
        <w:ind w:left="503" w:hanging="503"/>
        <w:spacing w:after="0"/>
        <w:tabs>
          <w:tab w:leader="none" w:pos="50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Expand into New Markets and Geographies</w:t>
      </w:r>
    </w:p>
    <w:p>
      <w:pPr>
        <w:spacing w:after="0" w:line="80" w:lineRule="exact"/>
        <w:rPr>
          <w:rFonts w:ascii="Arial" w:cs="Arial" w:eastAsia="Arial" w:hAnsi="Arial"/>
          <w:sz w:val="18"/>
          <w:szCs w:val="18"/>
          <w:color w:val="auto"/>
        </w:rPr>
      </w:pPr>
    </w:p>
    <w:p>
      <w:pPr>
        <w:ind w:left="1023" w:right="100" w:hanging="509"/>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Enter and Disrupt New and Adjacent Markets through Technology Innovation: </w:t>
      </w:r>
      <w:r>
        <w:rPr>
          <w:rFonts w:ascii="Arial" w:cs="Arial" w:eastAsia="Arial" w:hAnsi="Arial"/>
          <w:sz w:val="18"/>
          <w:szCs w:val="18"/>
          <w:color w:val="auto"/>
        </w:rPr>
        <w:t>We continue to create or address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adjacent markets using our technological advancements to disrupt existing business models and drive shifts in target markets or user demand. For example, the technological innovations and power of our proprietary Ka-band satellite network enabled us to disrupt the IFC business model and successfully expand our broadband service offerings into the commercial air market. 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w:t>
      </w:r>
    </w:p>
    <w:p>
      <w:pPr>
        <w:spacing w:after="0" w:line="56" w:lineRule="exact"/>
        <w:rPr>
          <w:rFonts w:ascii="Arial" w:cs="Arial" w:eastAsia="Arial" w:hAnsi="Arial"/>
          <w:sz w:val="18"/>
          <w:szCs w:val="18"/>
          <w:color w:val="auto"/>
        </w:rPr>
      </w:pPr>
    </w:p>
    <w:p>
      <w:pPr>
        <w:ind w:left="1023" w:right="60" w:hanging="509"/>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Think Beyond Current Customer Requirements to Open New Markets: </w:t>
      </w:r>
      <w:r>
        <w:rPr>
          <w:rFonts w:ascii="Arial" w:cs="Arial" w:eastAsia="Arial" w:hAnsi="Arial"/>
          <w:sz w:val="18"/>
          <w:szCs w:val="18"/>
          <w:color w:val="auto"/>
        </w:rPr>
        <w:t>In our government systems business, we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market or operational needs that are not currently served by existing communications and encryption products and services, with a view to developing unique or disruptive products and services and creating new addressable markets. In fact, a key component to the continued success of Viasat’s defense business is its expansive portfolio of non-developmental items (NDI), which are designed to rapidly deliver cutting-edge technology solutions well ahead of the traditional government procurement model. Many of our NDI technologies fall within our tactical data links systems, such as BATS-D handheld Link 16 radios and STT KOR-24A 2-channel radios for manned and unmanned applications. Our business model delivers advanced capabilities significantly faster, at lower lifecycle costs and with lower risk to the customer when compared to traditional defense acquisition programs and timelines.</w:t>
      </w:r>
    </w:p>
    <w:p>
      <w:pPr>
        <w:spacing w:after="0" w:line="56" w:lineRule="exact"/>
        <w:rPr>
          <w:rFonts w:ascii="Arial" w:cs="Arial" w:eastAsia="Arial" w:hAnsi="Arial"/>
          <w:sz w:val="18"/>
          <w:szCs w:val="18"/>
          <w:color w:val="auto"/>
        </w:rPr>
      </w:pPr>
    </w:p>
    <w:p>
      <w:pPr>
        <w:ind w:left="1023" w:hanging="509"/>
        <w:spacing w:after="0" w:line="23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Target International Expansion. </w:t>
      </w:r>
      <w:r>
        <w:rPr>
          <w:rFonts w:ascii="Arial" w:cs="Arial" w:eastAsia="Arial" w:hAnsi="Arial"/>
          <w:sz w:val="18"/>
          <w:szCs w:val="18"/>
          <w:color w:val="auto"/>
        </w:rPr>
        <w:t>With the impending launch of our ViaSat-3 constellation, we have placed tremendous</w:t>
      </w:r>
      <w:r>
        <w:rPr>
          <w:rFonts w:ascii="Arial" w:cs="Arial" w:eastAsia="Arial" w:hAnsi="Arial"/>
          <w:sz w:val="18"/>
          <w:szCs w:val="18"/>
          <w:i w:val="1"/>
          <w:iCs w:val="1"/>
          <w:color w:val="auto"/>
        </w:rPr>
        <w:t xml:space="preserve"> </w:t>
      </w:r>
      <w:r>
        <w:rPr>
          <w:rFonts w:ascii="Arial" w:cs="Arial" w:eastAsia="Arial" w:hAnsi="Arial"/>
          <w:sz w:val="18"/>
          <w:szCs w:val="18"/>
          <w:color w:val="auto"/>
        </w:rPr>
        <w:t>effort on growing our operations, sales/distribution, customer/partner base and regulatory framework globally. We continue to believe that international markets provide attractive opportunities for the long-term growth of our business. As worldwide demand for broadband connectivity continues to grow, we expect that our comprehensive offering of next-generation Ka-band satellites, advanced end-to-end communication systems and ground networking equipment and products, and their ability to enable a wide range of cost-effective, high-speed, high-quality broadband services, will be increasingly attractive internationally. Our ViaSat-2 satellite significantly expanded the geographic coverage area of our broadband services over North and Central America and the primary aeronautical and maritime routes across the Atlantic Ocean, allowing us to bring high-value in-flight services to many more commercial, business and government aircraft within the expanded satellite footprint and launch new, innovative ground-based services in new markets, such as our Prepaid Internet services using satellite-powered community hotspots. Ahead of the ViaSat-3 constellation launch, we have leveraged third-party partner satellites (such as Telebras in Brazil, Avanti in EMEA, nbn in Australia and China Satcom in China) to create a runway for Viasat to begin offering and trialing service plans internationally as well as build brand presence and name recognition. We have also undertaken a thoughtful approach to mergers and acquisitions to drive international expansion. For example, in the Inmarsat Transaction, Inmarsat’s existing satellite fleet would provide global coverage (including strong oceanic coverage and polar reach) and greater redundancy and resiliency for the combined company versus Viasat on a standalone basis. The acquisition of the remaining interest in EBI is expected to enable us to expand more effectively and rapidly in the EMEA region. Our recent acquisition of RigNet also positions us to further expand into new global markets, as RigNet has customers and operations globally. Finally, we expect our ViaSat-3 and ViaSat-4 global constellations will be enablers for the scalable, long-term global expansion of our business, providing the platform for us to deliver high-quality and affordable broadband connectivity worldwide. Demand profile differs by geographic market, reflecting geographic, economic, political, regulatory and other factors. However, the flexibility, high data capacity and broad geographic coverage area of our second- and third-generation proprietary Ka-band satellites allow us to tailor our service offerings for the opportunities and needs of different geographic markets.</w:t>
      </w:r>
    </w:p>
    <w:p>
      <w:pPr>
        <w:spacing w:after="0" w:line="209"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360" w:right="359" w:bottom="1440" w:gutter="0" w:footer="0" w:header="0"/>
        </w:sectPr>
      </w:pPr>
    </w:p>
    <w:bookmarkStart w:id="12" w:name="page13"/>
    <w:bookmarkEnd w:id="12"/>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Prioritize the End-User</w:t>
      </w:r>
    </w:p>
    <w:p>
      <w:pPr>
        <w:spacing w:after="0" w:line="80" w:lineRule="exact"/>
        <w:rPr>
          <w:rFonts w:ascii="Arial" w:cs="Arial" w:eastAsia="Arial" w:hAnsi="Arial"/>
          <w:sz w:val="18"/>
          <w:szCs w:val="18"/>
          <w:color w:val="auto"/>
        </w:rPr>
      </w:pPr>
    </w:p>
    <w:p>
      <w:pPr>
        <w:ind w:left="1540" w:right="20" w:hanging="509"/>
        <w:spacing w:after="0" w:line="237"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Recognize Broadband Connectivity is a Means to an End, not an End in Itself. </w:t>
      </w:r>
      <w:r>
        <w:rPr>
          <w:rFonts w:ascii="Arial" w:cs="Arial" w:eastAsia="Arial" w:hAnsi="Arial"/>
          <w:sz w:val="18"/>
          <w:szCs w:val="18"/>
          <w:color w:val="auto"/>
        </w:rPr>
        <w:t>The value of a broadband network is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it enables. With this understanding, we have worked closely with leading edge and content providers (including companies such as Apple, Facebook, fuboTV and the NBA, among others)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great — and affordable — broadband experiences on our network. Our ViaSat-3 constellation will help meet increasing end-user demand and the need for global reach. In addition, we work with various international governments to help bring digital and social inclusion to their constituents through efficient satellite-enabled services such as our Prepaid Internet hotspots.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 — at lower bandwidth costs.</w:t>
      </w:r>
    </w:p>
    <w:p>
      <w:pPr>
        <w:spacing w:after="0" w:line="2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Manage for the Long Term</w:t>
      </w:r>
    </w:p>
    <w:p>
      <w:pPr>
        <w:spacing w:after="0" w:line="80" w:lineRule="exact"/>
        <w:rPr>
          <w:rFonts w:ascii="Arial" w:cs="Arial" w:eastAsia="Arial" w:hAnsi="Arial"/>
          <w:sz w:val="18"/>
          <w:szCs w:val="18"/>
          <w:color w:val="auto"/>
        </w:rPr>
      </w:pPr>
    </w:p>
    <w:p>
      <w:pPr>
        <w:ind w:left="1540" w:right="20" w:hanging="509"/>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Pursue Growth Through Strategic Alliances, Partnering Arrangements and Relationships</w:t>
      </w:r>
      <w:r>
        <w:rPr>
          <w:rFonts w:ascii="Arial" w:cs="Arial" w:eastAsia="Arial" w:hAnsi="Arial"/>
          <w:sz w:val="18"/>
          <w:szCs w:val="18"/>
          <w:color w:val="auto"/>
        </w:rPr>
        <w:t>. We actively seek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joint ventures with companies whose financial, marketing, operational or technological resources can accelerate the introduction of new technologies, service offerings and/or the penetration of new markets. For example, we have entered into strategic agreements in Brazil, Guatemala, Mexico and Peru with local partners to bring high-speed, affordable internet to unserved and underserved communities, which allows us to gain market insights and build brand awareness in advance of when our ViaSat-3 constellation will provide additional capacity to the region. In our government systems segment, we also regularly enter into teaming arrangements with other government contractors to more effectively capture complex government programs. We may continue to evaluate acquisitions of, or investments in, complementary companies, businesses, products or technologies to supplement our internal growth.</w:t>
      </w:r>
    </w:p>
    <w:p>
      <w:pPr>
        <w:spacing w:after="0" w:line="56" w:lineRule="exact"/>
        <w:rPr>
          <w:rFonts w:ascii="Arial" w:cs="Arial" w:eastAsia="Arial" w:hAnsi="Arial"/>
          <w:sz w:val="18"/>
          <w:szCs w:val="18"/>
          <w:color w:val="auto"/>
        </w:rPr>
      </w:pPr>
    </w:p>
    <w:p>
      <w:pPr>
        <w:ind w:left="1540" w:right="180" w:hanging="509"/>
        <w:spacing w:after="0" w:line="250"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Encourage Safe Sustainable Access to Space. </w:t>
      </w:r>
      <w:r>
        <w:rPr>
          <w:rFonts w:ascii="Arial" w:cs="Arial" w:eastAsia="Arial" w:hAnsi="Arial"/>
          <w:sz w:val="18"/>
          <w:szCs w:val="18"/>
          <w:color w:val="auto"/>
        </w:rPr>
        <w:t>We strive to be a leader in bringing benefits of space technology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in a sustainable, responsible and inclusive way. We are focused on cooperating with a broad range of responsible nations and global partners to ensure safe, responsible and equitable access to space for all.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customer base is highly diversified. Customers of our satellite services segment reflect the diversity in our broadband service offerings and include residential customers, small and medium-sized businesses, enterprise customers, commercial airlines and Prepaid Internet hotspot users. Customers of our fixed broadband services are obtained through either our direct or partner distribution channels. The customers of our government systems and commercial networks segments include the DoD, the U.S. National Security Agency, the intelligence community, the U.S. Department of Homeland Security, FVEY and other allied foreign governments and militaries, select other U.S. federal, state and local government agencies,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5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Revenues from the U.S. Government as an individual customer comprised approximately 25%, 30% and 30% of total revenues for fiscal years 2022, 2021 and 2020, respectively. None of our other customers comprised 10% or more of total revenues in fiscal years 2022, 2021 and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p>
      <w:pPr>
        <w:ind w:right="20"/>
        <w:spacing w:after="0" w:line="246" w:lineRule="auto"/>
        <w:rPr>
          <w:sz w:val="20"/>
          <w:szCs w:val="20"/>
          <w:color w:val="auto"/>
        </w:rPr>
      </w:pPr>
      <w:r>
        <w:rPr>
          <w:rFonts w:ascii="Arial" w:cs="Arial" w:eastAsia="Arial" w:hAnsi="Arial"/>
          <w:sz w:val="18"/>
          <w:szCs w:val="18"/>
          <w:color w:val="auto"/>
        </w:rPr>
        <w:t>oversight, a reduction in expenditures for the products and services we provide, and other risks generally associated with federal government contracts.</w:t>
      </w:r>
    </w:p>
    <w:p>
      <w:pPr>
        <w:spacing w:after="0" w:line="14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9"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2022, approximately 11% of our total government revenues were generated from cost-reimbursement contracts with the federal government or our prime contractors, less than 1% from time-and-materials contracts and approximately 89% from fixed-price contracts.</w:t>
      </w:r>
    </w:p>
    <w:p>
      <w:pPr>
        <w:spacing w:after="0" w:line="140"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149"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136" w:lineRule="exact"/>
        <w:rPr>
          <w:sz w:val="20"/>
          <w:szCs w:val="20"/>
          <w:color w:val="auto"/>
        </w:rPr>
      </w:pPr>
    </w:p>
    <w:p>
      <w:pPr>
        <w:jc w:val="both"/>
        <w:ind w:right="40" w:firstLine="509"/>
        <w:spacing w:after="0"/>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spacing w:after="0" w:line="149" w:lineRule="exact"/>
        <w:rPr>
          <w:sz w:val="20"/>
          <w:szCs w:val="20"/>
          <w:color w:val="auto"/>
        </w:rPr>
      </w:pPr>
    </w:p>
    <w:p>
      <w:pPr>
        <w:ind w:right="640" w:firstLine="509"/>
        <w:spacing w:after="0" w:line="246"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460" w:firstLine="509"/>
        <w:spacing w:after="0" w:line="238"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p>
    <w:p>
      <w:pPr>
        <w:spacing w:after="0" w:line="14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conduct the majority of our R&amp;D activities in-house and have R&amp;D and engineering staff, which includes approximately 3,400 engineers worldwide. Our product development activities focus on products that we consider viable revenue opportunities to support all of our segments. We incurred $153.2 million, $ 115.8 million and $130.4 million during fiscal years 2022, 2021 and 2020, respectively, on independent research and development (IR&amp;D) expenses, which comprise R&amp;D not directly funded by a third party. Funded R&amp;D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R&amp;D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ind w:right="160"/>
        <w:spacing w:after="0" w:line="236" w:lineRule="auto"/>
        <w:rPr>
          <w:sz w:val="20"/>
          <w:szCs w:val="20"/>
          <w:color w:val="auto"/>
        </w:rPr>
      </w:pPr>
      <w:r>
        <w:rPr>
          <w:rFonts w:ascii="Arial" w:cs="Arial" w:eastAsia="Arial" w:hAnsi="Arial"/>
          <w:sz w:val="18"/>
          <w:szCs w:val="18"/>
          <w:color w:val="auto"/>
        </w:rPr>
        <w:t>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54"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We have a sales presence in various domestic and international locations, and we sell our products and services both directly and indirectly through partners, as described below:</w:t>
      </w:r>
    </w:p>
    <w:p>
      <w:pPr>
        <w:spacing w:after="0" w:line="44" w:lineRule="exact"/>
        <w:rPr>
          <w:sz w:val="20"/>
          <w:szCs w:val="20"/>
          <w:color w:val="auto"/>
        </w:rPr>
      </w:pPr>
    </w:p>
    <w:p>
      <w:pPr>
        <w:ind w:left="1020" w:right="40" w:hanging="503"/>
        <w:spacing w:after="0" w:line="23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for our broadband internet services sells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both direct and indirect channels. Our residential fixed broadband services are primarily sold directly to customers through our Viasat Internet website, sales call centers and active retail dealers. We utilize extensive dealer networks across the United States, as well as in each country where residential fixed broadband services are offered. Our Prepaid Internet services are sold through local distribution partnerships. Our business internet offerings are sold through a mix of direct sales personnel who work with enterprises and a network of enterprise-focused master agents and wholesale distribution partners. Our commercial aviation offerings are sold direct to airlines, and our business aviation offerings are sold through direct sales and business development personnel as well as through aviation-focused value-added resellers. Our maritime service offerings are sold through direct and indirect value-added reseller partners targeting a variety of maritime commercial prospects. In each case, our focus is to identify business opportunities and develop solutions for the unique needs of each customer segment.</w:t>
      </w:r>
    </w:p>
    <w:p>
      <w:pPr>
        <w:spacing w:after="0" w:line="53" w:lineRule="exact"/>
        <w:rPr>
          <w:rFonts w:ascii="Arial" w:cs="Arial" w:eastAsia="Arial" w:hAnsi="Arial"/>
          <w:sz w:val="18"/>
          <w:szCs w:val="18"/>
          <w:color w:val="auto"/>
        </w:rPr>
      </w:pPr>
    </w:p>
    <w:p>
      <w:pPr>
        <w:ind w:left="1020" w:right="200" w:hanging="503"/>
        <w:spacing w:after="0" w:line="24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sales managers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who act as the primary interface to establish account relationships and determine technical requirements for customer networks. In addition to our sales force, we maintain a highly-trained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48" w:lineRule="exact"/>
        <w:rPr>
          <w:rFonts w:ascii="Arial" w:cs="Arial" w:eastAsia="Arial" w:hAnsi="Arial"/>
          <w:sz w:val="18"/>
          <w:szCs w:val="18"/>
          <w:color w:val="auto"/>
        </w:rPr>
      </w:pPr>
    </w:p>
    <w:p>
      <w:pPr>
        <w:ind w:left="1020" w:right="140" w:hanging="503"/>
        <w:spacing w:after="0" w:line="25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Government Systems Sales Organization. </w:t>
      </w:r>
      <w:r>
        <w:rPr>
          <w:rFonts w:ascii="Arial" w:cs="Arial" w:eastAsia="Arial" w:hAnsi="Arial"/>
          <w:sz w:val="17"/>
          <w:szCs w:val="17"/>
          <w:color w:val="auto"/>
        </w:rPr>
        <w:t>Our government systems sales organization consists of both direct sales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35" w:lineRule="exact"/>
        <w:rPr>
          <w:rFonts w:ascii="Arial" w:cs="Arial" w:eastAsia="Arial" w:hAnsi="Arial"/>
          <w:sz w:val="17"/>
          <w:szCs w:val="17"/>
          <w:color w:val="auto"/>
        </w:rPr>
      </w:pPr>
    </w:p>
    <w:p>
      <w:pPr>
        <w:ind w:left="1020" w:right="180" w:hanging="503"/>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jc w:val="both"/>
        <w:ind w:left="1020" w:right="280"/>
        <w:spacing w:after="0"/>
        <w:rPr>
          <w:sz w:val="20"/>
          <w:szCs w:val="20"/>
          <w:color w:val="auto"/>
        </w:rPr>
      </w:pPr>
      <w:r>
        <w:rPr>
          <w:rFonts w:ascii="Arial" w:cs="Arial" w:eastAsia="Arial" w:hAnsi="Arial"/>
          <w:sz w:val="18"/>
          <w:szCs w:val="18"/>
          <w:color w:val="auto"/>
        </w:rPr>
        <w:t>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49" w:lineRule="exact"/>
        <w:rPr>
          <w:sz w:val="20"/>
          <w:szCs w:val="20"/>
          <w:color w:val="auto"/>
        </w:rPr>
      </w:pPr>
    </w:p>
    <w:p>
      <w:pPr>
        <w:ind w:right="200" w:firstLine="509"/>
        <w:spacing w:after="0" w:line="236" w:lineRule="auto"/>
        <w:rPr>
          <w:sz w:val="20"/>
          <w:szCs w:val="20"/>
          <w:color w:val="auto"/>
        </w:rPr>
      </w:pPr>
      <w:r>
        <w:rPr>
          <w:rFonts w:ascii="Arial" w:cs="Arial" w:eastAsia="Arial" w:hAnsi="Arial"/>
          <w:sz w:val="18"/>
          <w:szCs w:val="18"/>
          <w:color w:val="auto"/>
        </w:rPr>
        <w:t>Our marketing team works closely with our corporate and segment leadership, customer account executives, and business development, sales and operations organizations to increase the awareness of the Viasat brand through a mix of positive program performance, agile, results-oriented multichannel marketing campaigns that reflect new and evolving customer journeys, public relations, paid media, live and virtual trade show participation and conference speaking engagements that keep the market current on our services, products and features. Viasat products and services, both in the U.S. and internationally, are typically sold under one unified master global brand, using a single logo and visual identity system. Our marketing team also identifies and sizes new and adjacent target markets for our products and services, creates awareness of our company and our portfolio of offerings, and generates contacts and leads within these targeted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compete, we emphasize:</w:t>
      </w:r>
    </w:p>
    <w:p>
      <w:pPr>
        <w:spacing w:after="0" w:line="7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high-speed, high-quality and broad geographic availability of our broadband services;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deep understanding of our customers’ unique expectations and requirements;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demonstrated performance in uniquely challenging environments;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advanced security and information assurance capabilities;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technical advantages and advanced features of our antenna systems as compared to our competitors’ offerings;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58"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43" w:lineRule="exact"/>
        <w:rPr>
          <w:sz w:val="20"/>
          <w:szCs w:val="20"/>
          <w:color w:val="auto"/>
        </w:rPr>
      </w:pPr>
    </w:p>
    <w:p>
      <w:pPr>
        <w:ind w:right="140" w:firstLine="509"/>
        <w:spacing w:after="0" w:line="236" w:lineRule="auto"/>
        <w:rPr>
          <w:sz w:val="20"/>
          <w:szCs w:val="20"/>
          <w:color w:val="auto"/>
        </w:rPr>
      </w:pPr>
      <w:r>
        <w:rPr>
          <w:rFonts w:ascii="Arial" w:cs="Arial" w:eastAsia="Arial" w:hAnsi="Arial"/>
          <w:sz w:val="18"/>
          <w:szCs w:val="18"/>
          <w:color w:val="auto"/>
        </w:rPr>
        <w:t>In our satellite services segment, we face competition for fixed broadband services both from existing competitors and emerging technologies. Our fixed broadband service offerings compete with broadband service offerings from wireline and wireless telecommunications companies, including cable companies, fiber and DSL companies, satellite companies and fixed wireless companies.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This has in part driven our strategic focus on suburban and rural geographies outside of the cable and fiber competitive footprint. New entrants, some with significant financial resources and new emerging technologies (including terrestrial and space-based networks, such as LEO and MEO constellations) also compete with our broadband service offerings. Additionally, wireless telecommunications carriers such as AT&amp;T, T-Mobile and Verizon are currently offering unlimited wireless data plans and fixed wireless services that could attract our existing and future fixed broadband subscribers. Our IFC and W-IFE service offerings compete against air-to-ground mobile services and other satellite-based services, such as the services offered by Anuvu (formerly Global Eagle), Gogo, Inmarsat, Intelsat, SES, SpaceX, Thales Group, SmartSky, Iridium and Panasonic Avionics Corporation, among others.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6" w:name="page17"/>
    <w:bookmarkEnd w:id="16"/>
    <w:p>
      <w:pPr>
        <w:ind w:right="80" w:firstLine="509"/>
        <w:spacing w:after="0" w:line="238"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CPI Antenna Systems Division, Comtech, EchoStar (Hughes Network Systems), General Dynamics, Gilat, iDirect Technologies, Newtec, L3Harris, Panasonic Avionics Corporation, Safran Aerosystems, Space Systems/Loral (SS/L) (MAXAR), SpaceX and Thales Group. In addition, some of our customers continuously evaluate whether to develop and manufacture their own products and could elect to compete with us at any time.</w:t>
      </w:r>
    </w:p>
    <w:p>
      <w:pPr>
        <w:spacing w:after="0" w:line="14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 Collins Aerospace, General Dynamics, Inmarsat, Intelsat, Iridium, Eutelsat, OneWeb, SES, SpaceX, Telesat, L3Harris, EchoStar (Hughes Network Systems)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48"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IEC Electronics Corporation, L3Harris, Microelectronics Technology, Plexus, Regal Technology Partners and Sanmina.</w:t>
      </w:r>
    </w:p>
    <w:p>
      <w:pPr>
        <w:spacing w:after="0" w:line="148" w:lineRule="exact"/>
        <w:rPr>
          <w:sz w:val="20"/>
          <w:szCs w:val="20"/>
          <w:color w:val="auto"/>
        </w:rPr>
      </w:pPr>
    </w:p>
    <w:p>
      <w:pPr>
        <w:ind w:right="60" w:firstLine="509"/>
        <w:spacing w:after="0" w:line="235"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Our internal manufacturing capability is dependent on the availability of essential materials, parts and subassemblies from our suppliers and subcontractors. We use numerous sources for the wide array of raw materials required for our operations and our products, such as electronic components, printed circuit boards, metals and plastics. Although alternative sources generally exist for these raw materials, qualification of the sources could take a year or more.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Regulatory Environment</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p>
    <w:p>
      <w:pPr>
        <w:spacing w:after="0" w:line="151"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 (ITU)</w:t>
      </w:r>
    </w:p>
    <w:p>
      <w:pPr>
        <w:spacing w:after="0" w:line="99" w:lineRule="exact"/>
        <w:rPr>
          <w:sz w:val="20"/>
          <w:szCs w:val="20"/>
          <w:color w:val="auto"/>
        </w:rPr>
      </w:pPr>
    </w:p>
    <w:p>
      <w:pPr>
        <w:ind w:right="280" w:firstLine="509"/>
        <w:spacing w:after="0" w:line="237"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spacing w:after="0" w:line="151" w:lineRule="exact"/>
        <w:rPr>
          <w:sz w:val="20"/>
          <w:szCs w:val="20"/>
          <w:color w:val="auto"/>
        </w:rPr>
      </w:pPr>
    </w:p>
    <w:p>
      <w:pPr>
        <w:jc w:val="both"/>
        <w:ind w:right="220" w:firstLine="509"/>
        <w:spacing w:after="0"/>
        <w:rPr>
          <w:sz w:val="20"/>
          <w:szCs w:val="20"/>
          <w:color w:val="auto"/>
        </w:rPr>
      </w:pPr>
      <w:r>
        <w:rPr>
          <w:rFonts w:ascii="Arial" w:cs="Arial" w:eastAsia="Arial" w:hAnsi="Arial"/>
          <w:sz w:val="18"/>
          <w:szCs w:val="18"/>
          <w:color w:val="auto"/>
        </w:rPr>
        <w:t>The ITU regulations provide allocations or designations for how spectrum can be used for various purposes, and whether such uses operate on a primary or secondary basis with respect to one another. Secondary uses may not cause harmful interference to primary uses, and may not claim interference protection from primary uses.</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spacing w:after="0" w:line="151"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8"/>
          <w:szCs w:val="18"/>
          <w:color w:val="auto"/>
        </w:rPr>
        <w:t>In addition, the ITU’s Radio Regulations are subject to change at periodic ITU World Radio-communication Conferences (WRCs), and their application is determined by various governing bodies within the ITU. WRCs typically are convened approximately every four years, with the next one scheduled to occur in 2023. The next WRC is considering various changes to the Radio Regulations that address the terms and conditions under which spectrum is used for satellite and terrestrial and purposes, and future WRCs are likely to do the same.</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Spectrum</w:t>
      </w:r>
    </w:p>
    <w:p>
      <w:pPr>
        <w:spacing w:after="0" w:line="99"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The space stations and ground networks we use to provide our broadband services rely on access to spectrum within each country in which we do business. Use of such spectrum is authorized by regulatory authorities within each country (or a regional authority whose jurisdiction over spectrum rights encompasses that country), which determine the terms and conditions for access to and use of that spectrum in that particular country. The terms and conditions for access can and do vary by country, may differ from the ITU’s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ind w:right="60" w:firstLine="509"/>
        <w:spacing w:after="0" w:line="238" w:lineRule="auto"/>
        <w:rPr>
          <w:sz w:val="20"/>
          <w:szCs w:val="20"/>
          <w:color w:val="auto"/>
        </w:rPr>
      </w:pPr>
      <w:r>
        <w:rPr>
          <w:rFonts w:ascii="Arial" w:cs="Arial" w:eastAsia="Arial" w:hAnsi="Arial"/>
          <w:sz w:val="18"/>
          <w:szCs w:val="18"/>
          <w:color w:val="auto"/>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Broadband Services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provide high-speed broadband internet access and VoIP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99" w:lineRule="exact"/>
        <w:rPr>
          <w:sz w:val="20"/>
          <w:szCs w:val="20"/>
          <w:color w:val="auto"/>
        </w:rPr>
      </w:pPr>
    </w:p>
    <w:p>
      <w:pPr>
        <w:ind w:right="340" w:firstLine="509"/>
        <w:spacing w:after="0" w:line="238"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13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 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130"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 spacecraft to be used to serve the United States. The FCC has authorized the use of the ViaSat-1, ViaSat-2, WildBlue-1, Anik F2 and one ViaSat-3 class spacecraft to serve the United States. The use of these spacecraft in our business is subject to various conditions in the underlying authorizations, as well as the technical and operational requirements of the FCC’s rules and regulations.</w:t>
      </w:r>
    </w:p>
    <w:p>
      <w:pPr>
        <w:spacing w:after="0" w:line="127"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i w:val="1"/>
          <w:iCs w:val="1"/>
          <w:color w:val="auto"/>
        </w:rPr>
        <w:t xml:space="preserve">Universal Service and other Broadband Subsidies. </w:t>
      </w:r>
      <w:r>
        <w:rPr>
          <w:rFonts w:ascii="Arial" w:cs="Arial" w:eastAsia="Arial" w:hAnsi="Arial"/>
          <w:sz w:val="18"/>
          <w:szCs w:val="18"/>
          <w:color w:val="auto"/>
        </w:rPr>
        <w:t>Certain of our services may constitute the provision of telecommunications to, from</w:t>
      </w:r>
      <w:r>
        <w:rPr>
          <w:rFonts w:ascii="Arial" w:cs="Arial" w:eastAsia="Arial" w:hAnsi="Arial"/>
          <w:sz w:val="18"/>
          <w:szCs w:val="18"/>
          <w:i w:val="1"/>
          <w:iCs w:val="1"/>
          <w:color w:val="auto"/>
        </w:rPr>
        <w:t xml:space="preserve"> </w:t>
      </w:r>
      <w:r>
        <w:rPr>
          <w:rFonts w:ascii="Arial" w:cs="Arial" w:eastAsia="Arial" w:hAnsi="Arial"/>
          <w:sz w:val="18"/>
          <w:szCs w:val="18"/>
          <w:color w:val="auto"/>
        </w:rPr>
        <w:t>or within the United States, and may require us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23.8%.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are known as the Connect America Fund (CAF) and the Rural Digital Opportunity Fund (RDOF). In addition, under the new Broadband Equity, Access, and Deployment (BEAD) program, funding for broadband service is expected to be distributed by U.S. states and territories under the oversight and administration of the National Telecommunications and Information Administration (NTIA). Among other things, the CAF, RDOF and BEAD mechanisms provide, or will likely provide, support to terrestrial service providers under terms and conditions that are not available to satellite-based service providers. The CAF and RDOF mechanisms could provide other service providers a competitive advantage in providing broadband services in supported areas, which could have a material adverse effect on our business, financial condition and results of operations. Additionally, Viasat has been selected as the winning bidder with respect to $122.5 million in support under the CAF program to serve certain portions of the country, and must comply with federal and state obligations imposed in connection with such support.</w:t>
      </w:r>
    </w:p>
    <w:p>
      <w:pPr>
        <w:spacing w:after="0" w:line="135" w:lineRule="exact"/>
        <w:rPr>
          <w:sz w:val="20"/>
          <w:szCs w:val="20"/>
          <w:color w:val="auto"/>
        </w:rPr>
      </w:pPr>
    </w:p>
    <w:p>
      <w:pPr>
        <w:ind w:right="140" w:firstLine="509"/>
        <w:spacing w:after="0" w:line="250"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telecommunications providers and broadband internet access providers to ensure that law enforcement agencies are able to conduct lawfully-authorized surveillance of users of their services.</w:t>
      </w:r>
    </w:p>
    <w:p>
      <w:pPr>
        <w:spacing w:after="0" w:line="123" w:lineRule="exact"/>
        <w:rPr>
          <w:sz w:val="20"/>
          <w:szCs w:val="20"/>
          <w:color w:val="auto"/>
        </w:rPr>
      </w:pPr>
    </w:p>
    <w:p>
      <w:pPr>
        <w:ind w:right="260" w:firstLine="509"/>
        <w:spacing w:after="0" w:line="250" w:lineRule="auto"/>
        <w:rPr>
          <w:sz w:val="20"/>
          <w:szCs w:val="20"/>
          <w:color w:val="auto"/>
        </w:rPr>
      </w:pPr>
      <w:r>
        <w:rPr>
          <w:rFonts w:ascii="Arial" w:cs="Arial" w:eastAsia="Arial" w:hAnsi="Arial"/>
          <w:sz w:val="18"/>
          <w:szCs w:val="18"/>
          <w:i w:val="1"/>
          <w:iCs w:val="1"/>
          <w:color w:val="auto"/>
        </w:rPr>
        <w:t xml:space="preserve">Net Neutrality. </w:t>
      </w:r>
      <w:r>
        <w:rPr>
          <w:rFonts w:ascii="Arial" w:cs="Arial" w:eastAsia="Arial" w:hAnsi="Arial"/>
          <w:sz w:val="18"/>
          <w:szCs w:val="18"/>
          <w:color w:val="auto"/>
        </w:rPr>
        <w:t>In February 2015, the FCC adopted new rules intended to preserve the openness of the internet, a concept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“net neutrality” or “open internet.” The FCC’s “net neutrality” rules, among other things, prohibited all ISPs from: (i) blocking access to legal content, applications, services, or non-harmful devices (subject to an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ind w:right="20"/>
        <w:spacing w:after="0" w:line="238" w:lineRule="auto"/>
        <w:rPr>
          <w:sz w:val="20"/>
          <w:szCs w:val="20"/>
          <w:color w:val="auto"/>
        </w:rPr>
      </w:pPr>
      <w:r>
        <w:rPr>
          <w:rFonts w:ascii="Arial" w:cs="Arial" w:eastAsia="Arial" w:hAnsi="Arial"/>
          <w:sz w:val="18"/>
          <w:szCs w:val="18"/>
          <w:color w:val="auto"/>
        </w:rPr>
        <w:t>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p>
    <w:p>
      <w:pPr>
        <w:spacing w:after="0" w:line="14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Such common-carrier regulation potentially could have included review of the reasonableness of an ISP’s rates and practices.</w:t>
      </w:r>
    </w:p>
    <w:p>
      <w:pPr>
        <w:spacing w:after="0" w:line="14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was largely upheld by the D.C. Circuit, though it may be revisited by the FCC in the future. In addition, legislative proposals that would restore net neutrality requirements are being considered in Congress, and some states have recently adopted portions of the net neutrality requirements. Some legislative actions at the state level are being challenged in courts on federal preemption and other grounds. We cannot predict the outcome of these pending lawsuits or regulatory and legislative efforts, or any resulting impact on ISPs.</w:t>
      </w:r>
    </w:p>
    <w:p>
      <w:pPr>
        <w:spacing w:after="0" w:line="136"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i w:val="1"/>
          <w:iCs w:val="1"/>
          <w:color w:val="auto"/>
        </w:rPr>
        <w:t>Privacy and Data Security</w:t>
      </w:r>
      <w:r>
        <w:rPr>
          <w:rFonts w:ascii="Arial" w:cs="Arial" w:eastAsia="Arial" w:hAnsi="Arial"/>
          <w:sz w:val="18"/>
          <w:szCs w:val="18"/>
          <w:color w:val="auto"/>
        </w:rPr>
        <w:t>. We are subject to federal and state laws concerning the privacy of consumers and the security we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personal information. Certain of these laws provide privacy protections for certain types of personal information related to our voice services (referred to by such laws as customer proprietary network information). The Federal Trade Commission also oversees consumer privacy and data security more broadly through its authority to take enforcement action for unfair or deceptive practices, and state consumer protection laws can prompt review of privacy practices by state attorneys general. In addition, certain states have established specific consumer privacy and data security requirements, including the California Consumer Privacy Act (CCPA) and the California Privacy Rights Act that will amend the CCPA in January 2023, which combined give California residents, among other things, the right to receive certain disclosures regarding the collection, use, and disclosure of personal information, as well as rights to access, delete, and restrict the sale and sharing of certain personal information collected about them by us and our service providers. State laws continue to multiply and evolve, and as various states pass their own comprehensive privacy laws, we and our business customers and partners could be exposed to additional regulatory complexities and obligations. Many states also have enacted security breach notification laws requiring notice to consumers and government agencies upon disclosure of certain information to an unauthorized party resulting from a security breach; in addition, the SEC is considering enhanced requirements related to the reporting of material cybersecurity incidents.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spectrum access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p>
    <w:p>
      <w:pPr>
        <w:spacing w:after="0" w:line="149"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operates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0" w:name="page21"/>
    <w:bookmarkEnd w:id="20"/>
    <w:p>
      <w:pPr>
        <w:jc w:val="both"/>
        <w:ind w:right="80"/>
        <w:spacing w:after="0"/>
        <w:rPr>
          <w:sz w:val="20"/>
          <w:szCs w:val="20"/>
          <w:color w:val="auto"/>
        </w:rPr>
      </w:pPr>
      <w:r>
        <w:rPr>
          <w:rFonts w:ascii="Arial" w:cs="Arial" w:eastAsia="Arial" w:hAnsi="Arial"/>
          <w:sz w:val="18"/>
          <w:szCs w:val="18"/>
          <w:color w:val="auto"/>
        </w:rPr>
        <w:t>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35" w:lineRule="exact"/>
        <w:rPr>
          <w:sz w:val="20"/>
          <w:szCs w:val="20"/>
          <w:color w:val="auto"/>
        </w:rPr>
      </w:pPr>
    </w:p>
    <w:p>
      <w:pPr>
        <w:ind w:right="120" w:firstLine="509"/>
        <w:spacing w:after="0" w:line="223" w:lineRule="auto"/>
        <w:rPr>
          <w:sz w:val="20"/>
          <w:szCs w:val="20"/>
          <w:color w:val="auto"/>
        </w:rPr>
      </w:pPr>
      <w:r>
        <w:rPr>
          <w:rFonts w:ascii="Arial" w:cs="Arial" w:eastAsia="Arial" w:hAnsi="Arial"/>
          <w:sz w:val="18"/>
          <w:szCs w:val="18"/>
          <w:color w:val="auto"/>
        </w:rPr>
        <w:t>We are also subject to certain other forms of foreign regulation in connection with our provision of communications services. In the area of privacy, we are subject to existing, new, and evolving laws and regulations in the markets in which we operate. For instance, certain of our business units are subject to the European Union’s (EU) General Data Protection Regulation (GDPR), which imposes transparency, accountability, data protection, cross-border data transfer, and other obligations on Viasat both as a data controller and a data processor of the personal data of individuals in the EU. Privacy laws and regulations can be subject to differing interpretations and may be inconsistent among jurisdictions.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85" w:lineRule="exact"/>
        <w:rPr>
          <w:sz w:val="20"/>
          <w:szCs w:val="20"/>
          <w:color w:val="auto"/>
        </w:rPr>
      </w:pPr>
    </w:p>
    <w:p>
      <w:pPr>
        <w:ind w:firstLine="509"/>
        <w:spacing w:after="0" w:line="223" w:lineRule="auto"/>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21" w:lineRule="exact"/>
        <w:rPr>
          <w:sz w:val="20"/>
          <w:szCs w:val="20"/>
          <w:color w:val="auto"/>
        </w:rPr>
      </w:pPr>
    </w:p>
    <w:p>
      <w:pPr>
        <w:ind w:right="160" w:firstLine="509"/>
        <w:spacing w:after="0" w:line="226"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p>
    <w:p>
      <w:pPr>
        <w:spacing w:after="0" w:line="121" w:lineRule="exact"/>
        <w:rPr>
          <w:sz w:val="20"/>
          <w:szCs w:val="20"/>
          <w:color w:val="auto"/>
        </w:rPr>
      </w:pPr>
    </w:p>
    <w:p>
      <w:pPr>
        <w:ind w:right="160" w:firstLine="509"/>
        <w:spacing w:after="0" w:line="232"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and other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Aviation-Related Regulation</w:t>
      </w:r>
    </w:p>
    <w:p>
      <w:pPr>
        <w:spacing w:after="0" w:line="67" w:lineRule="exact"/>
        <w:rPr>
          <w:sz w:val="20"/>
          <w:szCs w:val="20"/>
          <w:color w:val="auto"/>
        </w:rPr>
      </w:pPr>
    </w:p>
    <w:p>
      <w:pPr>
        <w:ind w:right="80" w:firstLine="509"/>
        <w:spacing w:after="0" w:line="224" w:lineRule="auto"/>
        <w:rPr>
          <w:sz w:val="20"/>
          <w:szCs w:val="20"/>
          <w:color w:val="auto"/>
        </w:rPr>
      </w:pPr>
      <w:r>
        <w:rPr>
          <w:rFonts w:ascii="Arial" w:cs="Arial" w:eastAsia="Arial" w:hAnsi="Arial"/>
          <w:sz w:val="18"/>
          <w:szCs w:val="18"/>
          <w:i w:val="1"/>
          <w:iCs w:val="1"/>
          <w:color w:val="auto"/>
        </w:rPr>
        <w:t>Aircraft Modification</w:t>
      </w:r>
      <w:r>
        <w:rPr>
          <w:rFonts w:ascii="Arial" w:cs="Arial" w:eastAsia="Arial" w:hAnsi="Arial"/>
          <w:sz w:val="18"/>
          <w:szCs w:val="18"/>
          <w:color w:val="auto"/>
        </w:rPr>
        <w:t>. The Federal Aviation Administration (FAA) is responsible for the regulation and oversight of civil aviation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certification of our IFC and W-IFE equipment and (2) obtaining a Supplemental Type Certificate (STC) to enable the retrofit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Our commercial aviation business depends on our ability to interact with the FAA and ODAs, as well as FAA-certified engineering professionals, in order to access data and obtain authorizations and approvals.</w:t>
      </w:r>
    </w:p>
    <w:p>
      <w:pPr>
        <w:spacing w:after="0" w:line="120" w:lineRule="exact"/>
        <w:rPr>
          <w:sz w:val="20"/>
          <w:szCs w:val="20"/>
          <w:color w:val="auto"/>
        </w:rPr>
      </w:pPr>
    </w:p>
    <w:p>
      <w:pPr>
        <w:ind w:firstLine="509"/>
        <w:spacing w:after="0" w:line="229" w:lineRule="auto"/>
        <w:rPr>
          <w:sz w:val="20"/>
          <w:szCs w:val="20"/>
          <w:color w:val="auto"/>
        </w:rPr>
      </w:pPr>
      <w:r>
        <w:rPr>
          <w:rFonts w:ascii="Arial" w:cs="Arial" w:eastAsia="Arial" w:hAnsi="Arial"/>
          <w:sz w:val="18"/>
          <w:szCs w:val="18"/>
          <w:i w:val="1"/>
          <w:iCs w:val="1"/>
          <w:color w:val="auto"/>
        </w:rPr>
        <w:t>Parts Manufacturing Approval</w:t>
      </w:r>
      <w:r>
        <w:rPr>
          <w:rFonts w:ascii="Arial" w:cs="Arial" w:eastAsia="Arial" w:hAnsi="Arial"/>
          <w:sz w:val="18"/>
          <w:szCs w:val="18"/>
          <w:color w:val="auto"/>
        </w:rPr>
        <w:t>. We have a wide range of products supporting both commercial and business aviation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our entire fleet of current IFC and W-IFE product offerings due to multiple licensing agreements with both OEMs for linefit installations and ODAs for retrofit installations.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21" w:name="page22"/>
    <w:bookmarkEnd w:id="21"/>
    <w:p>
      <w:pPr>
        <w:ind w:right="20" w:firstLine="509"/>
        <w:spacing w:after="0" w:line="229" w:lineRule="auto"/>
        <w:rPr>
          <w:sz w:val="20"/>
          <w:szCs w:val="20"/>
          <w:color w:val="auto"/>
        </w:rPr>
      </w:pPr>
      <w:r>
        <w:rPr>
          <w:rFonts w:ascii="Arial" w:cs="Arial" w:eastAsia="Arial" w:hAnsi="Arial"/>
          <w:sz w:val="18"/>
          <w:szCs w:val="18"/>
          <w:i w:val="1"/>
          <w:iCs w:val="1"/>
          <w:color w:val="auto"/>
        </w:rPr>
        <w:t>FAA Part 145 Repair Stations</w:t>
      </w:r>
      <w:r>
        <w:rPr>
          <w:rFonts w:ascii="Arial" w:cs="Arial" w:eastAsia="Arial" w:hAnsi="Arial"/>
          <w:sz w:val="18"/>
          <w:szCs w:val="18"/>
          <w:color w:val="auto"/>
        </w:rPr>
        <w:t>. The FAA has approved several of our locations as 14 CFR Part 145 repair stations, which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85" w:lineRule="exact"/>
        <w:rPr>
          <w:sz w:val="20"/>
          <w:szCs w:val="20"/>
          <w:color w:val="auto"/>
        </w:rPr>
      </w:pPr>
    </w:p>
    <w:p>
      <w:pPr>
        <w:ind w:firstLine="509"/>
        <w:spacing w:after="0" w:line="221"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38" w:lineRule="exact"/>
        <w:rPr>
          <w:sz w:val="20"/>
          <w:szCs w:val="20"/>
          <w:color w:val="auto"/>
        </w:rPr>
      </w:pPr>
    </w:p>
    <w:p>
      <w:pPr>
        <w:ind w:right="20" w:firstLine="509"/>
        <w:spacing w:after="0" w:line="224" w:lineRule="auto"/>
        <w:rPr>
          <w:sz w:val="20"/>
          <w:szCs w:val="20"/>
          <w:color w:val="auto"/>
        </w:rPr>
      </w:pPr>
      <w:r>
        <w:rPr>
          <w:rFonts w:ascii="Arial" w:cs="Arial" w:eastAsia="Arial" w:hAnsi="Arial"/>
          <w:sz w:val="18"/>
          <w:szCs w:val="18"/>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5" w:lineRule="exact"/>
        <w:rPr>
          <w:sz w:val="20"/>
          <w:szCs w:val="20"/>
          <w:color w:val="auto"/>
        </w:rPr>
      </w:pPr>
    </w:p>
    <w:p>
      <w:pPr>
        <w:ind w:right="40" w:firstLine="509"/>
        <w:spacing w:after="0" w:line="224" w:lineRule="auto"/>
        <w:rPr>
          <w:sz w:val="20"/>
          <w:szCs w:val="20"/>
          <w:color w:val="auto"/>
        </w:rPr>
      </w:pPr>
      <w:r>
        <w:rPr>
          <w:rFonts w:ascii="Arial" w:cs="Arial" w:eastAsia="Arial" w:hAnsi="Arial"/>
          <w:sz w:val="18"/>
          <w:szCs w:val="18"/>
          <w:color w:val="auto"/>
        </w:rPr>
        <w:t>In our satellite services segment, historically subscriber activity for our fixed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and changes in credit check and subscriber approval processes. In addition, we typically see increased demand for our IFC services from airline passengers during peak holiday travel periods.</w:t>
      </w:r>
    </w:p>
    <w:p>
      <w:pPr>
        <w:spacing w:after="0" w:line="137" w:lineRule="exact"/>
        <w:rPr>
          <w:sz w:val="20"/>
          <w:szCs w:val="20"/>
          <w:color w:val="auto"/>
        </w:rPr>
      </w:pPr>
    </w:p>
    <w:p>
      <w:pPr>
        <w:jc w:val="both"/>
        <w:ind w:right="40" w:firstLine="509"/>
        <w:spacing w:after="0" w:line="229" w:lineRule="auto"/>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67" w:lineRule="exact"/>
        <w:rPr>
          <w:sz w:val="20"/>
          <w:szCs w:val="20"/>
          <w:color w:val="auto"/>
        </w:rPr>
      </w:pPr>
    </w:p>
    <w:p>
      <w:pPr>
        <w:ind w:right="60" w:firstLine="509"/>
        <w:spacing w:after="0" w:line="229"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38" w:lineRule="exact"/>
        <w:rPr>
          <w:sz w:val="20"/>
          <w:szCs w:val="20"/>
          <w:color w:val="auto"/>
        </w:rPr>
      </w:pPr>
    </w:p>
    <w:p>
      <w:pPr>
        <w:ind w:right="120" w:firstLine="509"/>
        <w:spacing w:after="0" w:line="224" w:lineRule="auto"/>
        <w:rPr>
          <w:sz w:val="20"/>
          <w:szCs w:val="20"/>
          <w:color w:val="auto"/>
        </w:rPr>
      </w:pPr>
      <w:r>
        <w:rPr>
          <w:rFonts w:ascii="Arial" w:cs="Arial" w:eastAsia="Arial" w:hAnsi="Arial"/>
          <w:sz w:val="18"/>
          <w:szCs w:val="18"/>
          <w:color w:val="auto"/>
        </w:rPr>
        <w:t>We webcast our earnings calls and post the materials used in meetings with members of the investment community on the Investor Relations section of our website. Additionally, we provide notifications of news or announcements regarding our financial performance, including SEC filings, investor events and press and earnings releases on the Investor Relations section of our website. We also use the Investor Relations section of our website as a means of disclosing material non-public information and for complying with our disclosure obligations under Regulation FD. Accordingly, investors should monitor the Investor Relations section of our website, in addition to following our press releases, SEC filings and public conference calls and webcasts. Information relating to our corporate governance,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22" w:name="page23"/>
    <w:bookmarkEnd w:id="22"/>
    <w:p>
      <w:pPr>
        <w:jc w:val="both"/>
        <w:spacing w:after="0" w:line="229" w:lineRule="auto"/>
        <w:rPr>
          <w:sz w:val="20"/>
          <w:szCs w:val="20"/>
          <w:color w:val="auto"/>
        </w:rPr>
      </w:pPr>
      <w:r>
        <w:rPr>
          <w:rFonts w:ascii="Arial" w:cs="Arial" w:eastAsia="Arial" w:hAnsi="Arial"/>
          <w:sz w:val="18"/>
          <w:szCs w:val="18"/>
          <w:color w:val="auto"/>
        </w:rPr>
        <w:t>including our certificate of incorporation, bylaws, corporate governance guidelines, board committee charters and guide to business conduct, is also included on the Investor Relations section of our website. The information contained on, or that may be accessed through, our website is neither incorporated by reference into nor made a part of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85"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As of March 31, 2022, we employed approximately 7,000 individuals worldwide, with 84% of our workforce located in the United States. We consistently engage with our employees and generally consider the relationships with our employees to be positive, with a significant majority stating that they are proud to work at Viasat. Competition for technical personnel in our industry is intense. We believe our future success depends in part on our continued ability to attract, hire, engage and retain qualified personnel.</w:t>
      </w:r>
    </w:p>
    <w:p>
      <w:pPr>
        <w:spacing w:after="0" w:line="14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Viasat has a long history of putting people first. We believe that one of the most important investments we make is in our people. Our mission to connect the world depends on our ability to come together as one team to make a positive impact. As a global team, we take pride in our culture of teamwork, trust and collaboration. We prioritize our employees’ health and well-being to ensure we are all able to do our best work. For example, in response to the COVID-19 pandemic, we quickly transitioned teams to a work-from-home model and equipped them with the resources to perform their jobs safely. For certain employees, whose roles needed to be performed onsite, we deployed a robust set of safety protocols aligned with then-current medical best practices and government mandates. We also introduced additional resources and benefits, including mental health and well-being resources and paid time off for COVID-19-related issues.</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key pillars of human capital management are ensuring the health and safety of our employees, developing talented people, fostering diversity and inclusion and engaging communities. We believe that our long-term success is in large part dependent on our success across these dimensions, and we will continue to invest in and prioritize these areas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22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60" w:type="dxa"/>
            <w:vAlign w:val="bottom"/>
          </w:tcPr>
          <w:p>
            <w:pPr>
              <w:spacing w:after="0"/>
              <w:rPr>
                <w:sz w:val="19"/>
                <w:szCs w:val="19"/>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820" w:type="dxa"/>
            <w:vAlign w:val="bottom"/>
          </w:tcPr>
          <w:p>
            <w:pPr>
              <w:ind w:left="20"/>
              <w:spacing w:after="0"/>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Richard Baldridge</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64</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&amp; Chief Executive Officer and Board Director</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Doug Abts</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48</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Strategic Planning and Corporate Development</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Robert Blair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48</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Girish Chandran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57</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Evan Dixon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41</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Global Fixed Broadband</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James Dodd</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60</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and President, Global Enterprise &amp; Mobility</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Shawn Duffy</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52</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Kevin Harkenrider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66</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Melinda Kimbro</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49</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People &amp; Culture and Chief People Officer</w:t>
            </w:r>
          </w:p>
        </w:tc>
      </w:tr>
      <w:tr>
        <w:trPr>
          <w:trHeight w:val="175"/>
        </w:trPr>
        <w:tc>
          <w:tcPr>
            <w:tcW w:w="2820" w:type="dxa"/>
            <w:vAlign w:val="bottom"/>
          </w:tcPr>
          <w:p>
            <w:pPr>
              <w:ind w:left="20"/>
              <w:spacing w:after="0" w:line="176" w:lineRule="exact"/>
              <w:rPr>
                <w:sz w:val="20"/>
                <w:szCs w:val="20"/>
                <w:color w:val="auto"/>
              </w:rPr>
            </w:pPr>
            <w:r>
              <w:rPr>
                <w:rFonts w:ascii="Arial" w:cs="Arial" w:eastAsia="Arial" w:hAnsi="Arial"/>
                <w:sz w:val="18"/>
                <w:szCs w:val="18"/>
                <w:color w:val="auto"/>
              </w:rPr>
              <w:t>Keven Lippert</w:t>
            </w:r>
          </w:p>
        </w:tc>
        <w:tc>
          <w:tcPr>
            <w:tcW w:w="980" w:type="dxa"/>
            <w:vAlign w:val="bottom"/>
            <w:gridSpan w:val="2"/>
          </w:tcPr>
          <w:p>
            <w:pPr>
              <w:jc w:val="center"/>
              <w:ind w:left="90"/>
              <w:spacing w:after="0" w:line="176" w:lineRule="exact"/>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Strategic Initiatives and Chief Commercial</w:t>
            </w:r>
          </w:p>
        </w:tc>
      </w:tr>
      <w:tr>
        <w:trPr>
          <w:trHeight w:val="203"/>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Officer</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Craig Miller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Government Systems</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Mark Miller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62</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and Chief Technical Officer</w:t>
            </w: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Krishna Nathan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60</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Information Officer</w:t>
            </w:r>
          </w:p>
        </w:tc>
      </w:tr>
      <w:tr>
        <w:trPr>
          <w:trHeight w:val="217"/>
        </w:trPr>
        <w:tc>
          <w:tcPr>
            <w:tcW w:w="2820" w:type="dxa"/>
            <w:vAlign w:val="bottom"/>
          </w:tcPr>
          <w:p>
            <w:pPr>
              <w:ind w:left="20"/>
              <w:spacing w:after="0"/>
              <w:rPr>
                <w:sz w:val="20"/>
                <w:szCs w:val="20"/>
                <w:color w:val="auto"/>
              </w:rPr>
            </w:pPr>
            <w:r>
              <w:rPr>
                <w:rFonts w:ascii="Arial" w:cs="Arial" w:eastAsia="Arial" w:hAnsi="Arial"/>
                <w:sz w:val="18"/>
                <w:szCs w:val="18"/>
                <w:color w:val="auto"/>
              </w:rPr>
              <w:t>David Ryan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67</w:t>
            </w:r>
          </w:p>
        </w:tc>
        <w:tc>
          <w:tcPr>
            <w:tcW w:w="1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and President, Space &amp; Commercial Networks</w:t>
            </w:r>
          </w:p>
        </w:tc>
      </w:tr>
    </w:tbl>
    <w:p>
      <w:pPr>
        <w:spacing w:after="0" w:line="18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i w:val="1"/>
          <w:iCs w:val="1"/>
          <w:color w:val="auto"/>
        </w:rPr>
        <w:t xml:space="preserve">Mark Dankberg </w:t>
      </w:r>
      <w:r>
        <w:rPr>
          <w:rFonts w:ascii="Arial" w:cs="Arial" w:eastAsia="Arial" w:hAnsi="Arial"/>
          <w:sz w:val="18"/>
          <w:szCs w:val="18"/>
          <w:color w:val="auto"/>
        </w:rPr>
        <w:t>is a founder of Viasat and has served as Executive Chairman since November 2020, and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and Chief Executive Officer of Viasat since its inception in May 1986. Mr. Dankberg provides Viasat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currently serves on the board of Lytx, Inc., a privately-held company that provides fleet 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ind w:right="40" w:firstLine="509"/>
        <w:spacing w:after="0" w:line="238" w:lineRule="auto"/>
        <w:rPr>
          <w:sz w:val="20"/>
          <w:szCs w:val="20"/>
          <w:color w:val="auto"/>
        </w:rPr>
      </w:pPr>
      <w:r>
        <w:rPr>
          <w:rFonts w:ascii="Arial" w:cs="Arial" w:eastAsia="Arial" w:hAnsi="Arial"/>
          <w:sz w:val="18"/>
          <w:szCs w:val="18"/>
          <w:i w:val="1"/>
          <w:iCs w:val="1"/>
          <w:color w:val="auto"/>
        </w:rPr>
        <w:t xml:space="preserve">Richard Baldridge </w:t>
      </w:r>
      <w:r>
        <w:rPr>
          <w:rFonts w:ascii="Arial" w:cs="Arial" w:eastAsia="Arial" w:hAnsi="Arial"/>
          <w:sz w:val="18"/>
          <w:szCs w:val="18"/>
          <w:color w:val="auto"/>
        </w:rPr>
        <w:t>joined Viasat in April 1999, serving as our Executive Vice President, Chief Financial Officer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2000 and as our Executive Vice President and Chief Operating Officer from 2002. Mr. Baldridge was appointed President and Chief Operating Officer in 2003 and assumed his current role of President and Chief Executive Officer in November 2020. Mr. Baldridge has also served on our Board of Directors since 2016.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3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i w:val="1"/>
          <w:iCs w:val="1"/>
          <w:color w:val="auto"/>
        </w:rPr>
        <w:t xml:space="preserve">Doug Abts </w:t>
      </w:r>
      <w:r>
        <w:rPr>
          <w:rFonts w:ascii="Arial" w:cs="Arial" w:eastAsia="Arial" w:hAnsi="Arial"/>
          <w:sz w:val="18"/>
          <w:szCs w:val="18"/>
          <w:color w:val="auto"/>
        </w:rPr>
        <w:t>joined Viasat in September 2015 as Vice President, Strategic Development for Broadband Services. From May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2021, Mr. Abts led Viasat’s Global Mobility business through a period of tremendous growth. He was appointed Senior Vice President of Strategic Planning and Corporate Development in December 2021. In this role, he is responsible for implementing Viasat's strategic vision through business performance planning, competitive environment review and prioritization of financial and non-financial resources around strategic investment opportunities. Mr. Abts has more than 25 years of experience in the areas of general management, finance, business development, operations, M&amp;A and strategic planning. From 2010 to 2015, he served on the management team of Bridgepoint Education as Executive Vice President, Strategy and Corporate Development. From 2003 to 2010, he operated in key management and business development roles at Science Applications International Corporation, as the company transitioned from employee ownership to being listed on the New York Stock Exchange. Mr. Abts also served with distinction as an Operations Officer and Platoon Commander in the U.S. Navy SEAL Teams from 1995 to 2001. He holds an M.B.A. degree from Harvard Business School and a B.A. degree in Economics and Communication from Stanford University.</w:t>
      </w:r>
    </w:p>
    <w:p>
      <w:pPr>
        <w:spacing w:after="0" w:line="13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i w:val="1"/>
          <w:iCs w:val="1"/>
          <w:color w:val="auto"/>
        </w:rPr>
        <w:t xml:space="preserve">Robert Blair </w:t>
      </w:r>
      <w:r>
        <w:rPr>
          <w:rFonts w:ascii="Arial" w:cs="Arial" w:eastAsia="Arial" w:hAnsi="Arial"/>
          <w:sz w:val="18"/>
          <w:szCs w:val="18"/>
          <w:color w:val="auto"/>
        </w:rPr>
        <w:t>joined Viasat in May 2008 as Assistant General Counsel. In April 2009, Mr. Blair was appointed Associate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in 2014 was appointed Vice President and Deputy General Counsel. In May 2017, Mr. Blair served as Vice President, General Counsel and Secretary beginning in May 2017 and assumed his current position as Senior Vice President, General Counsel and Secretary in December 2021.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30"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 xml:space="preserve">Girish Chandran </w:t>
      </w:r>
      <w:r>
        <w:rPr>
          <w:rFonts w:ascii="Arial" w:cs="Arial" w:eastAsia="Arial" w:hAnsi="Arial"/>
          <w:sz w:val="18"/>
          <w:szCs w:val="18"/>
          <w:color w:val="auto"/>
        </w:rPr>
        <w:t>joined Viasat in October 2007 as a Principal Engineer. In September 2013, Mr. Chandran was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 Commercial Networks. In May 2017, he assumed his current position as Vice President and Chief Technical Officer.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3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Evan Dixon </w:t>
      </w:r>
      <w:r>
        <w:rPr>
          <w:rFonts w:ascii="Arial" w:cs="Arial" w:eastAsia="Arial" w:hAnsi="Arial"/>
          <w:sz w:val="18"/>
          <w:szCs w:val="18"/>
          <w:color w:val="auto"/>
        </w:rPr>
        <w:t>joined Viasat in 2015 and served as Deputy CEO and Chief Marketing Officer of Euro Broadband Infrastructure Sàrl</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at that time 49% owned by Viasat). In March 2018, he was appointed Vice President and General Manager of Viasat Europe, and in March 2020, he was appointed President, Global Fixed Broadband. Mr. Dixon previously held senior management positions at DIRECTV, a satellite television company, and AT&amp;T Inc., a telecommunications company. Mr. Dixon holds a B.S. degree in Business Administration from the University of Colorado and an M.B.A. degree from Pepperdine University.</w:t>
      </w:r>
    </w:p>
    <w:p>
      <w:pPr>
        <w:spacing w:after="0" w:line="1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 xml:space="preserve">James Dodd </w:t>
      </w:r>
      <w:r>
        <w:rPr>
          <w:rFonts w:ascii="Arial" w:cs="Arial" w:eastAsia="Arial" w:hAnsi="Arial"/>
          <w:sz w:val="18"/>
          <w:szCs w:val="18"/>
          <w:color w:val="auto"/>
        </w:rPr>
        <w:t>joined Viasat in March 2020 as President, Global Mobile Solutions. In December 2020, he assumed his current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President, Global Enterprise &amp; Mobility. Prior to joining Viasat, Mr. Dodd held a number of senior-level aviation management and engineering roles at Boeing, focused on complex Department of Defense and international contracted programs, overseeing strategic planning, execution, engineering and business development. Mr. Dodd was retired from October 2016 to February 2020, and at Boeing served as Vice President and Program Manager – Mobility, Surveillance and Engagement from 2015 to September 2016, Vice President and Program Manager – Weapons and Missile Systems from 2013 to 2014, and Vice President and Program Manager – Phantom Works, Advanced Boeing Military Aircraft from 2011 to 2012. Mr. Dodd earned an M.B.A. degree from Seattle University and a B.S. degree in Physics from Arkansas State University.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ind w:right="180" w:firstLine="509"/>
        <w:spacing w:after="0" w:line="228"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16" w:lineRule="exact"/>
        <w:rPr>
          <w:sz w:val="20"/>
          <w:szCs w:val="20"/>
          <w:color w:val="auto"/>
        </w:rPr>
      </w:pPr>
    </w:p>
    <w:p>
      <w:pPr>
        <w:ind w:right="60" w:firstLine="509"/>
        <w:spacing w:after="0" w:line="223"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2007 until December 2009, served as Vice President of Viasat and Chief Operating Officer of Viasat Communications Inc. from December 2009 to April 2011, as Senior Vice President — Infrastructure Operations from April 2011 to May 2012, as Senior Vice President — Broadband Services from May 2012 to May 2015, as Senior Vice President — Commercial Networks from May 2015 to May 2018, as Senior Vice President and President, Broadband Systems from May 2018 until March 2020, and as Executive Vice President – Global Operations and Chief Operations Officer from March 2020 until November 2021. Mr. Harkenrider assumed his current position as Executive Vice President and Chief Operating Officer in November 2021.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22"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i w:val="1"/>
          <w:iCs w:val="1"/>
          <w:color w:val="auto"/>
        </w:rPr>
        <w:t xml:space="preserve">Melinda Kimbro </w:t>
      </w:r>
      <w:r>
        <w:rPr>
          <w:rFonts w:ascii="Arial" w:cs="Arial" w:eastAsia="Arial" w:hAnsi="Arial"/>
          <w:sz w:val="18"/>
          <w:szCs w:val="18"/>
          <w:color w:val="auto"/>
        </w:rPr>
        <w:t>joined Viasat in 2001 as Manager of Learning and Development. In 2003 she began to assume a broader role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organization. In 2008 she was appointed Director of Human Resources and in 2011 was appointed Vice President — Human Resources. In April 2016, she assumed the position of Senior Vice President — Human Resources, which was retitled Senior Vice President — People &amp; Culture in April 2017. In May 2018, she was also named Chief People Officer. Ms. Kimbro currently serves on the board of trustees at the San Diego Museum of Art. Ms. Kimbro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Kimbro holds B.A. and M.A. degrees in Communication from San Diego State University.</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7"/>
          <w:szCs w:val="17"/>
          <w:i w:val="1"/>
          <w:iCs w:val="1"/>
          <w:color w:val="auto"/>
        </w:rPr>
        <w:t xml:space="preserve">Keven Lippert </w:t>
      </w:r>
      <w:r>
        <w:rPr>
          <w:rFonts w:ascii="Arial" w:cs="Arial" w:eastAsia="Arial" w:hAnsi="Arial"/>
          <w:sz w:val="17"/>
          <w:szCs w:val="17"/>
          <w:color w:val="auto"/>
        </w:rPr>
        <w:t>joined Viasat in May 2000 as Associate General Counsel and Assistant Secretary. In April 2007, he was appointed</w:t>
      </w:r>
      <w:r>
        <w:rPr>
          <w:rFonts w:ascii="Arial" w:cs="Arial" w:eastAsia="Arial" w:hAnsi="Arial"/>
          <w:sz w:val="17"/>
          <w:szCs w:val="17"/>
          <w:i w:val="1"/>
          <w:iCs w:val="1"/>
          <w:color w:val="auto"/>
        </w:rPr>
        <w:t xml:space="preserve"> </w:t>
      </w:r>
      <w:r>
        <w:rPr>
          <w:rFonts w:ascii="Arial" w:cs="Arial" w:eastAsia="Arial" w:hAnsi="Arial"/>
          <w:sz w:val="17"/>
          <w:szCs w:val="17"/>
          <w:color w:val="auto"/>
        </w:rPr>
        <w:t>Viasat’s Vice President, General Counsel and Secretary, in 2012 he was appointed Senior Vice President — General Counsel and Secretary, and in June 2014 he was appointed Executive Vice President — General Counsel and Secretary. In May 2017, he was appointed President, Broadband Services and Chief Legal Officer, and in May 2018, he was appointed Executive Vice President, Corporate Development and Chief Administrative Officer. Effective September 2018, he assumed his current position as Executive Vice President, Strategic Initiatives and Chief Commercial Officer.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17" w:lineRule="exact"/>
        <w:rPr>
          <w:sz w:val="20"/>
          <w:szCs w:val="20"/>
          <w:color w:val="auto"/>
        </w:rPr>
      </w:pPr>
    </w:p>
    <w:p>
      <w:pPr>
        <w:ind w:right="300" w:firstLine="509"/>
        <w:spacing w:after="0" w:line="236" w:lineRule="auto"/>
        <w:rPr>
          <w:sz w:val="20"/>
          <w:szCs w:val="20"/>
          <w:color w:val="auto"/>
        </w:rPr>
      </w:pPr>
      <w:r>
        <w:rPr>
          <w:rFonts w:ascii="Arial" w:cs="Arial" w:eastAsia="Arial" w:hAnsi="Arial"/>
          <w:sz w:val="18"/>
          <w:szCs w:val="18"/>
          <w:i w:val="1"/>
          <w:iCs w:val="1"/>
          <w:color w:val="auto"/>
        </w:rPr>
        <w:t xml:space="preserve">Craig Miller </w:t>
      </w:r>
      <w:r>
        <w:rPr>
          <w:rFonts w:ascii="Arial" w:cs="Arial" w:eastAsia="Arial" w:hAnsi="Arial"/>
          <w:sz w:val="18"/>
          <w:szCs w:val="18"/>
          <w:color w:val="auto"/>
        </w:rPr>
        <w:t>joined Viasat in 1995 and has held numerous technology, business and strategic leadership roles. In January 2015, Mr.</w:t>
      </w:r>
      <w:r>
        <w:rPr>
          <w:rFonts w:ascii="Arial" w:cs="Arial" w:eastAsia="Arial" w:hAnsi="Arial"/>
          <w:sz w:val="18"/>
          <w:szCs w:val="18"/>
          <w:i w:val="1"/>
          <w:iCs w:val="1"/>
          <w:color w:val="auto"/>
        </w:rPr>
        <w:t xml:space="preserve"> </w:t>
      </w:r>
      <w:r>
        <w:rPr>
          <w:rFonts w:ascii="Arial" w:cs="Arial" w:eastAsia="Arial" w:hAnsi="Arial"/>
          <w:sz w:val="18"/>
          <w:szCs w:val="18"/>
          <w:color w:val="auto"/>
        </w:rPr>
        <w:t>Miller was appointed Chief Technology Officer, Government Systems, and in May 2021, he was promoted to President, Government Systems. Mr. Miller holds a B.S. degree in Electrical Engineering from the University of Arizona.</w:t>
      </w:r>
    </w:p>
    <w:p>
      <w:pPr>
        <w:spacing w:after="0" w:line="118" w:lineRule="exact"/>
        <w:rPr>
          <w:sz w:val="20"/>
          <w:szCs w:val="20"/>
          <w:color w:val="auto"/>
        </w:rPr>
      </w:pPr>
    </w:p>
    <w:p>
      <w:pPr>
        <w:ind w:firstLine="509"/>
        <w:spacing w:after="0" w:line="232"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18" w:lineRule="exact"/>
        <w:rPr>
          <w:sz w:val="20"/>
          <w:szCs w:val="20"/>
          <w:color w:val="auto"/>
        </w:rPr>
      </w:pPr>
    </w:p>
    <w:p>
      <w:pPr>
        <w:ind w:right="80" w:firstLine="509"/>
        <w:spacing w:after="0" w:line="232" w:lineRule="auto"/>
        <w:rPr>
          <w:sz w:val="20"/>
          <w:szCs w:val="20"/>
          <w:color w:val="auto"/>
        </w:rPr>
      </w:pPr>
      <w:r>
        <w:rPr>
          <w:rFonts w:ascii="Arial" w:cs="Arial" w:eastAsia="Arial" w:hAnsi="Arial"/>
          <w:sz w:val="18"/>
          <w:szCs w:val="18"/>
          <w:i w:val="1"/>
          <w:iCs w:val="1"/>
          <w:color w:val="auto"/>
        </w:rPr>
        <w:t xml:space="preserve">Krishna Nathan </w:t>
      </w:r>
      <w:r>
        <w:rPr>
          <w:rFonts w:ascii="Arial" w:cs="Arial" w:eastAsia="Arial" w:hAnsi="Arial"/>
          <w:sz w:val="18"/>
          <w:szCs w:val="18"/>
          <w:color w:val="auto"/>
        </w:rPr>
        <w:t>joined Viasat in September 2019 as its Chief Information Officer. Mr. Nathan previously held senior leadership roles at</w:t>
      </w:r>
      <w:r>
        <w:rPr>
          <w:rFonts w:ascii="Arial" w:cs="Arial" w:eastAsia="Arial" w:hAnsi="Arial"/>
          <w:sz w:val="18"/>
          <w:szCs w:val="18"/>
          <w:i w:val="1"/>
          <w:iCs w:val="1"/>
          <w:color w:val="auto"/>
        </w:rPr>
        <w:t xml:space="preserve"> </w:t>
      </w:r>
      <w:r>
        <w:rPr>
          <w:rFonts w:ascii="Arial" w:cs="Arial" w:eastAsia="Arial" w:hAnsi="Arial"/>
          <w:sz w:val="18"/>
          <w:szCs w:val="18"/>
          <w:color w:val="auto"/>
        </w:rPr>
        <w:t>S&amp;P Global, a financial information and analytics company, and IBM, a technology company. Mr. Nathan holds a B.S. degree in Electrical Engineering from George Washington University, an M.S. degree in Electrical Engineering from M.I.T. and a Ph.D. degree in Engineering from Brown University.</w:t>
      </w:r>
    </w:p>
    <w:p>
      <w:pPr>
        <w:spacing w:after="0" w:line="118" w:lineRule="exact"/>
        <w:rPr>
          <w:sz w:val="20"/>
          <w:szCs w:val="20"/>
          <w:color w:val="auto"/>
        </w:rPr>
      </w:pPr>
    </w:p>
    <w:p>
      <w:pPr>
        <w:ind w:right="60" w:firstLine="509"/>
        <w:spacing w:after="0" w:line="229" w:lineRule="auto"/>
        <w:rPr>
          <w:sz w:val="20"/>
          <w:szCs w:val="20"/>
          <w:color w:val="auto"/>
        </w:rPr>
      </w:pPr>
      <w:r>
        <w:rPr>
          <w:rFonts w:ascii="Arial" w:cs="Arial" w:eastAsia="Arial" w:hAnsi="Arial"/>
          <w:sz w:val="18"/>
          <w:szCs w:val="18"/>
          <w:i w:val="1"/>
          <w:iCs w:val="1"/>
          <w:color w:val="auto"/>
        </w:rPr>
        <w:t xml:space="preserve">David Ryan </w:t>
      </w:r>
      <w:r>
        <w:rPr>
          <w:rFonts w:ascii="Arial" w:cs="Arial" w:eastAsia="Arial" w:hAnsi="Arial"/>
          <w:sz w:val="18"/>
          <w:szCs w:val="18"/>
          <w:color w:val="auto"/>
        </w:rPr>
        <w:t>joined Viasat in May 2016 as Vice President — Intelligence Programs, was appointed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Space Systems in March 2018, and was appointed Senior Vice President and President, Space &amp; Commercial Networks in March 2019. Prior to joining Viasat, Mr. Ryan held several roles at Northrop Grumman Corporation from 2005 to 2014, including Sector Vice President and General Manager of the Intelligence Systems Division. He also served in various roles at Boeing from 1990 to 2005, including President of Boeing Space Systems International. Mr. Ryan earned a B.S.E.E and an M.E.E degree from Rice University.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 and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Factors that cause our quarter-to-quarter operating results to be unpredictable include the status of satellite-related activities (including the construction, launch and bringing into service of satellites and the associated levels of investment); impact of any construction or launch delays, operational or launch failures or other disruptions to our satellites; timing, quantity and mix of products and services sold; unpredictability or length of procurement processes; timing of customer payments; cost overruns; and impact of one-time charges. Any of the foregoing factors, or any other factors discussed elsewhere herein, could have a material adverse effect on our business, financial condition and results of operations that could adversely affect our stock price.</w:t>
      </w:r>
    </w:p>
    <w:p>
      <w:pPr>
        <w:spacing w:after="0" w:line="208"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4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Satellites utilize highly complex technology, operate in the harsh environment of space and are subject to significant operational risks while in orbit. These risks include malfunctions (commonly referred to as anomalies), such as malfunctions in the deployment of subsystems and/or components, interference from electrostatic storms, and collisions with meteoroids, decommissioned spacecraft or other space debris. Anomalies can occur as a result of various factors, including satellite manufacturer error, problems with the power or control sub-system of a satellite or general failures caused by the harsh space environment. Our satellites have experienced various anomalies in the past and we will likely experience anomalies in the future. Any single anomaly or other operational failure or degradation on the satellites we use could have a material adverse effect on our business, financial condition and results of operations. Anomalies may also reduce the expected useful life of a satellite, thereby creating additional expense due to the need to provide replacement or backup capacity, which may not be available on reasonable economic terms, a reasonable schedule or at all. In addition, anomalies may cause a reduction of the revenues generated by the applicable satellite or the recognition of an impairment loss, and could lead to claims from third parties for damages. Finally, anomalies may adversely affect our ability to insure our satellites at commercially reasonable premiums or terms, if at all. While some anomalies are covered by insurance policies, others may not be covered or may be subject to large deductibles. 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9"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Our ability to earn revenues from our satellite services depends on the continued operation of the satellites we own and operate or use. Each satellite has a limited useful life, referred to as its design life. There can be no assurance as to the actual operational life of a satellite, which may be shorter than its design life. A number of factors affect the useful lives of the satellites, including the quality of design and construction, durability of component parts and back-up units, the ability to continue to maintain proper orbit and control over the satellite’s functions, the efficiency of the launch vehicle used, consumption of on-board fuel, degradation and durability of solar panels, the actual space environment experienced and the occurrence of anomalies or other in-orbit risks affecting the satellite. In addition, continued improvements in satellite technology may make satellites obsolete prior to the end of their operational life.</w:t>
      </w:r>
    </w:p>
    <w:p>
      <w:pPr>
        <w:spacing w:after="0" w:line="20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color w:val="auto"/>
        </w:rPr>
        <w:t>New or Proposed Satellites Are Subject to Significant Risks Related to Construction and Launch that Could Limit Our Ability to Utilize these Satellites</w:t>
      </w:r>
    </w:p>
    <w:p>
      <w:pPr>
        <w:spacing w:after="0" w:line="4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Satellite construction and launch are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Unlike our ViaSat-1 and ViaSat-2 satellites,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line="235" w:lineRule="auto"/>
        <w:rPr>
          <w:sz w:val="20"/>
          <w:szCs w:val="20"/>
          <w:color w:val="auto"/>
        </w:rPr>
      </w:pPr>
      <w:r>
        <w:rPr>
          <w:rFonts w:ascii="Arial" w:cs="Arial" w:eastAsia="Arial" w:hAnsi="Arial"/>
          <w:sz w:val="18"/>
          <w:szCs w:val="18"/>
          <w:color w:val="auto"/>
        </w:rPr>
        <w:t>which were constructed in their entirety by the satellite manufacturer, we are constructing the payload for our ViaSat-3 class satellites ourselves at our own facilities, with Boeing then integrating the completed payload into the satellite bus at their facilities. The technologies in our satellite designs are also very complex, and there can be no assurance that the technologies will work as we expect or that we will realize any or all of their anticipated benefits. We have in the past identified construction-related issues in our satellites. For example, our ViaSat-2 satellite experienced an antenna deployment issue which reduced its output capabilities. We have also experienced delays in satellite construction and launch, such as the delay in launching our ViaSat-2 satellite caused by civil unrest in French Guiana (the location of the satellite launch) and the construction delays in our ViaSat-3 satellites caused by the COVID-19 pandemic.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launch failure may result in significant delays because of the need both to construct a replacement satellite and to obtain other launch opportunities. The overall historical loss rate in the satellite industry for all launches of commercial satellites in fixed orbits in the last five years is estimated by some industry participants to be approximately 1% but could at any time be higher. Launch vehicles may also under perform, in which case the satellite may still be able to be placed into service by using its onboard propulsion systems to reach the desired orbital location, but this would cause a reduction in its useful life. Moreover, even if launch is successful, there can be no assurance that the satellite will successfully reach its geostationary orbital slot and pass in-orbit testing prior to transfer of control of the satellite to us. The failure to implement our satellite deployment plan on schedule could have a material adverse effect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may not be able to obtain or renew pre-launch, launch or in-orbit insurance for our satellites on reasonable economic terms or at all. A failure to obtain or renew our satellite insurance may also result in a default under our debt instruments. In addition, the occurrence of anomalies on other satellites, or failures of a satellite using similar components or failures of a similar launch vehicle to any launch vehicle we intend to use, may materially adversely affect our ability to insure our satellites at commercially reasonable premiums or terms, if at all.</w:t>
      </w:r>
    </w:p>
    <w:p>
      <w:pPr>
        <w:spacing w:after="0" w:line="151"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policies covering our insured satellites will not cover the full cost of constructing and launching or replacing a satellite nor fully cover our losses in the event of a satellite failure or significant degradation. Moreover, such policies do not cover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and may contain exclusions for past satellite anomalies. Further, any insurance proceeds may not be received on a timely basis in order to launch a replacement satellite or take other remedial measures. In addition, the policies are subject to limitations involving uninsured losses, large satellite performance deductibles and policy limits.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segments. See “Business–Competition” in Part I, Item 1 of this report for a discussion of the competitive environment in each of our segments. 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211"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The Global Business Environment and Economic Conditions Could Negatively Affect Our Business, Financial Condition and Results of Operations</w:t>
      </w:r>
    </w:p>
    <w:p>
      <w:pPr>
        <w:spacing w:after="0" w:line="4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customer base in our satellite services segment by reducing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line="236" w:lineRule="auto"/>
        <w:rPr>
          <w:sz w:val="20"/>
          <w:szCs w:val="20"/>
          <w:color w:val="auto"/>
        </w:rPr>
      </w:pPr>
      <w:r>
        <w:rPr>
          <w:rFonts w:ascii="Arial" w:cs="Arial" w:eastAsia="Arial" w:hAnsi="Arial"/>
          <w:sz w:val="18"/>
          <w:szCs w:val="18"/>
          <w:color w:val="auto"/>
        </w:rPr>
        <w:t>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For example, the business and financial condition of our commercial airline customers were materially impacted during the COVID-19 pandemic by the severe decline in global air travel. In addition, natural disasters, political instability, civil unrest, terrorist activity, acts of war, and public health issues such as the COVID-19 pandemic or epidemics could disrupt supplies and raise prices globally which, in turn, may have adverse effects on the world and U.S. economies. Any of these factors could result in reduced demand for, and pricing pressure on, our products and services, which could reduce our revenues and adversely affect our business, financial condition and results of operations.</w:t>
      </w:r>
    </w:p>
    <w:p>
      <w:pPr>
        <w:spacing w:after="0" w:line="151"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Acquisitions such as the Inmarsat Transaction, Joint Ventures and Other Strategic Alliances May Have an Adverse Effect on Our Business; We May Fail to Realize the Anticipated Benefits of such Transactions</w:t>
      </w:r>
    </w:p>
    <w:p>
      <w:pPr>
        <w:spacing w:after="0" w:line="4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For example, during 2021 we announced the Inmarsat Transaction and closed the acquisitions of RigNet and EBI. Risks and uncertainties relating to the these transactions and any other acquisitions, joint ventures and other strategic alliances we may undertake include:</w:t>
      </w:r>
    </w:p>
    <w:p>
      <w:pPr>
        <w:spacing w:after="0" w:line="70" w:lineRule="exact"/>
        <w:rPr>
          <w:sz w:val="20"/>
          <w:szCs w:val="20"/>
          <w:color w:val="auto"/>
        </w:rPr>
      </w:pPr>
    </w:p>
    <w:p>
      <w:pPr>
        <w:ind w:left="1020" w:right="6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difficulty in combining, integrating and managing newly acquired businesses or any businesses of a joint venture or strategic alliance in an efficient and effective manner;</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challenges in achieving the objectives, cost savings, synergies and other benefits expected from such transactions;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diverting resources and the attention of senior management from the operations of our business;</w:t>
      </w:r>
    </w:p>
    <w:p>
      <w:pPr>
        <w:spacing w:after="0" w:line="76" w:lineRule="exact"/>
        <w:rPr>
          <w:rFonts w:ascii="Arial" w:cs="Arial" w:eastAsia="Arial" w:hAnsi="Arial"/>
          <w:sz w:val="18"/>
          <w:szCs w:val="18"/>
          <w:color w:val="auto"/>
        </w:rPr>
      </w:pPr>
    </w:p>
    <w:p>
      <w:pPr>
        <w:ind w:left="1020" w:right="4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demands on management related to integration efforts or the increase in the size and scope of our company following an acquisition or to the complexities of a joint venture or strategic alliance, including challenges of coordinating geographically dispersed organizations and addressing differences in corporate cultures or management philosophies;</w:t>
      </w:r>
    </w:p>
    <w:p>
      <w:pPr>
        <w:spacing w:after="0" w:line="67" w:lineRule="exact"/>
        <w:rPr>
          <w:rFonts w:ascii="Arial" w:cs="Arial" w:eastAsia="Arial" w:hAnsi="Arial"/>
          <w:sz w:val="18"/>
          <w:szCs w:val="18"/>
          <w:color w:val="auto"/>
        </w:rPr>
      </w:pPr>
    </w:p>
    <w:p>
      <w:pPr>
        <w:ind w:left="1020" w:right="72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w:t>
      </w:r>
    </w:p>
    <w:p>
      <w:pPr>
        <w:spacing w:after="0" w:line="61" w:lineRule="exact"/>
        <w:rPr>
          <w:rFonts w:ascii="Arial" w:cs="Arial" w:eastAsia="Arial" w:hAnsi="Arial"/>
          <w:sz w:val="18"/>
          <w:szCs w:val="18"/>
          <w:color w:val="auto"/>
        </w:rPr>
      </w:pPr>
    </w:p>
    <w:p>
      <w:pPr>
        <w:ind w:left="1020" w:right="14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 or the failure of a joint venture partner to satisfy its obligations or its bankruptcy or malfeasance;</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w:t>
      </w:r>
    </w:p>
    <w:p>
      <w:pPr>
        <w:spacing w:after="0" w:line="76" w:lineRule="exact"/>
        <w:rPr>
          <w:rFonts w:ascii="Arial" w:cs="Arial" w:eastAsia="Arial" w:hAnsi="Arial"/>
          <w:sz w:val="18"/>
          <w:szCs w:val="18"/>
          <w:color w:val="auto"/>
        </w:rPr>
      </w:pPr>
    </w:p>
    <w:p>
      <w:pPr>
        <w:ind w:left="1020" w:right="380" w:hanging="503"/>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(including corporate, administrative, information technology, marketing and distribution functions), technologies, infrastructure, and product and service offerings of the acquired business, joint venture or strategic alliance, or in the harmonization of standards, controls (including internal accounting controls), procedures and policies;</w:t>
      </w:r>
    </w:p>
    <w:p>
      <w:pPr>
        <w:spacing w:after="0" w:line="69"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funding requirements of the acquired business, joint venture or combined company may be significantly greater than anticipated;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of disputes concerning indemnities and other obligations that could result in substantial costs.</w:t>
      </w:r>
    </w:p>
    <w:p>
      <w:pPr>
        <w:spacing w:after="0" w:line="158"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may not achieve the anticipated growth, cost savings or other benefits from the Inmarsat Transaction or any other transaction we may undertake without adversely affecting current revenues and investments in future growth. Moreover, the anticipated growth, cost savings, synergies and other benefits of the Inmarsat Transaction or any other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line="236" w:lineRule="auto"/>
        <w:rPr>
          <w:sz w:val="20"/>
          <w:szCs w:val="20"/>
          <w:color w:val="auto"/>
        </w:rPr>
      </w:pPr>
      <w:r>
        <w:rPr>
          <w:rFonts w:ascii="Arial" w:cs="Arial" w:eastAsia="Arial" w:hAnsi="Arial"/>
          <w:sz w:val="18"/>
          <w:szCs w:val="18"/>
          <w:color w:val="auto"/>
        </w:rPr>
        <w:t>transaction we may undertake may not be realized fully, or at all, or may take longer to realize than expected. Additionally, we may inherit legal, regulatory, and other risks of the acquired business, whether known or unknown to us, which may be material to the combined company. Moreover, uncertainty about the effect of a pending transaction such as the Inmarsat Transaction on employees, suppliers and customers may have an adverse effect on us and/or the acquired business, which uncertainties may impair our or its ability to attract, retain and motivate key personnel, and could cause our or its customers, suppliers and distributors to seek to change existing business relationships with either of us. In addition, in connection with acquisitions, joint ventures or strategic alliances, we may incur debt, issue equity securities, assume contingent liabilities or have amortization expenses and write-downs of acquired assets, which could cause our earnings per share to decline. In addition, companies such as Inmarsat that are private companies at the time of acquisition are not subject to reporting requirements and may not have accounting personnel specifically employed to review internal controls over financial reporting and other procedures or to ensure compliance with the requirements of the Sarbanes-Oxley Act of 2002. Bringing the legacy systems for these businesses into compliance with those requirements and integrating them into our compliance and accounting systems may cause us to incur substantial additional expense, make some activities more difficult, time-consuming or costly and increase demand on our systems and resources.</w:t>
      </w:r>
    </w:p>
    <w:p>
      <w:pPr>
        <w:spacing w:after="0" w:line="14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may not be able to successfully integrate the businesses, products, technologies or personnel that we might acquire in the future, and any strategic investments we make may not meet our financial or other investment objectives. Any failure to do so could seriously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government systems segment revenues typically represent a significant percentage of our total revenues, including close to half of our total revenues in prior years, and are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70" w:lineRule="exact"/>
        <w:rPr>
          <w:sz w:val="20"/>
          <w:szCs w:val="20"/>
          <w:color w:val="auto"/>
        </w:rPr>
      </w:pPr>
    </w:p>
    <w:p>
      <w:pPr>
        <w:ind w:left="1020" w:right="44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76"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defense expenditures and contract adjustments;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76"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61" w:lineRule="exact"/>
        <w:rPr>
          <w:rFonts w:ascii="Arial" w:cs="Arial" w:eastAsia="Arial" w:hAnsi="Arial"/>
          <w:sz w:val="18"/>
          <w:szCs w:val="18"/>
          <w:color w:val="auto"/>
        </w:rPr>
      </w:pPr>
    </w:p>
    <w:p>
      <w:pPr>
        <w:ind w:left="1020" w:right="78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profit is limited to a specified amount;</w:t>
      </w:r>
    </w:p>
    <w:p>
      <w:pPr>
        <w:spacing w:after="0" w:line="76"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deliverables by the customer and contract close-out procedures, including government approval of final indirect rates;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76" w:lineRule="exact"/>
        <w:rPr>
          <w:rFonts w:ascii="Arial" w:cs="Arial" w:eastAsia="Arial" w:hAnsi="Arial"/>
          <w:sz w:val="18"/>
          <w:szCs w:val="18"/>
          <w:color w:val="auto"/>
        </w:rPr>
      </w:pPr>
    </w:p>
    <w:p>
      <w:pPr>
        <w:ind w:left="1020" w:right="48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43" w:lineRule="exact"/>
        <w:rPr>
          <w:sz w:val="20"/>
          <w:szCs w:val="20"/>
          <w:color w:val="auto"/>
        </w:rPr>
      </w:pPr>
    </w:p>
    <w:p>
      <w:pPr>
        <w:ind w:right="340" w:firstLine="509"/>
        <w:spacing w:after="0" w:line="238"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ind w:firstLine="509"/>
        <w:spacing w:after="0" w:line="238"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2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numerous factors, including our ability to: continue to develop market-leading satellite technologies (including high-capacity Ka-band satellites and associated ground networks); continue to increase satellite capacity, bandwidth cost-efficiencies and service quality; develop and introduce competitive products, services and technologies with innovative features that differentiate our offerings from those of our competitors; successfully integrate our complex technologies and system architectures; and implement manufacturing and assembly processes and cost reduction efforts.</w:t>
      </w:r>
    </w:p>
    <w:p>
      <w:pPr>
        <w:spacing w:after="0" w:line="15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our offerings will achieve market acceptance. Many of these risks are amplified in new and emerging markets where we do not currently operate or have limited operations, but which present opportunities for international expansion following the launch of our ViaSat-3 global constellation. The time from conception through satellite launch for a new satellite design may be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which could increase costs and divert our attention and resources from other projects. We cannot be sure that our efforts and expenditures will ultimately lead to the timely development of new offerings and technologies. In addition, defects may be found in our products after we begin deliveries that could degrade service quality, or result in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5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21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0" w:name="page31"/>
    <w:bookmarkEnd w:id="30"/>
    <w:p>
      <w:pPr>
        <w:spacing w:after="0" w:line="236" w:lineRule="auto"/>
        <w:rPr>
          <w:sz w:val="20"/>
          <w:szCs w:val="20"/>
          <w:color w:val="auto"/>
        </w:rPr>
      </w:pPr>
      <w:r>
        <w:rPr>
          <w:rFonts w:ascii="Arial" w:cs="Arial" w:eastAsia="Arial" w:hAnsi="Arial"/>
          <w:sz w:val="18"/>
          <w:szCs w:val="18"/>
          <w:color w:val="auto"/>
        </w:rPr>
        <w:t>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defects of products used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21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Our Reputation and Business Could Be Materially Harmed as a Result of Data Breaches, Data Theft, Unauthorized Access or Hacking</w:t>
      </w:r>
    </w:p>
    <w:p>
      <w:pPr>
        <w:spacing w:after="0" w:line="4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Our success depends, in part, on the secure and uninterrupted performance of our information technology systems. These systems may be subject to damage or interruption from, among other things, earthquakes, adverse weather conditions, other natural disasters, terrorist attacks, rogue employees, power loss, telecommunications failures and cybersecurity risks.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Additionally, outside parties may attempt to induce employees or users to disclose sensitive or confidential information in order to gain access to data. If unauthorized parties gain access to our information technology systems, they may be able to misappropriate assets or sensitive information (such as personal information of our customers, business partners and employees), cause interruption in our operations, corrupt our data or computers, or otherwise damage our reputation and business. In such circumstances, we could be held liable to our customers or other parties, or be subject to regulatory or other actions for breaching privacy rules. On February 24, 2022, a cyberattack involving our KA-SAT network resulted in a partial interruption of consumer-oriented fixed broadband services provided through our KA-SAT satellite, affecting thousands of fixed broadband customers in Europe and North Africa. Based on our comprehensive investigation efforts to date, there is no evidence that any end-user data was accessed, nor is there any evidence that the KA-SAT satellite itself or its supporting satellite ground infrastructure was directly involved, impaired or compromised. Any compromise of our security could result in a loss of confidence in our security measures, and subject us to litigation, civil or criminal penalties, and negative publicity that could adversely affect our financial condition and results of operations. We could also suffer other negative consequences, including significant remediation costs, significant increased cybersecurity protection costs, loss of material revenues resulting from attacks on our satellites or technology, and the unauthorized use of proprietary information or the failure to retain or attract customers following an attack.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20% of our total revenues in fiscal year 2022.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 and We May Experience Losses from Fixed-Price Contracts</w:t>
      </w:r>
    </w:p>
    <w:p>
      <w:pPr>
        <w:spacing w:after="0" w:line="4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23% of our total revenues for fiscal year 2022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31" w:name="page32"/>
    <w:bookmarkEnd w:id="31"/>
    <w:p>
      <w:pPr>
        <w:ind w:right="660"/>
        <w:spacing w:after="0" w:line="246" w:lineRule="auto"/>
        <w:rPr>
          <w:sz w:val="20"/>
          <w:szCs w:val="20"/>
          <w:color w:val="auto"/>
        </w:rPr>
      </w:pPr>
      <w:r>
        <w:rPr>
          <w:rFonts w:ascii="Arial" w:cs="Arial" w:eastAsia="Arial" w:hAnsi="Arial"/>
          <w:sz w:val="18"/>
          <w:szCs w:val="18"/>
          <w:color w:val="auto"/>
        </w:rPr>
        <w:t>to any such contract will not terminate the contract or seek damages from us. If other parties elect to terminate their contracts or seek damages from us, it could materially harm our business and impair the value of our common stock.</w:t>
      </w:r>
    </w:p>
    <w:p>
      <w:pPr>
        <w:spacing w:after="0" w:line="14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 substantial majority of revenues in our government systems and commercial networks segments are derived from contracts with fixed prices.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20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51"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Moreover, an outbreak of a pandemic such as the COVID-19 pandemic and associated quarantines, closures and travel restrictions or other major event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9"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Executive Chairman, Mark Dankberg, and our Chief Executive Officer, Richard Baldridge,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to attract and retain such employees, or experience difficulties in performing under our contracts if our needs for such employees were unmet.</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Because We Conduct Business Internationally, We Face Additional Risks, including Risks Related to Global Political and Economic Conditions, Changes in Regulation and Currency Fluctuations</w:t>
      </w:r>
    </w:p>
    <w:p>
      <w:pPr>
        <w:spacing w:after="0" w:line="41" w:lineRule="exact"/>
        <w:rPr>
          <w:sz w:val="20"/>
          <w:szCs w:val="20"/>
          <w:color w:val="auto"/>
        </w:rPr>
      </w:pPr>
    </w:p>
    <w:p>
      <w:pPr>
        <w:ind w:right="160" w:firstLine="509"/>
        <w:spacing w:after="0" w:line="235" w:lineRule="auto"/>
        <w:rPr>
          <w:sz w:val="20"/>
          <w:szCs w:val="20"/>
          <w:color w:val="auto"/>
        </w:rPr>
      </w:pPr>
      <w:r>
        <w:rPr>
          <w:rFonts w:ascii="Arial" w:cs="Arial" w:eastAsia="Arial" w:hAnsi="Arial"/>
          <w:sz w:val="18"/>
          <w:szCs w:val="18"/>
          <w:color w:val="auto"/>
        </w:rPr>
        <w:t>Approximately 15% of our total revenues in fiscal year 2022 were derived from international sales. Following the completion of the Inmarsat Transaction, we expect that a significantly greater percentage of our business and sales will be conducted internationally. Conducting business internationally involves additional risks, including unexpected changes in laws, policies and regulatory requirements (including regulations related to import-export control); increased cost of localizing systems in foreign countries; increased sales and marketing and R&amp;D expenses; availability of suitable export financing; timing and availability of export licenses; imposition of taxes, tariffs, embargoes and other trade barriers; political and economic instability, including as a result of the United Kingdom’s “Brexit” withdrawal from the EU; issues related to the political relationship between the United States and other countries; fluctuations in currency exchange rates (including their effect on sales denominated in foreign currencies), foreign exchange controls and restrictions on cash repatriation; compliance with international laws and U.S. laws affecting the activities of U.S. companies abroad; challenges in staffing and managing foreign operations; difficulties in managing distributors; requirements for additional liquidity to fund our international operations; ineffective legal protection of our intellectual property rights in certain countries; potentially adverse tax consequences; potential difficulty in making adequate payment arrangements; and potential difficulty in collecting accounts receivable. In addition, some of our customer purchase agreements are governed by foreign laws, which may differ significantly from U.S. laws and we may be limited in our ability to enforce our rights under these agreements and to collect damages, if awarded. As a result of these and other risks, we may be unsuccessful in implementing our business plan for our business internationally, or we may not be able to achieve the revenues that we expect. If we are unable to address any of the risks described above, it could materially harm our business and impair the value of our common stock.</w:t>
      </w:r>
    </w:p>
    <w:p>
      <w:pPr>
        <w:spacing w:after="0" w:line="159"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Due to the global nature of our operations, we are subject to the complex and varying tax laws and rules of many countries and have material tax-related contingent liabilities that are difficult to predict or quantify. We are also subject to tax audits, including with respect to transfer pricing, in the United States and other jurisdictions and our tax positions may be challenged by tax authorities. There can be no assurance that our current tax provisions will be settled for the amounts accrued, that additional tax exposures will not be identified in the future or that additional tax reserves will not be necessary for any such exposures. Any increase in the amount of taxation incurred as a result of challenges to our tax filing positions could result in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are a party to various lawsuits and claims in the normal course of our business. Moreover, acquisitions like the Inmarsat Transaction are frequently subject to litigation or other legal proceedings, including actions alleging that our board of directors breached their fiduciary duties to our stockholders by entering into the Purchase Agreement. Litigation can be expensive, lengthy and disruptive to normal business operations, including through the possible diversion of company resources or distraction of key personnel. Moreover, the results of complex legal proceedings are difficult to predict. An unfavorable resolution of a particular lawsuit, as well as the costs and efforts of a defense even if successful,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From time to time, we raise capital from equity financings and file universal shelf registration statements with the SEC for the future sale of an unlimited amount of common stock, preferred stock, warrants, rights, and other securities. For example, during fiscal year 2017 we sold 7.5 million shares of our common stock in an underwritten public offering, and during fiscal year 2021 we sold 4.5 million shares of our common stock to certain accredited investors in a private placement transaction exempt from registration under the Securities Act of 1933, as amended.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ind w:right="20" w:firstLine="509"/>
        <w:spacing w:after="0" w:line="236" w:lineRule="auto"/>
        <w:rPr>
          <w:sz w:val="20"/>
          <w:szCs w:val="20"/>
          <w:color w:val="auto"/>
        </w:rPr>
      </w:pPr>
      <w:r>
        <w:rPr>
          <w:rFonts w:ascii="Arial" w:cs="Arial" w:eastAsia="Arial" w:hAnsi="Arial"/>
          <w:sz w:val="18"/>
          <w:szCs w:val="18"/>
          <w:color w:val="auto"/>
        </w:rPr>
        <w:t>We may also issue additional shares of common stock to finance future acquisitions. For example, we have agreed to issue 46.36 million unregistered shares of our common stock as consideration in the Inmarsat Transaction, and during fiscal year 2022 we issued 4.0 million shares of our common stock as consideration for the acquisition of RigNet. Additionally, a substantial number of shares of our common stock are available for future sale pursuant to stock options, warrants or issuance pursuant to our 1996 Equity Participation Plan of ViaSat, Inc. and the ViaSat, Inc. Employee Stock Purchase Plan. Future issuances of shares may be dilutive to existing stockholders.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market price of our common stock has been volatile in the past. For example, between April 1, 2019 and March 31, 2022, the market price of our common stock ranged from $97.31 to $25.10 (the low price occurred during the fourth quarter of fiscal year 2020, during a period when the COVID-19 pandemic drove significant volatility and dislocation in the stock market generally). Trading prices may continue to fluctuate in response to a number of events and factors, including quarterly variations in operating results (or operating results falling below the expectations of analysts and investors), significant announcements by us or our competitors (including with respect to technological innovations, satellite construction and launch activities, acquisitions and other material transactions), regulatory developments, or changes in market conditions in our industry or the economy as a whole. 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believe that we are likely to have sufficient taxable income in the future to fully realize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adversely affect our results of operations and tangible net worth in the period in which it is recorded.</w:t>
      </w:r>
    </w:p>
    <w:p>
      <w:pPr>
        <w:spacing w:after="0" w:line="14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rolling three-year period. The determination of whether an ownership change has occurred for purposes of Section 382 of the Code is complex and requires significant judgment. Moreover, the number of shares of our common stock outstanding at any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ind w:right="120"/>
        <w:spacing w:after="0" w:line="271"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 permit the board of directors to increase its own size and fill the resulting vacancies, provide for a board comprised of three classes of directors with each serving a staggered three-year term, authorize the issuance of blank check preferred stock in one or more series, and prohibit stockholder action by written consent.</w:t>
      </w:r>
    </w:p>
    <w:p>
      <w:pPr>
        <w:spacing w:after="0" w:line="14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the Indentures, if certain “change of control” events occur, each holder of Notes may require us to repurchase all of such holder’s Notes at a purchase price equal to 101% of the principal amount of such Notes. Additionally, our Credit Facilities provide for an event of default upon the occurrence of certain specified “change of control”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151"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or extended could result in loss of the authorization. While we anticipate that these authorizations will be extended or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52"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The use of spacecraft in our business is subject to various conditions in the underlying authorizations held by us and third parties, as well as the requirements of the laws and 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Changes in the Regulatory Environment Could Have a Material Adverse Impact on Our Competitive Position, Growth and Financial Performance</w:t>
      </w:r>
    </w:p>
    <w:p>
      <w:pPr>
        <w:spacing w:after="0" w:line="4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ability to operate satellites at specific orbital locations in space, the licensing of earth stations and other radio transmitters, the provision of communications services, and the design, manufacture and marketing of communications systems and networking infrastructure. The space stations and ground network we use to provide our broadband services operate using some spectrum that is regulated for use on a primary basis for certain types of the satellite services we provide, some spectrum that is regulated for use on a shared basis with terrestrial wireless services,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5" w:name="page36"/>
    <w:bookmarkEnd w:id="35"/>
    <w:p>
      <w:pPr>
        <w:ind w:right="20" w:firstLine="509"/>
        <w:spacing w:after="0" w:line="238" w:lineRule="auto"/>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w:t>
      </w:r>
    </w:p>
    <w:p>
      <w:pPr>
        <w:spacing w:after="0" w:line="14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Changes in laws or regulations, including changes in the way spectrum is regulated and/or in regulations governing our products and services, changes in the way spectrum is made available to us, or is allowed to be used by others, or competing uses of spectrum or orbital locations, could, directly or indirectly, affect our operations or the operations of our distribution partners, increase the cost of providing our products and services and make our products and services less competitive.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p>
    <w:p>
      <w:pPr>
        <w:spacing w:after="0" w:line="14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21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Sanctions, Export Controls and Foreign Corrupt Practices, the Violation of Which Could Have a Material Adverse Impact on our Business</w:t>
      </w:r>
    </w:p>
    <w:p>
      <w:pPr>
        <w:spacing w:after="0" w:line="4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export and control laws and regulations applicable to us include the Arms Export Control Act, the International Traffic in Arms Regulations (ITAR), the Export Control Reform Act of 2018 (ECRA) and the Export Administration Regulations (EAR). The export of certain satellite hardware, software services and technical data relating to satellites is regulated by the U.S. Department of State under ITAR. Certain satellites and other items are controlled for export by the U.S. Department of Commerce under the EAR. In addition, we must comply with trade and economic sanctions laws and regulations, including those administered by the U.S. Department of the Treasury’s Office of Foreign Assets Control (OFAC). We cannot provide certain products and services to certain countries or persons subject to U.S. trade sanctions unless we first obtain the necessary authorizations from OFAC. We are also subject to the Foreign Corrupt Practices Act and the UK Bribery Act, which generally bar bribes to foreign governments or officials. Although we have in place policies for our respective employees, directors and officers, and we have clauses in our contracts with our distribution partners, resellers and other intermediaries, we cannot be certain that any such activities are not undertaken, and cannot guarantee that our policies and contracts will prevent situations occurring, including actions by distribution partners, resellers and other intermediaries, for which we may be held responsible.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Violations of any of these laws or regulations could also result in more onerous compliance requirements, more extensive debarments from export privileges or loss of authorizations needed to conduct aspects of our business, and could materially adversely affect our business, financial condition and results of operations. Moreover, any investigation of alleged violations of any such laws could have a material adverse impact on our reputation,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9"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6" w:name="page37"/>
    <w:bookmarkEnd w:id="36"/>
    <w:p>
      <w:pPr>
        <w:ind w:right="100"/>
        <w:spacing w:after="0" w:line="238" w:lineRule="auto"/>
        <w:rPr>
          <w:sz w:val="20"/>
          <w:szCs w:val="20"/>
          <w:color w:val="auto"/>
        </w:rPr>
      </w:pPr>
      <w:r>
        <w:rPr>
          <w:rFonts w:ascii="Arial" w:cs="Arial" w:eastAsia="Arial" w:hAnsi="Arial"/>
          <w:sz w:val="18"/>
          <w:szCs w:val="18"/>
          <w:color w:val="auto"/>
        </w:rPr>
        <w:t>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9"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Our success depends on our ability to protect our proprietary rights to the technologies we use in our products and services. We generally rely on a combination of patents, copyrights, trademarks and trade secret laws and contractual rights to protect our proprietary rights. We also enter into confidentiality agreements with our employees, consultants and corporate partners, and control access to and distribution of our proprietary information. Despite our efforts, unauthorized parties may attempt to copy or obtain and use our proprietary information.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Space Systems/Loral, Inc. and its former parent company Loral Space &amp; Communications, Inc. for patent infringement and breach of contract relating to the manufacture of ViaSat-1. If we are unsuccessful in any such litigation in the future, our rights to enforce such intellectual property may be impaired or we could lose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1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have a significant amount of indebtedness. As of March 31, 2022, the aggregate principal amount of our total outstanding indebtedness was $2.5 billion, which was comprised of $700.0 million in principal amount of 5.625% Senior Notes due 2025 (the 2025 Notes), $600.0 million in principal amount of 5.625% Senior Secured Notes due 2027 (the 2027 Notes), $400.0 million in principal amount of 6.500% Senior Notes due 2028 (the 2028 Notes), $700.0 million in outstanding borrowings under the Term Loan Facility, no outstanding borrowings under the Revolving Credit Facility, $78.6 million in principal amount of outstanding borrowings under the Ex-Im Credit Facility and $45.8 million of finance lease obligations. As of March 31, 2022, we had undrawn availability of $637.0 million under our Revolving Credit Facility.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7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76" w:lineRule="exact"/>
        <w:rPr>
          <w:rFonts w:ascii="Arial" w:cs="Arial" w:eastAsia="Arial" w:hAnsi="Arial"/>
          <w:sz w:val="18"/>
          <w:szCs w:val="18"/>
          <w:color w:val="auto"/>
        </w:rPr>
      </w:pPr>
    </w:p>
    <w:p>
      <w:pPr>
        <w:ind w:left="1020" w:right="520" w:hanging="503"/>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61" w:lineRule="exact"/>
        <w:rPr>
          <w:rFonts w:ascii="Arial" w:cs="Arial" w:eastAsia="Arial" w:hAnsi="Arial"/>
          <w:sz w:val="18"/>
          <w:szCs w:val="18"/>
          <w:color w:val="auto"/>
        </w:rPr>
      </w:pPr>
    </w:p>
    <w:p>
      <w:pPr>
        <w:ind w:left="1020" w:right="10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expose us to variable interest rate risk with respect to borrowings under our Term Loan Facility and Revolving Credit Facility;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5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4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may also incur significant additional indebtedness in the future, which may include financing relating to future satellites, potential acquisitions, joint ventures and strategic alliances, working capital, capital expenditures or general corporate purposes. For example, we currently expect to incur $1.3 billion of additional indebtedness under the financing commitments we obtained in connection with the Inmarsat Transaction. We also plan to assume $2.1 billion in principal amount of Inmarsat senior secured bonds and the outstanding indebtedness under Inmarsat’s $2.4 billion senior secured credit facilities. If our level of indebtedness increases significantly, the related risks that we now face would intensify.</w:t>
      </w:r>
    </w:p>
    <w:p>
      <w:pPr>
        <w:spacing w:after="0" w:line="210"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Fund Our Working Capital and Capital Expenditures or Refinance Our Indebtedness, and May Be Forced to Take Other Actions to Satisfy Our Obligations under Our Indebtedness, which May Not Be Successful</w:t>
      </w:r>
    </w:p>
    <w:p>
      <w:pPr>
        <w:spacing w:after="0" w:line="56"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economic, financial, business, competitive, legislative, regulatory and other factors beyond our control. We cannot assure you that our business will generate sufficient cash flow from operations, or that future borrowings, including under our Revolving Credit Facility, will be sufficient to enable us to pay our indebtedness, or to fund our other liquidity needs. In the event of satellite failure or loss, amounts recovered under satellite insurance policies may be insufficient to adequately service our debt obligations. Moreover, there can be no assurance that we will be able to refinance our debt obligations on commercially reasonable terms, or at all.</w:t>
      </w:r>
    </w:p>
    <w:p>
      <w:pPr>
        <w:spacing w:after="0" w:line="14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Indentures restrict our ability to dispose of assets and use the proceeds from the disposition, and may also restrict our ability to raise debt or equity capital to repay or service our indebtedness.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8" w:name="page39"/>
    <w:bookmarkEnd w:id="38"/>
    <w:p>
      <w:pPr>
        <w:ind w:right="200" w:firstLine="509"/>
        <w:spacing w:after="0" w:line="238" w:lineRule="auto"/>
        <w:rPr>
          <w:sz w:val="20"/>
          <w:szCs w:val="20"/>
          <w:color w:val="auto"/>
        </w:rPr>
      </w:pPr>
      <w:r>
        <w:rPr>
          <w:rFonts w:ascii="Arial" w:cs="Arial" w:eastAsia="Arial" w:hAnsi="Arial"/>
          <w:sz w:val="18"/>
          <w:szCs w:val="18"/>
          <w:color w:val="auto"/>
        </w:rPr>
        <w:t>If we cannot make scheduled payments on our debt, we will be in default and, as a result, the lenders under our Credit Facilities and the holders of the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Could Limit Our Ability to Implement Our Business Plan</w:t>
      </w:r>
    </w:p>
    <w:p>
      <w:pPr>
        <w:spacing w:after="0" w:line="99"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The Credit Facilities and the Indentures contain covenants that may restrict our ability to implement our business plan, borrow under our Credit Facilities or secure additional financing, respond to changing conditions, and engage in opportunistic transactions. The Credit Facilities and the Indentures include covenants restricting, among other things, our ability to incur indebtedness, issue redeemable or preferred stock, incur liens, sell or dispose of assets (including capital stock of subsidiaries), make loans and investments, pay dividends, enter into affiliate transactions, reduce our satellite insurance and consolidate or merge with or into, or sell substantially all of our assets to, another person.</w:t>
      </w:r>
    </w:p>
    <w:p>
      <w:pPr>
        <w:spacing w:after="0" w:line="151" w:lineRule="exact"/>
        <w:rPr>
          <w:sz w:val="20"/>
          <w:szCs w:val="20"/>
          <w:color w:val="auto"/>
        </w:rPr>
      </w:pPr>
    </w:p>
    <w:p>
      <w:pPr>
        <w:jc w:val="both"/>
        <w:ind w:right="220" w:firstLine="509"/>
        <w:spacing w:after="0" w:line="238" w:lineRule="auto"/>
        <w:rPr>
          <w:sz w:val="20"/>
          <w:szCs w:val="20"/>
          <w:color w:val="auto"/>
        </w:rPr>
      </w:pPr>
      <w:r>
        <w:rPr>
          <w:rFonts w:ascii="Arial" w:cs="Arial" w:eastAsia="Arial" w:hAnsi="Arial"/>
          <w:sz w:val="18"/>
          <w:szCs w:val="18"/>
          <w:color w:val="auto"/>
        </w:rPr>
        <w:t>In addition, our Credit Facilities require us to comply with certain financial covenants, including a maximum total leverage ratio and minimum interest coverage ratio. Our Term Loan Facility, Revolving Credit Facility and the 2027 Notes are equally and ratably secured by first-priority liens on substantially all of the assets of our company, including the stock of our significant subsidiaries, and the assets of any future subsidiary guarantors. Our Ex-Im Credit Facility is guaranteed by Viasat and is secured by first-priority liens on the ViaSat-2 satellite and related assets, as well as the stock of our foreign subsidiary that owns the ViaSat-2 satellite.</w:t>
      </w:r>
    </w:p>
    <w:p>
      <w:pPr>
        <w:spacing w:after="0" w:line="14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default under our Credit Facilities or the Indentures, all outstanding amounts thereunder could become immediately due and payable. In the past we violated covenants in our former revolving credit facilities and received waivers for these violations. We cannot assure you that we will be able to comply with covenants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Additional Risks Related to the Inmarsat Transaction</w:t>
      </w:r>
    </w:p>
    <w:p>
      <w:pPr>
        <w:spacing w:after="0" w:line="77"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color w:val="auto"/>
        </w:rPr>
        <w:t>The Inmarsat Transaction is Subject to Closing Conditions and May Not Be Completed, the Purchase Agreement May Be Terminated in Accordance with its Terms, and We May Be Required to Pay a Termination Fee Upon Termination</w:t>
      </w:r>
    </w:p>
    <w:p>
      <w:pPr>
        <w:spacing w:after="0" w:line="41"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The Inmarsat Transaction is subject to customary closing conditions that must be satisfied or waived prior to the completion of the Inmarsat Transaction, including receipt of regulatory approvals and clearances and approval by our stockholders of both the issuance of shares of our common stock in the Inmarsat Transaction and an amendment to our certificate of incorporation to increase the number of shares of our common stock authorized for issuance. Many of the closing conditions are not within our control. No assurance can be given that the required regulatory approvals and clearances and stockholder approvals will be obtained or that the required conditions to closing will be satisfied in a timely manner or at all. Any delay in completing the Inmarsat Transaction could cause the combined company not to realize, or to be delayed in realizing, some or all of the benefits that we expect to achieve if the Inmarsat Transaction is successfully completed within its expected time frame.</w:t>
      </w:r>
    </w:p>
    <w:p>
      <w:pPr>
        <w:spacing w:after="0" w:line="15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Additionally, either we or certain Sellers may terminate the Purchase Agreement under certain circumstances, including, among other reasons, if the Inmarsat Transaction is not completed by May 8, 2023 (subject to extension by six months at our option under certain circumstances). In addition, if the Purchase Agreement is terminated under specified circumstances, we may be obligated to pay a termination fee of either $150.0 million or $200.0 million or to reimburse certain out-of-pocket expenses of certain Sellers up to $40.0 million.</w:t>
      </w:r>
    </w:p>
    <w:p>
      <w:pPr>
        <w:spacing w:after="0" w:line="13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Moreover, if the Inmarsat Transaction is not completed for any reason, including because required regulatory approvals and clearances or our stockholder approvals are not obtained, our ongoing businesses may be adversely affected and, without realizing any of the expected benefits of having completed the Inmarsat Transaction, we would be subject to a number of risks, including the following:</w:t>
      </w:r>
    </w:p>
    <w:p>
      <w:pPr>
        <w:spacing w:after="0" w:line="5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63"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Inmarsat Transaction, such as financial advisory, legal, financing and accounting costs and associated fees and expenses, whether or not the Inmarsat Transaction is completed;</w:t>
      </w:r>
    </w:p>
    <w:p>
      <w:pPr>
        <w:spacing w:after="0" w:line="48" w:lineRule="exact"/>
        <w:rPr>
          <w:rFonts w:ascii="Arial" w:cs="Arial" w:eastAsia="Arial" w:hAnsi="Arial"/>
          <w:sz w:val="18"/>
          <w:szCs w:val="18"/>
          <w:color w:val="auto"/>
        </w:rPr>
      </w:pPr>
    </w:p>
    <w:p>
      <w:pPr>
        <w:ind w:left="1020" w:right="1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Agreement places certain restrictions on the conduct of our business prior to completion of the Inmarsat Transaction and such restrictions, the waiver of which are subject to the consent of certain of the Sellers, may have prevented us from taking actions during the pendency of the Inmarsat Transaction that would have been beneficial; and</w:t>
      </w:r>
    </w:p>
    <w:p>
      <w:pPr>
        <w:spacing w:after="0" w:line="67" w:lineRule="exact"/>
        <w:rPr>
          <w:rFonts w:ascii="Arial" w:cs="Arial" w:eastAsia="Arial" w:hAnsi="Arial"/>
          <w:sz w:val="18"/>
          <w:szCs w:val="18"/>
          <w:color w:val="auto"/>
        </w:rPr>
      </w:pPr>
    </w:p>
    <w:p>
      <w:pPr>
        <w:jc w:val="both"/>
        <w:ind w:left="1020" w:right="26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matters relating to the Inmarsat Transaction (including integration planning) will require substantial commitments of time and resources by management, which could otherwise have been devoted to day-to-day operations or to other opportunities that may have been beneficial to us as an independent company.</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40" w:name="page41"/>
    <w:bookmarkEnd w:id="40"/>
    <w:p>
      <w:pPr>
        <w:ind w:right="100"/>
        <w:spacing w:after="0" w:line="247" w:lineRule="auto"/>
        <w:rPr>
          <w:sz w:val="20"/>
          <w:szCs w:val="20"/>
          <w:color w:val="auto"/>
        </w:rPr>
      </w:pPr>
      <w:r>
        <w:rPr>
          <w:rFonts w:ascii="Arial" w:cs="Arial" w:eastAsia="Arial" w:hAnsi="Arial"/>
          <w:sz w:val="18"/>
          <w:szCs w:val="18"/>
          <w:b w:val="1"/>
          <w:bCs w:val="1"/>
          <w:color w:val="auto"/>
        </w:rPr>
        <w:t>We Must Obtain Certain Regulatory Approvals and Clearances to Consummate the Inmarsat Transaction, Which, If Delayed, Not Granted or Granted with Burdensome or Unacceptable Conditions, Could Prevent, Substantially Delay or Impair Consummation of the Inmarsat Transaction, Result in Additional Expenditures of Money and Resources or Reduce the Anticipated Benefits of the Inmarsat Transaction</w:t>
      </w:r>
    </w:p>
    <w:p>
      <w:pPr>
        <w:spacing w:after="0" w:line="6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 completion of the Inmarsat Transaction is subject to customary closing conditions, including receipt of regulatory approvals and clearances in various jurisdictions. 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Inmarsat Transaction.</w:t>
      </w:r>
    </w:p>
    <w:p>
      <w:pPr>
        <w:spacing w:after="0" w:line="14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Any conditions imposed in connection with regulatory approvals or clearances could jeopardize or delay the completion of the Inmarsat Transaction, have a material adverse effect on the combined company or reduce the anticipated benefits of the Inmarsat Transaction. There is no assurance that we and Inmarsat will obtain all required regulatory clearances or approvals on a timely or acceptable basis, or at all. Failure to obtain the necessary clearances and approvals in the United States or any other relevant jurisdictions could substantially delay or prevent the consummation of the Inmarsat Transaction, which could have a material adverse effect on us. Additionally, we may be required to pay a termination fee of $200.0 million if either we or certain Sellers terminate the Purchase Agreement due to the Inmarsat Transaction not being completed by the long-stop date and at the time of termination the regulatory conditions have not been satisfied.</w:t>
      </w:r>
    </w:p>
    <w:p>
      <w:pPr>
        <w:spacing w:after="0" w:line="22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While the Inmarsat Transaction is Pending, We Are Prohibited From Entering into Certain Transactions and Taking Certain Actions that Might Otherwise be Beneficial to Us and Our Stockholders</w:t>
      </w:r>
    </w:p>
    <w:p>
      <w:pPr>
        <w:spacing w:after="0" w:line="4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During the period between the date of the Purchase Agreement and completion of the Inmarsat Transaction, the Purchase Agreement restricts us from taking specified actions or from pursuing what might otherwise be attractive business opportunities or making other changes to our business, in each case without the consent of certain of the Sellers. These restrictions may prevent us from taking actions during the pendency of the Inmarsat Transaction that would have been beneficial.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Inmarsat Transaction Will Involve Substantial Costs</w:t>
      </w:r>
    </w:p>
    <w:p>
      <w:pPr>
        <w:spacing w:after="0" w:line="99" w:lineRule="exact"/>
        <w:rPr>
          <w:sz w:val="20"/>
          <w:szCs w:val="20"/>
          <w:color w:val="auto"/>
        </w:rPr>
      </w:pPr>
    </w:p>
    <w:p>
      <w:pPr>
        <w:ind w:right="200" w:firstLine="509"/>
        <w:spacing w:after="0" w:line="236" w:lineRule="auto"/>
        <w:rPr>
          <w:sz w:val="20"/>
          <w:szCs w:val="20"/>
          <w:color w:val="auto"/>
        </w:rPr>
      </w:pPr>
      <w:r>
        <w:rPr>
          <w:rFonts w:ascii="Arial" w:cs="Arial" w:eastAsia="Arial" w:hAnsi="Arial"/>
          <w:sz w:val="18"/>
          <w:szCs w:val="18"/>
          <w:color w:val="auto"/>
        </w:rPr>
        <w:t>We have incurred and expect to incur non-recurring costs associated with the Inmarsat Transaction and combining the operations of the two companies, as well as transaction fees and other costs related to the Inmarsat Transaction. In addition, the combined company will also incur significant restructuring and integration costs in connection with the Inmarsat Transaction. See Part II, Item 7, “Management’s Discussion and Analysis of Financial Condition and Results of Operations—Inmarsat Acquisition” for additional information. While we have assumed a certain level of expenses would be incurred to integrate the two companies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8"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Our worldwide headquarters are located at our Carlsbad, California campus. In addition to our Carlsbad campus, we have facilities, offices or earth stations located across the United States including our Tempe, Arizona facility, and across the globe. Although we believe that our existing facilities are suitable and adequate for our present purposes, we anticipate operating additional regional sales offices in fiscal year 2023 and beyond. Each of our segments uses each of these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41" w:lineRule="exact"/>
        <w:rPr>
          <w:sz w:val="20"/>
          <w:szCs w:val="20"/>
          <w:color w:val="auto"/>
        </w:rPr>
      </w:pPr>
    </w:p>
    <w:p>
      <w:pPr>
        <w:ind w:right="440" w:firstLine="509"/>
        <w:spacing w:after="0"/>
        <w:rPr>
          <w:sz w:val="20"/>
          <w:szCs w:val="20"/>
          <w:color w:val="auto"/>
        </w:rPr>
      </w:pPr>
      <w:r>
        <w:rPr>
          <w:rFonts w:ascii="Arial" w:cs="Arial" w:eastAsia="Arial" w:hAnsi="Arial"/>
          <w:sz w:val="18"/>
          <w:szCs w:val="18"/>
          <w:color w:val="auto"/>
        </w:rPr>
        <w:t>Our common stock is traded on the Nasdaq Global Select Market under the symbol “VSAT.” As of May 13, 2022, there were approximately 442 holders of record of our common stock. A substantially greater number of holders of Viasat common stock are “street name” or beneficial holders, whose shares are held of record by banks, brokers and other financial institutions.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right="1280"/>
        <w:spacing w:after="0" w:line="34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three segments: satellite services, commercial networks and government systems.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9"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Our satellite services segment uses our proprietary technology platform to provide satellite-based high -speed broadband services around the globe for use in commercial applications. Our proprietary Ka-band satellites are at the core of our technology platform. The primary services offered by our satellite services segment are comprised of:</w:t>
      </w:r>
    </w:p>
    <w:p>
      <w:pPr>
        <w:spacing w:after="0" w:line="68" w:lineRule="exact"/>
        <w:rPr>
          <w:sz w:val="20"/>
          <w:szCs w:val="20"/>
          <w:color w:val="auto"/>
        </w:rPr>
      </w:pPr>
    </w:p>
    <w:p>
      <w:pPr>
        <w:ind w:left="1020" w:right="20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VoIP services, primarily in the United States as well as in various countries in Europe and Latin America.</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w:t>
      </w:r>
    </w:p>
    <w:p>
      <w:pPr>
        <w:spacing w:after="0" w:line="76" w:lineRule="exact"/>
        <w:rPr>
          <w:rFonts w:ascii="Arial" w:cs="Arial" w:eastAsia="Arial" w:hAnsi="Arial"/>
          <w:sz w:val="18"/>
          <w:szCs w:val="18"/>
          <w:color w:val="auto"/>
        </w:rPr>
      </w:pPr>
    </w:p>
    <w:p>
      <w:pPr>
        <w:ind w:left="1020" w:right="100" w:hanging="503"/>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Prepaid Internet services, which offer innovative, affordable, satellite-based connectivity in communities that have little or no access to the internet. The services help foster digital inclusion by enabling millions of people to connect to affordable high-quality internet services via a centralized community hotspot connected to the internet via satellite. We provide Prepaid Internet services in multiple regions in Mexico and Brazil and are trialing services in advance of full service launch in various other countries in South America and Central America.</w:t>
      </w:r>
    </w:p>
    <w:p>
      <w:pPr>
        <w:spacing w:after="0" w:line="67" w:lineRule="exact"/>
        <w:rPr>
          <w:rFonts w:ascii="Arial" w:cs="Arial" w:eastAsia="Arial" w:hAnsi="Arial"/>
          <w:sz w:val="18"/>
          <w:szCs w:val="18"/>
          <w:color w:val="auto"/>
        </w:rPr>
      </w:pPr>
    </w:p>
    <w:p>
      <w:pPr>
        <w:ind w:left="1020" w:right="200" w:hanging="503"/>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51" w:lineRule="exact"/>
        <w:rPr>
          <w:rFonts w:ascii="Arial" w:cs="Arial" w:eastAsia="Arial" w:hAnsi="Arial"/>
          <w:sz w:val="18"/>
          <w:szCs w:val="18"/>
          <w:color w:val="auto"/>
        </w:rPr>
      </w:pPr>
    </w:p>
    <w:p>
      <w:pPr>
        <w:ind w:left="1020" w:right="700" w:hanging="503"/>
        <w:spacing w:after="0" w:line="26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Energy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which include ultra-secure solutions spanning global IP connectivity, bandwidth-optimized over-the-top applications, industrial Internet-of-Things big data enablement and industry-leading machine learning analytics.</w:t>
      </w:r>
    </w:p>
    <w:p>
      <w:pPr>
        <w:spacing w:after="0" w:line="12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assets and results of operations of our recent acquisitions, EBI and RigNet, are primarily included in our satellite services segment (with insignificant amounts included in our commercial networks segment).</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 MEO and LEO. The primary products, systems, solutions and services offered by our commercial networks segment are comprised of:</w:t>
      </w:r>
    </w:p>
    <w:p>
      <w:pPr>
        <w:spacing w:after="0" w:line="70"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76" w:lineRule="exact"/>
        <w:rPr>
          <w:rFonts w:ascii="Arial" w:cs="Arial" w:eastAsia="Arial" w:hAnsi="Arial"/>
          <w:sz w:val="18"/>
          <w:szCs w:val="18"/>
          <w:color w:val="auto"/>
        </w:rPr>
      </w:pPr>
    </w:p>
    <w:p>
      <w:pPr>
        <w:ind w:left="1020" w:right="70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61"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ind w:left="1020" w:right="74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61"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68" w:lineRule="exact"/>
        <w:rPr>
          <w:sz w:val="20"/>
          <w:szCs w:val="20"/>
          <w:color w:val="auto"/>
        </w:rPr>
      </w:pPr>
    </w:p>
    <w:p>
      <w:pPr>
        <w:ind w:left="1020" w:right="8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ISR missions.</w:t>
      </w:r>
    </w:p>
    <w:p>
      <w:pPr>
        <w:spacing w:after="0" w:line="67" w:lineRule="exact"/>
        <w:rPr>
          <w:rFonts w:ascii="Arial" w:cs="Arial" w:eastAsia="Arial" w:hAnsi="Arial"/>
          <w:sz w:val="18"/>
          <w:szCs w:val="18"/>
          <w:color w:val="auto"/>
        </w:rPr>
      </w:pPr>
    </w:p>
    <w:p>
      <w:pPr>
        <w:ind w:left="1020" w:right="4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UAVs, seagoing vessels, ground-mobile vehicles and fixed applications.</w:t>
      </w:r>
    </w:p>
    <w:p>
      <w:pPr>
        <w:spacing w:after="0" w:line="67" w:lineRule="exact"/>
        <w:rPr>
          <w:rFonts w:ascii="Arial" w:cs="Arial" w:eastAsia="Arial" w:hAnsi="Arial"/>
          <w:sz w:val="18"/>
          <w:szCs w:val="18"/>
          <w:color w:val="auto"/>
        </w:rPr>
      </w:pPr>
    </w:p>
    <w:p>
      <w:pPr>
        <w:ind w:left="1020" w:right="26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HAIPE-compliant encryption solutions that enable military and government users to communicate information securely over networks, and that protect the integrity of data stored on computers and storage devices.</w:t>
      </w:r>
    </w:p>
    <w:p>
      <w:pPr>
        <w:spacing w:after="0" w:line="67" w:lineRule="exact"/>
        <w:rPr>
          <w:rFonts w:ascii="Arial" w:cs="Arial" w:eastAsia="Arial" w:hAnsi="Arial"/>
          <w:sz w:val="18"/>
          <w:szCs w:val="18"/>
          <w:color w:val="auto"/>
        </w:rPr>
      </w:pPr>
    </w:p>
    <w:p>
      <w:pPr>
        <w:ind w:left="1020" w:right="640" w:hanging="503"/>
        <w:spacing w:after="0" w:line="274"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Tactical data links, including our BATS-D handheld Link 16 radios, our STT 2-channel radios for manned and unmanned applications, “disposable” defense data links, and our MIDS and MIDS-JTRS terminals for military fighter jets.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9" w:lineRule="exact"/>
        <w:rPr>
          <w:sz w:val="20"/>
          <w:szCs w:val="20"/>
          <w:color w:val="auto"/>
        </w:rPr>
      </w:pPr>
    </w:p>
    <w:p>
      <w:pPr>
        <w:ind w:right="760" w:firstLine="509"/>
        <w:spacing w:after="0" w:line="246" w:lineRule="auto"/>
        <w:rPr>
          <w:sz w:val="20"/>
          <w:szCs w:val="20"/>
          <w:color w:val="auto"/>
        </w:rPr>
      </w:pPr>
      <w:r>
        <w:rPr>
          <w:rFonts w:ascii="Arial" w:cs="Arial" w:eastAsia="Arial" w:hAnsi="Arial"/>
          <w:sz w:val="18"/>
          <w:szCs w:val="18"/>
          <w:color w:val="auto"/>
        </w:rPr>
        <w:t>We believe that the performance of our business and our results of operations in a given period are driven by various factors, including:</w:t>
      </w:r>
    </w:p>
    <w:p>
      <w:pPr>
        <w:spacing w:after="0" w:line="62" w:lineRule="exact"/>
        <w:rPr>
          <w:sz w:val="20"/>
          <w:szCs w:val="20"/>
          <w:color w:val="auto"/>
        </w:rPr>
      </w:pPr>
    </w:p>
    <w:p>
      <w:pPr>
        <w:ind w:left="1020" w:right="46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impact of acquisitions, including our acquisitions of RigNet and EBI in fiscal year 2022 and the Inmarsat Transaction, as well as the payment of transaction consideration and the incurrence of transaction and integration costs or additional indebtedness in connection therewith (see the discussion below under “Inmarsat Acquisition”);</w:t>
      </w:r>
    </w:p>
    <w:p>
      <w:pPr>
        <w:spacing w:after="0" w:line="67" w:lineRule="exact"/>
        <w:rPr>
          <w:rFonts w:ascii="Arial" w:cs="Arial" w:eastAsia="Arial" w:hAnsi="Arial"/>
          <w:sz w:val="18"/>
          <w:szCs w:val="18"/>
          <w:color w:val="auto"/>
        </w:rPr>
      </w:pPr>
    </w:p>
    <w:p>
      <w:pPr>
        <w:ind w:left="1020" w:right="80" w:hanging="50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and stage of our satellite design, construction and launch activities (as discussed further below), the associated level of investment required, the impact of any construction or launch delays or operational or launch failures, and the impact of bringing newly launched satellites into commercial service and associated ramp-up activities and costs (see the discussion below under “Satellite-Related Activities”);</w:t>
      </w:r>
    </w:p>
    <w:p>
      <w:pPr>
        <w:spacing w:after="0" w:line="6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available bandwidth ahead of the ViaSat-3 global constellation entering service;</w:t>
      </w:r>
    </w:p>
    <w:p>
      <w:pPr>
        <w:spacing w:after="0" w:line="76"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the health, capacity, control and level of service of our satellite fleet, or the existence or occurrence of any malfunctions or anomalies in or other disruptions to our satellites;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levels of our R&amp;D spending, including the effects of associated tax credits;</w:t>
      </w:r>
    </w:p>
    <w:p>
      <w:pPr>
        <w:spacing w:after="0" w:line="76" w:lineRule="exact"/>
        <w:rPr>
          <w:rFonts w:ascii="Arial" w:cs="Arial" w:eastAsia="Arial" w:hAnsi="Arial"/>
          <w:sz w:val="18"/>
          <w:szCs w:val="18"/>
          <w:color w:val="auto"/>
        </w:rPr>
      </w:pPr>
    </w:p>
    <w:p>
      <w:pPr>
        <w:ind w:left="1020" w:right="100" w:hanging="50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effects related to the timing of contract awards, the timing and availability of U.S. Government funding, and the timing of product deliveries and customer acceptance in our government systems segment, as well as subscriber activity for our fixed broadband services related to traditional retail selling periods and increased demand for IFC services from airline passengers during peak holiday travel periods in our satellite services segment;</w:t>
      </w:r>
    </w:p>
    <w:p>
      <w:pPr>
        <w:spacing w:after="0" w:line="69"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growth in worldwide demand for mobile and fixed broadband connectivity, including growth in number internet users, applications and connected devices;</w:t>
      </w:r>
    </w:p>
    <w:p>
      <w:pPr>
        <w:spacing w:after="0" w:line="61"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technological innovation and change in the industries in which we operate, and the introduction of new competing technologies, products and services by new and existing competitors;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marketing and pricing strategies of our competitors with respect to competing technologies, products and services;</w:t>
      </w:r>
    </w:p>
    <w:p>
      <w:pPr>
        <w:spacing w:after="0" w:line="76" w:lineRule="exact"/>
        <w:rPr>
          <w:rFonts w:ascii="Arial" w:cs="Arial" w:eastAsia="Arial" w:hAnsi="Arial"/>
          <w:sz w:val="18"/>
          <w:szCs w:val="18"/>
          <w:color w:val="auto"/>
        </w:rPr>
      </w:pPr>
    </w:p>
    <w:p>
      <w:pPr>
        <w:ind w:left="1020" w:right="54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implement (on a timely basis) our technology roadmap and the associated investments and costs, as well as market acceptance and the timing of availability of our new products and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45" w:name="page46"/>
    <w:bookmarkEnd w:id="45"/>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 in each of our segments;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uptake of our in-flight services by commercial airlines and number of aircraft retrofitted or installed with our IFC systems, and the rate of revenue growth in our IFC-related businesses in our satellite services and commercial networks segments resulting from the normalization of or growth in global air traffic;</w:t>
      </w:r>
    </w:p>
    <w:p>
      <w:pPr>
        <w:spacing w:after="0" w:line="67"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subscriber addition, churn and average revenue per user (ARPU) rates for our fixed broadband businesses and mix of wholesale and retail subscribers;</w:t>
      </w:r>
    </w:p>
    <w:p>
      <w:pPr>
        <w:spacing w:after="0" w:line="61" w:lineRule="exact"/>
        <w:rPr>
          <w:rFonts w:ascii="Arial" w:cs="Arial" w:eastAsia="Arial" w:hAnsi="Arial"/>
          <w:sz w:val="18"/>
          <w:szCs w:val="18"/>
          <w:color w:val="auto"/>
        </w:rPr>
      </w:pPr>
    </w:p>
    <w:p>
      <w:pPr>
        <w:ind w:left="1020" w:right="20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complex and lengthy procurement process for most of our commercial networks and government systems customers and potential customers, and the impact of a failure to receive an expected order or a deferral of an order to a later period, and the timing of return to normalization of government acquisition processes that were disrupted by COVID-19;</w:t>
      </w:r>
    </w:p>
    <w:p>
      <w:pPr>
        <w:spacing w:after="0" w:line="6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 and the impact of cost overruns on fixed-price development contracts;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customer payments under significant contracts;</w:t>
      </w:r>
    </w:p>
    <w:p>
      <w:pPr>
        <w:spacing w:after="0" w:line="76" w:lineRule="exact"/>
        <w:rPr>
          <w:rFonts w:ascii="Arial" w:cs="Arial" w:eastAsia="Arial" w:hAnsi="Arial"/>
          <w:sz w:val="18"/>
          <w:szCs w:val="18"/>
          <w:color w:val="auto"/>
        </w:rPr>
      </w:pPr>
    </w:p>
    <w:p>
      <w:pPr>
        <w:ind w:left="1020" w:right="24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reliance on a few significant customers, particularly agencies of the U.S. Government, for a significant percentage of our revenues, as a result of which the loss or decline in business with any of these customers may negatively impact our revenue and collectability of related accounts receivable;</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reliance on a global supply chain, including contract manufacturers and single-source or limited groups of suppliers;</w:t>
      </w:r>
    </w:p>
    <w:p>
      <w:pPr>
        <w:spacing w:after="0" w:line="76"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costs and expenses, impairment of assets and write-offs of assets related to customer non-payments or obsolescence;</w:t>
      </w:r>
    </w:p>
    <w:p>
      <w:pPr>
        <w:spacing w:after="0" w:line="61"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our business, including changes affecting spectrum availability or permitted uses;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repay our indebtedness; and</w:t>
      </w:r>
    </w:p>
    <w:p>
      <w:pPr>
        <w:spacing w:after="0" w:line="76"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public health crises, such as the COVID-19 pandemic, general economic and political conditions, and other trends that affect the industries in which we operate.</w:t>
      </w:r>
    </w:p>
    <w:p>
      <w:pPr>
        <w:spacing w:after="0" w:line="143"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See also “Business–Segments” in Part I, Item 1 of this report for a discussion of what we believe to be key drivers for future growth in each of 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99"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fiscal years 2021 and 2022 were impacted by the pandemic, the impact was not material to our financial position, results of operations or cash flows in such periods, with continued negative impacts particularly in our commercial aviation business offset by strong demand in our fixed broadband services business and other parts of our business. We continue to expect our diversified businesses to provide resiliency in fiscal year 2023.</w:t>
      </w:r>
    </w:p>
    <w:p>
      <w:pPr>
        <w:spacing w:after="0" w:line="153"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The extent of the impact of the COVID-19 pandemic on our business in fiscal year 2023 and beyond will depend on many factors, including the duration and scope of the public health emergency, the extent, duration and effectiveness of containment actions taken,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Inmarsat Acquisition</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On November 8, 2021, we entered into a Purchase Agreement with the Sellers to combine Viasat with Inmarsat. Pursuant to the Purchase Agreement, we will purchase all of the issued and outstanding shares of Inmarsat from the Sellers upon the terms and subject to the conditions set forth therein. The total consideration payable by us under the Purchase Agreement consists of $850.0 million in cash, subject to adjustments (including for certain dividends, see below), and approximately 46.36 million unregistered shares of our common stock. In April 2022, Inmarsat paid a dividend of $299.3 million to the Sellers, resulting in a $299.3 million reduction in the cash consideration payable by us at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46" w:name="page47"/>
    <w:bookmarkEnd w:id="46"/>
    <w:p>
      <w:pPr>
        <w:ind w:right="140"/>
        <w:spacing w:after="0" w:line="246" w:lineRule="auto"/>
        <w:rPr>
          <w:sz w:val="20"/>
          <w:szCs w:val="20"/>
          <w:color w:val="auto"/>
        </w:rPr>
      </w:pPr>
      <w:r>
        <w:rPr>
          <w:rFonts w:ascii="Arial" w:cs="Arial" w:eastAsia="Arial" w:hAnsi="Arial"/>
          <w:sz w:val="18"/>
          <w:szCs w:val="18"/>
          <w:color w:val="auto"/>
        </w:rPr>
        <w:t>closing of the Inmarsat Transaction. Our board of directors has unanimously approved the Purchase Agreement and the proposed Inmarsat Transaction.</w:t>
      </w:r>
    </w:p>
    <w:p>
      <w:pPr>
        <w:spacing w:after="0" w:line="143"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and approval by our stockholders of the issuance of shares in the Inmarsat Transaction and an amendment to our certificate of incorporation to increase the number of shares of our common stock authorized for issuance.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spacing w:after="0" w:line="15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which amount excludes the commitments that were obtained with respect to the $700.0 million Term Loan Facility that we entered into on March 4, 2022 to fund our standalone growth expenditures. In light of the $299.3 million reduction in the cash purchase price payable in the Inmarsat Transaction due to the dividend paid by Inmarsat to the Sellers in April 2022, we currently expect to incur $1.3 billion of additional indebtedness under these commitments. However, the total amount of indebtedness incurred under these commitments may change, including in the event available cash from other sources is higher than expected. We also plan to assume $2.1 billion in principal amount of Inmarsat senior secured bonds and the outstanding indebtedness under Inmarsat’s $2.4 billion senior secured credit facilities. In addition, we obtained commitments of $ 3.2 billion to backstop certain amendments required under the Revolving Credit Facility and Ex-Im Credit Facility and Inmarsat’s $2.4 billion senior secured credit facilities, which amendments had been obtained under the Revolving Credit Facility and Inmarsat’s $2.4 billion senior secured credit facilities as of the date of this report.</w:t>
      </w:r>
    </w:p>
    <w:p>
      <w:pPr>
        <w:spacing w:after="0" w:line="15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have incurred and expect to incur non-recurring costs associated with the Inmarsat Transaction and combining the operations of the two companies, as well as transaction fees and other costs related to the Inmarsat Transaction. Based on information available as of the date of this report, we currently estimate that Viasat may incur approximately $250 million in Transaction costs (including financing costs) through the closing of the Inmarsat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 portion of these transaction-related costs is contingent upon the closing of the Inmarsat Transaction occurring, although some have been and will be incurred regardless of whether the Inmarsat Transaction is consummated. In addition, the combined company will also incur significant restructuring and integration costs in connection with the Inmarsat Transaction. The costs related to restructuring will be expensed as a cost of the ongoing results of operations of either us or the combined company. There are processes, policies, procedures, operations, technologies and systems that must be integrated in connection with the Inmarsat Transaction and the integration of Inmarsat’s business. Based on information available as of the date of this report, we currently estimate that we will incur approximately $50 million in integration costs and investments to realize synergies and efficiencies during each of the first two years following the closing of the Inmarsat Transaction. While we have assumed a certain level of expenses would be incurred to integrate the two companies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Acquisitions</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On April 30, 2021, we completed our acquisition of the remaining 51% interest in EBI, a satellite broadband internet service provider in EMEA, from Eutelsat. We paid approximately $167.0 million in cash, net of what is currently estimated to be an immaterial amount of estimated purchase price consideration (resulting in a cash outlay of approximately $51.0 million, net of approximately $121.7 million of EBI’s cash on hand).</w:t>
      </w:r>
    </w:p>
    <w:p>
      <w:pPr>
        <w:spacing w:after="0" w:line="151" w:lineRule="exact"/>
        <w:rPr>
          <w:sz w:val="20"/>
          <w:szCs w:val="20"/>
          <w:color w:val="auto"/>
        </w:rPr>
      </w:pPr>
    </w:p>
    <w:p>
      <w:pPr>
        <w:ind w:right="340" w:firstLine="509"/>
        <w:spacing w:after="0" w:line="238"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paid a de minimis amount of cash in respect of fractional shares and paid an insignificant amount of other consideration. We retained approximately $20.6 million of RigNet’s cash on hand.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Satellite-Related Activities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ind w:right="200" w:firstLine="509"/>
        <w:spacing w:after="0" w:line="238"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5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12 — Commitments to our consolidated financial statements for information as of March 31, 2022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53"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In addition, we may experience bandwidth supply constraints in the lead-up to the commencement of commercial service on new satellites.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Russia and Ukraine</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 xml:space="preserve">The invasion of Ukraine and the resulting sanctions imposed by the United States and other countries on Russia have not had a material impact on our business, and are not expected to have a material impact on our cash flows, financial position or results of operations. We do not have material assets, operations, investments or human capital resources in Russia, Ukraine or Belarus and our business does not rely on goods or services sourced in Russia, Ukraine or Belarus. Prior to the invasion, we provided fixed broadband services through a wholesale distributor to a very small number of subscribers in Russia through our KA-SAT satellite. In response to the invasion, we terminated these services. We have no active fixed broadband customers in Russia, are not supplying new products or services to customers located in Russia and have no planned infrastructure projects in the country. Although we continue to provide fixed broadband services to users in Ukraine through our KA-SAT satellite, these services are provided by third party wholesale distributors and we have limited exposure to revenue generation in Ukraine. Revenues derived from Ukraine and Russia were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 amount for the year ended March 31, 2022.</w:t>
      </w:r>
    </w:p>
    <w:p>
      <w:pPr>
        <w:spacing w:after="0" w:line="152"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However, the invasion of Ukraine has exacerbated inflationary and supply chain issues, and may also worsen the current semiconductor chip shortage (since Russia and Ukraine are both critical suppliers of neon gas and palladium used in chip production) and increase cybersecurity threats. While we do not currently anticipate material delays or material increased costs due to these factors, we cannot assure you that our business will not be materially impaired by any of these factors in the future. The long-term impacts of the conflict and the sanctions imposed on Russia remain uncertain and will depend on future developments, and we continue to monitor the evolving situation.</w:t>
      </w:r>
    </w:p>
    <w:p>
      <w:pPr>
        <w:spacing w:after="0" w:line="15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 xml:space="preserve">See “Risk Factors—Our Reputation and Business Could Be Materially Harmed as a Result of Data Breaches, Data Theft, Unauthorized Access or Hacking” in Part I, Item 1A of this report for a discussion of a cyberattack that occurred on February 24, 2022 involving our KA-SAT network. The cyberattack and resulting loss of service to certain fixed broadband customers in Europe and North Africa had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impact on our revenues and results of operations for affected periods and has not had a material impact on our business. Based on our comprehensive investigation efforts to date, there is no evidence that any end-user data or customer personal equipment was accessed, nor is there any evidence that the KA-SAT satellite itself or its supporting satellite ground infrastructure was directly involved, impaired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ind w:right="20"/>
        <w:spacing w:after="0" w:line="274" w:lineRule="auto"/>
        <w:rPr>
          <w:sz w:val="20"/>
          <w:szCs w:val="20"/>
          <w:color w:val="auto"/>
        </w:rPr>
      </w:pPr>
      <w:r>
        <w:rPr>
          <w:rFonts w:ascii="Arial" w:cs="Arial" w:eastAsia="Arial" w:hAnsi="Arial"/>
          <w:sz w:val="17"/>
          <w:szCs w:val="17"/>
          <w:color w:val="auto"/>
        </w:rPr>
        <w:t>compromised. Since the incident, we have worked with the operator of the affected partition of the KA-SAT network to implement mitigation and recovery actions to restore network stability, preserve continuing service for unaffected end-users and mitigate or prevent similar attacks.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energy services (acquired through the RigNet acquisition).</w:t>
      </w:r>
    </w:p>
    <w:p>
      <w:pPr>
        <w:spacing w:after="0" w:line="143"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90%, 89% and 88% of our total revenues for these segments for fiscal years 2022, 2021 and 2020,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23% and 24% of our total revenues during fiscal years 2022, 2021 and 2020, respectively.</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Approximately 15%, 9% and 11% of our total revenues in fiscal years 2022, 2021 and 2020, respectively, were derived from international sales. Doing business internationally creates additional risks related to global political and economic conditions and other factors identified under the heading “Risk Factors” in Part I, Item 1A and elsewhere in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49" w:lineRule="exact"/>
        <w:rPr>
          <w:sz w:val="20"/>
          <w:szCs w:val="20"/>
          <w:color w:val="auto"/>
        </w:rPr>
      </w:pPr>
    </w:p>
    <w:p>
      <w:pPr>
        <w:ind w:right="380" w:firstLine="509"/>
        <w:spacing w:after="0"/>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ind w:right="140"/>
        <w:spacing w:after="0" w:line="237" w:lineRule="auto"/>
        <w:rPr>
          <w:sz w:val="20"/>
          <w:szCs w:val="20"/>
          <w:color w:val="auto"/>
        </w:rPr>
      </w:pPr>
      <w:r>
        <w:rPr>
          <w:rFonts w:ascii="Arial" w:cs="Arial" w:eastAsia="Arial" w:hAnsi="Arial"/>
          <w:sz w:val="18"/>
          <w:szCs w:val="18"/>
          <w:color w:val="auto"/>
        </w:rPr>
        <w:t>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The Company and a Summary of Its Significant Accounting Policies – Leases to our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6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72"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2022 would change our income (loss) before income taxes by an insignificant amount.</w:t>
      </w:r>
    </w:p>
    <w:p>
      <w:pPr>
        <w:spacing w:after="0" w:line="16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50" w:name="page51"/>
    <w:bookmarkEnd w:id="50"/>
    <w:p>
      <w:pPr>
        <w:ind w:right="40"/>
        <w:spacing w:after="0" w:line="236" w:lineRule="auto"/>
        <w:rPr>
          <w:sz w:val="20"/>
          <w:szCs w:val="20"/>
          <w:color w:val="auto"/>
        </w:rPr>
      </w:pPr>
      <w:r>
        <w:rPr>
          <w:rFonts w:ascii="Arial" w:cs="Arial" w:eastAsia="Arial" w:hAnsi="Arial"/>
          <w:sz w:val="18"/>
          <w:szCs w:val="18"/>
          <w:color w:val="auto"/>
        </w:rPr>
        <w:t>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Property, equipment and satellites, net includes our owned and leased satellites and the associated earth stations and networking equipment, as well as the customer premise equipment units which are leased to subscribers under a retail leasing program as part of our satellite services segment.</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ind w:right="260"/>
        <w:spacing w:after="0"/>
        <w:rPr>
          <w:sz w:val="20"/>
          <w:szCs w:val="20"/>
          <w:color w:val="auto"/>
        </w:rPr>
      </w:pPr>
      <w:r>
        <w:rPr>
          <w:rFonts w:ascii="Arial" w:cs="Arial" w:eastAsia="Arial" w:hAnsi="Arial"/>
          <w:sz w:val="18"/>
          <w:szCs w:val="18"/>
          <w:color w:val="auto"/>
        </w:rPr>
        <w:t>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120" w:firstLine="509"/>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w:t>
      </w:r>
    </w:p>
    <w:p>
      <w:pPr>
        <w:spacing w:after="0" w:line="3" w:lineRule="exact"/>
        <w:rPr>
          <w:sz w:val="20"/>
          <w:szCs w:val="20"/>
          <w:color w:val="auto"/>
        </w:rPr>
      </w:pPr>
    </w:p>
    <w:p>
      <w:pPr>
        <w:ind w:firstLine="8"/>
        <w:spacing w:after="0" w:line="238"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including goodwill, and assumed liabilities, where applicable. Additionally, we recognize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2" w:name="page53"/>
    <w:bookmarkEnd w:id="52"/>
    <w:p>
      <w:pPr>
        <w:ind w:right="260"/>
        <w:spacing w:after="0" w:line="246" w:lineRule="auto"/>
        <w:rPr>
          <w:sz w:val="20"/>
          <w:szCs w:val="20"/>
          <w:color w:val="auto"/>
        </w:rPr>
      </w:pPr>
      <w:r>
        <w:rPr>
          <w:rFonts w:ascii="Arial" w:cs="Arial" w:eastAsia="Arial" w:hAnsi="Arial"/>
          <w:sz w:val="18"/>
          <w:szCs w:val="18"/>
          <w:color w:val="auto"/>
        </w:rPr>
        <w:t>which the asset’s carrying value exceeds its fair value, and would be recorded as a reduction in the carrying value of the related asset and charged to results of operations. No material impairments were recorded by us for fiscal years 2022, 2021 and 2020.</w:t>
      </w:r>
    </w:p>
    <w:p>
      <w:pPr>
        <w:spacing w:after="0" w:line="143"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Based on our qualitative assessment performed during the fourth quarter of fiscal year 2022, we concluded that it was more likely than not that the estimated fair value of our reporting units exceeded their carrying value as of March 31, 2022, and therefore, determined it was not necessary to perform a quantitative goodwill impairment test.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$47.1 million at March 31, 2021 to $78.1 million at March 31, 2022.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ind w:right="240"/>
        <w:spacing w:after="0" w:line="246" w:lineRule="auto"/>
        <w:rPr>
          <w:sz w:val="20"/>
          <w:szCs w:val="20"/>
          <w:color w:val="auto"/>
        </w:rPr>
      </w:pPr>
      <w:r>
        <w:rPr>
          <w:rFonts w:ascii="Arial" w:cs="Arial" w:eastAsia="Arial" w:hAnsi="Arial"/>
          <w:sz w:val="18"/>
          <w:szCs w:val="18"/>
          <w:color w:val="auto"/>
        </w:rPr>
        <w:t>being recognized in the period in which we determine that provision for the liabilities is no longer necessary. If an ultimate tax assessment exceeds our estimate of tax liabilities, an additional charge to expense would result.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26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March 31,</w:t>
            </w:r>
          </w:p>
        </w:tc>
        <w:tc>
          <w:tcPr>
            <w:tcW w:w="940" w:type="dxa"/>
            <w:vAlign w:val="bottom"/>
            <w:gridSpan w:val="2"/>
          </w:tcPr>
          <w:p>
            <w:pPr>
              <w:jc w:val="right"/>
              <w:ind w:right="137"/>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gridSpan w:val="2"/>
          </w:tcPr>
          <w:p>
            <w:pPr>
              <w:spacing w:after="0" w:line="195" w:lineRule="exact"/>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100.0</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100.0</w:t>
            </w:r>
          </w:p>
        </w:tc>
        <w:tc>
          <w:tcPr>
            <w:tcW w:w="16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6"/>
                <w:szCs w:val="16"/>
                <w:color w:val="auto"/>
              </w:rPr>
            </w:pPr>
          </w:p>
        </w:tc>
        <w:tc>
          <w:tcPr>
            <w:tcW w:w="9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100.0</w:t>
            </w:r>
          </w:p>
        </w:tc>
        <w:tc>
          <w:tcPr>
            <w:tcW w:w="54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Product revenues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Service revenues</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Cost of product revenues</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Cost of service revenues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Independent research and development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Borders>
              <w:bottom w:val="single" w:sz="8" w:color="CFF0FC"/>
            </w:tcBorders>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spacing w:after="0" w:line="196" w:lineRule="exact"/>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spacing w:after="0" w:line="196" w:lineRule="exact"/>
              <w:rPr>
                <w:sz w:val="20"/>
                <w:szCs w:val="20"/>
                <w:color w:val="auto"/>
              </w:rPr>
            </w:pPr>
            <w:r>
              <w:rPr>
                <w:rFonts w:ascii="Arial" w:cs="Arial" w:eastAsia="Arial" w:hAnsi="Arial"/>
                <w:sz w:val="18"/>
                <w:szCs w:val="18"/>
                <w:color w:val="auto"/>
              </w:rPr>
              <w:t>(Loss) income before income taxes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39"/>
              <w:spacing w:after="0" w:line="196" w:lineRule="exact"/>
              <w:rPr>
                <w:sz w:val="20"/>
                <w:szCs w:val="20"/>
                <w:color w:val="auto"/>
              </w:rPr>
            </w:pPr>
            <w:r>
              <w:rPr>
                <w:rFonts w:ascii="Arial" w:cs="Arial" w:eastAsia="Arial" w:hAnsi="Arial"/>
                <w:sz w:val="18"/>
                <w:szCs w:val="18"/>
                <w:color w:val="auto"/>
              </w:rPr>
              <w:t>(1 )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Benefit from (provision for) income taxes</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ind w:left="360"/>
              <w:spacing w:after="0" w:line="202" w:lineRule="exact"/>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tcPr>
          <w:p>
            <w:pPr>
              <w:spacing w:after="0" w:line="196" w:lineRule="exact"/>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Net (loss) income attributable to Viasat, Inc.</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Fiscal Year 2022 Compared to Fiscal Year 2021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20" w:type="dxa"/>
            <w:vAlign w:val="bottom"/>
            <w:gridSpan w:val="4"/>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24"/>
                <w:szCs w:val="24"/>
                <w:color w:val="auto"/>
              </w:rPr>
            </w:pPr>
          </w:p>
        </w:tc>
        <w:tc>
          <w:tcPr>
            <w:tcW w:w="146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460" w:type="dxa"/>
            <w:vAlign w:val="bottom"/>
            <w:gridSpan w:val="4"/>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ind w:left="2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46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ind w:left="200"/>
              <w:spacing w:after="0" w:line="195" w:lineRule="exact"/>
              <w:rPr>
                <w:sz w:val="20"/>
                <w:szCs w:val="20"/>
                <w:color w:val="auto"/>
              </w:rPr>
            </w:pPr>
            <w:r>
              <w:rPr>
                <w:rFonts w:ascii="Arial" w:cs="Arial" w:eastAsia="Arial" w:hAnsi="Arial"/>
                <w:sz w:val="18"/>
                <w:szCs w:val="18"/>
                <w:color w:val="auto"/>
                <w:w w:val="99"/>
              </w:rPr>
              <w:t>1,210.4</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tcPr>
          <w:p>
            <w:pPr>
              <w:ind w:left="260"/>
              <w:spacing w:after="0" w:line="195" w:lineRule="exact"/>
              <w:rPr>
                <w:sz w:val="20"/>
                <w:szCs w:val="20"/>
                <w:color w:val="auto"/>
              </w:rPr>
            </w:pPr>
            <w:r>
              <w:rPr>
                <w:rFonts w:ascii="Arial" w:cs="Arial" w:eastAsia="Arial" w:hAnsi="Arial"/>
                <w:sz w:val="18"/>
                <w:szCs w:val="18"/>
                <w:color w:val="auto"/>
                <w:w w:val="99"/>
              </w:rPr>
              <w:t>1,044.5</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tcPr>
          <w:p>
            <w:pPr>
              <w:jc w:val="center"/>
              <w:ind w:left="393"/>
              <w:spacing w:after="0" w:line="195" w:lineRule="exact"/>
              <w:rPr>
                <w:sz w:val="20"/>
                <w:szCs w:val="20"/>
                <w:color w:val="auto"/>
              </w:rPr>
            </w:pPr>
            <w:r>
              <w:rPr>
                <w:rFonts w:ascii="Arial" w:cs="Arial" w:eastAsia="Arial" w:hAnsi="Arial"/>
                <w:sz w:val="18"/>
                <w:szCs w:val="18"/>
                <w:color w:val="auto"/>
              </w:rPr>
              <w:t>166.0</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20"/>
              <w:spacing w:after="0" w:line="195" w:lineRule="exact"/>
              <w:rPr>
                <w:sz w:val="20"/>
                <w:szCs w:val="20"/>
                <w:color w:val="auto"/>
              </w:rPr>
            </w:pPr>
            <w:r>
              <w:rPr>
                <w:rFonts w:ascii="Arial" w:cs="Arial" w:eastAsia="Arial" w:hAnsi="Arial"/>
                <w:sz w:val="18"/>
                <w:szCs w:val="18"/>
                <w:color w:val="auto"/>
              </w:rPr>
              <w:t>16</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040" w:type="dxa"/>
            <w:vAlign w:val="bottom"/>
            <w:gridSpan w:val="3"/>
          </w:tcPr>
          <w:p>
            <w:pPr>
              <w:spacing w:after="0" w:line="203" w:lineRule="exact"/>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200"/>
              <w:spacing w:after="0" w:line="203" w:lineRule="exact"/>
              <w:rPr>
                <w:sz w:val="20"/>
                <w:szCs w:val="20"/>
                <w:color w:val="auto"/>
              </w:rPr>
            </w:pPr>
            <w:r>
              <w:rPr>
                <w:rFonts w:ascii="Arial" w:cs="Arial" w:eastAsia="Arial" w:hAnsi="Arial"/>
                <w:sz w:val="18"/>
                <w:szCs w:val="18"/>
                <w:color w:val="auto"/>
                <w:w w:val="99"/>
              </w:rPr>
              <w:t>1,577.2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ind w:left="260"/>
              <w:spacing w:after="0" w:line="203" w:lineRule="exact"/>
              <w:rPr>
                <w:sz w:val="20"/>
                <w:szCs w:val="20"/>
                <w:color w:val="auto"/>
              </w:rPr>
            </w:pPr>
            <w:r>
              <w:rPr>
                <w:rFonts w:ascii="Arial" w:cs="Arial" w:eastAsia="Arial" w:hAnsi="Arial"/>
                <w:sz w:val="18"/>
                <w:szCs w:val="18"/>
                <w:color w:val="auto"/>
                <w:w w:val="99"/>
              </w:rPr>
              <w:t>1,211.7</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ind w:left="393"/>
              <w:spacing w:after="0" w:line="203" w:lineRule="exact"/>
              <w:rPr>
                <w:sz w:val="20"/>
                <w:szCs w:val="20"/>
                <w:color w:val="auto"/>
              </w:rPr>
            </w:pPr>
            <w:r>
              <w:rPr>
                <w:rFonts w:ascii="Arial" w:cs="Arial" w:eastAsia="Arial" w:hAnsi="Arial"/>
                <w:sz w:val="18"/>
                <w:szCs w:val="18"/>
                <w:color w:val="auto"/>
              </w:rPr>
              <w:t>365.6</w:t>
            </w:r>
          </w:p>
        </w:tc>
        <w:tc>
          <w:tcPr>
            <w:tcW w:w="166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040" w:type="dxa"/>
            <w:vAlign w:val="bottom"/>
            <w:gridSpan w:val="3"/>
          </w:tcPr>
          <w:p>
            <w:pPr>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00"/>
              <w:spacing w:after="0" w:line="196" w:lineRule="exact"/>
              <w:rPr>
                <w:sz w:val="20"/>
                <w:szCs w:val="20"/>
                <w:color w:val="auto"/>
              </w:rPr>
            </w:pPr>
            <w:r>
              <w:rPr>
                <w:rFonts w:ascii="Arial" w:cs="Arial" w:eastAsia="Arial" w:hAnsi="Arial"/>
                <w:sz w:val="18"/>
                <w:szCs w:val="18"/>
                <w:color w:val="auto"/>
                <w:w w:val="99"/>
              </w:rPr>
              <w:t>2,787.6</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tcPr>
          <w:p>
            <w:pPr>
              <w:ind w:left="260"/>
              <w:spacing w:after="0" w:line="196" w:lineRule="exact"/>
              <w:rPr>
                <w:sz w:val="20"/>
                <w:szCs w:val="20"/>
                <w:color w:val="auto"/>
              </w:rPr>
            </w:pPr>
            <w:r>
              <w:rPr>
                <w:rFonts w:ascii="Arial" w:cs="Arial" w:eastAsia="Arial" w:hAnsi="Arial"/>
                <w:sz w:val="18"/>
                <w:szCs w:val="18"/>
                <w:color w:val="auto"/>
                <w:w w:val="99"/>
              </w:rPr>
              <w:t>2,256.1</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3"/>
          </w:tcPr>
          <w:p>
            <w:pPr>
              <w:jc w:val="center"/>
              <w:ind w:left="393"/>
              <w:spacing w:after="0" w:line="196" w:lineRule="exact"/>
              <w:rPr>
                <w:sz w:val="20"/>
                <w:szCs w:val="20"/>
                <w:color w:val="auto"/>
              </w:rPr>
            </w:pPr>
            <w:r>
              <w:rPr>
                <w:rFonts w:ascii="Arial" w:cs="Arial" w:eastAsia="Arial" w:hAnsi="Arial"/>
                <w:sz w:val="18"/>
                <w:szCs w:val="18"/>
                <w:color w:val="auto"/>
              </w:rPr>
              <w:t>531.5</w:t>
            </w:r>
          </w:p>
        </w:tc>
        <w:tc>
          <w:tcPr>
            <w:tcW w:w="166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-3291205</wp:posOffset>
            </wp:positionV>
            <wp:extent cx="570039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-2131060</wp:posOffset>
            </wp:positionV>
            <wp:extent cx="603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-2131060</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-2131060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-1864995</wp:posOffset>
            </wp:positionV>
            <wp:extent cx="603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-1864995</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-1864995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-1599565</wp:posOffset>
            </wp:positionV>
            <wp:extent cx="603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-1599565</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-1599565</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128270"/>
                    </a:xfrm>
                    <a:prstGeom prst="rect">
                      <a:avLst/>
                    </a:prstGeom>
                    <a:noFill/>
                  </pic:spPr>
                </pic:pic>
              </a:graphicData>
            </a:graphic>
          </wp:anchor>
        </w:drawing>
      </w:r>
    </w:p>
    <w:p>
      <w:pPr>
        <w:spacing w:after="0" w:line="155"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Our total revenues increased by $531.5 million as a result of a $365.6 million increase in service revenues and a $166.0 million increase in product revenues. The service revenue increase was due to increases of $319.9 million in our satellite services segment, $29.1 million in our government systems segment and $16.6 million in our commercial networks segment. The product revenue increase was driven primarily by an increase of $174.6 million in our commercial networks segment, partially offset by an $8.6 million decrease in our government systems segment.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82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460" w:type="dxa"/>
            <w:vAlign w:val="bottom"/>
            <w:gridSpan w:val="2"/>
          </w:tcPr>
          <w:p>
            <w:pPr>
              <w:jc w:val="center"/>
              <w:ind w:right="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914.3</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774.9</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139.4</w:t>
            </w:r>
          </w:p>
        </w:tc>
        <w:tc>
          <w:tcPr>
            <w:tcW w:w="180" w:type="dxa"/>
            <w:vAlign w:val="bottom"/>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line="203" w:lineRule="exact"/>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1,025.8</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236.4</w:t>
            </w:r>
          </w:p>
        </w:tc>
        <w:tc>
          <w:tcPr>
            <w:tcW w:w="16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96"/>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Total cost of revenues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1,940.1</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1,564.3</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375.8</w:t>
            </w:r>
          </w:p>
        </w:tc>
        <w:tc>
          <w:tcPr>
            <w:tcW w:w="1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Cost of revenues increased by $375.8 million due to an increase of $236.4 million in cost of service revenues and $139.4 million in cost of product revenues. The cost of service revenue increase was primarily due to increased service revenues, mainly from our satellite services segment, causing a $238.2 million increase in cost of service revenues on a constant margin basis. The cost of product revenue increase was mainly due to increased product revenues, causing a $123.1 million increase in cost of product revenues on a constant margin basis, mainly from our commercial networks segment. The remainder of the increase in cost of product revenues was due to lower margins, primarily driven by cybersecurity and information assurance products in our government systems segment.</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4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82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440" w:type="dxa"/>
            <w:vAlign w:val="bottom"/>
            <w:gridSpan w:val="2"/>
          </w:tcPr>
          <w:p>
            <w:pPr>
              <w:jc w:val="center"/>
              <w:ind w:right="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4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657.3</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512.3</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144.9</w:t>
            </w:r>
          </w:p>
        </w:tc>
        <w:tc>
          <w:tcPr>
            <w:tcW w:w="18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55" w:lineRule="exact"/>
        <w:rPr>
          <w:sz w:val="20"/>
          <w:szCs w:val="20"/>
          <w:color w:val="auto"/>
        </w:rPr>
      </w:pPr>
    </w:p>
    <w:p>
      <w:pPr>
        <w:ind w:right="220" w:firstLine="509"/>
        <w:spacing w:after="0" w:line="237" w:lineRule="auto"/>
        <w:rPr>
          <w:sz w:val="20"/>
          <w:szCs w:val="20"/>
          <w:color w:val="auto"/>
        </w:rPr>
      </w:pPr>
      <w:r>
        <w:rPr>
          <w:rFonts w:ascii="Arial" w:cs="Arial" w:eastAsia="Arial" w:hAnsi="Arial"/>
          <w:sz w:val="18"/>
          <w:szCs w:val="18"/>
          <w:color w:val="auto"/>
        </w:rPr>
        <w:t>The $144.9 million increase in selling, general and administrative (SG&amp;A) expenses reflected an increase in support costs of $97.7 million, driven primarily by support costs related to RigNet, as well as acquisition-related expenses of approximately $34.0 million primarily related to the Inmarsat Transaction. The increase in SG&amp;A expenses was also driven by $43.7 million of higher selling costs, reflected primarily in our satellite services segment, but was also reflected across our two other segments. SG&amp;A expenses consisted primarily of personnel costs and expenses for business development, marketing and sales, bid and proposal, facilities, finance, contract administration and general management.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82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460" w:type="dxa"/>
            <w:vAlign w:val="bottom"/>
            <w:gridSpan w:val="2"/>
          </w:tcPr>
          <w:p>
            <w:pPr>
              <w:jc w:val="center"/>
              <w:ind w:right="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153.2</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115.8</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37.4</w:t>
            </w: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55"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The $37.4 million increase in IR&amp;D expenses was mainly the result of an increase of $24.3 million in IR&amp;D efforts in our commercial networks segment (primarily related to next-generation satellite payload technologies and mobile broadband satellite communication systems) and a $14.1 million increase in our government systems segment (primarily related to the development of next-generation dual band mobility solutions and the advancement of integrated government satellite communications platforms).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$ 23.2 million increase in amortization of acquired intangible assets in fiscal year 2022 compared to fiscal year 2021 was primarily related to the amortization of new intangibles acquired as a result of the acquisition of RigNet and of the remaining 51% interest in EBI in April 2021. Expected amortization expense for acquired intangible assets for each of the following periods is as follows:</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Expected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line="234" w:lineRule="auto"/>
        <w:rPr>
          <w:sz w:val="20"/>
          <w:szCs w:val="20"/>
          <w:color w:val="auto"/>
        </w:rPr>
      </w:pPr>
      <w:r>
        <w:rPr>
          <w:rFonts w:ascii="Arial" w:cs="Arial" w:eastAsia="Arial" w:hAnsi="Arial"/>
          <w:sz w:val="18"/>
          <w:szCs w:val="18"/>
          <w:color w:val="auto"/>
        </w:rPr>
        <w:t>Expected for fiscal year 2024</w:t>
      </w:r>
    </w:p>
    <w:p>
      <w:pPr>
        <w:ind w:left="2260"/>
        <w:spacing w:after="0" w:line="235" w:lineRule="auto"/>
        <w:rPr>
          <w:sz w:val="20"/>
          <w:szCs w:val="20"/>
          <w:color w:val="auto"/>
        </w:rPr>
      </w:pPr>
      <w:r>
        <w:rPr>
          <w:rFonts w:ascii="Arial" w:cs="Arial" w:eastAsia="Arial" w:hAnsi="Arial"/>
          <w:sz w:val="18"/>
          <w:szCs w:val="18"/>
          <w:color w:val="auto"/>
        </w:rPr>
        <w:t>Expected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-127000</wp:posOffset>
            </wp:positionV>
            <wp:extent cx="427736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line="235" w:lineRule="auto"/>
        <w:rPr>
          <w:sz w:val="20"/>
          <w:szCs w:val="20"/>
          <w:color w:val="auto"/>
        </w:rPr>
      </w:pPr>
      <w:r>
        <w:rPr>
          <w:rFonts w:ascii="Arial" w:cs="Arial" w:eastAsia="Arial" w:hAnsi="Arial"/>
          <w:sz w:val="18"/>
          <w:szCs w:val="18"/>
          <w:color w:val="auto"/>
        </w:rPr>
        <w:t>Expected for fiscal year 2026</w:t>
      </w:r>
    </w:p>
    <w:p>
      <w:pPr>
        <w:ind w:left="2260"/>
        <w:spacing w:after="0" w:line="235" w:lineRule="auto"/>
        <w:rPr>
          <w:sz w:val="20"/>
          <w:szCs w:val="20"/>
          <w:color w:val="auto"/>
        </w:rPr>
      </w:pPr>
      <w:r>
        <w:rPr>
          <w:rFonts w:ascii="Arial" w:cs="Arial" w:eastAsia="Arial" w:hAnsi="Arial"/>
          <w:sz w:val="18"/>
          <w:szCs w:val="18"/>
          <w:color w:val="auto"/>
        </w:rPr>
        <w:t>Expected for fiscal year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-127000</wp:posOffset>
            </wp:positionV>
            <wp:extent cx="427736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427736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income for fiscal year 2022 was relatively flat compared to fiscal year 2021.</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230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797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9" w:lineRule="exact"/>
        <w:rPr>
          <w:sz w:val="20"/>
          <w:szCs w:val="20"/>
          <w:color w:val="auto"/>
        </w:rPr>
      </w:pPr>
    </w:p>
    <w:p>
      <w:pPr>
        <w:jc w:val="center"/>
        <w:ind w:right="2300"/>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p>
      <w:pPr>
        <w:ind w:left="660" w:hanging="657"/>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31,383</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30,002</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27,880</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26,366</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25,805</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94,607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79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 w:lineRule="exact"/>
        <w:rPr>
          <w:sz w:val="20"/>
          <w:szCs w:val="20"/>
          <w:color w:val="auto"/>
        </w:rPr>
      </w:pPr>
    </w:p>
    <w:p>
      <w:pPr>
        <w:ind w:left="560" w:hanging="557"/>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236,043</w:t>
      </w:r>
    </w:p>
    <w:p>
      <w:pPr>
        <w:spacing w:after="0" w:line="1330" w:lineRule="exact"/>
        <w:rPr>
          <w:sz w:val="20"/>
          <w:szCs w:val="20"/>
          <w:color w:val="auto"/>
        </w:rPr>
      </w:pPr>
    </w:p>
    <w:p>
      <w:pPr>
        <w:sectPr>
          <w:pgSz w:w="11900" w:h="16838" w:orient="portrait"/>
          <w:cols w:equalWidth="0" w:num="2">
            <w:col w:w="7140" w:space="580"/>
            <w:col w:w="3500"/>
          </w:cols>
          <w:pgMar w:left="320" w:top="360" w:right="359" w:bottom="1440" w:gutter="0" w:footer="0" w:header="0"/>
          <w:type w:val="continuous"/>
        </w:sectPr>
      </w:pPr>
    </w:p>
    <w:p>
      <w:pPr>
        <w:ind w:right="100" w:firstLine="509"/>
        <w:spacing w:after="0" w:line="238" w:lineRule="auto"/>
        <w:rPr>
          <w:sz w:val="20"/>
          <w:szCs w:val="20"/>
          <w:color w:val="auto"/>
        </w:rPr>
      </w:pPr>
      <w:r>
        <w:rPr>
          <w:rFonts w:ascii="Arial" w:cs="Arial" w:eastAsia="Arial" w:hAnsi="Arial"/>
          <w:sz w:val="18"/>
          <w:szCs w:val="18"/>
          <w:color w:val="auto"/>
        </w:rPr>
        <w:t>The $3.3 million decrease in interest expense in fiscal year 2022 compared to fiscal year 2021 was primarily due to an increase in the amount of interest capitalized compared to the prior year period. This decrease in interest expense was partially offset by the addition of interest expense related to the 2028 Notes, which were issued in the first quarter of fiscal year 2021, and interest expense related to the Term Loan Facility which was entered into on March 4, 2022.</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income tax benefit in fiscal year 2022 primarily reflected the benefit of federal and state R&amp;D tax credits, the reversal of a deferred tax liability recorded for EBI’s outside basis difference upon assertion made during the first quarter of fiscal year 2022 to indefinitely reinvest future earnings offset by tax expense for non-deductible compensation and the tax expense for tax deficiencies upon settlement of stock-based compensation during the period. The income tax provision in fiscal year 2021 primarily reflected the tax expense from our income before income taxes, the tax expense for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55" w:name="page56"/>
    <w:bookmarkEnd w:id="55"/>
    <w:p>
      <w:pPr>
        <w:ind w:right="20"/>
        <w:spacing w:after="0" w:line="246" w:lineRule="auto"/>
        <w:rPr>
          <w:sz w:val="20"/>
          <w:szCs w:val="20"/>
          <w:color w:val="auto"/>
        </w:rPr>
      </w:pPr>
      <w:r>
        <w:rPr>
          <w:rFonts w:ascii="Arial" w:cs="Arial" w:eastAsia="Arial" w:hAnsi="Arial"/>
          <w:sz w:val="18"/>
          <w:szCs w:val="18"/>
          <w:color w:val="auto"/>
        </w:rPr>
        <w:t>tax deficiencies upon settlement of stock-based compensation during the period, and non-deductible compensation, partially offset by benefit from federal and state R&amp;D tax credits.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2022 Compared to Fiscal Year 2021</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4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1"/>
                <w:szCs w:val="11"/>
                <w:color w:val="auto"/>
              </w:rPr>
            </w:pPr>
          </w:p>
        </w:tc>
        <w:tc>
          <w:tcPr>
            <w:tcW w:w="8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420" w:type="dxa"/>
            <w:vAlign w:val="bottom"/>
            <w:gridSpan w:val="2"/>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4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3" w:lineRule="exact"/>
              <w:rPr>
                <w:sz w:val="20"/>
                <w:szCs w:val="20"/>
                <w:color w:val="auto"/>
              </w:rPr>
            </w:pPr>
            <w:r>
              <w:rPr>
                <w:rFonts w:ascii="Arial" w:cs="Arial" w:eastAsia="Arial" w:hAnsi="Arial"/>
                <w:sz w:val="18"/>
                <w:szCs w:val="18"/>
                <w:color w:val="auto"/>
              </w:rPr>
              <w:t>Segment service revenues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1,188.8</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868.9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319.9</w:t>
            </w:r>
          </w:p>
        </w:tc>
        <w:tc>
          <w:tcPr>
            <w:tcW w:w="16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 revenues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1,188.8</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868.9</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319.9</w:t>
            </w:r>
          </w:p>
        </w:tc>
        <w:tc>
          <w:tcPr>
            <w:tcW w:w="1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5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satellite services segment revenues increased by $319.9 million due to an increase in service revenues. The increase in service revenues was primarily attributable to the acquisition of RigNet in the first quarter of fiscal year 2022, as well as increases in our in-flight services and fixed broadband businesses. The acquisition of RigNet contributed approximately $154.5 million of service revenues in fiscal year 2022. The increase in in-flight service revenue of $106.0 million was driven primarily by an increase in the number of commercial aircraft receiving our in-flight services through our IFC systems, as the number of aircraft in service increased, passenger air traffic continued to increase and aircraft that were previously inactive as a result of the COVID-19 pandemic continued to return to service. The increase in fixed broadband service revenues was primarily attributable to the acquisition of the remaining 51% interest in EBI, which also closed during the first quarter of fiscal year 2022, with EBI contributing approximately $38.5 million of service revenues in fiscal year 2022.</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340" w:type="dxa"/>
            <w:vAlign w:val="bottom"/>
            <w:gridSpan w:val="2"/>
          </w:tcPr>
          <w:p>
            <w:pPr>
              <w:jc w:val="center"/>
              <w:ind w:right="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3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operating profit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42.9</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35.9</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50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-265430</wp:posOffset>
            </wp:positionV>
            <wp:extent cx="641223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$7.0 million increase in our satellite services segment operating profit was driven primarily by higher earnings contributions of</w:t>
      </w:r>
    </w:p>
    <w:p>
      <w:pPr>
        <w:spacing w:after="0" w:line="234" w:lineRule="auto"/>
        <w:rPr>
          <w:sz w:val="20"/>
          <w:szCs w:val="20"/>
          <w:color w:val="auto"/>
        </w:rPr>
      </w:pPr>
      <w:r>
        <w:rPr>
          <w:rFonts w:ascii="Arial" w:cs="Arial" w:eastAsia="Arial" w:hAnsi="Arial"/>
          <w:sz w:val="18"/>
          <w:szCs w:val="18"/>
          <w:color w:val="auto"/>
        </w:rPr>
        <w:t>$100.3 million, primarily due to an increase in revenues and improved margins from our in-flight services as the business continued to scale.</w:t>
      </w:r>
    </w:p>
    <w:p>
      <w:pPr>
        <w:spacing w:after="0" w:line="235" w:lineRule="auto"/>
        <w:rPr>
          <w:sz w:val="20"/>
          <w:szCs w:val="20"/>
          <w:color w:val="auto"/>
        </w:rPr>
      </w:pPr>
      <w:r>
        <w:rPr>
          <w:rFonts w:ascii="Arial" w:cs="Arial" w:eastAsia="Arial" w:hAnsi="Arial"/>
          <w:sz w:val="18"/>
          <w:szCs w:val="18"/>
          <w:color w:val="auto"/>
        </w:rPr>
        <w:t>The increase in our satellite services segment operating profit was partially offset by higher SG&amp;A costs of $94.3 million (mainly attributable</w:t>
      </w:r>
    </w:p>
    <w:p>
      <w:pPr>
        <w:spacing w:after="0" w:line="235" w:lineRule="auto"/>
        <w:rPr>
          <w:sz w:val="20"/>
          <w:szCs w:val="20"/>
          <w:color w:val="auto"/>
        </w:rPr>
      </w:pPr>
      <w:r>
        <w:rPr>
          <w:rFonts w:ascii="Arial" w:cs="Arial" w:eastAsia="Arial" w:hAnsi="Arial"/>
          <w:sz w:val="18"/>
          <w:szCs w:val="18"/>
          <w:color w:val="auto"/>
        </w:rPr>
        <w:t>to RigNet, which was acquired during the first quarter of fiscal year 2022, as well as acquisition-related expenses related to the Inmarsat</w:t>
      </w:r>
    </w:p>
    <w:p>
      <w:pPr>
        <w:spacing w:after="0"/>
        <w:rPr>
          <w:sz w:val="20"/>
          <w:szCs w:val="20"/>
          <w:color w:val="auto"/>
        </w:rPr>
      </w:pPr>
      <w:r>
        <w:rPr>
          <w:rFonts w:ascii="Arial" w:cs="Arial" w:eastAsia="Arial" w:hAnsi="Arial"/>
          <w:sz w:val="18"/>
          <w:szCs w:val="18"/>
          <w:color w:val="auto"/>
        </w:rPr>
        <w:t>Transaction).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82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460" w:type="dxa"/>
            <w:vAlign w:val="bottom"/>
            <w:gridSpan w:val="2"/>
          </w:tcPr>
          <w:p>
            <w:pPr>
              <w:jc w:val="center"/>
              <w:ind w:right="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443.4</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268.8</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174.6</w:t>
            </w:r>
          </w:p>
        </w:tc>
        <w:tc>
          <w:tcPr>
            <w:tcW w:w="180" w:type="dxa"/>
            <w:vAlign w:val="bottom"/>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3"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w:t>
            </w:r>
          </w:p>
        </w:tc>
        <w:tc>
          <w:tcPr>
            <w:tcW w:w="16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512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512.1</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320.9</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191.2</w:t>
            </w:r>
          </w:p>
        </w:tc>
        <w:tc>
          <w:tcPr>
            <w:tcW w:w="1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2230" cy="12827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55"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Our commercial networks segment revenues increased by $191.2 million, due to a $174.6 million increase in product revenues and a $16.6 million increase in service revenues. The increase in product revenues was primarily due to increases of $112.1 million in mobile broadband satellite communication systems products due to increased IFC terminal deliveries as passenger air traffic continued to increase compared to the severe decline in passenger traffic in the prior year period as a result of the COVID-19 pandemic. There was also an increase of $52.5 million in antenna systems products and $25.7 million in RigNet products, partially offset by a $ 14.8 million decrease in fixed satellite networks products. The increase in service revenues was primarily driven by an increase in mobile broadband satellite communication services.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6"/>
          </w:tcPr>
          <w:p>
            <w:pPr>
              <w:jc w:val="right"/>
              <w:ind w:right="990"/>
              <w:spacing w:after="0"/>
              <w:rPr>
                <w:sz w:val="20"/>
                <w:szCs w:val="20"/>
                <w:color w:val="auto"/>
              </w:rPr>
            </w:pPr>
            <w:r>
              <w:rPr>
                <w:rFonts w:ascii="Arial" w:cs="Arial" w:eastAsia="Arial" w:hAnsi="Arial"/>
                <w:sz w:val="14"/>
                <w:szCs w:val="14"/>
                <w:b w:val="1"/>
                <w:bCs w:val="1"/>
                <w:color w:val="auto"/>
              </w:rPr>
              <w:t>Fiscal Years Ended</w:t>
            </w: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4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right"/>
              <w:ind w:right="650"/>
              <w:spacing w:after="0" w:line="129" w:lineRule="exact"/>
              <w:rPr>
                <w:sz w:val="20"/>
                <w:szCs w:val="20"/>
                <w:color w:val="auto"/>
              </w:rPr>
            </w:pPr>
            <w:r>
              <w:rPr>
                <w:rFonts w:ascii="Arial" w:cs="Arial" w:eastAsia="Arial" w:hAnsi="Arial"/>
                <w:sz w:val="14"/>
                <w:szCs w:val="14"/>
                <w:b w:val="1"/>
                <w:bCs w:val="1"/>
                <w:color w:val="auto"/>
              </w:rPr>
              <w:t>March 31,</w:t>
            </w:r>
          </w:p>
        </w:tc>
        <w:tc>
          <w:tcPr>
            <w:tcW w:w="9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440" w:type="dxa"/>
            <w:vAlign w:val="bottom"/>
            <w:gridSpan w:val="2"/>
          </w:tcPr>
          <w:p>
            <w:pPr>
              <w:jc w:val="center"/>
              <w:ind w:right="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4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operating loss</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(180.3</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(180.7</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5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8"/>
                <w:szCs w:val="18"/>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8"/>
                <w:szCs w:val="18"/>
                <w:color w:val="auto"/>
              </w:rPr>
              <w:t>(35 )%</w:t>
            </w:r>
          </w:p>
        </w:tc>
        <w:tc>
          <w:tcPr>
            <w:tcW w:w="1320" w:type="dxa"/>
            <w:vAlign w:val="bottom"/>
            <w:gridSpan w:val="3"/>
          </w:tcPr>
          <w:p>
            <w:pPr>
              <w:jc w:val="right"/>
              <w:ind w:right="90"/>
              <w:spacing w:after="0"/>
              <w:rPr>
                <w:sz w:val="20"/>
                <w:szCs w:val="20"/>
                <w:color w:val="auto"/>
              </w:rPr>
            </w:pPr>
            <w:r>
              <w:rPr>
                <w:rFonts w:ascii="Arial" w:cs="Arial" w:eastAsia="Arial" w:hAnsi="Arial"/>
                <w:sz w:val="18"/>
                <w:szCs w:val="18"/>
                <w:color w:val="auto"/>
              </w:rPr>
              <w:t>(56 )%</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-264795</wp:posOffset>
            </wp:positionV>
            <wp:extent cx="641223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4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commercial networks segment operating loss decreased by an insignificant amount year-over-year. The decrease in operating loss was driven primarily by higher earnings contributions of $ 38.0 million, driven by increased revenues and improved margins from our mobile broadband satellite communication systems products. The decrease in commercial networks segment operating loss was offset by a $24.3 million increase in IR&amp;D expenses (primarily related to next-generation satellite payload technologies and mobile broadband satellite communication systems) and a $13.3 million increase in SG&amp;A expenses (primarily related to higher support costs).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Dollar</w:t>
            </w:r>
          </w:p>
        </w:tc>
        <w:tc>
          <w:tcPr>
            <w:tcW w:w="15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1"/>
                <w:szCs w:val="11"/>
                <w:color w:val="auto"/>
              </w:rPr>
            </w:pPr>
          </w:p>
        </w:tc>
        <w:tc>
          <w:tcPr>
            <w:tcW w:w="80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50"/>
              <w:spacing w:after="0" w:line="129"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2"/>
          </w:tcPr>
          <w:p>
            <w:pPr>
              <w:jc w:val="center"/>
              <w:ind w:right="1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(Decrease)</w:t>
            </w:r>
          </w:p>
        </w:tc>
        <w:tc>
          <w:tcPr>
            <w:tcW w:w="15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767.0</w:t>
            </w: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775.6</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w:t>
            </w:r>
          </w:p>
        </w:tc>
        <w:tc>
          <w:tcPr>
            <w:tcW w:w="20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3" w:lineRule="exact"/>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w:t>
            </w:r>
          </w:p>
        </w:tc>
        <w:tc>
          <w:tcPr>
            <w:tcW w:w="200" w:type="dxa"/>
            <w:vAlign w:val="bottom"/>
          </w:tcPr>
          <w:p>
            <w:pPr>
              <w:spacing w:after="0"/>
              <w:rPr>
                <w:sz w:val="17"/>
                <w:szCs w:val="17"/>
                <w:color w:val="auto"/>
              </w:rPr>
            </w:pPr>
          </w:p>
        </w:tc>
        <w:tc>
          <w:tcPr>
            <w:tcW w:w="1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1,086.7</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1,066.3</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20.4</w:t>
            </w:r>
          </w:p>
        </w:tc>
        <w:tc>
          <w:tcPr>
            <w:tcW w:w="200" w:type="dxa"/>
            <w:vAlign w:val="bottom"/>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-393700</wp:posOffset>
            </wp:positionV>
            <wp:extent cx="641223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5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government systems segment revenues increased by $20.4 million due to an increase of $29.1 million in service revenues, partially offset by a decrease of $ 8.6 million in product revenues. The service revenue increase was primarily due to a $18.3 million increase in government mobile broadband services, a $14.8 million increase in government satellite communication systems services, a $6.7 million increase in cybersecurity and information assurance services, partially offset by a $11.0 million decrease in tactical data link services. The product revenue decrease was primarily driven by a $24.5 million decrease in government satellite communication systems products and a $17.8 million decrease in government mobile broadband products. The decrease in product revenues was partially offset by a $24.3 million increase in tactical data link products, a $6.8 million increase in cybersecurity and information assurance products and a $2.6 million increase in tactical satcom radio products. As a result of the COVID-19 pandemic, our government systems segment continued to experience complications in product manufacturing and shipments and some administrative delays on certain contractual vehicles reflecting inherent challenges in the remote work environment. In addition, product revenues in the segment were negatively impacted in fiscal year 2022 by anticipated delays in certification of certain information security and tactical data link products, as well as certain unanticipated supply chain issues that affected certain product shipments. Despite these obstacles, new government systems segment awards remained strong through the end of fiscal year 2022.</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Pr>
          <w:p>
            <w:pPr>
              <w:spacing w:after="0"/>
              <w:rPr>
                <w:sz w:val="16"/>
                <w:szCs w:val="16"/>
                <w:color w:val="auto"/>
              </w:rPr>
            </w:pPr>
          </w:p>
        </w:tc>
        <w:tc>
          <w:tcPr>
            <w:tcW w:w="130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390"/>
              <w:spacing w:after="0" w:line="129"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1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rPr>
              <w:t>(Decrease)</w:t>
            </w:r>
          </w:p>
        </w:tc>
        <w:tc>
          <w:tcPr>
            <w:tcW w:w="14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Segment operating profit</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174.5</w:t>
            </w:r>
          </w:p>
        </w:tc>
        <w:tc>
          <w:tcPr>
            <w:tcW w:w="340" w:type="dxa"/>
            <w:vAlign w:val="bottom"/>
          </w:tcPr>
          <w:p>
            <w:pPr>
              <w:spacing w:after="0"/>
              <w:rPr>
                <w:sz w:val="16"/>
                <w:szCs w:val="16"/>
                <w:color w:val="auto"/>
              </w:rPr>
            </w:pPr>
          </w:p>
        </w:tc>
        <w:tc>
          <w:tcPr>
            <w:tcW w:w="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208.6</w:t>
            </w:r>
          </w:p>
        </w:tc>
        <w:tc>
          <w:tcPr>
            <w:tcW w:w="3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(34.1</w:t>
            </w:r>
          </w:p>
        </w:tc>
        <w:tc>
          <w:tcPr>
            <w:tcW w:w="3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0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16 %</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-265430</wp:posOffset>
            </wp:positionV>
            <wp:extent cx="641223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14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$34.1 million decrease in our government systems segment operating profit was driven by a $37.3 million increase in SG&amp;A costs (including $10.5 million of acquisition-related expenses related to the Inmarsat Transaction) and a $14.1 million increase in IR&amp;D expenses (primarily related to the development of next-generation dual band mobility solutions and the advancement of integrated government satellite communications platforms). The decrease in operating profit was partially offset by higher earnings contributions of $17.4 million, primarily due to an increase in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Compared to Fiscal Year 2020</w:t>
      </w:r>
    </w:p>
    <w:p>
      <w:pPr>
        <w:spacing w:after="0" w:line="9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For a discussion of our results of operations for fiscal year 2021 as compared to fiscal year 2020, see “Management’s Discussion and Analysis of Financial Condition and Results of Operations” in Part II, Item 7 of our Annual Report on Form 10-K for the fiscal year ended March 31,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decreased during fiscal year 2022.</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35"/>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r>
      <w:tr>
        <w:trPr>
          <w:trHeight w:val="189"/>
        </w:trPr>
        <w:tc>
          <w:tcPr>
            <w:tcW w:w="4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Arial" w:cs="Arial" w:eastAsia="Arial" w:hAnsi="Arial"/>
                <w:sz w:val="14"/>
                <w:szCs w:val="14"/>
                <w:b w:val="1"/>
                <w:bCs w:val="1"/>
                <w:color w:val="auto"/>
              </w:rPr>
              <w:t>(In</w:t>
            </w:r>
          </w:p>
        </w:tc>
        <w:tc>
          <w:tcPr>
            <w:tcW w:w="1600" w:type="dxa"/>
            <w:vAlign w:val="bottom"/>
            <w:gridSpan w:val="3"/>
          </w:tcPr>
          <w:p>
            <w:pPr>
              <w:jc w:val="center"/>
              <w:ind w:right="994"/>
              <w:spacing w:after="0"/>
              <w:rPr>
                <w:sz w:val="20"/>
                <w:szCs w:val="20"/>
                <w:color w:val="auto"/>
              </w:rPr>
            </w:pPr>
            <w:r>
              <w:rPr>
                <w:rFonts w:ascii="Arial" w:cs="Arial" w:eastAsia="Arial" w:hAnsi="Arial"/>
                <w:sz w:val="14"/>
                <w:szCs w:val="14"/>
                <w:b w:val="1"/>
                <w:bCs w:val="1"/>
                <w:color w:val="auto"/>
                <w:w w:val="90"/>
              </w:rPr>
              <w:t>millions)</w:t>
            </w:r>
          </w:p>
        </w:tc>
        <w:tc>
          <w:tcPr>
            <w:tcW w:w="80" w:type="dxa"/>
            <w:vAlign w:val="bottom"/>
          </w:tcPr>
          <w:p>
            <w:pPr>
              <w:spacing w:after="0"/>
              <w:rPr>
                <w:sz w:val="14"/>
                <w:szCs w:val="14"/>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Firm backlog</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Satellite services segment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554.5</w:t>
            </w:r>
          </w:p>
        </w:tc>
        <w:tc>
          <w:tcPr>
            <w:tcW w:w="360" w:type="dxa"/>
            <w:vAlign w:val="bottom"/>
            <w:gridSpan w:val="2"/>
          </w:tcPr>
          <w:p>
            <w:pPr>
              <w:jc w:val="center"/>
              <w:ind w:left="95"/>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633.7</w:t>
            </w:r>
          </w:p>
        </w:tc>
        <w:tc>
          <w:tcPr>
            <w:tcW w:w="80" w:type="dxa"/>
            <w:vAlign w:val="bottom"/>
          </w:tcPr>
          <w:p>
            <w:pPr>
              <w:spacing w:after="0"/>
              <w:rPr>
                <w:sz w:val="17"/>
                <w:szCs w:val="17"/>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networks segment</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733.2</w:t>
            </w:r>
          </w:p>
        </w:tc>
        <w:tc>
          <w:tcPr>
            <w:tcW w:w="8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846.0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939.4</w:t>
            </w:r>
          </w:p>
        </w:tc>
        <w:tc>
          <w:tcPr>
            <w:tcW w:w="80" w:type="dxa"/>
            <w:vAlign w:val="bottom"/>
          </w:tcPr>
          <w:p>
            <w:pPr>
              <w:spacing w:after="0"/>
              <w:rPr>
                <w:sz w:val="17"/>
                <w:szCs w:val="17"/>
                <w:color w:val="auto"/>
              </w:rPr>
            </w:pPr>
          </w:p>
        </w:tc>
      </w:tr>
      <w:tr>
        <w:trPr>
          <w:trHeight w:val="236"/>
        </w:trPr>
        <w:tc>
          <w:tcPr>
            <w:tcW w:w="478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2,032.7</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2,306.3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4780" w:type="dxa"/>
            <w:vAlign w:val="bottom"/>
          </w:tcPr>
          <w:p>
            <w:pPr>
              <w:spacing w:after="0" w:line="183" w:lineRule="exact"/>
              <w:rPr>
                <w:sz w:val="20"/>
                <w:szCs w:val="20"/>
                <w:color w:val="auto"/>
              </w:rPr>
            </w:pPr>
            <w:r>
              <w:rPr>
                <w:rFonts w:ascii="Arial" w:cs="Arial" w:eastAsia="Arial" w:hAnsi="Arial"/>
                <w:sz w:val="18"/>
                <w:szCs w:val="18"/>
                <w:b w:val="1"/>
                <w:bCs w:val="1"/>
                <w:color w:val="auto"/>
              </w:rPr>
              <w:t>Funded backlog</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 segment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554.5</w:t>
            </w:r>
          </w:p>
        </w:tc>
        <w:tc>
          <w:tcPr>
            <w:tcW w:w="360" w:type="dxa"/>
            <w:vAlign w:val="bottom"/>
            <w:gridSpan w:val="2"/>
            <w:shd w:val="clear" w:color="auto" w:fill="CFF0FC"/>
          </w:tcPr>
          <w:p>
            <w:pPr>
              <w:jc w:val="center"/>
              <w:ind w:left="95"/>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633.7</w:t>
            </w:r>
          </w:p>
        </w:tc>
        <w:tc>
          <w:tcPr>
            <w:tcW w:w="8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Commercial networks segment</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583.1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639.6</w:t>
            </w:r>
          </w:p>
        </w:tc>
        <w:tc>
          <w:tcPr>
            <w:tcW w:w="80" w:type="dxa"/>
            <w:vAlign w:val="bottom"/>
          </w:tcPr>
          <w:p>
            <w:pPr>
              <w:spacing w:after="0"/>
              <w:rPr>
                <w:sz w:val="17"/>
                <w:szCs w:val="17"/>
                <w:color w:val="auto"/>
              </w:rPr>
            </w:pPr>
          </w:p>
        </w:tc>
      </w:tr>
      <w:tr>
        <w:trPr>
          <w:trHeight w:val="203"/>
        </w:trPr>
        <w:tc>
          <w:tcPr>
            <w:tcW w:w="4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803.4</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846.9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780" w:type="dxa"/>
            <w:vAlign w:val="bottom"/>
          </w:tcPr>
          <w:p>
            <w:pPr>
              <w:ind w:left="260"/>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1,941.0</w:t>
            </w:r>
          </w:p>
        </w:tc>
        <w:tc>
          <w:tcPr>
            <w:tcW w:w="360" w:type="dxa"/>
            <w:vAlign w:val="bottom"/>
            <w:gridSpan w:val="2"/>
          </w:tcPr>
          <w:p>
            <w:pPr>
              <w:jc w:val="center"/>
              <w:ind w:left="95"/>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2,120.2</w:t>
            </w:r>
          </w:p>
        </w:tc>
        <w:tc>
          <w:tcPr>
            <w:tcW w:w="80" w:type="dxa"/>
            <w:vAlign w:val="bottom"/>
          </w:tcPr>
          <w:p>
            <w:pPr>
              <w:spacing w:after="0"/>
              <w:rPr>
                <w:sz w:val="17"/>
                <w:szCs w:val="17"/>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-702310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-685165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-702310</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-159385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5"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The firm backlog does not include contract options. Of the $2.0 billion in firm backlog, a little over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March 31, 2022, our IFC systems were installed and in service on approximately 1,910 commercial aircraft, of which, due to impacts of the COVID-19 pandemic, approximately 80 were inactive at fiscal year end. While domestic airline traffic increased during fiscal year 2022 (with increased planes in service and higher passenger volumes), global airline traffic has not yet recovered to pre-pandemic levels. We expect to continue to see some negative impacts on revenues and operating cash flows from our IFC businesses in fiscal year 2023 and potentially beyond, but for the effects to continue to lessen over time with increases in passenger air traffic and the return to service of additional currently inactive aircraft. We anticipate that approximately 970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60"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$2.6 billion, $2.7 billion and $2.3 billion for fiscal years 2022, 2021 and 2020, respectively.</w:t>
      </w:r>
    </w:p>
    <w:p>
      <w:pPr>
        <w:spacing w:after="0" w:line="143"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firstLine="509"/>
        <w:spacing w:after="0" w:line="223"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March 31, 2022, we had $310.5 million in cash and cash equivalents, $389.1 million in working capital, and no outstanding borrowings and borrowing availability of $637.0 million under our Revolving Credit Facility. At March 31, 2021, we had $295.9 million in cash and cash equivalents, $282.8 million in working capital, and no outstanding borrowings and borrowing availability of $673.7 million under our Revolving Credit Facility. We invest our cash in excess of current operating requirements in short-term, highly liquid bank money market accounts. During the second quarter of fiscal year 2021, we issued and sold an aggregate of 4,474,559 shares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ind w:right="160"/>
        <w:spacing w:after="0" w:line="229" w:lineRule="auto"/>
        <w:rPr>
          <w:sz w:val="20"/>
          <w:szCs w:val="20"/>
          <w:color w:val="auto"/>
        </w:rPr>
      </w:pPr>
      <w:r>
        <w:rPr>
          <w:rFonts w:ascii="Arial" w:cs="Arial" w:eastAsia="Arial" w:hAnsi="Arial"/>
          <w:sz w:val="18"/>
          <w:szCs w:val="18"/>
          <w:color w:val="auto"/>
        </w:rPr>
        <w:t>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w:t>
      </w:r>
    </w:p>
    <w:p>
      <w:pPr>
        <w:spacing w:after="0" w:line="137" w:lineRule="exact"/>
        <w:rPr>
          <w:sz w:val="20"/>
          <w:szCs w:val="20"/>
          <w:color w:val="auto"/>
        </w:rPr>
      </w:pPr>
    </w:p>
    <w:p>
      <w:pPr>
        <w:ind w:right="40" w:firstLine="509"/>
        <w:spacing w:after="0" w:line="223" w:lineRule="auto"/>
        <w:rPr>
          <w:sz w:val="20"/>
          <w:szCs w:val="20"/>
          <w:color w:val="auto"/>
        </w:rPr>
      </w:pPr>
      <w:r>
        <w:rPr>
          <w:rFonts w:ascii="Arial" w:cs="Arial" w:eastAsia="Arial" w:hAnsi="Arial"/>
          <w:sz w:val="18"/>
          <w:szCs w:val="18"/>
          <w:color w:val="auto"/>
        </w:rPr>
        <w:t>We currently expect to incur $1.3 billion of additional indebtedness under the financing commitments we obtained in connection with the Inmarsat Transaction (see the discussion above under “Inmarsat Acquisition”). However, the total amount of indebtedness incurred under these commitments may change, including in the event that available cash from other sources is higher than expected. We also plan to assume $2.1 billion in principal amount of Inmarsat senior secured bonds and the outstanding indebtedness under Inmarsat’s $2.4 billion senior secured credit facilities. We had also obtained commitments of $3.2 billion to backstop certain amendments required under the Revolving Credit Facility and Ex-Im Credit Facility and Inmarsat’s $2.4 billion senior secured credit facilities, which amendments had been obtained under the Revolving Credit Facility and Inmarsat’s $2.4 billion senior secured credit facilities as of the date of this report.</w:t>
      </w:r>
    </w:p>
    <w:p>
      <w:pPr>
        <w:spacing w:after="0" w:line="139"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and our future capital requirements will depend upon many factors, including the timing and amount of cash required to consummate the Inmarsat Transaction (including the cash portion of the purchase price, transaction-related costs and integration-related costs, see the discussion above under "Inmarsat Acquisition"), as well as cash required for our satellite projects and any future broadband satellite projects we may engage in, expansion of our R&amp;D and marketing efforts, and the nature and timing of orders. In particular:</w:t>
      </w:r>
    </w:p>
    <w:p>
      <w:pPr>
        <w:spacing w:after="0" w:line="56" w:lineRule="exact"/>
        <w:rPr>
          <w:sz w:val="20"/>
          <w:szCs w:val="20"/>
          <w:color w:val="auto"/>
        </w:rPr>
      </w:pPr>
    </w:p>
    <w:p>
      <w:pPr>
        <w:ind w:left="1020" w:right="320" w:hanging="503"/>
        <w:spacing w:after="0" w:line="22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w:t>
      </w:r>
    </w:p>
    <w:p>
      <w:pPr>
        <w:spacing w:after="0" w:line="53" w:lineRule="exact"/>
        <w:rPr>
          <w:rFonts w:ascii="Arial" w:cs="Arial" w:eastAsia="Arial" w:hAnsi="Arial"/>
          <w:sz w:val="18"/>
          <w:szCs w:val="18"/>
          <w:color w:val="auto"/>
        </w:rPr>
      </w:pPr>
    </w:p>
    <w:p>
      <w:pPr>
        <w:ind w:left="1020" w:right="60" w:hanging="503"/>
        <w:spacing w:after="0" w:line="22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spacing w:after="0" w:line="53" w:lineRule="exact"/>
        <w:rPr>
          <w:rFonts w:ascii="Arial" w:cs="Arial" w:eastAsia="Arial" w:hAnsi="Arial"/>
          <w:sz w:val="18"/>
          <w:szCs w:val="18"/>
          <w:color w:val="auto"/>
        </w:rPr>
      </w:pPr>
    </w:p>
    <w:p>
      <w:pPr>
        <w:ind w:left="1020" w:hanging="503"/>
        <w:spacing w:after="0" w:line="22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37" w:lineRule="exact"/>
        <w:rPr>
          <w:sz w:val="20"/>
          <w:szCs w:val="20"/>
          <w:color w:val="auto"/>
        </w:rPr>
      </w:pPr>
    </w:p>
    <w:p>
      <w:pPr>
        <w:ind w:right="120" w:firstLine="509"/>
        <w:spacing w:after="0" w:line="224"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 We believe we have adequate sources of funding for the ViaSat-3 constellation and consummation of the Inmarsat Transaction, which include, but are not limited to, our cash on hand, borrowing capacity, financing commitments obtained in connection with the Inmarsat Transaction and the cash we expect to generate from operations. Although a significant portion of transaction-related costs relating to the Inmarsat Transaction is contingent upon the closing of the Inmarsat Transaction occurring, some have been and will be incurred regardless of whether the Inmarsat Transaction is consummated.</w:t>
      </w:r>
    </w:p>
    <w:p>
      <w:pPr>
        <w:spacing w:after="0" w:line="137" w:lineRule="exact"/>
        <w:rPr>
          <w:sz w:val="20"/>
          <w:szCs w:val="20"/>
          <w:color w:val="auto"/>
        </w:rPr>
      </w:pPr>
    </w:p>
    <w:p>
      <w:pPr>
        <w:ind w:right="100" w:firstLine="509"/>
        <w:spacing w:after="0" w:line="222"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warrants and rights, which securities may be offered from time to time, separately or together, directly by us, by selling security holders, or through underwriters, dealers or agents at amounts, prices, interest rates and other terms to be determined at the time of the offering.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for fiscal year 2022 was $505.6 million compared to $727.2 million for fiscal year 2021. This</w:t>
      </w:r>
    </w:p>
    <w:p>
      <w:pPr>
        <w:spacing w:after="0" w:line="219" w:lineRule="auto"/>
        <w:rPr>
          <w:sz w:val="20"/>
          <w:szCs w:val="20"/>
          <w:color w:val="auto"/>
        </w:rPr>
      </w:pPr>
      <w:r>
        <w:rPr>
          <w:rFonts w:ascii="Arial" w:cs="Arial" w:eastAsia="Arial" w:hAnsi="Arial"/>
          <w:sz w:val="18"/>
          <w:szCs w:val="18"/>
          <w:color w:val="auto"/>
        </w:rPr>
        <w:t>$221.6 million decrease was primarily driven by a $290.1 million year-over-year increase in cash used to fund net operating assets, partially</w:t>
      </w:r>
    </w:p>
    <w:p>
      <w:pPr>
        <w:spacing w:after="0" w:line="219" w:lineRule="auto"/>
        <w:rPr>
          <w:sz w:val="20"/>
          <w:szCs w:val="20"/>
          <w:color w:val="auto"/>
        </w:rPr>
      </w:pPr>
      <w:r>
        <w:rPr>
          <w:rFonts w:ascii="Arial" w:cs="Arial" w:eastAsia="Arial" w:hAnsi="Arial"/>
          <w:sz w:val="18"/>
          <w:szCs w:val="18"/>
          <w:color w:val="auto"/>
        </w:rPr>
        <w:t>offset by our operating results (net loss adjusted for depreciation, amortization and other non-cash changes) which resulted in $68.5 million</w:t>
      </w:r>
    </w:p>
    <w:p>
      <w:pPr>
        <w:spacing w:after="0" w:line="219" w:lineRule="auto"/>
        <w:rPr>
          <w:sz w:val="20"/>
          <w:szCs w:val="20"/>
          <w:color w:val="auto"/>
        </w:rPr>
      </w:pPr>
      <w:r>
        <w:rPr>
          <w:rFonts w:ascii="Arial" w:cs="Arial" w:eastAsia="Arial" w:hAnsi="Arial"/>
          <w:sz w:val="18"/>
          <w:szCs w:val="18"/>
          <w:color w:val="auto"/>
        </w:rPr>
        <w:t>of higher cash provided by operating activities year-over-year. The increase in cash used to fund net operating assets during fiscal year 2022</w:t>
      </w:r>
    </w:p>
    <w:p>
      <w:pPr>
        <w:spacing w:after="0" w:line="219" w:lineRule="auto"/>
        <w:rPr>
          <w:sz w:val="20"/>
          <w:szCs w:val="20"/>
          <w:color w:val="auto"/>
        </w:rPr>
      </w:pPr>
      <w:r>
        <w:rPr>
          <w:rFonts w:ascii="Arial" w:cs="Arial" w:eastAsia="Arial" w:hAnsi="Arial"/>
          <w:sz w:val="18"/>
          <w:szCs w:val="18"/>
          <w:color w:val="auto"/>
        </w:rPr>
        <w:t>when compared to fiscal year 2021 was primarily due to a decrease in cash inflows year-over-year from combined billed and unbilled</w:t>
      </w:r>
    </w:p>
    <w:p>
      <w:pPr>
        <w:spacing w:after="0" w:line="219" w:lineRule="auto"/>
        <w:rPr>
          <w:sz w:val="20"/>
          <w:szCs w:val="20"/>
          <w:color w:val="auto"/>
        </w:rPr>
      </w:pPr>
      <w:r>
        <w:rPr>
          <w:rFonts w:ascii="Arial" w:cs="Arial" w:eastAsia="Arial" w:hAnsi="Arial"/>
          <w:sz w:val="18"/>
          <w:szCs w:val="18"/>
          <w:color w:val="auto"/>
        </w:rPr>
        <w:t>accounts receivable, net, primarily attributable to increased billings for IFC terminals in our commercial networks segment and a decrease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inflows year-over-year from our collections in excess of revenues and deferred revenues included in accrued liabilities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primarily due to the timing of milestone billings for certain larger development projects in our commercial networks segment.</w:t>
      </w:r>
    </w:p>
    <w:p>
      <w:pPr>
        <w:spacing w:after="0" w:line="144" w:lineRule="exact"/>
        <w:rPr>
          <w:sz w:val="20"/>
          <w:szCs w:val="20"/>
          <w:color w:val="auto"/>
        </w:rPr>
      </w:pPr>
    </w:p>
    <w:p>
      <w:pPr>
        <w:ind w:right="100" w:firstLine="509"/>
        <w:spacing w:after="0" w:line="227" w:lineRule="auto"/>
        <w:rPr>
          <w:sz w:val="20"/>
          <w:szCs w:val="20"/>
          <w:color w:val="auto"/>
        </w:rPr>
      </w:pPr>
      <w:r>
        <w:rPr>
          <w:rFonts w:ascii="Arial" w:cs="Arial" w:eastAsia="Arial" w:hAnsi="Arial"/>
          <w:sz w:val="18"/>
          <w:szCs w:val="18"/>
          <w:color w:val="auto"/>
        </w:rPr>
        <w:t>Cash used in investing activities for fiscal year 2022 was $1,129.8 million compared to $885.3 million for fiscal year 2021. This $244.6 million increase in cash used in investing activities year-over year reflects $138.7 million in cash used for the RigNet and EBI acquisitions in the first quarter of fiscal year 2022, an increase of approximately $78.4 million primarily related to cash used for the construction of earth stations and network operation systems and an increase of approximately $22.9 million in cash used for construction of satellites.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financing activities for fiscal year 2022 was $643.6 million compared to $149.7 million for fiscal year 2021. This</w:t>
      </w:r>
    </w:p>
    <w:p>
      <w:pPr>
        <w:spacing w:after="0" w:line="219" w:lineRule="auto"/>
        <w:rPr>
          <w:sz w:val="20"/>
          <w:szCs w:val="20"/>
          <w:color w:val="auto"/>
        </w:rPr>
      </w:pPr>
      <w:r>
        <w:rPr>
          <w:rFonts w:ascii="Arial" w:cs="Arial" w:eastAsia="Arial" w:hAnsi="Arial"/>
          <w:sz w:val="18"/>
          <w:szCs w:val="18"/>
          <w:color w:val="auto"/>
        </w:rPr>
        <w:t>$493.9 million increase in cash provided by financing activities year-over-year primarily reflects $686.0 million of proceeds received (net of</w:t>
      </w:r>
    </w:p>
    <w:p>
      <w:pPr>
        <w:spacing w:after="0" w:line="219" w:lineRule="auto"/>
        <w:rPr>
          <w:sz w:val="20"/>
          <w:szCs w:val="20"/>
          <w:color w:val="auto"/>
        </w:rPr>
      </w:pPr>
      <w:r>
        <w:rPr>
          <w:rFonts w:ascii="Arial" w:cs="Arial" w:eastAsia="Arial" w:hAnsi="Arial"/>
          <w:sz w:val="18"/>
          <w:szCs w:val="18"/>
          <w:color w:val="auto"/>
        </w:rPr>
        <w:t>issue discount) from borrowings under the Term Loan Facility, which was entered into in March 2022, partially offset by the repayment of</w:t>
      </w:r>
    </w:p>
    <w:p>
      <w:pPr>
        <w:spacing w:after="0" w:line="219" w:lineRule="auto"/>
        <w:rPr>
          <w:sz w:val="20"/>
          <w:szCs w:val="20"/>
          <w:color w:val="auto"/>
        </w:rPr>
      </w:pPr>
      <w:r>
        <w:rPr>
          <w:rFonts w:ascii="Arial" w:cs="Arial" w:eastAsia="Arial" w:hAnsi="Arial"/>
          <w:sz w:val="18"/>
          <w:szCs w:val="18"/>
          <w:color w:val="auto"/>
        </w:rPr>
        <w:t>outstanding borrowings under the Revolving Credit Facility in March 2022 with the net proceeds of the Term Loan Facility and $174.7 million</w:t>
      </w:r>
    </w:p>
    <w:p>
      <w:pPr>
        <w:spacing w:after="0" w:line="219" w:lineRule="auto"/>
        <w:rPr>
          <w:sz w:val="20"/>
          <w:szCs w:val="20"/>
          <w:color w:val="auto"/>
        </w:rPr>
      </w:pPr>
      <w:r>
        <w:rPr>
          <w:rFonts w:ascii="Arial" w:cs="Arial" w:eastAsia="Arial" w:hAnsi="Arial"/>
          <w:sz w:val="18"/>
          <w:szCs w:val="18"/>
          <w:color w:val="auto"/>
        </w:rPr>
        <w:t>in net proceeds from a private placement of common stock in the second quarter of fiscal year 2021 (after deducting offering expenses).</w:t>
      </w:r>
    </w:p>
    <w:p>
      <w:pPr>
        <w:spacing w:after="0" w:line="219" w:lineRule="auto"/>
        <w:rPr>
          <w:sz w:val="20"/>
          <w:szCs w:val="20"/>
          <w:color w:val="auto"/>
        </w:rPr>
      </w:pPr>
      <w:r>
        <w:rPr>
          <w:rFonts w:ascii="Arial" w:cs="Arial" w:eastAsia="Arial" w:hAnsi="Arial"/>
          <w:sz w:val="18"/>
          <w:szCs w:val="18"/>
          <w:color w:val="auto"/>
        </w:rPr>
        <w:t>Cash provided by financing activities for both periods included cash received from employee stock purchase plan purchases and the</w:t>
      </w:r>
    </w:p>
    <w:p>
      <w:pPr>
        <w:spacing w:after="0" w:line="219" w:lineRule="auto"/>
        <w:rPr>
          <w:sz w:val="20"/>
          <w:szCs w:val="20"/>
          <w:color w:val="auto"/>
        </w:rPr>
      </w:pPr>
      <w:r>
        <w:rPr>
          <w:rFonts w:ascii="Arial" w:cs="Arial" w:eastAsia="Arial" w:hAnsi="Arial"/>
          <w:sz w:val="18"/>
          <w:szCs w:val="18"/>
          <w:color w:val="auto"/>
        </w:rPr>
        <w:t>repurchase of common stock related to net share settlement of certain employee tax liabilities in connection with the vesting of restricted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unit awards.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85" w:lineRule="exact"/>
        <w:rPr>
          <w:sz w:val="20"/>
          <w:szCs w:val="20"/>
          <w:color w:val="auto"/>
        </w:rPr>
      </w:pPr>
    </w:p>
    <w:p>
      <w:pPr>
        <w:ind w:right="140" w:firstLine="509"/>
        <w:spacing w:after="0" w:line="224" w:lineRule="auto"/>
        <w:rPr>
          <w:sz w:val="20"/>
          <w:szCs w:val="20"/>
          <w:color w:val="auto"/>
        </w:rPr>
      </w:pPr>
      <w:r>
        <w:rPr>
          <w:rFonts w:ascii="Arial" w:cs="Arial" w:eastAsia="Arial" w:hAnsi="Arial"/>
          <w:sz w:val="18"/>
          <w:szCs w:val="18"/>
          <w:color w:val="auto"/>
        </w:rPr>
        <w:t>Our total capital expenditures in fiscal year 2023 are expected to be higher than fiscal year 2022, as we continue to invest in building and expanding our global network and satellite fleet, as well as costs related to the roll-out of related earth station infrastructure and increased ground network investments related to international expansion and other growth opportunities. See Note 12 — Commitments to our consolidated financial statements for information as of March 31, 2022 regarding our future minimum payments under our satellite construction contracts and other satellite-related purchase commitments (including satellite performance incentive obligations relating to the ViaSat-1 and ViaSat-2 satellites) for the next five fiscal years and thereafter.</w:t>
      </w:r>
    </w:p>
    <w:p>
      <w:pPr>
        <w:spacing w:after="0" w:line="137" w:lineRule="exact"/>
        <w:rPr>
          <w:sz w:val="20"/>
          <w:szCs w:val="20"/>
          <w:color w:val="auto"/>
        </w:rPr>
      </w:pPr>
    </w:p>
    <w:p>
      <w:pPr>
        <w:ind w:right="60" w:firstLine="509"/>
        <w:spacing w:after="0" w:line="224"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R&amp;D projects. Our IR&amp;D investments are expected to continue through fiscal year 2023 and beyond and support our government and commercial air mobility businesses. Additionally, we expect to continue to invest in building and expanding our global network and satellite fleet. IR&amp;D expenses were approximately 5%, 5% and 6% of total revenues in fiscal years 2022, 2021 and 2020, respectively. As a government contractor, we are able to recover a portion of our IR&amp;D expenses pursuant to our government contracts.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the aggregate principal amount of our total outstanding indebtedness was $2.5 billion, which was comprised of</w:t>
      </w:r>
    </w:p>
    <w:p>
      <w:pPr>
        <w:spacing w:after="0" w:line="219" w:lineRule="auto"/>
        <w:rPr>
          <w:sz w:val="20"/>
          <w:szCs w:val="20"/>
          <w:color w:val="auto"/>
        </w:rPr>
      </w:pPr>
      <w:r>
        <w:rPr>
          <w:rFonts w:ascii="Arial" w:cs="Arial" w:eastAsia="Arial" w:hAnsi="Arial"/>
          <w:sz w:val="18"/>
          <w:szCs w:val="18"/>
          <w:color w:val="auto"/>
        </w:rPr>
        <w:t>$700.0 million in principal amount of 2025 Notes, $600.0 million in principal amount of 2027 Notes, $400.0 million in principal amount of 2028</w:t>
      </w:r>
    </w:p>
    <w:p>
      <w:pPr>
        <w:spacing w:after="0" w:line="219" w:lineRule="auto"/>
        <w:rPr>
          <w:sz w:val="20"/>
          <w:szCs w:val="20"/>
          <w:color w:val="auto"/>
        </w:rPr>
      </w:pPr>
      <w:r>
        <w:rPr>
          <w:rFonts w:ascii="Arial" w:cs="Arial" w:eastAsia="Arial" w:hAnsi="Arial"/>
          <w:sz w:val="18"/>
          <w:szCs w:val="18"/>
          <w:color w:val="auto"/>
        </w:rPr>
        <w:t>Notes, $700.0 million in principal amount of outstanding borrowings under our Term Loan Facility, no outstanding borrowings under our</w:t>
      </w:r>
    </w:p>
    <w:p>
      <w:pPr>
        <w:spacing w:after="0" w:line="219" w:lineRule="auto"/>
        <w:rPr>
          <w:sz w:val="20"/>
          <w:szCs w:val="20"/>
          <w:color w:val="auto"/>
        </w:rPr>
      </w:pPr>
      <w:r>
        <w:rPr>
          <w:rFonts w:ascii="Arial" w:cs="Arial" w:eastAsia="Arial" w:hAnsi="Arial"/>
          <w:sz w:val="18"/>
          <w:szCs w:val="18"/>
          <w:color w:val="auto"/>
        </w:rPr>
        <w:t>$700.0 million Revolving Credit Facility, $78.6 million in principal amount of outstanding borrowings under our Ex-Im Credit Facility and $45.8</w:t>
      </w:r>
    </w:p>
    <w:p>
      <w:pPr>
        <w:spacing w:after="0" w:line="219" w:lineRule="auto"/>
        <w:rPr>
          <w:sz w:val="20"/>
          <w:szCs w:val="20"/>
          <w:color w:val="auto"/>
        </w:rPr>
      </w:pPr>
      <w:r>
        <w:rPr>
          <w:rFonts w:ascii="Arial" w:cs="Arial" w:eastAsia="Arial" w:hAnsi="Arial"/>
          <w:sz w:val="18"/>
          <w:szCs w:val="18"/>
          <w:color w:val="auto"/>
        </w:rPr>
        <w:t>million of finance lease obligations. For information regarding our Credit Facilities and Notes, refer to Note 6 – Senior Notes and Other Long-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Debt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rPr>
          <w:sz w:val="20"/>
          <w:szCs w:val="20"/>
          <w:color w:val="auto"/>
        </w:rPr>
      </w:pPr>
      <w:r>
        <w:rPr>
          <w:rFonts w:ascii="Arial" w:cs="Arial" w:eastAsia="Arial" w:hAnsi="Arial"/>
          <w:sz w:val="18"/>
          <w:szCs w:val="18"/>
          <w:color w:val="auto"/>
        </w:rPr>
        <w:t>March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For the Periods Ending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78,476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435,234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Senior Notes and Other Long-Term Debt (1)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172,658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3,091,341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5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Purchase commitments including satellite-</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1,516,336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1,062,513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FF0FC"/>
            </w:tcBorders>
            <w:shd w:val="clear" w:color="auto" w:fill="CFF0FC"/>
          </w:tcPr>
          <w:p>
            <w:pPr>
              <w:ind w:left="180"/>
              <w:spacing w:after="0" w:line="190" w:lineRule="exact"/>
              <w:rPr>
                <w:sz w:val="20"/>
                <w:szCs w:val="20"/>
                <w:color w:val="auto"/>
              </w:rPr>
            </w:pPr>
            <w:r>
              <w:rPr>
                <w:rFonts w:ascii="Arial" w:cs="Arial" w:eastAsia="Arial" w:hAnsi="Arial"/>
                <w:sz w:val="18"/>
                <w:szCs w:val="18"/>
                <w:color w:val="auto"/>
              </w:rPr>
              <w:t>related agreements</w:t>
            </w: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vMerge w:val="continue"/>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1,767,470</w:t>
            </w:r>
          </w:p>
        </w:tc>
        <w:tc>
          <w:tcPr>
            <w:tcW w:w="5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4,589,088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668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2" w:lineRule="exact"/>
        <w:rPr>
          <w:sz w:val="20"/>
          <w:szCs w:val="20"/>
          <w:color w:val="auto"/>
        </w:rPr>
      </w:pPr>
    </w:p>
    <w:p>
      <w:pPr>
        <w:ind w:right="440" w:firstLine="8"/>
        <w:spacing w:after="0" w:line="246"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March 31, 2022 until the applicable maturity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60" w:name="page61"/>
    <w:bookmarkEnd w:id="60"/>
    <w:p>
      <w:pPr>
        <w:ind w:right="180" w:firstLine="509"/>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8"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Our consolidated balance sheets included $157.5 million and $137.4 million of “other liabilities” as of March 31, 2022 and March 31, 2021, respectively, which primarily consisted of the long-term portion of deferred revenues, the long-term portion of our satellite performance incentive obligations relating to the ViaSat-1 and ViaSat-2 satellites, deferred income taxes and our long-term warranty obligations. With the exception of the long-term portion of our satellite performance incentive obligations relating to the ViaSat-1 and ViaSat-2 satellites (which is included under “Purchase commitments including satellite-related agreements”), these remaining liabilities have been excluded from the above table as the timing and/or the amount of any cash payment is uncertain. See Note 12 — Commitments to our consolidated financial statements for additional information regarding satellite performance incentive obligations relating to the ViaSat-1 and ViaSat-2 satellites. See Note 14 — Product Warranty to our consolidated financial statements for a discussion of our product warranties. Also excluded from the above table are amounts payable to the Sellers under the Purchase Agreement in the Inmarsat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We had no material off-balance sheet arrangements at March 31, 2022 as defined in Regulation S-K Item 303(b) other than as discussed under “Contractual Obligations” above or disclosed in the notes to our consolidated financial statements included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9"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The Company and a Summary of Its Significant Accounting Policies to the consolidated financial statements</w:t>
      </w:r>
      <w:r>
        <w:rPr>
          <w:rFonts w:ascii="Arial" w:cs="Arial" w:eastAsia="Arial" w:hAnsi="Arial"/>
          <w:sz w:val="18"/>
          <w:szCs w:val="18"/>
          <w:i w:val="1"/>
          <w:iCs w:val="1"/>
          <w:color w:val="auto"/>
        </w:rPr>
        <w:t>.</w:t>
      </w:r>
    </w:p>
    <w:p>
      <w:pPr>
        <w:spacing w:after="0" w:line="202" w:lineRule="exact"/>
        <w:rPr>
          <w:sz w:val="20"/>
          <w:szCs w:val="20"/>
          <w:color w:val="auto"/>
        </w:rPr>
      </w:pPr>
    </w:p>
    <w:p>
      <w:pPr>
        <w:ind w:right="4120"/>
        <w:spacing w:after="0" w:line="341"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March 31, 2022, we had $700.0 million in principal amount of outstanding borrowings under our Term Loan Facility, no outstanding borrowings under our Revolving Credit Facility, $78.6 million in principal amount of outstanding borrowings under our Ex-Im Credit Facility, $700.0 million in aggregate principal amount outstanding of the 2025 Notes, $600.0 million in aggregate principal amount outstanding of the 2027 Notes and $400.0 million in aggregate principal amount outstanding of the 2028 Notes, and we held no short-term investments. The Notes and borrowings under our Ex-Im Credit Facility bear interest at a fixed rate and therefore our exposure to market risk for changes in interest rates relates primarily to borrowings under our Term Loan Facility and Revolving Credit Facility, cash equivalents, short-term investments and short-term obligations.</w:t>
      </w:r>
    </w:p>
    <w:p>
      <w:pPr>
        <w:spacing w:after="0" w:line="15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fiscal years ended March 31, 2022 and 2021.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Our primary interest rate under the Term Loan Facility is the SOFR rate plus 4.50%. Our primary interest rate under the Revolving Credit Facility is the Eurodollar rate plus an applicable margin that is based on our total leverage ratio. As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ind w:right="60"/>
        <w:spacing w:after="0" w:line="237" w:lineRule="auto"/>
        <w:rPr>
          <w:sz w:val="20"/>
          <w:szCs w:val="20"/>
          <w:color w:val="auto"/>
        </w:rPr>
      </w:pPr>
      <w:r>
        <w:rPr>
          <w:rFonts w:ascii="Arial" w:cs="Arial" w:eastAsia="Arial" w:hAnsi="Arial"/>
          <w:sz w:val="18"/>
          <w:szCs w:val="18"/>
          <w:color w:val="auto"/>
        </w:rPr>
        <w:t>March 31, 2022, the effective interest rate on our outstanding borrowings under the Term Loan Facility was 5.51%. Under the Revolving Credit Facility, the effective interest rate as of March 31, 2022 that would have been applied to any new Eurodollar-based borrowings under the Revolving Credit Facility was approximately 3.85%. As of March 31, 2022, we had no outstanding borrowings under our Revolving Credit Facility. Accordingly, assuming the outstanding balance under the Term Loan Facility remained constant and we continued to have no outstanding borrowings under the Revolving Credit Facility over a year, a 50 basis point increase in the interest rates would increase interest incurred, prior to effects of capitalized interest, by approximately $3.5 million over a 12-month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(loss) income before income taxes by $1.3 million and $1.1 million for the fiscal years ended March 31, 2022 and 2021,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March 31, 2021, we had no foreign currency forward contracts outstanding.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consolidated financial statements at March 31, 2022 and March 31, 2021 and for each of the three fiscal years in the period ended March 31, 2022, and the Report of PricewaterhouseCoopers LLP, Independent Registered Public Accounting Firm (PCAOB ID 238), are included in this report on pages F-1 through F-47.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2022 and 2021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1st Quarter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2022</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664,860</w:t>
            </w:r>
          </w:p>
        </w:tc>
        <w:tc>
          <w:tcPr>
            <w:tcW w:w="14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701,354</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719,717</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701,704</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16,292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8,298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(20,787 )</w:t>
            </w: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18,012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5,150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(3,990 )</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(21,655 )</w:t>
            </w: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attributable to Viasat, Inc.</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16,968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(6,613 )</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(29,180 )</w:t>
            </w:r>
          </w:p>
        </w:tc>
      </w:tr>
      <w:tr>
        <w:trPr>
          <w:trHeight w:val="175"/>
        </w:trPr>
        <w:tc>
          <w:tcPr>
            <w:tcW w:w="5840" w:type="dxa"/>
            <w:vAlign w:val="bottom"/>
          </w:tcPr>
          <w:p>
            <w:pPr>
              <w:ind w:left="20"/>
              <w:spacing w:after="0" w:line="175" w:lineRule="exact"/>
              <w:rPr>
                <w:sz w:val="20"/>
                <w:szCs w:val="20"/>
                <w:color w:val="auto"/>
              </w:rPr>
            </w:pPr>
            <w:r>
              <w:rPr>
                <w:rFonts w:ascii="Arial" w:cs="Arial" w:eastAsia="Arial" w:hAnsi="Arial"/>
                <w:sz w:val="18"/>
                <w:szCs w:val="18"/>
                <w:color w:val="auto"/>
              </w:rPr>
              <w:t>Basic net income (loss) per share attributable to</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840" w:type="dxa"/>
            <w:vAlign w:val="bottom"/>
          </w:tcPr>
          <w:p>
            <w:pPr>
              <w:ind w:left="180"/>
              <w:spacing w:after="0" w:line="203" w:lineRule="exact"/>
              <w:rPr>
                <w:sz w:val="20"/>
                <w:szCs w:val="20"/>
                <w:color w:val="auto"/>
              </w:rPr>
            </w:pPr>
            <w:r>
              <w:rPr>
                <w:rFonts w:ascii="Arial" w:cs="Arial" w:eastAsia="Arial" w:hAnsi="Arial"/>
                <w:sz w:val="18"/>
                <w:szCs w:val="18"/>
                <w:color w:val="auto"/>
              </w:rPr>
              <w:t>Viasat, Inc.</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0.24</w:t>
            </w:r>
          </w:p>
        </w:tc>
        <w:tc>
          <w:tcPr>
            <w:tcW w:w="140" w:type="dxa"/>
            <w:vAlign w:val="bottom"/>
          </w:tcPr>
          <w:p>
            <w:pPr>
              <w:spacing w:after="0"/>
              <w:rPr>
                <w:sz w:val="17"/>
                <w:szCs w:val="17"/>
                <w:color w:val="auto"/>
              </w:rPr>
            </w:pP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0.04</w:t>
            </w:r>
          </w:p>
        </w:tc>
        <w:tc>
          <w:tcPr>
            <w:tcW w:w="3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(0.09 )</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(0.39 )</w:t>
            </w:r>
          </w:p>
        </w:tc>
      </w:tr>
      <w:tr>
        <w:trPr>
          <w:trHeight w:val="175"/>
        </w:trPr>
        <w:tc>
          <w:tcPr>
            <w:tcW w:w="58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Diluted net income (loss) per share attributable to</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8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Viasat, Inc.</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0.23</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0.04</w:t>
            </w:r>
          </w:p>
        </w:tc>
        <w:tc>
          <w:tcPr>
            <w:tcW w:w="3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(0.09 )</w:t>
            </w: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(0.39 )</w:t>
            </w: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revenues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530,488</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554,278</w:t>
            </w:r>
          </w:p>
        </w:tc>
        <w:tc>
          <w:tcPr>
            <w:tcW w:w="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575,559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595,782</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(Loss) income from operations</w:t>
            </w:r>
          </w:p>
        </w:tc>
        <w:tc>
          <w:tcPr>
            <w:tcW w:w="16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(5,314 )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12,683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21,760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29,104</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(8,527 )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7,760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14,477</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Net (loss) income attributable to Viasat, Inc.</w:t>
            </w:r>
          </w:p>
        </w:tc>
        <w:tc>
          <w:tcPr>
            <w:tcW w:w="16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(12,389 )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7,357</w:t>
            </w:r>
          </w:p>
        </w:tc>
        <w:tc>
          <w:tcPr>
            <w:tcW w:w="100" w:type="dxa"/>
            <w:vAlign w:val="bottom"/>
          </w:tcPr>
          <w:p>
            <w:pPr>
              <w:spacing w:after="0"/>
              <w:rPr>
                <w:sz w:val="17"/>
                <w:szCs w:val="17"/>
                <w:color w:val="auto"/>
              </w:rPr>
            </w:pPr>
          </w:p>
        </w:tc>
      </w:tr>
      <w:tr>
        <w:trPr>
          <w:trHeight w:val="175"/>
        </w:trPr>
        <w:tc>
          <w:tcPr>
            <w:tcW w:w="58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Basic net (loss) income per share attributable to</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84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Viasat, Inc.</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(0.20 )</w:t>
            </w:r>
          </w:p>
        </w:tc>
        <w:tc>
          <w:tcPr>
            <w:tcW w:w="2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7"/>
                <w:szCs w:val="17"/>
                <w:color w:val="auto"/>
              </w:rPr>
            </w:pPr>
          </w:p>
        </w:tc>
      </w:tr>
      <w:tr>
        <w:trPr>
          <w:trHeight w:val="175"/>
        </w:trPr>
        <w:tc>
          <w:tcPr>
            <w:tcW w:w="5840" w:type="dxa"/>
            <w:vAlign w:val="bottom"/>
          </w:tcPr>
          <w:p>
            <w:pPr>
              <w:ind w:left="20"/>
              <w:spacing w:after="0" w:line="175" w:lineRule="exact"/>
              <w:rPr>
                <w:sz w:val="20"/>
                <w:szCs w:val="20"/>
                <w:color w:val="auto"/>
              </w:rPr>
            </w:pPr>
            <w:r>
              <w:rPr>
                <w:rFonts w:ascii="Arial" w:cs="Arial" w:eastAsia="Arial" w:hAnsi="Arial"/>
                <w:sz w:val="18"/>
                <w:szCs w:val="18"/>
                <w:color w:val="auto"/>
              </w:rPr>
              <w:t>Diluted net (loss) income per share attributable to</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5840" w:type="dxa"/>
            <w:vAlign w:val="bottom"/>
          </w:tcPr>
          <w:p>
            <w:pPr>
              <w:ind w:left="180"/>
              <w:spacing w:after="0"/>
              <w:rPr>
                <w:sz w:val="20"/>
                <w:szCs w:val="20"/>
                <w:color w:val="auto"/>
              </w:rPr>
            </w:pPr>
            <w:r>
              <w:rPr>
                <w:rFonts w:ascii="Arial" w:cs="Arial" w:eastAsia="Arial" w:hAnsi="Arial"/>
                <w:sz w:val="18"/>
                <w:szCs w:val="18"/>
                <w:color w:val="auto"/>
              </w:rPr>
              <w:t>Viasat,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(0.20 )</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r>
    </w:tbl>
    <w:p>
      <w:pPr>
        <w:spacing w:after="0" w:line="16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summarized quarterly data above includes the operating results of RigNet and EBI from the date of acquisition on April 30, 2021. Therefore the first quarter of fiscal year 2022 only includes two months of operating results, whereas the remaining quarters of fiscal year 2022 include a full quarter of operating results.</w:t>
      </w:r>
    </w:p>
    <w:p>
      <w:pPr>
        <w:spacing w:after="0" w:line="149"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2022, the end of the period covered by this report. Based upon the foregoing, our Chief Executive Officer and Chief Financial Officer concluded that our disclosure controls and procedures were effective at a reasonable assurance level as of March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31, 2022.</w:t>
      </w:r>
    </w:p>
    <w:p>
      <w:pPr>
        <w:spacing w:after="0" w:line="15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We excluded RigNet and EBI from our assessment of internal control over financial reporting as of March 31, 2022 because we acquired RigNet and EBI in purchase business combinations during fiscal year 2022. RigNet and EBI are wholly-owned subsidiaries whose total assets and total revenues represent approximately 6% and 3% of total assets, respectively, and approximately 6% and 1% of total revenues, respectively, as of and for the year ended March 31, 2022.</w:t>
      </w:r>
    </w:p>
    <w:p>
      <w:pPr>
        <w:spacing w:after="0" w:line="151"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2022, as stated in their report which appears on page F-1.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2022,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On May 27, 2022, the Compensation and Human Resources Committee of our Board of Directors approved a form of amendment to the Change in Control Severance Agreement to be entered into with each of our executive officers (each, an Amendment). Pursuant to the existing Change in Control Severance Agreements, each executive officer is entitled to receive certain severance payments and benefits in the event of such executive officer’s termination of employment by us without “cause” or the executive officer’s resignation for “good reason”, in either case, within two months prior to or within 18 months following a “change in control” of Viasat (as defined in the applicable Change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spacing w:after="0" w:line="238" w:lineRule="auto"/>
        <w:rPr>
          <w:sz w:val="20"/>
          <w:szCs w:val="20"/>
          <w:color w:val="auto"/>
        </w:rPr>
      </w:pPr>
      <w:r>
        <w:rPr>
          <w:rFonts w:ascii="Arial" w:cs="Arial" w:eastAsia="Arial" w:hAnsi="Arial"/>
          <w:sz w:val="18"/>
          <w:szCs w:val="18"/>
          <w:color w:val="auto"/>
        </w:rPr>
        <w:t>Control Severance Agreement). Each Amendment broadens the definition of a “change in control” of Viasat to include the consummation of the Inmarsat Transaction. The foregoing description of the Amendments is qualified in its entirety by reference to the form of Change in Control Severance Agreement, a copy of which has been previously filed as Exhibit 10.1 to Viasat’s Current Report on Form 8-K filed with the SEC on August 4, 2010, and the form of Amendment, a copy of which is filed hereto as Exhibit 10.12.1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0" w:right="519" w:bottom="1440" w:gutter="0" w:footer="0" w:header="0"/>
        </w:sectPr>
      </w:pPr>
    </w:p>
    <w:bookmarkStart w:id="64" w:name="page65"/>
    <w:bookmarkEnd w:id="64"/>
    <w:p>
      <w:pPr>
        <w:ind w:left="5280"/>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9"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2022 Annual Meeting of Stockholders (the Proxy Statement) under the headings “Corporate Governance Principles and Board Matters,” “Election of Directors” and “Ownership of Securities,” and is incorporated herein by reference.</w:t>
      </w:r>
    </w:p>
    <w:p>
      <w:pPr>
        <w:spacing w:after="0" w:line="14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4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9" w:lineRule="exact"/>
        <w:rPr>
          <w:sz w:val="20"/>
          <w:szCs w:val="20"/>
          <w:color w:val="auto"/>
        </w:rPr>
      </w:pPr>
    </w:p>
    <w:p>
      <w:pPr>
        <w:ind w:right="820" w:firstLine="509"/>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20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41"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9"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86" w:lineRule="exact"/>
        <w:rPr>
          <w:sz w:val="20"/>
          <w:szCs w:val="20"/>
          <w:color w:val="auto"/>
        </w:rPr>
      </w:pPr>
    </w:p>
    <w:p>
      <w:pPr>
        <w:jc w:val="center"/>
        <w:ind w:left="10060"/>
        <w:spacing w:after="0"/>
        <w:rPr>
          <w:sz w:val="20"/>
          <w:szCs w:val="20"/>
          <w:color w:val="auto"/>
        </w:rPr>
      </w:pPr>
      <w:r>
        <w:rPr>
          <w:rFonts w:ascii="Arial" w:cs="Arial" w:eastAsia="Arial" w:hAnsi="Arial"/>
          <w:sz w:val="14"/>
          <w:szCs w:val="14"/>
          <w:b w:val="1"/>
          <w:bCs w:val="1"/>
          <w:color w:val="auto"/>
        </w:rPr>
        <w:t>Page</w:t>
      </w:r>
    </w:p>
    <w:p>
      <w:pPr>
        <w:spacing w:after="0" w:line="6" w:lineRule="exact"/>
        <w:rPr>
          <w:sz w:val="20"/>
          <w:szCs w:val="20"/>
          <w:color w:val="auto"/>
        </w:rPr>
      </w:pPr>
    </w:p>
    <w:p>
      <w:pPr>
        <w:jc w:val="center"/>
        <w:ind w:left="100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6350</wp:posOffset>
            </wp:positionV>
            <wp:extent cx="5740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2" w:lineRule="exact"/>
        <w:rPr>
          <w:sz w:val="20"/>
          <w:szCs w:val="20"/>
          <w:color w:val="auto"/>
        </w:rPr>
      </w:pPr>
    </w:p>
    <w:p>
      <w:pPr>
        <w:ind w:left="10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-19050</wp:posOffset>
            </wp:positionV>
            <wp:extent cx="2921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21635" cy="8255"/>
                    </a:xfrm>
                    <a:prstGeom prst="rect">
                      <a:avLst/>
                    </a:prstGeom>
                    <a:noFill/>
                  </pic:spPr>
                </pic:pic>
              </a:graphicData>
            </a:graphic>
          </wp:anchor>
        </w:drawing>
      </w:r>
    </w:p>
    <w:p>
      <w:pPr>
        <w:spacing w:after="0" w:line="16" w:lineRule="exact"/>
        <w:rPr>
          <w:sz w:val="20"/>
          <w:szCs w:val="20"/>
          <w:color w:val="auto"/>
        </w:rPr>
      </w:pPr>
    </w:p>
    <w:p>
      <w:pPr>
        <w:ind w:left="10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Balance Sheets as of March 31, 2022 and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-19050</wp:posOffset>
            </wp:positionV>
            <wp:extent cx="36518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1020" w:right="900"/>
        <w:spacing w:after="0" w:line="219" w:lineRule="auto"/>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Operations and Comprehensive Income (Loss) for the fiscal years ended March 31,</w:t>
        </w:r>
      </w:hyperlink>
      <w:r>
        <w:rPr>
          <w:rFonts w:ascii="Arial" w:cs="Arial" w:eastAsia="Arial" w:hAnsi="Arial"/>
          <w:sz w:val="18"/>
          <w:szCs w:val="18"/>
          <w:u w:val="single" w:color="auto"/>
          <w:color w:val="0000FF"/>
        </w:rPr>
        <w:t xml:space="preserve"> </w:t>
      </w:r>
      <w:hyperlink w:anchor="page76">
        <w:r>
          <w:rPr>
            <w:rFonts w:ascii="Arial" w:cs="Arial" w:eastAsia="Arial" w:hAnsi="Arial"/>
            <w:sz w:val="18"/>
            <w:szCs w:val="18"/>
            <w:u w:val="single" w:color="auto"/>
            <w:color w:val="0000FF"/>
          </w:rPr>
          <w:t>2022, March 31, 2021 and March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-127000</wp:posOffset>
            </wp:positionV>
            <wp:extent cx="56838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8388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-15875</wp:posOffset>
            </wp:positionV>
            <wp:extent cx="21596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ind w:left="1020" w:right="1000"/>
        <w:spacing w:after="0" w:line="219" w:lineRule="auto"/>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Cash Flows for the fiscal years ended March 31, 2022, March 31, 2021 and March</w:t>
        </w:r>
      </w:hyperlink>
      <w:r>
        <w:rPr>
          <w:rFonts w:ascii="Arial" w:cs="Arial" w:eastAsia="Arial" w:hAnsi="Arial"/>
          <w:sz w:val="18"/>
          <w:szCs w:val="18"/>
          <w:u w:val="single" w:color="auto"/>
          <w:color w:val="0000FF"/>
        </w:rPr>
        <w:t xml:space="preserve"> </w:t>
      </w:r>
      <w:hyperlink w:anchor="page77">
        <w:r>
          <w:rPr>
            <w:rFonts w:ascii="Arial" w:cs="Arial" w:eastAsia="Arial" w:hAnsi="Arial"/>
            <w:sz w:val="18"/>
            <w:szCs w:val="18"/>
            <w:u w:val="single" w:color="auto"/>
            <w:color w:val="0000FF"/>
          </w:rPr>
          <w:t>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-127000</wp:posOffset>
            </wp:positionV>
            <wp:extent cx="56267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2673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-15875</wp:posOffset>
            </wp:positionV>
            <wp:extent cx="444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ind w:left="1020" w:right="1140"/>
        <w:spacing w:after="0" w:line="219" w:lineRule="auto"/>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Equity for the fiscal years ended March 31, 2022, March 31, 2021 and March 31,</w:t>
        </w:r>
      </w:hyperlink>
      <w:r>
        <w:rPr>
          <w:rFonts w:ascii="Arial" w:cs="Arial" w:eastAsia="Arial" w:hAnsi="Arial"/>
          <w:sz w:val="18"/>
          <w:szCs w:val="18"/>
          <w:u w:val="single" w:color="auto"/>
          <w:color w:val="0000FF"/>
        </w:rPr>
        <w:t xml:space="preserve"> </w:t>
      </w:r>
      <w:hyperlink w:anchor="page78">
        <w:r>
          <w:rPr>
            <w:rFonts w:ascii="Arial" w:cs="Arial" w:eastAsia="Arial" w:hAnsi="Arial"/>
            <w:sz w:val="18"/>
            <w:szCs w:val="18"/>
            <w:u w:val="single" w:color="auto"/>
            <w:color w:val="0000FF"/>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-127000</wp:posOffset>
            </wp:positionV>
            <wp:extent cx="5537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-15875</wp:posOffset>
            </wp:positionV>
            <wp:extent cx="2540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ind w:left="10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the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-19050</wp:posOffset>
            </wp:positionV>
            <wp:extent cx="2413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43" w:lineRule="exact"/>
        <w:rPr>
          <w:sz w:val="20"/>
          <w:szCs w:val="20"/>
          <w:color w:val="auto"/>
        </w:rPr>
      </w:pPr>
    </w:p>
    <w:p>
      <w:pPr>
        <w:ind w:left="1020" w:hanging="558"/>
        <w:spacing w:after="0"/>
        <w:tabs>
          <w:tab w:leader="none" w:pos="1020" w:val="left"/>
        </w:tabs>
        <w:numPr>
          <w:ilvl w:val="0"/>
          <w:numId w:val="31"/>
        </w:numPr>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Schedule II — Valuation and Qualifying Accounts for the three fiscal years ended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-19050</wp:posOffset>
            </wp:positionV>
            <wp:extent cx="49072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07280" cy="8255"/>
                    </a:xfrm>
                    <a:prstGeom prst="rect">
                      <a:avLst/>
                    </a:prstGeom>
                    <a:noFill/>
                  </pic:spPr>
                </pic:pic>
              </a:graphicData>
            </a:graphic>
          </wp:anchor>
        </w:drawing>
      </w:r>
    </w:p>
    <w:p>
      <w:pPr>
        <w:spacing w:after="0" w:line="16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6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120"/>
        <w:spacing w:after="0" w:line="324" w:lineRule="auto"/>
        <w:rPr>
          <w:sz w:val="20"/>
          <w:szCs w:val="20"/>
          <w:color w:val="auto"/>
        </w:rPr>
      </w:pPr>
      <w:r>
        <w:rPr>
          <w:rFonts w:ascii="Arial" w:cs="Arial" w:eastAsia="Arial" w:hAnsi="Arial"/>
          <w:sz w:val="17"/>
          <w:szCs w:val="17"/>
          <w:color w:val="auto"/>
        </w:rPr>
        <w:t>F-1 F-4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F-5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F-6</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F-7</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F-8</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II-1</w:t>
      </w:r>
    </w:p>
    <w:p>
      <w:pPr>
        <w:spacing w:after="0" w:line="1076" w:lineRule="exact"/>
        <w:rPr>
          <w:sz w:val="20"/>
          <w:szCs w:val="20"/>
          <w:color w:val="auto"/>
        </w:rPr>
      </w:pPr>
    </w:p>
    <w:p>
      <w:pPr>
        <w:sectPr>
          <w:pgSz w:w="11900" w:h="16838" w:orient="portrait"/>
          <w:cols w:equalWidth="0" w:num="2">
            <w:col w:w="10820" w:space="20"/>
            <w:col w:w="380"/>
          </w:cols>
          <w:pgMar w:left="320" w:top="118" w:right="359" w:bottom="1440" w:gutter="0" w:footer="0" w:header="0"/>
          <w:type w:val="continuous"/>
        </w:sectPr>
      </w:pPr>
    </w:p>
    <w:tbl>
      <w:tblPr>
        <w:tblLayout w:type="fixed"/>
        <w:tblInd w:w="140" w:type="dxa"/>
        <w:tblCellMar>
          <w:top w:w="0" w:type="dxa"/>
          <w:left w:w="0" w:type="dxa"/>
          <w:bottom w:w="0" w:type="dxa"/>
          <w:right w:w="0" w:type="dxa"/>
        </w:tblCellMar>
      </w:tblPr>
      <w:tr>
        <w:trPr>
          <w:trHeight w:val="154"/>
        </w:trPr>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Incorporated by Reference</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54"/>
        </w:trPr>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15"/>
            <w:vMerge w:val="restart"/>
          </w:tcPr>
          <w:p>
            <w:pPr>
              <w:ind w:left="200"/>
              <w:spacing w:after="0"/>
              <w:rPr>
                <w:sz w:val="20"/>
                <w:szCs w:val="20"/>
                <w:color w:val="auto"/>
              </w:rPr>
            </w:pPr>
            <w:r>
              <w:rPr>
                <w:rFonts w:ascii="Arial" w:cs="Arial" w:eastAsia="Arial" w:hAnsi="Arial"/>
                <w:sz w:val="12"/>
                <w:szCs w:val="12"/>
                <w:b w:val="1"/>
                <w:bCs w:val="1"/>
                <w:color w:val="auto"/>
              </w:rPr>
              <w:t>Exhibit Description</w:t>
            </w:r>
          </w:p>
        </w:tc>
        <w:tc>
          <w:tcPr>
            <w:tcW w:w="140" w:type="dxa"/>
            <w:vAlign w:val="bottom"/>
            <w:vMerge w:val="restart"/>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4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6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6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14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15"/>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4">
              <w:r>
                <w:rPr>
                  <w:rFonts w:ascii="Arial" w:cs="Arial" w:eastAsia="Arial" w:hAnsi="Arial"/>
                  <w:sz w:val="16"/>
                  <w:szCs w:val="16"/>
                  <w:color w:val="0000FF"/>
                </w:rPr>
                <w:t>Agreement and Plan of Merger, dated as of December 20,</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2.1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12/21/2020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500" w:type="dxa"/>
            <w:vAlign w:val="bottom"/>
            <w:gridSpan w:val="24"/>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2020, by and among Viasat, Inc., Royal Acquisition Sub, Inc.</w:t>
              </w:r>
            </w:hyperlink>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7"/>
              </w:rPr>
            </w:pPr>
            <w:hyperlink r:id="rId134">
              <w:r>
                <w:rPr>
                  <w:rFonts w:ascii="Arial" w:cs="Arial" w:eastAsia="Arial" w:hAnsi="Arial"/>
                  <w:sz w:val="16"/>
                  <w:szCs w:val="16"/>
                  <w:color w:val="0000FF"/>
                  <w:w w:val="97"/>
                </w:rPr>
                <w:t>and RigNet, Inc.</w:t>
              </w:r>
            </w:hyperlink>
          </w:p>
        </w:tc>
        <w:tc>
          <w:tcPr>
            <w:tcW w:w="20" w:type="dxa"/>
            <w:vAlign w:val="bottom"/>
            <w:tcBorders>
              <w:top w:val="single" w:sz="8" w:color="0000FF"/>
              <w:bottom w:val="single" w:sz="8" w:color="0000EE"/>
            </w:tcBorders>
          </w:tcPr>
          <w:p>
            <w:pPr>
              <w:spacing w:after="0"/>
              <w:rPr>
                <w:sz w:val="12"/>
                <w:szCs w:val="12"/>
                <w:color w:val="auto"/>
              </w:rPr>
            </w:pPr>
          </w:p>
        </w:tc>
        <w:tc>
          <w:tcPr>
            <w:tcW w:w="3200" w:type="dxa"/>
            <w:vAlign w:val="bottom"/>
            <w:tcBorders>
              <w:top w:val="single" w:sz="8" w:color="0000FF"/>
            </w:tcBorders>
            <w:gridSpan w:val="16"/>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5">
              <w:r>
                <w:rPr>
                  <w:rFonts w:ascii="Arial" w:cs="Arial" w:eastAsia="Arial" w:hAnsi="Arial"/>
                  <w:sz w:val="16"/>
                  <w:szCs w:val="16"/>
                  <w:color w:val="0000FF"/>
                </w:rPr>
                <w:t>Share Purchase Agreement, dated as of November 8, 2021,</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2.1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11/08/2021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by and among Viasat, Inc. and the shareholders of Connect</w:t>
              </w:r>
            </w:hyperlink>
          </w:p>
        </w:tc>
        <w:tc>
          <w:tcPr>
            <w:tcW w:w="16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Topco Limited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6">
              <w:r>
                <w:rPr>
                  <w:rFonts w:ascii="Arial" w:cs="Arial" w:eastAsia="Arial" w:hAnsi="Arial"/>
                  <w:sz w:val="16"/>
                  <w:szCs w:val="16"/>
                  <w:color w:val="0000FF"/>
                </w:rPr>
                <w:t>Second Amended and Restated Certificate of Incorporation</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10-Q</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3.1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11/14/2000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6"/>
              </w:rPr>
            </w:pPr>
            <w:hyperlink r:id="rId136">
              <w:r>
                <w:rPr>
                  <w:rFonts w:ascii="Arial" w:cs="Arial" w:eastAsia="Arial" w:hAnsi="Arial"/>
                  <w:sz w:val="16"/>
                  <w:szCs w:val="16"/>
                  <w:color w:val="0000FF"/>
                  <w:w w:val="96"/>
                </w:rPr>
                <w:t>of ViaSat, Inc.</w:t>
              </w:r>
            </w:hyperlink>
          </w:p>
        </w:tc>
        <w:tc>
          <w:tcPr>
            <w:tcW w:w="20" w:type="dxa"/>
            <w:vAlign w:val="bottom"/>
            <w:tcBorders>
              <w:top w:val="single" w:sz="8" w:color="0000FF"/>
              <w:bottom w:val="single" w:sz="8" w:color="0000EE"/>
            </w:tcBorders>
          </w:tcPr>
          <w:p>
            <w:pPr>
              <w:spacing w:after="0"/>
              <w:rPr>
                <w:sz w:val="12"/>
                <w:szCs w:val="12"/>
                <w:color w:val="auto"/>
              </w:rPr>
            </w:pPr>
          </w:p>
        </w:tc>
        <w:tc>
          <w:tcPr>
            <w:tcW w:w="326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Second Amended and Restated Bylaws of ViaSat, Inc.</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3.1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12/04/2012</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sz w:val="20"/>
                <w:szCs w:val="20"/>
                <w:color w:val="auto"/>
              </w:rPr>
            </w:pPr>
            <w:r>
              <w:rPr>
                <w:rFonts w:ascii="Arial" w:cs="Arial" w:eastAsia="Arial" w:hAnsi="Arial"/>
                <w:sz w:val="16"/>
                <w:szCs w:val="16"/>
                <w:color w:val="auto"/>
              </w:rPr>
              <w:t>Form of Common Stock Certificate (p)</w:t>
            </w:r>
          </w:p>
        </w:tc>
        <w:tc>
          <w:tcPr>
            <w:tcW w:w="1320" w:type="dxa"/>
            <w:vAlign w:val="bottom"/>
          </w:tcPr>
          <w:p>
            <w:pPr>
              <w:jc w:val="center"/>
              <w:spacing w:after="0"/>
              <w:rPr>
                <w:sz w:val="20"/>
                <w:szCs w:val="20"/>
                <w:color w:val="auto"/>
              </w:rPr>
            </w:pPr>
            <w:r>
              <w:rPr>
                <w:rFonts w:ascii="Arial" w:cs="Arial" w:eastAsia="Arial" w:hAnsi="Arial"/>
                <w:sz w:val="16"/>
                <w:szCs w:val="16"/>
                <w:color w:val="auto"/>
              </w:rPr>
              <w:t>S-1/A</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333-13183</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11/05/1996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8">
              <w:r>
                <w:rPr>
                  <w:rFonts w:ascii="Arial" w:cs="Arial" w:eastAsia="Arial" w:hAnsi="Arial"/>
                  <w:sz w:val="16"/>
                  <w:szCs w:val="16"/>
                  <w:color w:val="0000FF"/>
                </w:rPr>
                <w:t>Indenture dated as of September 21, 2017, between ViaSat,</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09/21/2017</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 and Wilmington Trust, National Association, as trustee</w:t>
              </w:r>
            </w:hyperlink>
          </w:p>
        </w:tc>
        <w:tc>
          <w:tcPr>
            <w:tcW w:w="120" w:type="dxa"/>
            <w:vAlign w:val="bottom"/>
            <w:tcBorders>
              <w:top w:val="single" w:sz="8" w:color="0000FF"/>
            </w:tcBorders>
            <w:gridSpan w:val="6"/>
          </w:tcPr>
          <w:p>
            <w:pPr>
              <w:spacing w:after="0"/>
              <w:rPr>
                <w:sz w:val="12"/>
                <w:szCs w:val="12"/>
                <w:color w:val="auto"/>
              </w:rPr>
            </w:pPr>
          </w:p>
        </w:tc>
        <w:tc>
          <w:tcPr>
            <w:tcW w:w="180" w:type="dxa"/>
            <w:vAlign w:val="bottom"/>
            <w:gridSpan w:val="3"/>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8">
              <w:r>
                <w:rPr>
                  <w:rFonts w:ascii="Arial" w:cs="Arial" w:eastAsia="Arial" w:hAnsi="Arial"/>
                  <w:sz w:val="16"/>
                  <w:szCs w:val="16"/>
                  <w:color w:val="0000FF"/>
                </w:rPr>
                <w:t>Form of 5.625% Senior Note due 2025 of ViaSat, Inc.</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09/21/2017</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(attached as Exhibit A to the Indenture filed as Exhibit</w:t>
              </w:r>
            </w:hyperlink>
          </w:p>
        </w:tc>
        <w:tc>
          <w:tcPr>
            <w:tcW w:w="260" w:type="dxa"/>
            <w:vAlign w:val="bottom"/>
            <w:tcBorders>
              <w:bottom w:val="single" w:sz="8" w:color="0000FF"/>
            </w:tcBorders>
            <w:gridSpan w:val="2"/>
          </w:tcPr>
          <w:p>
            <w:pPr>
              <w:jc w:val="right"/>
              <w:ind w:right="60"/>
              <w:spacing w:after="0" w:line="142" w:lineRule="exact"/>
              <w:rPr>
                <w:rFonts w:ascii="Arial" w:cs="Arial" w:eastAsia="Arial" w:hAnsi="Arial"/>
                <w:sz w:val="16"/>
                <w:szCs w:val="16"/>
                <w:color w:val="0000FF"/>
                <w:w w:val="80"/>
              </w:rPr>
            </w:pPr>
            <w:hyperlink r:id="rId138">
              <w:r>
                <w:rPr>
                  <w:rFonts w:ascii="Arial" w:cs="Arial" w:eastAsia="Arial" w:hAnsi="Arial"/>
                  <w:sz w:val="16"/>
                  <w:szCs w:val="16"/>
                  <w:color w:val="0000FF"/>
                  <w:w w:val="80"/>
                </w:rPr>
                <w:t>4.2</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gridSpan w:val="4"/>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gridSpan w:val="13"/>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hereto)</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gridSpan w:val="4"/>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9">
              <w:r>
                <w:rPr>
                  <w:rFonts w:ascii="Arial" w:cs="Arial" w:eastAsia="Arial" w:hAnsi="Arial"/>
                  <w:sz w:val="16"/>
                  <w:szCs w:val="16"/>
                  <w:color w:val="0000FF"/>
                </w:rPr>
                <w:t>Indenture, dated as of March 27, 2019, between Viasat, Inc.</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03/27/2019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and Wilmington Trust, National Association, as trustee and</w:t>
              </w:r>
            </w:hyperlink>
          </w:p>
        </w:tc>
        <w:tc>
          <w:tcPr>
            <w:tcW w:w="200" w:type="dxa"/>
            <w:vAlign w:val="bottom"/>
            <w:gridSpan w:val="4"/>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8"/>
              </w:rPr>
            </w:pPr>
            <w:hyperlink r:id="rId139">
              <w:r>
                <w:rPr>
                  <w:rFonts w:ascii="Arial" w:cs="Arial" w:eastAsia="Arial" w:hAnsi="Arial"/>
                  <w:sz w:val="16"/>
                  <w:szCs w:val="16"/>
                  <w:color w:val="0000FF"/>
                  <w:w w:val="98"/>
                </w:rPr>
                <w:t>as collateral trustee</w:t>
              </w:r>
            </w:hyperlink>
          </w:p>
        </w:tc>
        <w:tc>
          <w:tcPr>
            <w:tcW w:w="2860" w:type="dxa"/>
            <w:vAlign w:val="bottom"/>
            <w:tcBorders>
              <w:top w:val="single" w:sz="8" w:color="0000FF"/>
            </w:tcBorders>
            <w:gridSpan w:val="9"/>
          </w:tcPr>
          <w:p>
            <w:pPr>
              <w:spacing w:after="0"/>
              <w:rPr>
                <w:sz w:val="12"/>
                <w:szCs w:val="12"/>
                <w:color w:val="auto"/>
              </w:rPr>
            </w:pPr>
          </w:p>
        </w:tc>
        <w:tc>
          <w:tcPr>
            <w:tcW w:w="260" w:type="dxa"/>
            <w:vAlign w:val="bottom"/>
            <w:gridSpan w:val="7"/>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5.625% Senior Secured Note due 2027 of Viasat,</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03/27/2019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 (attached as Exhibit A to the Indenture filed as Exhibit</w:t>
              </w:r>
            </w:hyperlink>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8"/>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0000FF"/>
            </w:tcBorders>
            <w:gridSpan w:val="2"/>
          </w:tcPr>
          <w:p>
            <w:pPr>
              <w:spacing w:after="0" w:line="142" w:lineRule="exact"/>
              <w:rPr>
                <w:rFonts w:ascii="Arial" w:cs="Arial" w:eastAsia="Arial" w:hAnsi="Arial"/>
                <w:sz w:val="16"/>
                <w:szCs w:val="16"/>
                <w:color w:val="0000FF"/>
                <w:w w:val="95"/>
              </w:rPr>
            </w:pPr>
            <w:hyperlink r:id="rId139">
              <w:r>
                <w:rPr>
                  <w:rFonts w:ascii="Arial" w:cs="Arial" w:eastAsia="Arial" w:hAnsi="Arial"/>
                  <w:sz w:val="16"/>
                  <w:szCs w:val="16"/>
                  <w:color w:val="0000FF"/>
                  <w:w w:val="95"/>
                </w:rPr>
                <w:t>4.</w:t>
              </w:r>
              <w:r>
                <w:rPr>
                  <w:rFonts w:ascii="Arial" w:cs="Arial" w:eastAsia="Arial" w:hAnsi="Arial"/>
                  <w:sz w:val="16"/>
                  <w:szCs w:val="16"/>
                  <w:u w:val="single" w:color="auto"/>
                  <w:color w:val="0000FF"/>
                  <w:w w:val="95"/>
                </w:rPr>
                <w:t>4</w:t>
              </w:r>
              <w:r>
                <w:rPr>
                  <w:rFonts w:ascii="Arial" w:cs="Arial" w:eastAsia="Arial" w:hAnsi="Arial"/>
                  <w:sz w:val="16"/>
                  <w:szCs w:val="16"/>
                  <w:color w:val="0000FF"/>
                  <w:w w:val="95"/>
                </w:rPr>
                <w:t xml:space="preserve"> hereto)</w:t>
              </w:r>
            </w:hyperlink>
          </w:p>
        </w:tc>
        <w:tc>
          <w:tcPr>
            <w:tcW w:w="20" w:type="dxa"/>
            <w:vAlign w:val="bottom"/>
            <w:tcBorders>
              <w:bottom w:val="single" w:sz="8" w:color="0000EE"/>
            </w:tcBorders>
          </w:tcPr>
          <w:p>
            <w:pPr>
              <w:spacing w:after="0"/>
              <w:rPr>
                <w:sz w:val="12"/>
                <w:szCs w:val="12"/>
                <w:color w:val="auto"/>
              </w:rPr>
            </w:pPr>
          </w:p>
        </w:tc>
        <w:tc>
          <w:tcPr>
            <w:tcW w:w="342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8"/>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40">
              <w:r>
                <w:rPr>
                  <w:rFonts w:ascii="Arial" w:cs="Arial" w:eastAsia="Arial" w:hAnsi="Arial"/>
                  <w:sz w:val="16"/>
                  <w:szCs w:val="16"/>
                  <w:color w:val="0000FF"/>
                </w:rPr>
                <w:t>Indenture, dated as of June 24, 2020, between Viasat, Inc.</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06/24/2020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and Wilmington Trust, National Association, as trustee.</w:t>
              </w:r>
            </w:hyperlink>
          </w:p>
        </w:tc>
        <w:tc>
          <w:tcPr>
            <w:tcW w:w="280" w:type="dxa"/>
            <w:vAlign w:val="bottom"/>
            <w:gridSpan w:val="8"/>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820" w:type="dxa"/>
            <w:vAlign w:val="bottom"/>
            <w:gridSpan w:val="10"/>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24"/>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Form of 6.500% Senior Note due 2028 of Viasat, Inc.</w:t>
              </w:r>
            </w:hyperlink>
          </w:p>
        </w:tc>
        <w:tc>
          <w:tcPr>
            <w:tcW w:w="1320" w:type="dxa"/>
            <w:vAlign w:val="bottom"/>
          </w:tcPr>
          <w:p>
            <w:pPr>
              <w:jc w:val="center"/>
              <w:spacing w:after="0"/>
              <w:rPr>
                <w:sz w:val="20"/>
                <w:szCs w:val="20"/>
                <w:color w:val="auto"/>
              </w:rPr>
            </w:pPr>
            <w:r>
              <w:rPr>
                <w:rFonts w:ascii="Arial" w:cs="Arial" w:eastAsia="Arial" w:hAnsi="Arial"/>
                <w:sz w:val="16"/>
                <w:szCs w:val="16"/>
                <w:color w:val="auto"/>
              </w:rPr>
              <w:t>8-K</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86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rPr>
              <w:t>06/24/2020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(attached as Exhibit A to the Indenture filed as Exhibit</w:t>
              </w:r>
            </w:hyperlink>
          </w:p>
        </w:tc>
        <w:tc>
          <w:tcPr>
            <w:tcW w:w="680" w:type="dxa"/>
            <w:vAlign w:val="bottom"/>
            <w:gridSpan w:val="14"/>
          </w:tcPr>
          <w:p>
            <w:pPr>
              <w:jc w:val="right"/>
              <w:ind w:right="420"/>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4.6</w:t>
              </w:r>
            </w:hyperlink>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hereto)</w:t>
              </w:r>
            </w:hyperlink>
          </w:p>
        </w:tc>
        <w:tc>
          <w:tcPr>
            <w:tcW w:w="360" w:type="dxa"/>
            <w:vAlign w:val="bottom"/>
            <w:gridSpan w:val="11"/>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1040" w:type="dxa"/>
            <w:vAlign w:val="bottom"/>
          </w:tcPr>
          <w:p>
            <w:pPr>
              <w:jc w:val="center"/>
              <w:ind w:right="299"/>
              <w:spacing w:after="0"/>
              <w:rPr>
                <w:sz w:val="20"/>
                <w:szCs w:val="20"/>
                <w:color w:val="auto"/>
              </w:rPr>
            </w:pPr>
            <w:r>
              <w:rPr>
                <w:rFonts w:ascii="Arial" w:cs="Arial" w:eastAsia="Arial" w:hAnsi="Arial"/>
                <w:sz w:val="16"/>
                <w:szCs w:val="16"/>
                <w:color w:val="auto"/>
                <w:w w:val="98"/>
              </w:rPr>
              <w:t>4.8</w:t>
            </w:r>
          </w:p>
        </w:tc>
        <w:tc>
          <w:tcPr>
            <w:tcW w:w="4360" w:type="dxa"/>
            <w:vAlign w:val="bottom"/>
            <w:gridSpan w:val="32"/>
          </w:tcPr>
          <w:p>
            <w:pPr>
              <w:spacing w:after="0"/>
              <w:rPr>
                <w:rFonts w:ascii="Arial" w:cs="Arial" w:eastAsia="Arial" w:hAnsi="Arial"/>
                <w:sz w:val="16"/>
                <w:szCs w:val="16"/>
                <w:color w:val="0000FF"/>
              </w:rPr>
            </w:pPr>
            <w:hyperlink r:id="rId142">
              <w:r>
                <w:rPr>
                  <w:rFonts w:ascii="Arial" w:cs="Arial" w:eastAsia="Arial" w:hAnsi="Arial"/>
                  <w:sz w:val="16"/>
                  <w:szCs w:val="16"/>
                  <w:color w:val="0000FF"/>
                </w:rPr>
                <w:t>Description of Registered Securities</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10.1</w:t>
            </w:r>
          </w:p>
        </w:tc>
        <w:tc>
          <w:tcPr>
            <w:tcW w:w="4360" w:type="dxa"/>
            <w:vAlign w:val="bottom"/>
            <w:gridSpan w:val="32"/>
          </w:tcPr>
          <w:p>
            <w:pPr>
              <w:spacing w:after="0"/>
              <w:rPr>
                <w:rFonts w:ascii="Arial" w:cs="Arial" w:eastAsia="Arial" w:hAnsi="Arial"/>
                <w:sz w:val="16"/>
                <w:szCs w:val="16"/>
                <w:color w:val="0000FF"/>
              </w:rPr>
            </w:pPr>
            <w:hyperlink r:id="rId143">
              <w:r>
                <w:rPr>
                  <w:rFonts w:ascii="Arial" w:cs="Arial" w:eastAsia="Arial" w:hAnsi="Arial"/>
                  <w:sz w:val="16"/>
                  <w:szCs w:val="16"/>
                  <w:color w:val="0000FF"/>
                </w:rPr>
                <w:t>Voting and Support Agreement, dated as of November 8,</w:t>
              </w:r>
            </w:hyperlink>
          </w:p>
        </w:tc>
      </w:tr>
      <w:tr>
        <w:trPr>
          <w:trHeight w:val="142"/>
        </w:trPr>
        <w:tc>
          <w:tcPr>
            <w:tcW w:w="104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5"/>
              </w:rPr>
            </w:pPr>
            <w:hyperlink r:id="rId143">
              <w:r>
                <w:rPr>
                  <w:rFonts w:ascii="Arial" w:cs="Arial" w:eastAsia="Arial" w:hAnsi="Arial"/>
                  <w:sz w:val="16"/>
                  <w:szCs w:val="16"/>
                  <w:color w:val="0000FF"/>
                  <w:w w:val="95"/>
                </w:rPr>
                <w:t>2021, by and among Viasat, Inc., Baupost Group Securities,</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4320" w:type="dxa"/>
            <w:vAlign w:val="bottom"/>
            <w:gridSpan w:val="30"/>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L.L.C. and the shareholders of Connect Topco Limited party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4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43">
              <w:r>
                <w:rPr>
                  <w:rFonts w:ascii="Arial" w:cs="Arial" w:eastAsia="Arial" w:hAnsi="Arial"/>
                  <w:sz w:val="16"/>
                  <w:szCs w:val="16"/>
                  <w:color w:val="0000FF"/>
                  <w:w w:val="92"/>
                </w:rPr>
                <w:t>thereto</w:t>
              </w:r>
            </w:hyperlink>
          </w:p>
        </w:tc>
        <w:tc>
          <w:tcPr>
            <w:tcW w:w="3820" w:type="dxa"/>
            <w:vAlign w:val="bottom"/>
            <w:tcBorders>
              <w:top w:val="single" w:sz="8" w:color="0000FF"/>
            </w:tcBorders>
            <w:gridSpan w:val="2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10.2</w:t>
            </w:r>
          </w:p>
        </w:tc>
        <w:tc>
          <w:tcPr>
            <w:tcW w:w="4360" w:type="dxa"/>
            <w:vAlign w:val="bottom"/>
            <w:gridSpan w:val="32"/>
          </w:tcPr>
          <w:p>
            <w:pPr>
              <w:spacing w:after="0"/>
              <w:rPr>
                <w:rFonts w:ascii="Arial" w:cs="Arial" w:eastAsia="Arial" w:hAnsi="Arial"/>
                <w:sz w:val="16"/>
                <w:szCs w:val="16"/>
                <w:color w:val="0000FF"/>
              </w:rPr>
            </w:pPr>
            <w:hyperlink r:id="rId144">
              <w:r>
                <w:rPr>
                  <w:rFonts w:ascii="Arial" w:cs="Arial" w:eastAsia="Arial" w:hAnsi="Arial"/>
                  <w:sz w:val="16"/>
                  <w:szCs w:val="16"/>
                  <w:color w:val="0000FF"/>
                </w:rPr>
                <w:t>Form of Voting and Support Agreement (executive officers</w:t>
              </w:r>
            </w:hyperlink>
          </w:p>
        </w:tc>
      </w:tr>
      <w:tr>
        <w:trPr>
          <w:trHeight w:val="142"/>
        </w:trPr>
        <w:tc>
          <w:tcPr>
            <w:tcW w:w="1040" w:type="dxa"/>
            <w:vAlign w:val="bottom"/>
          </w:tcPr>
          <w:p>
            <w:pPr>
              <w:spacing w:after="0"/>
              <w:rPr>
                <w:sz w:val="12"/>
                <w:szCs w:val="12"/>
                <w:color w:val="auto"/>
              </w:rPr>
            </w:pPr>
          </w:p>
        </w:tc>
        <w:tc>
          <w:tcPr>
            <w:tcW w:w="42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and directors)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10.3*</w:t>
            </w:r>
          </w:p>
        </w:tc>
        <w:tc>
          <w:tcPr>
            <w:tcW w:w="4360" w:type="dxa"/>
            <w:vAlign w:val="bottom"/>
            <w:gridSpan w:val="32"/>
          </w:tcPr>
          <w:p>
            <w:pPr>
              <w:spacing w:after="0"/>
              <w:rPr>
                <w:rFonts w:ascii="Arial" w:cs="Arial" w:eastAsia="Arial" w:hAnsi="Arial"/>
                <w:sz w:val="16"/>
                <w:szCs w:val="16"/>
                <w:color w:val="0000FF"/>
              </w:rPr>
            </w:pPr>
            <w:hyperlink r:id="rId145">
              <w:r>
                <w:rPr>
                  <w:rFonts w:ascii="Arial" w:cs="Arial" w:eastAsia="Arial" w:hAnsi="Arial"/>
                  <w:sz w:val="16"/>
                  <w:szCs w:val="16"/>
                  <w:color w:val="0000FF"/>
                </w:rPr>
                <w:t>Stockholders Agreement, dated as of November 8, 2021, by</w:t>
              </w:r>
            </w:hyperlink>
          </w:p>
        </w:tc>
      </w:tr>
      <w:tr>
        <w:trPr>
          <w:trHeight w:val="142"/>
        </w:trPr>
        <w:tc>
          <w:tcPr>
            <w:tcW w:w="1040" w:type="dxa"/>
            <w:vAlign w:val="bottom"/>
          </w:tcPr>
          <w:p>
            <w:pPr>
              <w:spacing w:after="0"/>
              <w:rPr>
                <w:sz w:val="12"/>
                <w:szCs w:val="12"/>
                <w:color w:val="auto"/>
              </w:rPr>
            </w:pPr>
          </w:p>
        </w:tc>
        <w:tc>
          <w:tcPr>
            <w:tcW w:w="43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and among Viasat, Inc. and the shareholders of Connect</w:t>
              </w:r>
            </w:hyperlink>
          </w:p>
        </w:tc>
        <w:tc>
          <w:tcPr>
            <w:tcW w:w="2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40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Topco Limited party thereto</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10.4</w:t>
            </w:r>
          </w:p>
        </w:tc>
        <w:tc>
          <w:tcPr>
            <w:tcW w:w="4360" w:type="dxa"/>
            <w:vAlign w:val="bottom"/>
            <w:gridSpan w:val="32"/>
          </w:tcPr>
          <w:p>
            <w:pPr>
              <w:spacing w:after="0"/>
              <w:rPr>
                <w:rFonts w:ascii="Arial" w:cs="Arial" w:eastAsia="Arial" w:hAnsi="Arial"/>
                <w:sz w:val="16"/>
                <w:szCs w:val="16"/>
                <w:color w:val="0000FF"/>
              </w:rPr>
            </w:pPr>
            <w:hyperlink r:id="rId146">
              <w:r>
                <w:rPr>
                  <w:rFonts w:ascii="Arial" w:cs="Arial" w:eastAsia="Arial" w:hAnsi="Arial"/>
                  <w:sz w:val="16"/>
                  <w:szCs w:val="16"/>
                  <w:color w:val="0000FF"/>
                </w:rPr>
                <w:t>Form of Indemnification Agreement between ViaSat, Inc.</w:t>
              </w:r>
            </w:hyperlink>
          </w:p>
        </w:tc>
      </w:tr>
      <w:tr>
        <w:trPr>
          <w:trHeight w:val="142"/>
        </w:trPr>
        <w:tc>
          <w:tcPr>
            <w:tcW w:w="104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9"/>
              </w:rPr>
            </w:pPr>
            <w:hyperlink r:id="rId146">
              <w:r>
                <w:rPr>
                  <w:rFonts w:ascii="Arial" w:cs="Arial" w:eastAsia="Arial" w:hAnsi="Arial"/>
                  <w:sz w:val="16"/>
                  <w:szCs w:val="16"/>
                  <w:color w:val="0000FF"/>
                  <w:w w:val="99"/>
                </w:rPr>
                <w:t>and each of its directors and officers</w:t>
              </w:r>
            </w:hyperlink>
          </w:p>
        </w:tc>
        <w:tc>
          <w:tcPr>
            <w:tcW w:w="1500" w:type="dxa"/>
            <w:vAlign w:val="bottom"/>
            <w:tcBorders>
              <w:top w:val="single" w:sz="8" w:color="0000FF"/>
            </w:tcBorders>
            <w:gridSpan w:val="1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72"/>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10.5**</w:t>
            </w:r>
          </w:p>
        </w:tc>
        <w:tc>
          <w:tcPr>
            <w:tcW w:w="4360" w:type="dxa"/>
            <w:vAlign w:val="bottom"/>
            <w:gridSpan w:val="32"/>
          </w:tcPr>
          <w:p>
            <w:pPr>
              <w:spacing w:after="0"/>
              <w:rPr>
                <w:rFonts w:ascii="Arial" w:cs="Arial" w:eastAsia="Arial" w:hAnsi="Arial"/>
                <w:sz w:val="16"/>
                <w:szCs w:val="16"/>
                <w:color w:val="0000FF"/>
              </w:rPr>
            </w:pPr>
            <w:hyperlink r:id="rId147">
              <w:r>
                <w:rPr>
                  <w:rFonts w:ascii="Arial" w:cs="Arial" w:eastAsia="Arial" w:hAnsi="Arial"/>
                  <w:sz w:val="16"/>
                  <w:szCs w:val="16"/>
                  <w:color w:val="0000FF"/>
                </w:rPr>
                <w:t>Viasat, Inc. Employee Stock Purchase Plan (As Amended</w:t>
              </w:r>
            </w:hyperlink>
          </w:p>
        </w:tc>
      </w:tr>
      <w:tr>
        <w:trPr>
          <w:trHeight w:val="142"/>
        </w:trPr>
        <w:tc>
          <w:tcPr>
            <w:tcW w:w="104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and Restated Effective September 2, 2021)</w:t>
              </w:r>
            </w:hyperlink>
          </w:p>
        </w:tc>
        <w:tc>
          <w:tcPr>
            <w:tcW w:w="10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10.6**</w:t>
            </w:r>
          </w:p>
        </w:tc>
        <w:tc>
          <w:tcPr>
            <w:tcW w:w="4360" w:type="dxa"/>
            <w:vAlign w:val="bottom"/>
            <w:gridSpan w:val="32"/>
          </w:tcPr>
          <w:p>
            <w:pPr>
              <w:spacing w:after="0"/>
              <w:rPr>
                <w:rFonts w:ascii="Arial" w:cs="Arial" w:eastAsia="Arial" w:hAnsi="Arial"/>
                <w:sz w:val="16"/>
                <w:szCs w:val="16"/>
                <w:color w:val="0000FF"/>
              </w:rPr>
            </w:pPr>
            <w:hyperlink r:id="rId148">
              <w:r>
                <w:rPr>
                  <w:rFonts w:ascii="Arial" w:cs="Arial" w:eastAsia="Arial" w:hAnsi="Arial"/>
                  <w:sz w:val="16"/>
                  <w:szCs w:val="16"/>
                  <w:color w:val="0000FF"/>
                </w:rPr>
                <w:t>1996 Equity Participation Plan of Viasat, Inc. (As Amended</w:t>
              </w:r>
            </w:hyperlink>
          </w:p>
        </w:tc>
      </w:tr>
      <w:tr>
        <w:trPr>
          <w:trHeight w:val="142"/>
        </w:trPr>
        <w:tc>
          <w:tcPr>
            <w:tcW w:w="104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9"/>
              </w:rPr>
            </w:pPr>
            <w:hyperlink r:id="rId148">
              <w:r>
                <w:rPr>
                  <w:rFonts w:ascii="Arial" w:cs="Arial" w:eastAsia="Arial" w:hAnsi="Arial"/>
                  <w:sz w:val="16"/>
                  <w:szCs w:val="16"/>
                  <w:color w:val="0000FF"/>
                  <w:w w:val="99"/>
                </w:rPr>
                <w:t>and Restated Effective September 2, 2021)</w:t>
              </w:r>
            </w:hyperlink>
          </w:p>
        </w:tc>
        <w:tc>
          <w:tcPr>
            <w:tcW w:w="11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10.7**</w:t>
            </w:r>
          </w:p>
        </w:tc>
        <w:tc>
          <w:tcPr>
            <w:tcW w:w="4360" w:type="dxa"/>
            <w:vAlign w:val="bottom"/>
            <w:gridSpan w:val="32"/>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Form of Stock Option Agreement for the 1996 Equity</w:t>
              </w:r>
            </w:hyperlink>
          </w:p>
        </w:tc>
      </w:tr>
      <w:tr>
        <w:trPr>
          <w:trHeight w:val="142"/>
        </w:trPr>
        <w:tc>
          <w:tcPr>
            <w:tcW w:w="1040" w:type="dxa"/>
            <w:vAlign w:val="bottom"/>
          </w:tcPr>
          <w:p>
            <w:pPr>
              <w:spacing w:after="0"/>
              <w:rPr>
                <w:sz w:val="12"/>
                <w:szCs w:val="12"/>
                <w:color w:val="auto"/>
              </w:rPr>
            </w:pPr>
          </w:p>
        </w:tc>
        <w:tc>
          <w:tcPr>
            <w:tcW w:w="3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Participation Plan of ViaSat, Inc.</w:t>
              </w:r>
            </w:hyperlink>
          </w:p>
        </w:tc>
        <w:tc>
          <w:tcPr>
            <w:tcW w:w="100" w:type="dxa"/>
            <w:vAlign w:val="bottom"/>
          </w:tcPr>
          <w:p>
            <w:pPr>
              <w:spacing w:after="0"/>
              <w:rPr>
                <w:sz w:val="12"/>
                <w:szCs w:val="12"/>
                <w:color w:val="auto"/>
              </w:rPr>
            </w:pPr>
          </w:p>
        </w:tc>
        <w:tc>
          <w:tcPr>
            <w:tcW w:w="3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10.8**</w:t>
            </w:r>
          </w:p>
        </w:tc>
        <w:tc>
          <w:tcPr>
            <w:tcW w:w="4360" w:type="dxa"/>
            <w:vAlign w:val="bottom"/>
            <w:gridSpan w:val="32"/>
          </w:tcPr>
          <w:p>
            <w:pPr>
              <w:spacing w:after="0"/>
              <w:rPr>
                <w:rFonts w:ascii="Arial" w:cs="Arial" w:eastAsia="Arial" w:hAnsi="Arial"/>
                <w:sz w:val="16"/>
                <w:szCs w:val="16"/>
                <w:color w:val="0000FF"/>
              </w:rPr>
            </w:pPr>
            <w:hyperlink r:id="rId150">
              <w:r>
                <w:rPr>
                  <w:rFonts w:ascii="Arial" w:cs="Arial" w:eastAsia="Arial" w:hAnsi="Arial"/>
                  <w:sz w:val="16"/>
                  <w:szCs w:val="16"/>
                  <w:color w:val="0000FF"/>
                </w:rPr>
                <w:t>Form of Performance Stock Option Agreement for the 1996</w:t>
              </w:r>
            </w:hyperlink>
          </w:p>
        </w:tc>
      </w:tr>
      <w:tr>
        <w:trPr>
          <w:trHeight w:val="142"/>
        </w:trPr>
        <w:tc>
          <w:tcPr>
            <w:tcW w:w="104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9"/>
              </w:rPr>
            </w:pPr>
            <w:hyperlink r:id="rId150">
              <w:r>
                <w:rPr>
                  <w:rFonts w:ascii="Arial" w:cs="Arial" w:eastAsia="Arial" w:hAnsi="Arial"/>
                  <w:sz w:val="16"/>
                  <w:szCs w:val="16"/>
                  <w:color w:val="0000FF"/>
                  <w:w w:val="99"/>
                </w:rPr>
                <w:t>Equity Participation Plan of ViaSat, Inc.</w:t>
              </w:r>
            </w:hyperlink>
          </w:p>
        </w:tc>
        <w:tc>
          <w:tcPr>
            <w:tcW w:w="20" w:type="dxa"/>
            <w:vAlign w:val="bottom"/>
            <w:tcBorders>
              <w:top w:val="single" w:sz="8" w:color="0000FF"/>
              <w:bottom w:val="single" w:sz="8" w:color="0000EE"/>
            </w:tcBorders>
          </w:tcPr>
          <w:p>
            <w:pPr>
              <w:spacing w:after="0"/>
              <w:rPr>
                <w:sz w:val="12"/>
                <w:szCs w:val="12"/>
                <w:color w:val="auto"/>
              </w:rPr>
            </w:pPr>
          </w:p>
        </w:tc>
        <w:tc>
          <w:tcPr>
            <w:tcW w:w="1480" w:type="dxa"/>
            <w:vAlign w:val="bottom"/>
            <w:tcBorders>
              <w:top w:val="single" w:sz="8" w:color="0000FF"/>
            </w:tcBorders>
            <w:gridSpan w:val="18"/>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10.9**</w:t>
            </w:r>
          </w:p>
        </w:tc>
        <w:tc>
          <w:tcPr>
            <w:tcW w:w="4360" w:type="dxa"/>
            <w:vAlign w:val="bottom"/>
            <w:gridSpan w:val="32"/>
          </w:tcPr>
          <w:p>
            <w:pPr>
              <w:spacing w:after="0"/>
              <w:rPr>
                <w:rFonts w:ascii="Arial" w:cs="Arial" w:eastAsia="Arial" w:hAnsi="Arial"/>
                <w:sz w:val="16"/>
                <w:szCs w:val="16"/>
                <w:color w:val="0000FF"/>
              </w:rPr>
            </w:pPr>
            <w:hyperlink r:id="rId151">
              <w:r>
                <w:rPr>
                  <w:rFonts w:ascii="Arial" w:cs="Arial" w:eastAsia="Arial" w:hAnsi="Arial"/>
                  <w:sz w:val="16"/>
                  <w:szCs w:val="16"/>
                  <w:color w:val="0000FF"/>
                </w:rPr>
                <w:t>Form of Restricted Stock Unit Award Agreement for the 1996</w:t>
              </w:r>
            </w:hyperlink>
          </w:p>
        </w:tc>
      </w:tr>
      <w:tr>
        <w:trPr>
          <w:trHeight w:val="142"/>
        </w:trPr>
        <w:tc>
          <w:tcPr>
            <w:tcW w:w="1040" w:type="dxa"/>
            <w:vAlign w:val="bottom"/>
          </w:tcPr>
          <w:p>
            <w:pPr>
              <w:spacing w:after="0"/>
              <w:rPr>
                <w:sz w:val="12"/>
                <w:szCs w:val="12"/>
                <w:color w:val="auto"/>
              </w:rPr>
            </w:pPr>
          </w:p>
        </w:tc>
        <w:tc>
          <w:tcPr>
            <w:tcW w:w="43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Equity Participation Plan of ViaSat, Inc.—Global</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10.10**</w:t>
            </w:r>
          </w:p>
        </w:tc>
        <w:tc>
          <w:tcPr>
            <w:tcW w:w="4360" w:type="dxa"/>
            <w:vAlign w:val="bottom"/>
            <w:gridSpan w:val="32"/>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Form of Restricted Stock Unit Award Agreement for the 1996</w:t>
              </w:r>
            </w:hyperlink>
          </w:p>
        </w:tc>
      </w:tr>
      <w:tr>
        <w:trPr>
          <w:trHeight w:val="142"/>
        </w:trPr>
        <w:tc>
          <w:tcPr>
            <w:tcW w:w="1040" w:type="dxa"/>
            <w:vAlign w:val="bottom"/>
          </w:tcPr>
          <w:p>
            <w:pPr>
              <w:spacing w:after="0"/>
              <w:rPr>
                <w:sz w:val="12"/>
                <w:szCs w:val="12"/>
                <w:color w:val="auto"/>
              </w:rPr>
            </w:pPr>
          </w:p>
        </w:tc>
        <w:tc>
          <w:tcPr>
            <w:tcW w:w="43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Equity Participation Plan of ViaSat, Inc.—Independent</w:t>
              </w:r>
            </w:hyperlink>
          </w:p>
        </w:tc>
      </w:tr>
      <w:tr>
        <w:trPr>
          <w:trHeight w:val="142"/>
        </w:trPr>
        <w:tc>
          <w:tcPr>
            <w:tcW w:w="1040" w:type="dxa"/>
            <w:vAlign w:val="bottom"/>
          </w:tcPr>
          <w:p>
            <w:pPr>
              <w:spacing w:after="0"/>
              <w:rPr>
                <w:sz w:val="12"/>
                <w:szCs w:val="12"/>
                <w:color w:val="auto"/>
              </w:rPr>
            </w:pPr>
          </w:p>
        </w:tc>
        <w:tc>
          <w:tcPr>
            <w:tcW w:w="5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2"/>
              </w:rPr>
            </w:pPr>
            <w:hyperlink r:id="rId152">
              <w:r>
                <w:rPr>
                  <w:rFonts w:ascii="Arial" w:cs="Arial" w:eastAsia="Arial" w:hAnsi="Arial"/>
                  <w:sz w:val="16"/>
                  <w:szCs w:val="16"/>
                  <w:color w:val="0000FF"/>
                  <w:w w:val="92"/>
                </w:rPr>
                <w:t>Director</w:t>
              </w:r>
            </w:hyperlink>
          </w:p>
        </w:tc>
        <w:tc>
          <w:tcPr>
            <w:tcW w:w="3340" w:type="dxa"/>
            <w:vAlign w:val="bottom"/>
            <w:tcBorders>
              <w:top w:val="single" w:sz="8" w:color="0000FF"/>
            </w:tcBorders>
            <w:gridSpan w:val="15"/>
          </w:tcPr>
          <w:p>
            <w:pPr>
              <w:spacing w:after="0"/>
              <w:rPr>
                <w:sz w:val="12"/>
                <w:szCs w:val="12"/>
                <w:color w:val="auto"/>
              </w:rPr>
            </w:pPr>
          </w:p>
        </w:tc>
        <w:tc>
          <w:tcPr>
            <w:tcW w:w="3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10.11**</w:t>
            </w:r>
          </w:p>
        </w:tc>
        <w:tc>
          <w:tcPr>
            <w:tcW w:w="4360" w:type="dxa"/>
            <w:vAlign w:val="bottom"/>
            <w:gridSpan w:val="32"/>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Form of Restricted Stock Unit Award Agreement for the 1996</w:t>
              </w:r>
            </w:hyperlink>
          </w:p>
        </w:tc>
      </w:tr>
      <w:tr>
        <w:trPr>
          <w:trHeight w:val="142"/>
        </w:trPr>
        <w:tc>
          <w:tcPr>
            <w:tcW w:w="1040" w:type="dxa"/>
            <w:vAlign w:val="bottom"/>
          </w:tcPr>
          <w:p>
            <w:pPr>
              <w:spacing w:after="0"/>
              <w:rPr>
                <w:sz w:val="12"/>
                <w:szCs w:val="12"/>
                <w:color w:val="auto"/>
              </w:rPr>
            </w:pPr>
          </w:p>
        </w:tc>
        <w:tc>
          <w:tcPr>
            <w:tcW w:w="43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Equity Participation Plan of ViaSat, Inc.—Executive</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80" w:type="dxa"/>
            <w:vAlign w:val="bottom"/>
            <w:gridSpan w:val="9"/>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10.12**</w:t>
            </w:r>
          </w:p>
        </w:tc>
        <w:tc>
          <w:tcPr>
            <w:tcW w:w="4360" w:type="dxa"/>
            <w:vAlign w:val="bottom"/>
            <w:gridSpan w:val="32"/>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Change in Control Severance Agreement between</w:t>
              </w:r>
            </w:hyperlink>
          </w:p>
        </w:tc>
      </w:tr>
      <w:tr>
        <w:trPr>
          <w:trHeight w:val="142"/>
        </w:trPr>
        <w:tc>
          <w:tcPr>
            <w:tcW w:w="1040" w:type="dxa"/>
            <w:vAlign w:val="bottom"/>
          </w:tcPr>
          <w:p>
            <w:pPr>
              <w:spacing w:after="0"/>
              <w:rPr>
                <w:sz w:val="12"/>
                <w:szCs w:val="12"/>
                <w:color w:val="auto"/>
              </w:rPr>
            </w:pPr>
          </w:p>
        </w:tc>
        <w:tc>
          <w:tcPr>
            <w:tcW w:w="42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ViaSat, Inc. and each of its executive officers</w:t>
              </w:r>
            </w:hyperlink>
          </w:p>
        </w:tc>
        <w:tc>
          <w:tcPr>
            <w:tcW w:w="100" w:type="dxa"/>
            <w:vAlign w:val="bottom"/>
            <w:gridSpan w:val="5"/>
          </w:tcPr>
          <w:p>
            <w:pPr>
              <w:spacing w:after="0"/>
              <w:rPr>
                <w:sz w:val="12"/>
                <w:szCs w:val="12"/>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80" w:type="dxa"/>
            <w:vAlign w:val="bottom"/>
            <w:gridSpan w:val="9"/>
            <w:shd w:val="clear" w:color="auto" w:fill="0000FF"/>
          </w:tcPr>
          <w:p>
            <w:pPr>
              <w:spacing w:after="0" w:line="20" w:lineRule="exact"/>
              <w:rPr>
                <w:sz w:val="1"/>
                <w:szCs w:val="1"/>
                <w:color w:val="auto"/>
              </w:rPr>
            </w:pPr>
          </w:p>
        </w:tc>
        <w:tc>
          <w:tcPr>
            <w:tcW w:w="220" w:type="dxa"/>
            <w:vAlign w:val="bottom"/>
            <w:tcBorders>
              <w:right w:val="single" w:sz="8" w:color="0000EE"/>
            </w:tcBorders>
            <w:gridSpan w:val="3"/>
            <w:shd w:val="clear" w:color="auto" w:fill="0000FF"/>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58"/>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10.12.1**</w:t>
            </w:r>
          </w:p>
        </w:tc>
        <w:tc>
          <w:tcPr>
            <w:tcW w:w="4360" w:type="dxa"/>
            <w:vAlign w:val="bottom"/>
            <w:gridSpan w:val="32"/>
          </w:tcPr>
          <w:p>
            <w:pPr>
              <w:spacing w:after="0"/>
              <w:rPr>
                <w:rFonts w:ascii="Arial" w:cs="Arial" w:eastAsia="Arial" w:hAnsi="Arial"/>
                <w:sz w:val="16"/>
                <w:szCs w:val="16"/>
                <w:color w:val="0000FF"/>
              </w:rPr>
            </w:pPr>
            <w:hyperlink w:anchor="page120">
              <w:r>
                <w:rPr>
                  <w:rFonts w:ascii="Arial" w:cs="Arial" w:eastAsia="Arial" w:hAnsi="Arial"/>
                  <w:sz w:val="16"/>
                  <w:szCs w:val="16"/>
                  <w:color w:val="0000FF"/>
                </w:rPr>
                <w:t>Form of First Amendment to Change in Control Severance</w:t>
              </w:r>
            </w:hyperlink>
          </w:p>
        </w:tc>
      </w:tr>
      <w:tr>
        <w:trPr>
          <w:trHeight w:val="142"/>
        </w:trPr>
        <w:tc>
          <w:tcPr>
            <w:tcW w:w="1040" w:type="dxa"/>
            <w:vAlign w:val="bottom"/>
          </w:tcPr>
          <w:p>
            <w:pPr>
              <w:spacing w:after="0"/>
              <w:rPr>
                <w:sz w:val="12"/>
                <w:szCs w:val="12"/>
                <w:color w:val="auto"/>
              </w:rPr>
            </w:pPr>
          </w:p>
        </w:tc>
        <w:tc>
          <w:tcPr>
            <w:tcW w:w="42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w:anchor="page120">
              <w:r>
                <w:rPr>
                  <w:rFonts w:ascii="Arial" w:cs="Arial" w:eastAsia="Arial" w:hAnsi="Arial"/>
                  <w:sz w:val="16"/>
                  <w:szCs w:val="16"/>
                  <w:color w:val="0000FF"/>
                </w:rPr>
                <w:t>Agreement between ViaSat, Inc. and each of its executive</w:t>
              </w:r>
            </w:hyperlink>
          </w:p>
        </w:tc>
        <w:tc>
          <w:tcPr>
            <w:tcW w:w="140" w:type="dxa"/>
            <w:vAlign w:val="bottom"/>
            <w:gridSpan w:val="7"/>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5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2"/>
              </w:rPr>
            </w:pPr>
            <w:hyperlink w:anchor="page120">
              <w:r>
                <w:rPr>
                  <w:rFonts w:ascii="Arial" w:cs="Arial" w:eastAsia="Arial" w:hAnsi="Arial"/>
                  <w:sz w:val="16"/>
                  <w:szCs w:val="16"/>
                  <w:color w:val="0000FF"/>
                  <w:w w:val="92"/>
                </w:rPr>
                <w:t>officers</w:t>
              </w:r>
            </w:hyperlink>
          </w:p>
        </w:tc>
        <w:tc>
          <w:tcPr>
            <w:tcW w:w="3680" w:type="dxa"/>
            <w:vAlign w:val="bottom"/>
            <w:tcBorders>
              <w:top w:val="single" w:sz="8" w:color="0000FF"/>
            </w:tcBorders>
            <w:gridSpan w:val="21"/>
          </w:tcPr>
          <w:p>
            <w:pPr>
              <w:spacing w:after="0"/>
              <w:rPr>
                <w:sz w:val="12"/>
                <w:szCs w:val="12"/>
                <w:color w:val="auto"/>
              </w:rPr>
            </w:pPr>
          </w:p>
        </w:tc>
        <w:tc>
          <w:tcPr>
            <w:tcW w:w="180" w:type="dxa"/>
            <w:vAlign w:val="bottom"/>
            <w:gridSpan w:val="9"/>
          </w:tcPr>
          <w:p>
            <w:pPr>
              <w:spacing w:after="0"/>
              <w:rPr>
                <w:sz w:val="12"/>
                <w:szCs w:val="12"/>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10.13**</w:t>
            </w:r>
          </w:p>
        </w:tc>
        <w:tc>
          <w:tcPr>
            <w:tcW w:w="4360" w:type="dxa"/>
            <w:vAlign w:val="bottom"/>
            <w:gridSpan w:val="32"/>
          </w:tcPr>
          <w:p>
            <w:pPr>
              <w:spacing w:after="0"/>
              <w:rPr>
                <w:rFonts w:ascii="Arial" w:cs="Arial" w:eastAsia="Arial" w:hAnsi="Arial"/>
                <w:sz w:val="16"/>
                <w:szCs w:val="16"/>
                <w:color w:val="0000FF"/>
              </w:rPr>
            </w:pPr>
            <w:hyperlink r:id="rId155">
              <w:r>
                <w:rPr>
                  <w:rFonts w:ascii="Arial" w:cs="Arial" w:eastAsia="Arial" w:hAnsi="Arial"/>
                  <w:sz w:val="16"/>
                  <w:szCs w:val="16"/>
                  <w:color w:val="0000FF"/>
                </w:rPr>
                <w:t>RigNet, Inc. 2010 Omnibus Incentive Plan</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05/29/2020</w:t>
            </w:r>
          </w:p>
        </w:tc>
      </w:tr>
      <w:tr>
        <w:trPr>
          <w:trHeight w:val="324"/>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11/08/2021</w:t>
            </w:r>
          </w:p>
        </w:tc>
      </w:tr>
      <w:tr>
        <w:trPr>
          <w:trHeight w:val="810"/>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11/08/2021</w:t>
            </w:r>
          </w:p>
        </w:tc>
      </w:tr>
      <w:tr>
        <w:trPr>
          <w:trHeight w:val="486"/>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11/08/2021</w:t>
            </w:r>
          </w:p>
        </w:tc>
      </w:tr>
      <w:tr>
        <w:trPr>
          <w:trHeight w:val="648"/>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99.1</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03/07/2008</w:t>
            </w:r>
          </w:p>
        </w:tc>
      </w:tr>
      <w:tr>
        <w:trPr>
          <w:trHeight w:val="553"/>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09/03/2021</w:t>
            </w:r>
          </w:p>
        </w:tc>
      </w:tr>
      <w:tr>
        <w:trPr>
          <w:trHeight w:val="486"/>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09/03/2021</w:t>
            </w:r>
          </w:p>
        </w:tc>
      </w:tr>
      <w:tr>
        <w:trPr>
          <w:trHeight w:val="486"/>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05/26/2015</w:t>
            </w:r>
          </w:p>
        </w:tc>
      </w:tr>
      <w:tr>
        <w:trPr>
          <w:trHeight w:val="486"/>
        </w:trPr>
        <w:tc>
          <w:tcPr>
            <w:tcW w:w="780" w:type="dxa"/>
            <w:vAlign w:val="bottom"/>
          </w:tcPr>
          <w:p>
            <w:pPr>
              <w:jc w:val="center"/>
              <w:ind w:right="339"/>
              <w:spacing w:after="0"/>
              <w:rPr>
                <w:sz w:val="20"/>
                <w:szCs w:val="20"/>
                <w:color w:val="auto"/>
              </w:rPr>
            </w:pPr>
            <w:r>
              <w:rPr>
                <w:rFonts w:ascii="Arial" w:cs="Arial" w:eastAsia="Arial" w:hAnsi="Arial"/>
                <w:sz w:val="16"/>
                <w:szCs w:val="16"/>
                <w:color w:val="auto"/>
              </w:rPr>
              <w:t>10-Q</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rPr>
              <w:t>02/9/2018</w:t>
            </w:r>
          </w:p>
        </w:tc>
      </w:tr>
      <w:tr>
        <w:trPr>
          <w:trHeight w:val="486"/>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05/25/2017</w:t>
            </w:r>
          </w:p>
        </w:tc>
      </w:tr>
      <w:tr>
        <w:trPr>
          <w:trHeight w:val="486"/>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05/26/2015</w:t>
            </w:r>
          </w:p>
        </w:tc>
      </w:tr>
      <w:tr>
        <w:trPr>
          <w:trHeight w:val="648"/>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05/26/2015</w:t>
            </w:r>
          </w:p>
        </w:tc>
      </w:tr>
      <w:tr>
        <w:trPr>
          <w:trHeight w:val="486"/>
        </w:trPr>
        <w:tc>
          <w:tcPr>
            <w:tcW w:w="780" w:type="dxa"/>
            <w:vAlign w:val="bottom"/>
          </w:tcPr>
          <w:p>
            <w:pPr>
              <w:jc w:val="center"/>
              <w:ind w:right="359"/>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000-21767</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20" w:type="dxa"/>
            <w:vAlign w:val="bottom"/>
          </w:tcPr>
          <w:p>
            <w:pPr>
              <w:jc w:val="center"/>
              <w:ind w:left="119"/>
              <w:spacing w:after="0"/>
              <w:rPr>
                <w:sz w:val="20"/>
                <w:szCs w:val="20"/>
                <w:color w:val="auto"/>
              </w:rPr>
            </w:pPr>
            <w:r>
              <w:rPr>
                <w:rFonts w:ascii="Arial" w:cs="Arial" w:eastAsia="Arial" w:hAnsi="Arial"/>
                <w:sz w:val="16"/>
                <w:szCs w:val="16"/>
                <w:color w:val="auto"/>
              </w:rPr>
              <w:t>08/04/2010</w:t>
            </w:r>
          </w:p>
        </w:tc>
      </w:tr>
    </w:tbl>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120" w:val="left"/>
          <w:tab w:leader="none" w:pos="2520" w:val="left"/>
          <w:tab w:leader="none" w:pos="3240" w:val="left"/>
        </w:tabs>
        <w:rPr>
          <w:sz w:val="20"/>
          <w:szCs w:val="20"/>
          <w:color w:val="auto"/>
        </w:rPr>
      </w:pPr>
      <w:r>
        <w:rPr>
          <w:rFonts w:ascii="Arial" w:cs="Arial" w:eastAsia="Arial" w:hAnsi="Arial"/>
          <w:sz w:val="16"/>
          <w:szCs w:val="16"/>
          <w:color w:val="auto"/>
        </w:rPr>
        <w:t>S-8</w:t>
      </w:r>
      <w:r>
        <w:rPr>
          <w:sz w:val="20"/>
          <w:szCs w:val="20"/>
          <w:color w:val="auto"/>
        </w:rPr>
        <w:tab/>
      </w:r>
      <w:r>
        <w:rPr>
          <w:rFonts w:ascii="Arial" w:cs="Arial" w:eastAsia="Arial" w:hAnsi="Arial"/>
          <w:sz w:val="16"/>
          <w:szCs w:val="16"/>
          <w:color w:val="auto"/>
        </w:rPr>
        <w:t>333-255690</w:t>
      </w:r>
      <w:r>
        <w:rPr>
          <w:sz w:val="20"/>
          <w:szCs w:val="20"/>
          <w:color w:val="auto"/>
        </w:rPr>
        <w:tab/>
      </w: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04/30/2021</w:t>
      </w:r>
    </w:p>
    <w:p>
      <w:pPr>
        <w:sectPr>
          <w:pgSz w:w="11900" w:h="16838" w:orient="portrait"/>
          <w:cols w:equalWidth="0" w:num="2">
            <w:col w:w="5480" w:space="540"/>
            <w:col w:w="4680"/>
          </w:cols>
          <w:pgMar w:left="560" w:top="253" w:right="6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10.13.1**</w:t>
            </w:r>
          </w:p>
        </w:tc>
        <w:tc>
          <w:tcPr>
            <w:tcW w:w="4360" w:type="dxa"/>
            <w:vAlign w:val="bottom"/>
            <w:gridSpan w:val="22"/>
          </w:tcPr>
          <w:p>
            <w:pPr>
              <w:spacing w:after="0"/>
              <w:rPr>
                <w:rFonts w:ascii="Arial" w:cs="Arial" w:eastAsia="Arial" w:hAnsi="Arial"/>
                <w:sz w:val="16"/>
                <w:szCs w:val="16"/>
                <w:color w:val="0000FF"/>
              </w:rPr>
            </w:pPr>
            <w:hyperlink r:id="rId157">
              <w:r>
                <w:rPr>
                  <w:rFonts w:ascii="Arial" w:cs="Arial" w:eastAsia="Arial" w:hAnsi="Arial"/>
                  <w:sz w:val="16"/>
                  <w:szCs w:val="16"/>
                  <w:color w:val="0000FF"/>
                </w:rPr>
                <w:t>Amendment to RigNet, Inc. 2010 Omnibus Incentive Plan</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10.14**</w:t>
            </w:r>
          </w:p>
        </w:tc>
        <w:tc>
          <w:tcPr>
            <w:tcW w:w="4360" w:type="dxa"/>
            <w:vAlign w:val="bottom"/>
            <w:gridSpan w:val="22"/>
          </w:tcPr>
          <w:p>
            <w:pPr>
              <w:spacing w:after="0"/>
              <w:rPr>
                <w:rFonts w:ascii="Arial" w:cs="Arial" w:eastAsia="Arial" w:hAnsi="Arial"/>
                <w:sz w:val="16"/>
                <w:szCs w:val="16"/>
                <w:color w:val="0000FF"/>
              </w:rPr>
            </w:pPr>
            <w:hyperlink r:id="rId158">
              <w:r>
                <w:rPr>
                  <w:rFonts w:ascii="Arial" w:cs="Arial" w:eastAsia="Arial" w:hAnsi="Arial"/>
                  <w:sz w:val="16"/>
                  <w:szCs w:val="16"/>
                  <w:color w:val="0000FF"/>
                </w:rPr>
                <w:t>RigNet, Inc. 2019 Omnibus Incentive Plan</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10.14.1**</w:t>
            </w:r>
          </w:p>
        </w:tc>
        <w:tc>
          <w:tcPr>
            <w:tcW w:w="4360" w:type="dxa"/>
            <w:vAlign w:val="bottom"/>
            <w:gridSpan w:val="22"/>
          </w:tcPr>
          <w:p>
            <w:pPr>
              <w:spacing w:after="0"/>
              <w:rPr>
                <w:rFonts w:ascii="Arial" w:cs="Arial" w:eastAsia="Arial" w:hAnsi="Arial"/>
                <w:sz w:val="16"/>
                <w:szCs w:val="16"/>
                <w:color w:val="0000FF"/>
              </w:rPr>
            </w:pPr>
            <w:hyperlink r:id="rId159">
              <w:r>
                <w:rPr>
                  <w:rFonts w:ascii="Arial" w:cs="Arial" w:eastAsia="Arial" w:hAnsi="Arial"/>
                  <w:sz w:val="16"/>
                  <w:szCs w:val="16"/>
                  <w:color w:val="0000FF"/>
                </w:rPr>
                <w:t>Amendment to RigNet, Inc. 2019 Omnibus Incentive Plan</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vMerge w:val="restart"/>
          </w:tcPr>
          <w:p>
            <w:pPr>
              <w:jc w:val="center"/>
              <w:ind w:right="299"/>
              <w:spacing w:after="0"/>
              <w:rPr>
                <w:sz w:val="20"/>
                <w:szCs w:val="20"/>
                <w:color w:val="auto"/>
              </w:rPr>
            </w:pPr>
            <w:r>
              <w:rPr>
                <w:rFonts w:ascii="Arial" w:cs="Arial" w:eastAsia="Arial" w:hAnsi="Arial"/>
                <w:sz w:val="16"/>
                <w:szCs w:val="16"/>
                <w:color w:val="auto"/>
              </w:rPr>
              <w:t>10.15**</w:t>
            </w:r>
          </w:p>
        </w:tc>
        <w:tc>
          <w:tcPr>
            <w:tcW w:w="4360" w:type="dxa"/>
            <w:vAlign w:val="bottom"/>
            <w:gridSpan w:val="22"/>
          </w:tcPr>
          <w:p>
            <w:pPr>
              <w:spacing w:after="0"/>
              <w:rPr>
                <w:rFonts w:ascii="Arial" w:cs="Arial" w:eastAsia="Arial" w:hAnsi="Arial"/>
                <w:sz w:val="16"/>
                <w:szCs w:val="16"/>
                <w:color w:val="0000FF"/>
              </w:rPr>
            </w:pPr>
            <w:hyperlink r:id="rId160">
              <w:r>
                <w:rPr>
                  <w:rFonts w:ascii="Arial" w:cs="Arial" w:eastAsia="Arial" w:hAnsi="Arial"/>
                  <w:sz w:val="16"/>
                  <w:szCs w:val="16"/>
                  <w:color w:val="0000FF"/>
                </w:rPr>
                <w:t>Restricted Stock Unit Award Agreement, by and between</w:t>
              </w:r>
            </w:hyperlink>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040" w:type="dxa"/>
            <w:vAlign w:val="bottom"/>
            <w:vMerge w:val="continue"/>
          </w:tcPr>
          <w:p>
            <w:pPr>
              <w:spacing w:after="0"/>
              <w:rPr>
                <w:sz w:val="8"/>
                <w:szCs w:val="8"/>
                <w:color w:val="auto"/>
              </w:rPr>
            </w:pPr>
          </w:p>
        </w:tc>
        <w:tc>
          <w:tcPr>
            <w:tcW w:w="4360" w:type="dxa"/>
            <w:vAlign w:val="bottom"/>
            <w:gridSpan w:val="22"/>
            <w:vMerge w:val="restart"/>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RigNet, Inc. and Errol Olivier, effective as of January 8, 2020</w:t>
              </w:r>
            </w:hyperlink>
          </w:p>
        </w:tc>
        <w:tc>
          <w:tcPr>
            <w:tcW w:w="0" w:type="dxa"/>
            <w:vAlign w:val="bottom"/>
          </w:tcPr>
          <w:p>
            <w:pPr>
              <w:spacing w:after="0"/>
              <w:rPr>
                <w:sz w:val="1"/>
                <w:szCs w:val="1"/>
                <w:color w:val="auto"/>
              </w:rPr>
            </w:pPr>
          </w:p>
        </w:tc>
      </w:tr>
      <w:tr>
        <w:trPr>
          <w:trHeight w:val="46"/>
        </w:trPr>
        <w:tc>
          <w:tcPr>
            <w:tcW w:w="1040" w:type="dxa"/>
            <w:vAlign w:val="bottom"/>
          </w:tcPr>
          <w:p>
            <w:pPr>
              <w:spacing w:after="0"/>
              <w:rPr>
                <w:sz w:val="4"/>
                <w:szCs w:val="4"/>
                <w:color w:val="auto"/>
              </w:rPr>
            </w:pPr>
          </w:p>
        </w:tc>
        <w:tc>
          <w:tcPr>
            <w:tcW w:w="436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w:t>
            </w:r>
          </w:p>
        </w:tc>
        <w:tc>
          <w:tcPr>
            <w:tcW w:w="4360" w:type="dxa"/>
            <w:vAlign w:val="bottom"/>
            <w:gridSpan w:val="22"/>
          </w:tcPr>
          <w:p>
            <w:pPr>
              <w:spacing w:after="0"/>
              <w:rPr>
                <w:rFonts w:ascii="Arial" w:cs="Arial" w:eastAsia="Arial" w:hAnsi="Arial"/>
                <w:sz w:val="16"/>
                <w:szCs w:val="16"/>
                <w:color w:val="0000FF"/>
              </w:rPr>
            </w:pPr>
            <w:hyperlink r:id="rId161">
              <w:r>
                <w:rPr>
                  <w:rFonts w:ascii="Arial" w:cs="Arial" w:eastAsia="Arial" w:hAnsi="Arial"/>
                  <w:sz w:val="16"/>
                  <w:szCs w:val="16"/>
                  <w:color w:val="0000FF"/>
                </w:rPr>
                <w:t>Credit Agreement dated as of November 26, 2013, by and</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1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among ViaSat, Inc., Union Bank, N.A. (as agent) and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61">
              <w:r>
                <w:rPr>
                  <w:rFonts w:ascii="Arial" w:cs="Arial" w:eastAsia="Arial" w:hAnsi="Arial"/>
                  <w:sz w:val="16"/>
                  <w:szCs w:val="16"/>
                  <w:color w:val="0000FF"/>
                  <w:w w:val="99"/>
                </w:rPr>
                <w:t>other lenders party thereto</w:t>
              </w:r>
            </w:hyperlink>
          </w:p>
        </w:tc>
        <w:tc>
          <w:tcPr>
            <w:tcW w:w="2220" w:type="dxa"/>
            <w:vAlign w:val="bottom"/>
            <w:tcBorders>
              <w:top w:val="single" w:sz="8" w:color="0000FF"/>
            </w:tcBorders>
            <w:gridSpan w:val="1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10.16.1</w:t>
            </w:r>
          </w:p>
        </w:tc>
        <w:tc>
          <w:tcPr>
            <w:tcW w:w="4360" w:type="dxa"/>
            <w:vAlign w:val="bottom"/>
            <w:gridSpan w:val="22"/>
          </w:tcPr>
          <w:p>
            <w:pPr>
              <w:spacing w:after="0"/>
              <w:rPr>
                <w:rFonts w:ascii="Arial" w:cs="Arial" w:eastAsia="Arial" w:hAnsi="Arial"/>
                <w:sz w:val="16"/>
                <w:szCs w:val="16"/>
                <w:color w:val="0000FF"/>
              </w:rPr>
            </w:pPr>
            <w:hyperlink r:id="rId162">
              <w:r>
                <w:rPr>
                  <w:rFonts w:ascii="Arial" w:cs="Arial" w:eastAsia="Arial" w:hAnsi="Arial"/>
                  <w:sz w:val="16"/>
                  <w:szCs w:val="16"/>
                  <w:color w:val="0000FF"/>
                </w:rPr>
                <w:t>First Amendment to Credit Agreement and Other Loan</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9"/>
              </w:rPr>
            </w:pPr>
            <w:hyperlink r:id="rId162">
              <w:r>
                <w:rPr>
                  <w:rFonts w:ascii="Arial" w:cs="Arial" w:eastAsia="Arial" w:hAnsi="Arial"/>
                  <w:sz w:val="16"/>
                  <w:szCs w:val="16"/>
                  <w:color w:val="0000FF"/>
                  <w:w w:val="99"/>
                </w:rPr>
                <w:t>Documents dated as of March 12, 2015, by and among</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980" w:type="dxa"/>
            <w:vAlign w:val="bottom"/>
            <w:gridSpan w:val="12"/>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ViaSat, Inc., Union Bank, N.A. (as agent) and the other</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8"/>
              </w:rPr>
            </w:pPr>
            <w:hyperlink r:id="rId162">
              <w:r>
                <w:rPr>
                  <w:rFonts w:ascii="Arial" w:cs="Arial" w:eastAsia="Arial" w:hAnsi="Arial"/>
                  <w:sz w:val="16"/>
                  <w:szCs w:val="16"/>
                  <w:color w:val="0000FF"/>
                  <w:w w:val="98"/>
                </w:rPr>
                <w:t>lenders party thereto</w:t>
              </w:r>
            </w:hyperlink>
          </w:p>
        </w:tc>
        <w:tc>
          <w:tcPr>
            <w:tcW w:w="24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10.16.2</w:t>
            </w:r>
          </w:p>
        </w:tc>
        <w:tc>
          <w:tcPr>
            <w:tcW w:w="4360" w:type="dxa"/>
            <w:vAlign w:val="bottom"/>
            <w:gridSpan w:val="22"/>
          </w:tcPr>
          <w:p>
            <w:pPr>
              <w:spacing w:after="0"/>
              <w:rPr>
                <w:rFonts w:ascii="Arial" w:cs="Arial" w:eastAsia="Arial" w:hAnsi="Arial"/>
                <w:sz w:val="16"/>
                <w:szCs w:val="16"/>
                <w:color w:val="0000FF"/>
              </w:rPr>
            </w:pPr>
            <w:hyperlink r:id="rId163">
              <w:r>
                <w:rPr>
                  <w:rFonts w:ascii="Arial" w:cs="Arial" w:eastAsia="Arial" w:hAnsi="Arial"/>
                  <w:sz w:val="16"/>
                  <w:szCs w:val="16"/>
                  <w:color w:val="0000FF"/>
                </w:rPr>
                <w:t>Second Amendment to Credit Agreement and Other Loan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360" w:type="dxa"/>
            <w:vAlign w:val="bottom"/>
            <w:tcBorders>
              <w:bottom w:val="single" w:sz="8" w:color="0000FF"/>
            </w:tcBorders>
            <w:gridSpan w:val="22"/>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Documents dated as of May 24, 2016, by and among Viasat,</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360" w:type="dxa"/>
            <w:vAlign w:val="bottom"/>
            <w:gridSpan w:val="22"/>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Inc., MUFG Union Bank, N.A. (as agent) and the other</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8"/>
              </w:rPr>
            </w:pPr>
            <w:hyperlink r:id="rId163">
              <w:r>
                <w:rPr>
                  <w:rFonts w:ascii="Arial" w:cs="Arial" w:eastAsia="Arial" w:hAnsi="Arial"/>
                  <w:sz w:val="16"/>
                  <w:szCs w:val="16"/>
                  <w:color w:val="0000FF"/>
                  <w:w w:val="98"/>
                </w:rPr>
                <w:t>lenders party thereto</w:t>
              </w:r>
            </w:hyperlink>
          </w:p>
        </w:tc>
        <w:tc>
          <w:tcPr>
            <w:tcW w:w="2440" w:type="dxa"/>
            <w:vAlign w:val="bottom"/>
            <w:tcBorders>
              <w:top w:val="single" w:sz="8" w:color="0000FF"/>
            </w:tcBorders>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10.16.3</w:t>
            </w:r>
          </w:p>
        </w:tc>
        <w:tc>
          <w:tcPr>
            <w:tcW w:w="4360" w:type="dxa"/>
            <w:vAlign w:val="bottom"/>
            <w:gridSpan w:val="22"/>
          </w:tcPr>
          <w:p>
            <w:pPr>
              <w:spacing w:after="0"/>
              <w:rPr>
                <w:rFonts w:ascii="Arial" w:cs="Arial" w:eastAsia="Arial" w:hAnsi="Arial"/>
                <w:sz w:val="16"/>
                <w:szCs w:val="16"/>
                <w:color w:val="0000FF"/>
              </w:rPr>
            </w:pPr>
            <w:hyperlink r:id="rId164">
              <w:r>
                <w:rPr>
                  <w:rFonts w:ascii="Arial" w:cs="Arial" w:eastAsia="Arial" w:hAnsi="Arial"/>
                  <w:sz w:val="16"/>
                  <w:szCs w:val="16"/>
                  <w:color w:val="0000FF"/>
                </w:rPr>
                <w:t>Third Amendment to Credit Agreement dated as of May 24,</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2018 by and among Viasat, Inc., MUFG Union Bank, N.A.</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9"/>
              </w:rPr>
            </w:pPr>
            <w:hyperlink r:id="rId164">
              <w:r>
                <w:rPr>
                  <w:rFonts w:ascii="Arial" w:cs="Arial" w:eastAsia="Arial" w:hAnsi="Arial"/>
                  <w:sz w:val="16"/>
                  <w:szCs w:val="16"/>
                  <w:color w:val="0000FF"/>
                  <w:w w:val="99"/>
                </w:rPr>
                <w:t>(as agent) and the other lenders party thereto</w:t>
              </w:r>
            </w:hyperlink>
          </w:p>
        </w:tc>
        <w:tc>
          <w:tcPr>
            <w:tcW w:w="92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10.16.4</w:t>
            </w:r>
          </w:p>
        </w:tc>
        <w:tc>
          <w:tcPr>
            <w:tcW w:w="4360" w:type="dxa"/>
            <w:vAlign w:val="bottom"/>
            <w:gridSpan w:val="22"/>
          </w:tcPr>
          <w:p>
            <w:pPr>
              <w:spacing w:after="0"/>
              <w:rPr>
                <w:rFonts w:ascii="Arial" w:cs="Arial" w:eastAsia="Arial" w:hAnsi="Arial"/>
                <w:sz w:val="16"/>
                <w:szCs w:val="16"/>
                <w:color w:val="0000FF"/>
              </w:rPr>
            </w:pPr>
            <w:hyperlink r:id="rId165">
              <w:r>
                <w:rPr>
                  <w:rFonts w:ascii="Arial" w:cs="Arial" w:eastAsia="Arial" w:hAnsi="Arial"/>
                  <w:sz w:val="16"/>
                  <w:szCs w:val="16"/>
                  <w:color w:val="0000FF"/>
                </w:rPr>
                <w:t>Fourth Amendment to Credit Agreement dated as of January</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3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18, 2019, by and among Viasat, Inc., MUFG Union Bank,</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8"/>
              </w:rPr>
            </w:pPr>
            <w:hyperlink r:id="rId165">
              <w:r>
                <w:rPr>
                  <w:rFonts w:ascii="Arial" w:cs="Arial" w:eastAsia="Arial" w:hAnsi="Arial"/>
                  <w:sz w:val="16"/>
                  <w:szCs w:val="16"/>
                  <w:color w:val="0000FF"/>
                  <w:w w:val="98"/>
                </w:rPr>
                <w:t>N.A. (as administrative agent and collateral agent) and the</w:t>
              </w:r>
            </w:hyperlink>
          </w:p>
        </w:tc>
        <w:tc>
          <w:tcPr>
            <w:tcW w:w="10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880" w:type="dxa"/>
            <w:vAlign w:val="bottom"/>
            <w:tcBorders>
              <w:bottom w:val="single" w:sz="8" w:color="0000FF"/>
            </w:tcBorders>
            <w:gridSpan w:val="2"/>
          </w:tcPr>
          <w:p>
            <w:pPr>
              <w:spacing w:after="0" w:line="142" w:lineRule="exact"/>
              <w:rPr>
                <w:rFonts w:ascii="Arial" w:cs="Arial" w:eastAsia="Arial" w:hAnsi="Arial"/>
                <w:sz w:val="16"/>
                <w:szCs w:val="16"/>
                <w:color w:val="0000FF"/>
                <w:w w:val="99"/>
              </w:rPr>
            </w:pPr>
            <w:hyperlink r:id="rId165">
              <w:r>
                <w:rPr>
                  <w:rFonts w:ascii="Arial" w:cs="Arial" w:eastAsia="Arial" w:hAnsi="Arial"/>
                  <w:sz w:val="16"/>
                  <w:szCs w:val="16"/>
                  <w:color w:val="0000FF"/>
                  <w:w w:val="99"/>
                </w:rPr>
                <w:t>other lenders party thereto</w:t>
              </w:r>
            </w:hyperlink>
          </w:p>
        </w:tc>
        <w:tc>
          <w:tcPr>
            <w:tcW w:w="2340" w:type="dxa"/>
            <w:vAlign w:val="bottom"/>
            <w:gridSpan w:val="1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10.16.5</w:t>
            </w:r>
          </w:p>
        </w:tc>
        <w:tc>
          <w:tcPr>
            <w:tcW w:w="3680" w:type="dxa"/>
            <w:vAlign w:val="bottom"/>
            <w:tcBorders>
              <w:bottom w:val="single" w:sz="8" w:color="0000FF"/>
            </w:tcBorders>
            <w:gridSpan w:val="6"/>
          </w:tcPr>
          <w:p>
            <w:pPr>
              <w:spacing w:after="0"/>
              <w:rPr>
                <w:rFonts w:ascii="Arial" w:cs="Arial" w:eastAsia="Arial" w:hAnsi="Arial"/>
                <w:sz w:val="16"/>
                <w:szCs w:val="16"/>
                <w:color w:val="0000FF"/>
              </w:rPr>
            </w:pPr>
            <w:hyperlink r:id="rId166">
              <w:r>
                <w:rPr>
                  <w:rFonts w:ascii="Arial" w:cs="Arial" w:eastAsia="Arial" w:hAnsi="Arial"/>
                  <w:sz w:val="16"/>
                  <w:szCs w:val="16"/>
                  <w:color w:val="0000FF"/>
                </w:rPr>
                <w:t>Fifth Amendment to Credit Agreement, dated as of</w:t>
              </w:r>
            </w:hyperlink>
          </w:p>
        </w:tc>
        <w:tc>
          <w:tcPr>
            <w:tcW w:w="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360" w:type="dxa"/>
            <w:vAlign w:val="bottom"/>
            <w:gridSpan w:val="22"/>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November 23, 2021, by and among Viasat, Inc., MUFG</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9"/>
              </w:rPr>
            </w:pPr>
            <w:hyperlink r:id="rId166">
              <w:r>
                <w:rPr>
                  <w:rFonts w:ascii="Arial" w:cs="Arial" w:eastAsia="Arial" w:hAnsi="Arial"/>
                  <w:sz w:val="16"/>
                  <w:szCs w:val="16"/>
                  <w:color w:val="0000FF"/>
                  <w:w w:val="99"/>
                </w:rPr>
                <w:t>Union Bank, N.A. (as administrative agent and collateral</w:t>
              </w:r>
            </w:hyperlink>
          </w:p>
        </w:tc>
        <w:tc>
          <w:tcPr>
            <w:tcW w:w="80" w:type="dxa"/>
            <w:vAlign w:val="bottom"/>
            <w:tcBorders>
              <w:bottom w:val="single" w:sz="8" w:color="0000FF"/>
            </w:tcBorders>
            <w:gridSpan w:val="2"/>
          </w:tcPr>
          <w:p>
            <w:pPr>
              <w:spacing w:after="0"/>
              <w:rPr>
                <w:sz w:val="12"/>
                <w:szCs w:val="12"/>
                <w:color w:val="auto"/>
              </w:rPr>
            </w:pPr>
          </w:p>
        </w:tc>
        <w:tc>
          <w:tcPr>
            <w:tcW w:w="160" w:type="dxa"/>
            <w:vAlign w:val="bottom"/>
            <w:gridSpan w:val="4"/>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040" w:type="dxa"/>
            <w:vAlign w:val="bottom"/>
            <w:gridSpan w:val="13"/>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agent), and the other lenders party thereto</w:t>
              </w:r>
            </w:hyperlink>
          </w:p>
        </w:tc>
        <w:tc>
          <w:tcPr>
            <w:tcW w:w="160" w:type="dxa"/>
            <w:vAlign w:val="bottom"/>
            <w:gridSpan w:val="4"/>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10.16.6</w:t>
            </w:r>
          </w:p>
        </w:tc>
        <w:tc>
          <w:tcPr>
            <w:tcW w:w="4360" w:type="dxa"/>
            <w:vAlign w:val="bottom"/>
            <w:gridSpan w:val="22"/>
          </w:tcPr>
          <w:p>
            <w:pPr>
              <w:spacing w:after="0"/>
              <w:rPr>
                <w:rFonts w:ascii="Arial" w:cs="Arial" w:eastAsia="Arial" w:hAnsi="Arial"/>
                <w:sz w:val="16"/>
                <w:szCs w:val="16"/>
                <w:color w:val="0000FF"/>
              </w:rPr>
            </w:pPr>
            <w:hyperlink r:id="rId167">
              <w:r>
                <w:rPr>
                  <w:rFonts w:ascii="Arial" w:cs="Arial" w:eastAsia="Arial" w:hAnsi="Arial"/>
                  <w:sz w:val="16"/>
                  <w:szCs w:val="16"/>
                  <w:color w:val="0000FF"/>
                </w:rPr>
                <w:t>Sixth Amendment to Credit Agreement, dated as of March 4,</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3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2022, by and among Viasat, Inc., MUFG Union Bank, N.A.</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8"/>
              </w:rPr>
            </w:pPr>
            <w:hyperlink r:id="rId167">
              <w:r>
                <w:rPr>
                  <w:rFonts w:ascii="Arial" w:cs="Arial" w:eastAsia="Arial" w:hAnsi="Arial"/>
                  <w:sz w:val="16"/>
                  <w:szCs w:val="16"/>
                  <w:color w:val="0000FF"/>
                  <w:w w:val="98"/>
                </w:rPr>
                <w:t>(as administrative agent and collateral agent), and the other</w:t>
              </w:r>
            </w:hyperlink>
          </w:p>
        </w:tc>
        <w:tc>
          <w:tcPr>
            <w:tcW w:w="12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460" w:type="dxa"/>
            <w:vAlign w:val="bottom"/>
            <w:tcBorders>
              <w:bottom w:val="single" w:sz="8" w:color="0000FF"/>
            </w:tcBorders>
          </w:tcPr>
          <w:p>
            <w:pPr>
              <w:spacing w:after="0" w:line="142" w:lineRule="exact"/>
              <w:rPr>
                <w:rFonts w:ascii="Arial" w:cs="Arial" w:eastAsia="Arial" w:hAnsi="Arial"/>
                <w:sz w:val="16"/>
                <w:szCs w:val="16"/>
                <w:color w:val="0000FF"/>
                <w:w w:val="98"/>
              </w:rPr>
            </w:pPr>
            <w:hyperlink r:id="rId167">
              <w:r>
                <w:rPr>
                  <w:rFonts w:ascii="Arial" w:cs="Arial" w:eastAsia="Arial" w:hAnsi="Arial"/>
                  <w:sz w:val="16"/>
                  <w:szCs w:val="16"/>
                  <w:color w:val="0000FF"/>
                  <w:w w:val="98"/>
                </w:rPr>
                <w:t>lenders party thereto</w:t>
              </w:r>
            </w:hyperlink>
          </w:p>
        </w:tc>
        <w:tc>
          <w:tcPr>
            <w:tcW w:w="286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10.17</w:t>
            </w:r>
          </w:p>
        </w:tc>
        <w:tc>
          <w:tcPr>
            <w:tcW w:w="4360" w:type="dxa"/>
            <w:vAlign w:val="bottom"/>
            <w:gridSpan w:val="22"/>
          </w:tcPr>
          <w:p>
            <w:pPr>
              <w:spacing w:after="0"/>
              <w:rPr>
                <w:rFonts w:ascii="Arial" w:cs="Arial" w:eastAsia="Arial" w:hAnsi="Arial"/>
                <w:sz w:val="16"/>
                <w:szCs w:val="16"/>
                <w:color w:val="0000FF"/>
              </w:rPr>
            </w:pPr>
            <w:hyperlink r:id="rId168">
              <w:r>
                <w:rPr>
                  <w:rFonts w:ascii="Arial" w:cs="Arial" w:eastAsia="Arial" w:hAnsi="Arial"/>
                  <w:sz w:val="16"/>
                  <w:szCs w:val="16"/>
                  <w:color w:val="0000FF"/>
                </w:rPr>
                <w:t>Credit Agreement dated as of March 12, 2015, by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360" w:type="dxa"/>
            <w:vAlign w:val="bottom"/>
            <w:gridSpan w:val="22"/>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among ViaSat Technologies Limited, ViaSat, Inc., JPMorgan</w:t>
              </w:r>
            </w:hyperlink>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4340" w:type="dxa"/>
            <w:vAlign w:val="bottom"/>
            <w:tcBorders>
              <w:top w:val="single" w:sz="8" w:color="0000FF"/>
            </w:tcBorders>
            <w:gridSpan w:val="21"/>
          </w:tcPr>
          <w:p>
            <w:pPr>
              <w:spacing w:after="0" w:line="144" w:lineRule="exact"/>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Chase Bank, National Association (as Ex-Im facility agent)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-635</wp:posOffset>
            </wp:positionV>
            <wp:extent cx="2681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2681605" cy="8255"/>
                    </a:xfrm>
                    <a:prstGeom prst="rect">
                      <a:avLst/>
                    </a:prstGeom>
                    <a:noFill/>
                  </pic:spPr>
                </pic:pic>
              </a:graphicData>
            </a:graphic>
          </wp:anchor>
        </w:drawing>
      </w:r>
    </w:p>
    <w:p>
      <w:pPr>
        <w:ind w:left="1020"/>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and the Export-Import Bank of the United States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-14605</wp:posOffset>
            </wp:positionV>
            <wp:extent cx="2190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S-8</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96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324"/>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S-8</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96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324"/>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S-8</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96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405"/>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S-8</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96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405"/>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960" w:type="dxa"/>
            <w:vAlign w:val="bottom"/>
          </w:tcPr>
          <w:p>
            <w:pPr>
              <w:jc w:val="right"/>
              <w:spacing w:after="0"/>
              <w:rPr>
                <w:sz w:val="20"/>
                <w:szCs w:val="20"/>
                <w:color w:val="auto"/>
              </w:rPr>
            </w:pPr>
            <w:r>
              <w:rPr>
                <w:rFonts w:ascii="Arial" w:cs="Arial" w:eastAsia="Arial" w:hAnsi="Arial"/>
                <w:sz w:val="16"/>
                <w:szCs w:val="16"/>
                <w:color w:val="auto"/>
              </w:rPr>
              <w:t>11/26/2013</w:t>
            </w:r>
          </w:p>
        </w:tc>
      </w:tr>
      <w:tr>
        <w:trPr>
          <w:trHeight w:val="648"/>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960" w:type="dxa"/>
            <w:vAlign w:val="bottom"/>
          </w:tcPr>
          <w:p>
            <w:pPr>
              <w:jc w:val="right"/>
              <w:spacing w:after="0"/>
              <w:rPr>
                <w:sz w:val="20"/>
                <w:szCs w:val="20"/>
                <w:color w:val="auto"/>
              </w:rPr>
            </w:pPr>
            <w:r>
              <w:rPr>
                <w:rFonts w:ascii="Arial" w:cs="Arial" w:eastAsia="Arial" w:hAnsi="Arial"/>
                <w:sz w:val="16"/>
                <w:szCs w:val="16"/>
                <w:color w:val="auto"/>
              </w:rPr>
              <w:t>03/13/2015</w:t>
            </w:r>
          </w:p>
        </w:tc>
      </w:tr>
      <w:tr>
        <w:trPr>
          <w:trHeight w:val="81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960" w:type="dxa"/>
            <w:vAlign w:val="bottom"/>
          </w:tcPr>
          <w:p>
            <w:pPr>
              <w:jc w:val="right"/>
              <w:spacing w:after="0"/>
              <w:rPr>
                <w:sz w:val="20"/>
                <w:szCs w:val="20"/>
                <w:color w:val="auto"/>
              </w:rPr>
            </w:pPr>
            <w:r>
              <w:rPr>
                <w:rFonts w:ascii="Arial" w:cs="Arial" w:eastAsia="Arial" w:hAnsi="Arial"/>
                <w:sz w:val="16"/>
                <w:szCs w:val="16"/>
                <w:color w:val="auto"/>
              </w:rPr>
              <w:t>05/24/2016</w:t>
            </w:r>
          </w:p>
        </w:tc>
      </w:tr>
      <w:tr>
        <w:trPr>
          <w:trHeight w:val="81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10-K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10.10.3</w:t>
            </w:r>
          </w:p>
        </w:tc>
        <w:tc>
          <w:tcPr>
            <w:tcW w:w="960" w:type="dxa"/>
            <w:vAlign w:val="bottom"/>
          </w:tcPr>
          <w:p>
            <w:pPr>
              <w:jc w:val="right"/>
              <w:spacing w:after="0"/>
              <w:rPr>
                <w:sz w:val="20"/>
                <w:szCs w:val="20"/>
                <w:color w:val="auto"/>
              </w:rPr>
            </w:pPr>
            <w:r>
              <w:rPr>
                <w:rFonts w:ascii="Arial" w:cs="Arial" w:eastAsia="Arial" w:hAnsi="Arial"/>
                <w:sz w:val="16"/>
                <w:szCs w:val="16"/>
                <w:color w:val="auto"/>
              </w:rPr>
              <w:t>05/30/2018</w:t>
            </w:r>
          </w:p>
        </w:tc>
      </w:tr>
      <w:tr>
        <w:trPr>
          <w:trHeight w:val="648"/>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960" w:type="dxa"/>
            <w:vAlign w:val="bottom"/>
          </w:tcPr>
          <w:p>
            <w:pPr>
              <w:jc w:val="right"/>
              <w:spacing w:after="0"/>
              <w:rPr>
                <w:sz w:val="20"/>
                <w:szCs w:val="20"/>
                <w:color w:val="auto"/>
              </w:rPr>
            </w:pPr>
            <w:r>
              <w:rPr>
                <w:rFonts w:ascii="Arial" w:cs="Arial" w:eastAsia="Arial" w:hAnsi="Arial"/>
                <w:sz w:val="16"/>
                <w:szCs w:val="16"/>
                <w:color w:val="auto"/>
              </w:rPr>
              <w:t>01/22/2019</w:t>
            </w:r>
          </w:p>
        </w:tc>
      </w:tr>
      <w:tr>
        <w:trPr>
          <w:trHeight w:val="81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960" w:type="dxa"/>
            <w:vAlign w:val="bottom"/>
          </w:tcPr>
          <w:p>
            <w:pPr>
              <w:jc w:val="right"/>
              <w:spacing w:after="0"/>
              <w:rPr>
                <w:sz w:val="20"/>
                <w:szCs w:val="20"/>
                <w:color w:val="auto"/>
              </w:rPr>
            </w:pPr>
            <w:r>
              <w:rPr>
                <w:rFonts w:ascii="Arial" w:cs="Arial" w:eastAsia="Arial" w:hAnsi="Arial"/>
                <w:sz w:val="16"/>
                <w:szCs w:val="16"/>
                <w:color w:val="auto"/>
              </w:rPr>
              <w:t>11/30/2021</w:t>
            </w:r>
          </w:p>
        </w:tc>
      </w:tr>
      <w:tr>
        <w:trPr>
          <w:trHeight w:val="81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960" w:type="dxa"/>
            <w:vAlign w:val="bottom"/>
          </w:tcPr>
          <w:p>
            <w:pPr>
              <w:jc w:val="right"/>
              <w:spacing w:after="0"/>
              <w:rPr>
                <w:sz w:val="20"/>
                <w:szCs w:val="20"/>
                <w:color w:val="auto"/>
              </w:rPr>
            </w:pPr>
            <w:r>
              <w:rPr>
                <w:rFonts w:ascii="Arial" w:cs="Arial" w:eastAsia="Arial" w:hAnsi="Arial"/>
                <w:sz w:val="16"/>
                <w:szCs w:val="16"/>
                <w:color w:val="auto"/>
              </w:rPr>
              <w:t>03/04/2022</w:t>
            </w:r>
          </w:p>
        </w:tc>
      </w:tr>
      <w:tr>
        <w:trPr>
          <w:trHeight w:val="81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9"/>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960" w:type="dxa"/>
            <w:vAlign w:val="bottom"/>
          </w:tcPr>
          <w:p>
            <w:pPr>
              <w:jc w:val="right"/>
              <w:spacing w:after="0"/>
              <w:rPr>
                <w:sz w:val="20"/>
                <w:szCs w:val="20"/>
                <w:color w:val="auto"/>
              </w:rPr>
            </w:pPr>
            <w:r>
              <w:rPr>
                <w:rFonts w:ascii="Arial" w:cs="Arial" w:eastAsia="Arial" w:hAnsi="Arial"/>
                <w:sz w:val="16"/>
                <w:szCs w:val="16"/>
                <w:color w:val="auto"/>
              </w:rPr>
              <w:t>03/13/2015</w:t>
            </w:r>
          </w:p>
        </w:tc>
      </w:tr>
    </w:tbl>
    <w:p>
      <w:pPr>
        <w:sectPr>
          <w:pgSz w:w="11900" w:h="16838" w:orient="portrait"/>
          <w:cols w:equalWidth="0" w:num="2">
            <w:col w:w="5480" w:space="540"/>
            <w:col w:w="4080"/>
          </w:cols>
          <w:pgMar w:left="560" w:top="118" w:right="1239" w:bottom="1440" w:gutter="0" w:footer="0" w:header="0"/>
        </w:sectPr>
      </w:pPr>
    </w:p>
    <w:bookmarkStart w:id="68" w:name="page69"/>
    <w:bookmarkEnd w:id="68"/>
    <w:p>
      <w:pPr>
        <w:ind w:left="960" w:right="160" w:hanging="949"/>
        <w:spacing w:after="0" w:line="21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10.17.1</w:t>
      </w:r>
      <w:r>
        <w:rPr>
          <w:sz w:val="20"/>
          <w:szCs w:val="20"/>
          <w:color w:val="auto"/>
        </w:rPr>
        <w:tab/>
      </w:r>
      <w:hyperlink r:id="rId172">
        <w:r>
          <w:rPr>
            <w:rFonts w:ascii="Arial" w:cs="Arial" w:eastAsia="Arial" w:hAnsi="Arial"/>
            <w:sz w:val="16"/>
            <w:szCs w:val="16"/>
            <w:u w:val="single" w:color="auto"/>
            <w:color w:val="0000FF"/>
          </w:rPr>
          <w:t>First Amendment to Credit Agreement, dated as of June 12,</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2015, by and among ViaSat Technologies Limited, ViaSat,</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-430530</wp:posOffset>
            </wp:positionV>
            <wp:extent cx="27501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275018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-327660</wp:posOffset>
            </wp:positionV>
            <wp:extent cx="26727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267271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-224790</wp:posOffset>
            </wp:positionV>
            <wp:extent cx="27673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276733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-121920</wp:posOffset>
            </wp:positionV>
            <wp:extent cx="25787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-19050</wp:posOffset>
            </wp:positionV>
            <wp:extent cx="2914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13" w:lineRule="exact"/>
        <w:rPr>
          <w:rFonts w:ascii="Arial" w:cs="Arial" w:eastAsia="Arial" w:hAnsi="Arial"/>
          <w:sz w:val="16"/>
          <w:szCs w:val="16"/>
          <w:u w:val="single" w:color="auto"/>
          <w:color w:val="0000FF"/>
        </w:rPr>
      </w:pPr>
    </w:p>
    <w:p>
      <w:pPr>
        <w:ind w:left="960" w:right="160" w:hanging="949"/>
        <w:spacing w:after="0" w:line="21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10.17.2</w:t>
      </w:r>
      <w:r>
        <w:rPr>
          <w:sz w:val="20"/>
          <w:szCs w:val="20"/>
          <w:color w:val="auto"/>
        </w:rPr>
        <w:tab/>
      </w:r>
      <w:hyperlink r:id="rId178">
        <w:r>
          <w:rPr>
            <w:rFonts w:ascii="Arial" w:cs="Arial" w:eastAsia="Arial" w:hAnsi="Arial"/>
            <w:sz w:val="16"/>
            <w:szCs w:val="16"/>
            <w:u w:val="single" w:color="auto"/>
            <w:color w:val="0000FF"/>
          </w:rPr>
          <w:t>Second Amendment Agreement, dated as of March 23,</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2016, by and among ViaSat Technologies Limited, ViaSat,</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-430530</wp:posOffset>
            </wp:positionV>
            <wp:extent cx="25444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-327660</wp:posOffset>
            </wp:positionV>
            <wp:extent cx="26727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267271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-224790</wp:posOffset>
            </wp:positionV>
            <wp:extent cx="27673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276733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-121920</wp:posOffset>
            </wp:positionV>
            <wp:extent cx="25787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-19050</wp:posOffset>
            </wp:positionV>
            <wp:extent cx="2914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13" w:lineRule="exact"/>
        <w:rPr>
          <w:rFonts w:ascii="Arial" w:cs="Arial" w:eastAsia="Arial" w:hAnsi="Arial"/>
          <w:sz w:val="16"/>
          <w:szCs w:val="16"/>
          <w:u w:val="single" w:color="auto"/>
          <w:color w:val="0000FF"/>
        </w:rPr>
      </w:pPr>
    </w:p>
    <w:p>
      <w:pPr>
        <w:ind w:left="960" w:right="100" w:hanging="949"/>
        <w:spacing w:after="0" w:line="21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10.17.3</w:t>
      </w:r>
      <w:r>
        <w:rPr>
          <w:sz w:val="20"/>
          <w:szCs w:val="20"/>
          <w:color w:val="auto"/>
        </w:rPr>
        <w:tab/>
      </w:r>
      <w:hyperlink r:id="rId184">
        <w:r>
          <w:rPr>
            <w:rFonts w:ascii="Arial" w:cs="Arial" w:eastAsia="Arial" w:hAnsi="Arial"/>
            <w:sz w:val="16"/>
            <w:szCs w:val="16"/>
            <w:u w:val="single" w:color="auto"/>
            <w:color w:val="0000FF"/>
          </w:rPr>
          <w:t>Third Amendment Agreement, dated as of October 11, 2016,</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by and among ViaSat Technologies Limited, ViaSat, Inc.,</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JPMorgan Chase Bank, National Association (as Ex-Im</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-430530</wp:posOffset>
            </wp:positionV>
            <wp:extent cx="27762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-327660</wp:posOffset>
            </wp:positionV>
            <wp:extent cx="26092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-224790</wp:posOffset>
            </wp:positionV>
            <wp:extent cx="25444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-121920</wp:posOffset>
            </wp:positionV>
            <wp:extent cx="25787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-19050</wp:posOffset>
            </wp:positionV>
            <wp:extent cx="2914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13" w:lineRule="exact"/>
        <w:rPr>
          <w:rFonts w:ascii="Arial" w:cs="Arial" w:eastAsia="Arial" w:hAnsi="Arial"/>
          <w:sz w:val="16"/>
          <w:szCs w:val="16"/>
          <w:u w:val="single" w:color="auto"/>
          <w:color w:val="0000FF"/>
        </w:rPr>
      </w:pPr>
    </w:p>
    <w:p>
      <w:pPr>
        <w:ind w:left="960" w:right="220" w:hanging="949"/>
        <w:spacing w:after="0" w:line="21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10.17.4</w:t>
      </w:r>
      <w:r>
        <w:rPr>
          <w:sz w:val="20"/>
          <w:szCs w:val="20"/>
          <w:color w:val="auto"/>
        </w:rPr>
        <w:tab/>
      </w:r>
      <w:hyperlink r:id="rId190">
        <w:r>
          <w:rPr>
            <w:rFonts w:ascii="Arial" w:cs="Arial" w:eastAsia="Arial" w:hAnsi="Arial"/>
            <w:sz w:val="16"/>
            <w:szCs w:val="16"/>
            <w:u w:val="single" w:color="auto"/>
            <w:color w:val="0000FF"/>
          </w:rPr>
          <w:t>Fourth Amendment to Credit Agreement, dated as of July</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17, 2018, by and among Viasat Technologies Limited,</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Viasat, Inc., JPMorgan Chase Bank, National Association</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(as Ex-Im Facility Agent) and the Export-Import Bank of the</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-430530</wp:posOffset>
            </wp:positionV>
            <wp:extent cx="26358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263588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-327660</wp:posOffset>
            </wp:positionV>
            <wp:extent cx="24682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246824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-224790</wp:posOffset>
            </wp:positionV>
            <wp:extent cx="26396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263969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-121920</wp:posOffset>
            </wp:positionV>
            <wp:extent cx="27216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272161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-19050</wp:posOffset>
            </wp:positionV>
            <wp:extent cx="6172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13" w:lineRule="exact"/>
        <w:rPr>
          <w:rFonts w:ascii="Arial" w:cs="Arial" w:eastAsia="Arial" w:hAnsi="Arial"/>
          <w:sz w:val="16"/>
          <w:szCs w:val="16"/>
          <w:u w:val="single" w:color="auto"/>
          <w:color w:val="0000FF"/>
        </w:rPr>
      </w:pPr>
    </w:p>
    <w:p>
      <w:pPr>
        <w:ind w:left="960" w:right="160" w:hanging="949"/>
        <w:spacing w:after="0" w:line="21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10.17.5</w:t>
      </w:r>
      <w:r>
        <w:rPr>
          <w:sz w:val="20"/>
          <w:szCs w:val="20"/>
          <w:color w:val="auto"/>
        </w:rPr>
        <w:tab/>
      </w:r>
      <w:hyperlink r:id="rId196">
        <w:r>
          <w:rPr>
            <w:rFonts w:ascii="Arial" w:cs="Arial" w:eastAsia="Arial" w:hAnsi="Arial"/>
            <w:sz w:val="16"/>
            <w:szCs w:val="16"/>
            <w:u w:val="single" w:color="auto"/>
            <w:color w:val="0000FF"/>
          </w:rPr>
          <w:t>Fifth Amendment Agreement, dated as of February 28,</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2019, by and among Viasat Technologies Limited, Viasat,</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-430530</wp:posOffset>
            </wp:positionV>
            <wp:extent cx="25215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252158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-327660</wp:posOffset>
            </wp:positionV>
            <wp:extent cx="26384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263842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-224790</wp:posOffset>
            </wp:positionV>
            <wp:extent cx="27673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276733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-121920</wp:posOffset>
            </wp:positionV>
            <wp:extent cx="25787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-19050</wp:posOffset>
            </wp:positionV>
            <wp:extent cx="2914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67" w:lineRule="exact"/>
        <w:rPr>
          <w:rFonts w:ascii="Arial" w:cs="Arial" w:eastAsia="Arial" w:hAnsi="Arial"/>
          <w:sz w:val="16"/>
          <w:szCs w:val="16"/>
          <w:u w:val="single" w:color="auto"/>
          <w:color w:val="0000FF"/>
        </w:rPr>
      </w:pPr>
    </w:p>
    <w:p>
      <w:pPr>
        <w:ind w:left="960" w:right="100" w:hanging="881"/>
        <w:spacing w:after="0" w:line="225"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202">
        <w:r>
          <w:rPr>
            <w:rFonts w:ascii="Arial" w:cs="Arial" w:eastAsia="Arial" w:hAnsi="Arial"/>
            <w:sz w:val="16"/>
            <w:szCs w:val="16"/>
            <w:u w:val="single" w:color="auto"/>
            <w:color w:val="0000FF"/>
          </w:rPr>
          <w:t>Credit Agreement, dated as of March 4, 2022, by and among</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Viasat, Inc., Bank of America, N.A. (as administrative agent</w:t>
        </w:r>
      </w:hyperlink>
      <w:r>
        <w:rPr>
          <w:rFonts w:ascii="Arial" w:cs="Arial" w:eastAsia="Arial" w:hAnsi="Arial"/>
          <w:sz w:val="16"/>
          <w:szCs w:val="16"/>
          <w:u w:val="single" w:color="auto"/>
          <w:color w:val="0000FF"/>
        </w:rPr>
        <w:t xml:space="preserve"> </w:t>
      </w:r>
      <w:hyperlink r:id="rId202">
        <w:r>
          <w:rPr>
            <w:rFonts w:ascii="Arial" w:cs="Arial" w:eastAsia="Arial" w:hAnsi="Arial"/>
            <w:sz w:val="16"/>
            <w:szCs w:val="16"/>
            <w:u w:val="single" w:color="auto"/>
            <w:color w:val="0000FF"/>
          </w:rPr>
          <w:t>and collateral 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-226060</wp:posOffset>
            </wp:positionV>
            <wp:extent cx="27762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27762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-123190</wp:posOffset>
            </wp:positionV>
            <wp:extent cx="27254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27254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-20320</wp:posOffset>
            </wp:positionV>
            <wp:extent cx="2567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111" w:lineRule="exact"/>
        <w:rPr>
          <w:rFonts w:ascii="Arial" w:cs="Arial" w:eastAsia="Arial" w:hAnsi="Arial"/>
          <w:sz w:val="16"/>
          <w:szCs w:val="16"/>
          <w:u w:val="single" w:color="auto"/>
          <w:color w:val="0000FF"/>
        </w:rPr>
      </w:pPr>
    </w:p>
    <w:p>
      <w:pPr>
        <w:ind w:left="12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21.1</w:t>
      </w:r>
      <w:r>
        <w:rPr>
          <w:sz w:val="20"/>
          <w:szCs w:val="20"/>
          <w:color w:val="auto"/>
        </w:rPr>
        <w:tab/>
      </w:r>
      <w:hyperlink w:anchor="page123">
        <w:r>
          <w:rPr>
            <w:rFonts w:ascii="Arial" w:cs="Arial" w:eastAsia="Arial" w:hAnsi="Arial"/>
            <w:sz w:val="16"/>
            <w:szCs w:val="16"/>
            <w:u w:val="single" w:color="auto"/>
            <w:color w:val="0000FF"/>
          </w:rPr>
          <w:t>Subsidiaries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604520</wp:posOffset>
            </wp:positionH>
            <wp:positionV relativeFrom="paragraph">
              <wp:posOffset>-14605</wp:posOffset>
            </wp:positionV>
            <wp:extent cx="5600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spacing w:after="0" w:line="120" w:lineRule="exact"/>
        <w:rPr>
          <w:rFonts w:ascii="Arial" w:cs="Arial" w:eastAsia="Arial" w:hAnsi="Arial"/>
          <w:sz w:val="16"/>
          <w:szCs w:val="16"/>
          <w:u w:val="single" w:color="auto"/>
          <w:color w:val="0000FF"/>
        </w:rPr>
      </w:pPr>
    </w:p>
    <w:p>
      <w:pPr>
        <w:ind w:left="960" w:right="520" w:hanging="836"/>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23.1</w:t>
      </w:r>
      <w:r>
        <w:rPr>
          <w:sz w:val="20"/>
          <w:szCs w:val="20"/>
          <w:color w:val="auto"/>
        </w:rPr>
        <w:tab/>
      </w:r>
      <w:hyperlink w:anchor="page126">
        <w:r>
          <w:rPr>
            <w:rFonts w:ascii="Arial" w:cs="Arial" w:eastAsia="Arial" w:hAnsi="Arial"/>
            <w:sz w:val="16"/>
            <w:szCs w:val="16"/>
            <w:u w:val="single" w:color="auto"/>
            <w:color w:val="0000FF"/>
          </w:rPr>
          <w:t>Consent of PricewaterhouseCoopers LLP, Independent</w:t>
        </w:r>
      </w:hyperlink>
      <w:r>
        <w:rPr>
          <w:rFonts w:ascii="Arial" w:cs="Arial" w:eastAsia="Arial" w:hAnsi="Arial"/>
          <w:sz w:val="16"/>
          <w:szCs w:val="16"/>
          <w:u w:val="single" w:color="auto"/>
          <w:color w:val="0000FF"/>
        </w:rPr>
        <w:t xml:space="preserve"> </w:t>
      </w:r>
      <w:hyperlink w:anchor="page126">
        <w:r>
          <w:rPr>
            <w:rFonts w:ascii="Arial" w:cs="Arial" w:eastAsia="Arial" w:hAnsi="Arial"/>
            <w:sz w:val="16"/>
            <w:szCs w:val="16"/>
            <w:u w:val="single" w:color="auto"/>
            <w:color w:val="0000FF"/>
          </w:rPr>
          <w:t>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-123825</wp:posOffset>
            </wp:positionV>
            <wp:extent cx="25374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-20955</wp:posOffset>
            </wp:positionV>
            <wp:extent cx="15779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110" w:lineRule="exact"/>
        <w:rPr>
          <w:sz w:val="20"/>
          <w:szCs w:val="20"/>
          <w:color w:val="auto"/>
        </w:rPr>
      </w:pPr>
    </w:p>
    <w:p>
      <w:pPr>
        <w:ind w:left="120"/>
        <w:spacing w:after="0"/>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24.1</w:t>
      </w:r>
      <w:r>
        <w:rPr>
          <w:sz w:val="20"/>
          <w:szCs w:val="20"/>
          <w:color w:val="auto"/>
        </w:rPr>
        <w:tab/>
      </w:r>
      <w:hyperlink w:anchor="page71">
        <w:r>
          <w:rPr>
            <w:rFonts w:ascii="Arial" w:cs="Arial" w:eastAsia="Arial" w:hAnsi="Arial"/>
            <w:sz w:val="16"/>
            <w:szCs w:val="16"/>
            <w:u w:val="single" w:color="auto"/>
            <w:color w:val="0000FF"/>
          </w:rPr>
          <w:t>Power of Attorney (see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-14605</wp:posOffset>
            </wp:positionV>
            <wp:extent cx="1790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120" w:lineRule="exact"/>
        <w:rPr>
          <w:sz w:val="20"/>
          <w:szCs w:val="20"/>
          <w:color w:val="auto"/>
        </w:rPr>
      </w:pPr>
    </w:p>
    <w:p>
      <w:pPr>
        <w:ind w:left="960" w:right="180" w:hanging="836"/>
        <w:spacing w:after="0" w:line="232"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127">
        <w:r>
          <w:rPr>
            <w:rFonts w:ascii="Arial" w:cs="Arial" w:eastAsia="Arial" w:hAnsi="Arial"/>
            <w:sz w:val="16"/>
            <w:szCs w:val="16"/>
            <w:u w:val="single" w:color="auto"/>
            <w:color w:val="0000FF"/>
          </w:rPr>
          <w:t>Certification Pursuant to Section 302 of the Sarbanes-Oxley</w:t>
        </w:r>
      </w:hyperlink>
      <w:r>
        <w:rPr>
          <w:rFonts w:ascii="Arial" w:cs="Arial" w:eastAsia="Arial" w:hAnsi="Arial"/>
          <w:sz w:val="16"/>
          <w:szCs w:val="16"/>
          <w:u w:val="single" w:color="auto"/>
          <w:color w:val="0000FF"/>
        </w:rPr>
        <w:t xml:space="preserve"> </w:t>
      </w:r>
      <w:hyperlink w:anchor="page127">
        <w:r>
          <w:rPr>
            <w:rFonts w:ascii="Arial" w:cs="Arial" w:eastAsia="Arial" w:hAnsi="Arial"/>
            <w:sz w:val="16"/>
            <w:szCs w:val="16"/>
            <w:u w:val="single" w:color="auto"/>
            <w:color w:val="0000FF"/>
          </w:rPr>
          <w:t>Act of 2002 of Chief 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-123825</wp:posOffset>
            </wp:positionV>
            <wp:extent cx="27501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275018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-20955</wp:posOffset>
            </wp:positionV>
            <wp:extent cx="1707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1707515" cy="8255"/>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180" w:val="left"/>
          <w:tab w:leader="none" w:pos="2520" w:val="left"/>
          <w:tab w:leader="none" w:pos="324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08/10/2015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180" w:val="left"/>
          <w:tab w:leader="none" w:pos="2520" w:val="left"/>
          <w:tab w:leader="none" w:pos="32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03/24/2016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180" w:val="left"/>
          <w:tab w:leader="none" w:pos="2520" w:val="left"/>
          <w:tab w:leader="none" w:pos="32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10/12/2016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180" w:val="left"/>
          <w:tab w:leader="none" w:pos="2520" w:val="left"/>
          <w:tab w:leader="none" w:pos="32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07/23/2018</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180" w:val="left"/>
          <w:tab w:leader="none" w:pos="2520" w:val="left"/>
          <w:tab w:leader="none" w:pos="32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02/28/2019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1180" w:val="left"/>
          <w:tab w:leader="none" w:pos="2520" w:val="left"/>
          <w:tab w:leader="none" w:pos="32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03/04/2022</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5420" w:space="540"/>
            <w:col w:w="4680"/>
          </w:cols>
          <w:pgMar w:left="620" w:top="344" w:right="639" w:bottom="1440" w:gutter="0" w:footer="0" w:header="0"/>
        </w:sectPr>
      </w:pPr>
    </w:p>
    <w:bookmarkStart w:id="69" w:name="page70"/>
    <w:bookmarkEnd w:id="69"/>
    <w:tbl>
      <w:tblPr>
        <w:tblLayout w:type="fixed"/>
        <w:tblInd w:w="240" w:type="dxa"/>
        <w:tblCellMar>
          <w:top w:w="0" w:type="dxa"/>
          <w:left w:w="0" w:type="dxa"/>
          <w:bottom w:w="0" w:type="dxa"/>
          <w:right w:w="0" w:type="dxa"/>
        </w:tblCellMar>
      </w:tblPr>
      <w:tr>
        <w:trPr>
          <w:trHeight w:val="18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31.2</w:t>
            </w:r>
          </w:p>
        </w:tc>
        <w:tc>
          <w:tcPr>
            <w:tcW w:w="4300" w:type="dxa"/>
            <w:vAlign w:val="bottom"/>
            <w:gridSpan w:val="5"/>
          </w:tcPr>
          <w:p>
            <w:pPr>
              <w:spacing w:after="0"/>
              <w:rPr>
                <w:rFonts w:ascii="Arial" w:cs="Arial" w:eastAsia="Arial" w:hAnsi="Arial"/>
                <w:sz w:val="16"/>
                <w:szCs w:val="16"/>
                <w:color w:val="0000FF"/>
              </w:rPr>
            </w:pPr>
            <w:hyperlink w:anchor="page128">
              <w:r>
                <w:rPr>
                  <w:rFonts w:ascii="Arial" w:cs="Arial" w:eastAsia="Arial" w:hAnsi="Arial"/>
                  <w:sz w:val="16"/>
                  <w:szCs w:val="16"/>
                  <w:color w:val="0000FF"/>
                </w:rPr>
                <w:t>Certification Pursuant to Section 302 of the Sarbanes-Oxley</w:t>
              </w:r>
            </w:hyperlink>
          </w:p>
        </w:tc>
        <w:tc>
          <w:tcPr>
            <w:tcW w:w="40" w:type="dxa"/>
            <w:vAlign w:val="bottom"/>
          </w:tcPr>
          <w:p>
            <w:pPr>
              <w:spacing w:after="0"/>
              <w:rPr>
                <w:sz w:val="16"/>
                <w:szCs w:val="16"/>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142"/>
        </w:trPr>
        <w:tc>
          <w:tcPr>
            <w:tcW w:w="1040" w:type="dxa"/>
            <w:vAlign w:val="bottom"/>
          </w:tcPr>
          <w:p>
            <w:pPr>
              <w:spacing w:after="0"/>
              <w:rPr>
                <w:sz w:val="12"/>
                <w:szCs w:val="12"/>
                <w:color w:val="auto"/>
              </w:rPr>
            </w:pPr>
          </w:p>
        </w:tc>
        <w:tc>
          <w:tcPr>
            <w:tcW w:w="430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w:anchor="page128">
              <w:r>
                <w:rPr>
                  <w:rFonts w:ascii="Arial" w:cs="Arial" w:eastAsia="Arial" w:hAnsi="Arial"/>
                  <w:sz w:val="16"/>
                  <w:szCs w:val="16"/>
                  <w:color w:val="0000FF"/>
                </w:rPr>
                <w:t>Act of 2002 of Chief Financial Officer</w:t>
              </w:r>
            </w:hyperlink>
          </w:p>
        </w:tc>
        <w:tc>
          <w:tcPr>
            <w:tcW w:w="40" w:type="dxa"/>
            <w:vAlign w:val="bottom"/>
          </w:tcPr>
          <w:p>
            <w:pPr>
              <w:spacing w:after="0"/>
              <w:rPr>
                <w:sz w:val="12"/>
                <w:szCs w:val="12"/>
                <w:color w:val="auto"/>
              </w:rPr>
            </w:pPr>
          </w:p>
        </w:tc>
        <w:tc>
          <w:tcPr>
            <w:tcW w:w="5320" w:type="dxa"/>
            <w:vAlign w:val="bottom"/>
          </w:tcPr>
          <w:p>
            <w:pPr>
              <w:spacing w:after="0"/>
              <w:rPr>
                <w:sz w:val="12"/>
                <w:szCs w:val="12"/>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0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32.1</w:t>
            </w:r>
          </w:p>
        </w:tc>
        <w:tc>
          <w:tcPr>
            <w:tcW w:w="4300" w:type="dxa"/>
            <w:vAlign w:val="bottom"/>
            <w:gridSpan w:val="5"/>
          </w:tcPr>
          <w:p>
            <w:pPr>
              <w:spacing w:after="0"/>
              <w:rPr>
                <w:rFonts w:ascii="Arial" w:cs="Arial" w:eastAsia="Arial" w:hAnsi="Arial"/>
                <w:sz w:val="16"/>
                <w:szCs w:val="16"/>
                <w:color w:val="0000FF"/>
              </w:rPr>
            </w:pPr>
            <w:hyperlink w:anchor="page129">
              <w:r>
                <w:rPr>
                  <w:rFonts w:ascii="Arial" w:cs="Arial" w:eastAsia="Arial" w:hAnsi="Arial"/>
                  <w:sz w:val="16"/>
                  <w:szCs w:val="16"/>
                  <w:color w:val="0000FF"/>
                </w:rPr>
                <w:t>Certifications Pursuant to 18 U.S.C. Section 1350, as</w:t>
              </w:r>
            </w:hyperlink>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30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w:anchor="page129">
              <w:r>
                <w:rPr>
                  <w:rFonts w:ascii="Arial" w:cs="Arial" w:eastAsia="Arial" w:hAnsi="Arial"/>
                  <w:sz w:val="16"/>
                  <w:szCs w:val="16"/>
                  <w:color w:val="0000FF"/>
                </w:rPr>
                <w:t>Adopted Pursuant to Section 906 of the Sarbanes-Oxley Act</w:t>
              </w:r>
            </w:hyperlink>
          </w:p>
        </w:tc>
        <w:tc>
          <w:tcPr>
            <w:tcW w:w="40" w:type="dxa"/>
            <w:vAlign w:val="bottom"/>
            <w:tcBorders>
              <w:bottom w:val="single" w:sz="8" w:color="0000FF"/>
            </w:tcBorders>
          </w:tcPr>
          <w:p>
            <w:pPr>
              <w:spacing w:after="0"/>
              <w:rPr>
                <w:sz w:val="12"/>
                <w:szCs w:val="12"/>
                <w:color w:val="auto"/>
              </w:rPr>
            </w:pPr>
          </w:p>
        </w:tc>
        <w:tc>
          <w:tcPr>
            <w:tcW w:w="532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520" w:type="dxa"/>
            <w:vAlign w:val="bottom"/>
            <w:tcBorders>
              <w:bottom w:val="single" w:sz="8" w:color="0000FF"/>
            </w:tcBorders>
          </w:tcPr>
          <w:p>
            <w:pPr>
              <w:spacing w:after="0" w:line="142" w:lineRule="exact"/>
              <w:rPr>
                <w:rFonts w:ascii="Arial" w:cs="Arial" w:eastAsia="Arial" w:hAnsi="Arial"/>
                <w:sz w:val="16"/>
                <w:szCs w:val="16"/>
                <w:color w:val="0000FF"/>
                <w:w w:val="93"/>
              </w:rPr>
            </w:pPr>
            <w:hyperlink w:anchor="page129">
              <w:r>
                <w:rPr>
                  <w:rFonts w:ascii="Arial" w:cs="Arial" w:eastAsia="Arial" w:hAnsi="Arial"/>
                  <w:sz w:val="16"/>
                  <w:szCs w:val="16"/>
                  <w:color w:val="0000FF"/>
                  <w:w w:val="93"/>
                </w:rPr>
                <w:t>of 2002</w:t>
              </w:r>
            </w:hyperlink>
          </w:p>
        </w:tc>
        <w:tc>
          <w:tcPr>
            <w:tcW w:w="20" w:type="dxa"/>
            <w:vAlign w:val="bottom"/>
            <w:tcBorders>
              <w:bottom w:val="single" w:sz="8" w:color="0000EE"/>
            </w:tcBorders>
          </w:tcPr>
          <w:p>
            <w:pPr>
              <w:spacing w:after="0"/>
              <w:rPr>
                <w:sz w:val="12"/>
                <w:szCs w:val="12"/>
                <w:color w:val="auto"/>
              </w:rPr>
            </w:pPr>
          </w:p>
        </w:tc>
        <w:tc>
          <w:tcPr>
            <w:tcW w:w="37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5320" w:type="dxa"/>
            <w:vAlign w:val="bottom"/>
          </w:tcPr>
          <w:p>
            <w:pPr>
              <w:spacing w:after="0"/>
              <w:rPr>
                <w:sz w:val="12"/>
                <w:szCs w:val="12"/>
                <w:color w:val="auto"/>
              </w:rPr>
            </w:pPr>
          </w:p>
        </w:tc>
      </w:tr>
      <w:tr>
        <w:trPr>
          <w:trHeight w:val="306"/>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101.INS</w:t>
            </w:r>
          </w:p>
        </w:tc>
        <w:tc>
          <w:tcPr>
            <w:tcW w:w="4300" w:type="dxa"/>
            <w:vAlign w:val="bottom"/>
            <w:gridSpan w:val="5"/>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162"/>
        </w:trPr>
        <w:tc>
          <w:tcPr>
            <w:tcW w:w="1040" w:type="dxa"/>
            <w:vAlign w:val="bottom"/>
          </w:tcPr>
          <w:p>
            <w:pPr>
              <w:spacing w:after="0"/>
              <w:rPr>
                <w:sz w:val="14"/>
                <w:szCs w:val="14"/>
                <w:color w:val="auto"/>
              </w:rPr>
            </w:pPr>
          </w:p>
        </w:tc>
        <w:tc>
          <w:tcPr>
            <w:tcW w:w="4300" w:type="dxa"/>
            <w:vAlign w:val="bottom"/>
            <w:gridSpan w:val="5"/>
          </w:tcPr>
          <w:p>
            <w:pPr>
              <w:spacing w:after="0" w:line="162" w:lineRule="exact"/>
              <w:rPr>
                <w:sz w:val="20"/>
                <w:szCs w:val="20"/>
                <w:color w:val="auto"/>
              </w:rPr>
            </w:pPr>
            <w:r>
              <w:rPr>
                <w:rFonts w:ascii="Arial" w:cs="Arial" w:eastAsia="Arial" w:hAnsi="Arial"/>
                <w:sz w:val="16"/>
                <w:szCs w:val="16"/>
                <w:color w:val="auto"/>
              </w:rPr>
              <w:t>does not appear in the Interactive Data File because its</w:t>
            </w:r>
          </w:p>
        </w:tc>
        <w:tc>
          <w:tcPr>
            <w:tcW w:w="4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195"/>
        </w:trPr>
        <w:tc>
          <w:tcPr>
            <w:tcW w:w="1040" w:type="dxa"/>
            <w:vAlign w:val="bottom"/>
          </w:tcPr>
          <w:p>
            <w:pPr>
              <w:spacing w:after="0"/>
              <w:rPr>
                <w:sz w:val="16"/>
                <w:szCs w:val="16"/>
                <w:color w:val="auto"/>
              </w:rPr>
            </w:pPr>
          </w:p>
        </w:tc>
        <w:tc>
          <w:tcPr>
            <w:tcW w:w="4300" w:type="dxa"/>
            <w:vAlign w:val="bottom"/>
            <w:gridSpan w:val="5"/>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r>
      <w:tr>
        <w:trPr>
          <w:trHeight w:val="32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101.SCH</w:t>
            </w:r>
          </w:p>
        </w:tc>
        <w:tc>
          <w:tcPr>
            <w:tcW w:w="430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324"/>
        </w:trPr>
        <w:tc>
          <w:tcPr>
            <w:tcW w:w="1040" w:type="dxa"/>
            <w:vAlign w:val="bottom"/>
          </w:tcPr>
          <w:p>
            <w:pPr>
              <w:jc w:val="center"/>
              <w:ind w:right="299"/>
              <w:spacing w:after="0"/>
              <w:rPr>
                <w:sz w:val="20"/>
                <w:szCs w:val="20"/>
                <w:color w:val="auto"/>
              </w:rPr>
            </w:pPr>
            <w:r>
              <w:rPr>
                <w:rFonts w:ascii="Arial" w:cs="Arial" w:eastAsia="Arial" w:hAnsi="Arial"/>
                <w:sz w:val="16"/>
                <w:szCs w:val="16"/>
                <w:color w:val="auto"/>
                <w:w w:val="99"/>
              </w:rPr>
              <w:t>101.CAL</w:t>
            </w:r>
          </w:p>
        </w:tc>
        <w:tc>
          <w:tcPr>
            <w:tcW w:w="430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324"/>
        </w:trPr>
        <w:tc>
          <w:tcPr>
            <w:tcW w:w="1040" w:type="dxa"/>
            <w:vAlign w:val="bottom"/>
          </w:tcPr>
          <w:p>
            <w:pPr>
              <w:jc w:val="center"/>
              <w:ind w:right="279"/>
              <w:spacing w:after="0"/>
              <w:rPr>
                <w:sz w:val="20"/>
                <w:szCs w:val="20"/>
                <w:color w:val="auto"/>
              </w:rPr>
            </w:pPr>
            <w:r>
              <w:rPr>
                <w:rFonts w:ascii="Arial" w:cs="Arial" w:eastAsia="Arial" w:hAnsi="Arial"/>
                <w:sz w:val="16"/>
                <w:szCs w:val="16"/>
                <w:color w:val="auto"/>
              </w:rPr>
              <w:t>101.DEF</w:t>
            </w:r>
          </w:p>
        </w:tc>
        <w:tc>
          <w:tcPr>
            <w:tcW w:w="430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32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101.LAB</w:t>
            </w:r>
          </w:p>
        </w:tc>
        <w:tc>
          <w:tcPr>
            <w:tcW w:w="4300" w:type="dxa"/>
            <w:vAlign w:val="bottom"/>
            <w:gridSpan w:val="5"/>
          </w:tcPr>
          <w:p>
            <w:pPr>
              <w:spacing w:after="0"/>
              <w:rPr>
                <w:sz w:val="20"/>
                <w:szCs w:val="20"/>
                <w:color w:val="auto"/>
              </w:rPr>
            </w:pPr>
            <w:r>
              <w:rPr>
                <w:rFonts w:ascii="Arial" w:cs="Arial" w:eastAsia="Arial" w:hAnsi="Arial"/>
                <w:sz w:val="16"/>
                <w:szCs w:val="16"/>
                <w:color w:val="auto"/>
              </w:rPr>
              <w:t>Inline XBRL Taxonomy Extension Labels Linkbase</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324"/>
        </w:trPr>
        <w:tc>
          <w:tcPr>
            <w:tcW w:w="1040" w:type="dxa"/>
            <w:vAlign w:val="bottom"/>
          </w:tcPr>
          <w:p>
            <w:pPr>
              <w:jc w:val="center"/>
              <w:ind w:right="299"/>
              <w:spacing w:after="0"/>
              <w:rPr>
                <w:sz w:val="20"/>
                <w:szCs w:val="20"/>
                <w:color w:val="auto"/>
              </w:rPr>
            </w:pPr>
            <w:r>
              <w:rPr>
                <w:rFonts w:ascii="Arial" w:cs="Arial" w:eastAsia="Arial" w:hAnsi="Arial"/>
                <w:sz w:val="16"/>
                <w:szCs w:val="16"/>
                <w:color w:val="auto"/>
              </w:rPr>
              <w:t>101.PRE</w:t>
            </w:r>
          </w:p>
        </w:tc>
        <w:tc>
          <w:tcPr>
            <w:tcW w:w="430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291"/>
        </w:trPr>
        <w:tc>
          <w:tcPr>
            <w:tcW w:w="1040" w:type="dxa"/>
            <w:vAlign w:val="bottom"/>
          </w:tcPr>
          <w:p>
            <w:pPr>
              <w:jc w:val="center"/>
              <w:ind w:right="299"/>
              <w:spacing w:after="0"/>
              <w:rPr>
                <w:sz w:val="20"/>
                <w:szCs w:val="20"/>
                <w:color w:val="auto"/>
              </w:rPr>
            </w:pPr>
            <w:r>
              <w:rPr>
                <w:rFonts w:ascii="Arial" w:cs="Arial" w:eastAsia="Arial" w:hAnsi="Arial"/>
                <w:sz w:val="16"/>
                <w:szCs w:val="16"/>
                <w:color w:val="auto"/>
                <w:w w:val="97"/>
              </w:rPr>
              <w:t>104</w:t>
            </w:r>
          </w:p>
        </w:tc>
        <w:tc>
          <w:tcPr>
            <w:tcW w:w="430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40" w:type="dxa"/>
            <w:vAlign w:val="bottom"/>
          </w:tcPr>
          <w:p>
            <w:pPr>
              <w:spacing w:after="0"/>
              <w:rPr>
                <w:sz w:val="24"/>
                <w:szCs w:val="24"/>
                <w:color w:val="auto"/>
              </w:rPr>
            </w:pPr>
          </w:p>
        </w:tc>
        <w:tc>
          <w:tcPr>
            <w:tcW w:w="5320" w:type="dxa"/>
            <w:vAlign w:val="bottom"/>
          </w:tcPr>
          <w:p>
            <w:pPr>
              <w:ind w:left="5220"/>
              <w:spacing w:after="0"/>
              <w:rPr>
                <w:sz w:val="20"/>
                <w:szCs w:val="20"/>
                <w:color w:val="auto"/>
              </w:rPr>
            </w:pPr>
            <w:r>
              <w:rPr>
                <w:rFonts w:ascii="Arial" w:cs="Arial" w:eastAsia="Arial" w:hAnsi="Arial"/>
                <w:sz w:val="16"/>
                <w:szCs w:val="16"/>
                <w:color w:val="auto"/>
                <w:w w:val="74"/>
              </w:rPr>
              <w:t>X</w:t>
            </w:r>
          </w:p>
        </w:tc>
      </w:tr>
      <w:tr>
        <w:trPr>
          <w:trHeight w:val="195"/>
        </w:trPr>
        <w:tc>
          <w:tcPr>
            <w:tcW w:w="1040" w:type="dxa"/>
            <w:vAlign w:val="bottom"/>
          </w:tcPr>
          <w:p>
            <w:pPr>
              <w:spacing w:after="0"/>
              <w:rPr>
                <w:sz w:val="16"/>
                <w:szCs w:val="16"/>
                <w:color w:val="auto"/>
              </w:rPr>
            </w:pPr>
          </w:p>
        </w:tc>
        <w:tc>
          <w:tcPr>
            <w:tcW w:w="4300" w:type="dxa"/>
            <w:vAlign w:val="bottom"/>
            <w:gridSpan w:val="5"/>
          </w:tcPr>
          <w:p>
            <w:pPr>
              <w:spacing w:after="0"/>
              <w:rPr>
                <w:sz w:val="20"/>
                <w:szCs w:val="20"/>
                <w:color w:val="auto"/>
              </w:rPr>
            </w:pPr>
            <w:r>
              <w:rPr>
                <w:rFonts w:ascii="Arial" w:cs="Arial" w:eastAsia="Arial" w:hAnsi="Arial"/>
                <w:sz w:val="16"/>
                <w:szCs w:val="16"/>
                <w:color w:val="auto"/>
              </w:rPr>
              <w:t>and contained in Exhibit 101)</w:t>
            </w:r>
          </w:p>
        </w:tc>
        <w:tc>
          <w:tcPr>
            <w:tcW w:w="40" w:type="dxa"/>
            <w:vAlign w:val="bottom"/>
          </w:tcPr>
          <w:p>
            <w:pPr>
              <w:spacing w:after="0"/>
              <w:rPr>
                <w:sz w:val="16"/>
                <w:szCs w:val="16"/>
                <w:color w:val="auto"/>
              </w:rPr>
            </w:pPr>
          </w:p>
        </w:tc>
        <w:tc>
          <w:tcPr>
            <w:tcW w:w="5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9512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2" w:lineRule="exact"/>
        <w:rPr>
          <w:sz w:val="20"/>
          <w:szCs w:val="20"/>
          <w:color w:val="auto"/>
        </w:rPr>
      </w:pPr>
    </w:p>
    <w:p>
      <w:pPr>
        <w:ind w:firstLine="8"/>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schedules to this Exhibit omitted pursuant to Regulation S-K Item 601(b)(2) or 601(a)(5) (as applicable). The registrant agrees to furnish supplementally a copy of any omitted schedule or exhibit to the SEC upon request; provided, however, that the registrant may request confidential treatment pursuant to Rule 24b-2 of the Exchange Act for any document so furnished.</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compensatory plan or arrangement.</w:t>
      </w:r>
    </w:p>
    <w:p>
      <w:pPr>
        <w:spacing w:after="0" w:line="104"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ind w:left="6780"/>
        <w:spacing w:after="0"/>
        <w:tabs>
          <w:tab w:leader="none" w:pos="7260" w:val="left"/>
        </w:tabs>
        <w:rPr>
          <w:sz w:val="20"/>
          <w:szCs w:val="20"/>
          <w:color w:val="auto"/>
        </w:rPr>
      </w:pPr>
      <w:r>
        <w:rPr>
          <w:rFonts w:ascii="Arial" w:cs="Arial" w:eastAsia="Arial" w:hAnsi="Arial"/>
          <w:sz w:val="18"/>
          <w:szCs w:val="18"/>
          <w:color w:val="auto"/>
        </w:rPr>
        <w:t>By:</w:t>
        <w:tab/>
        <w:t>/s/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-1905</wp:posOffset>
            </wp:positionV>
            <wp:extent cx="25546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p>
      <w:pPr>
        <w:spacing w:after="0" w:line="15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Richard Baldridge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2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Date</w:t>
            </w:r>
          </w:p>
        </w:tc>
      </w:tr>
      <w:tr>
        <w:trPr>
          <w:trHeight w:val="33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BALDRIDGE</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Richard Baldridge</w:t>
            </w:r>
          </w:p>
        </w:tc>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SHAWN DUFFY</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168"/>
        </w:trPr>
        <w:tc>
          <w:tcPr>
            <w:tcW w:w="3340" w:type="dxa"/>
            <w:vAlign w:val="bottom"/>
          </w:tcPr>
          <w:p>
            <w:pPr>
              <w:ind w:left="20"/>
              <w:spacing w:after="0" w:line="168" w:lineRule="exact"/>
              <w:rPr>
                <w:sz w:val="20"/>
                <w:szCs w:val="20"/>
                <w:color w:val="auto"/>
              </w:rPr>
            </w:pPr>
            <w:r>
              <w:rPr>
                <w:rFonts w:ascii="Arial" w:cs="Arial" w:eastAsia="Arial" w:hAnsi="Arial"/>
                <w:sz w:val="18"/>
                <w:szCs w:val="18"/>
                <w:color w:val="auto"/>
              </w:rPr>
              <w:t>Shawn Duffy</w:t>
            </w:r>
          </w:p>
        </w:tc>
        <w:tc>
          <w:tcPr>
            <w:tcW w:w="120" w:type="dxa"/>
            <w:vAlign w:val="bottom"/>
          </w:tcPr>
          <w:p>
            <w:pPr>
              <w:spacing w:after="0"/>
              <w:rPr>
                <w:sz w:val="14"/>
                <w:szCs w:val="14"/>
                <w:color w:val="auto"/>
              </w:rPr>
            </w:pPr>
          </w:p>
        </w:tc>
        <w:tc>
          <w:tcPr>
            <w:tcW w:w="4460" w:type="dxa"/>
            <w:vAlign w:val="bottom"/>
          </w:tcPr>
          <w:p>
            <w:pPr>
              <w:ind w:left="20"/>
              <w:spacing w:after="0" w:line="168" w:lineRule="exact"/>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7"/>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DANKBERG</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Executive Chairman</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Mark Dankberg</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BRIDENSTINE</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James Bridenstine</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JOHNSON</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Robert Johnson</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PAK</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Sean Pak</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VARSHA RAO</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Varsha Rao</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STENBIT</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John Stenbit</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THERESA WISE</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27, 2022</w:t>
            </w: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color w:val="auto"/>
              </w:rPr>
              <w:t>Theresa Wise</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755"/>
        </w:trPr>
        <w:tc>
          <w:tcPr>
            <w:tcW w:w="3340" w:type="dxa"/>
            <w:vAlign w:val="bottom"/>
          </w:tcPr>
          <w:p>
            <w:pPr>
              <w:spacing w:after="0"/>
              <w:rPr>
                <w:sz w:val="24"/>
                <w:szCs w:val="24"/>
                <w:color w:val="auto"/>
              </w:rPr>
            </w:pPr>
          </w:p>
        </w:tc>
        <w:tc>
          <w:tcPr>
            <w:tcW w:w="4580" w:type="dxa"/>
            <w:vAlign w:val="bottom"/>
            <w:gridSpan w:val="2"/>
          </w:tcPr>
          <w:p>
            <w:pPr>
              <w:ind w:left="21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01"/>
        </w:trPr>
        <w:tc>
          <w:tcPr>
            <w:tcW w:w="3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right="3120" w:firstLine="3132"/>
        <w:spacing w:after="0" w:line="36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Viasat,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Viasat, Inc. and its subsidiaries (the “Company”) as of March 31, 2022 and 2021, and the related consolidated statements of operations and comprehensive income (loss), of equity, and of cash flows for each of the three years in the period ended March 31, 2022, including the related notes and financial statement schedule listed in the index appearing under Item 15(a)(2) (collectively referred to as the “consolidated financial statements”). We also have audited the Company's internal control over financial reporting as of March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31, 2022 and 2021, and the results of its operations and its cash flows for each of the three years in the period ended March 31, 2022 in conformity with accounting principles generally accepted in the United States of America. Also in our opinion, the Company maintained, in all material respects, effective internal control over financial reporting as of March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fiscal year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RigNet, Inc. and Euro Broadband Infrastructure Sàrl from its assessment of internal control over financial reporting as of March 31, 2022, because they were acquired by the Company in purchase business combinations during fiscal year 2022. We have also excluded RigNet, Inc. and Euro Broadband Infrastructure Sàrl from our audit of internal control over financial reporting. RigNet, Inc. and Euro Broadband Infrastructure Sàrl are wholly-owned subsidiaries whose total assets and total revenues excluded from management’s assessment and our audit of internal control over financial reporting represent approximately 6% and 3% of total assets, respectively, and approximately 6% and 1% of total revenues, respectively, of the related consolidated financial statement amounts as of and for the year ended March 31, 2022.</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Estimated Costs at Completion</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described in Note 1 to the consolidated financial statements, the vast majority of the Company’s revenues from long-term contracts to develop and deliver complex equipment built to customer specifications are derived from contracts with the U.S. government. A portion of the Company’s total revenues of $2.8 billion for the year ended March 31, 2022 are from long-term contracts. 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estimated costs at completion is a critical audit matter are the significant judgment by management when developing the estimated costs at completion on individual fixed-price contracts, which in turn led to a high degree of auditor judgment, subjectivity and effort in performing procedures and evaluating the estimated costs at completion related to the assessment of management’s judgment as it relates to the subcontractor performance, material costs and availability, labor costs and productivity, and the costs of overhead.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0" w:right="379" w:bottom="1440" w:gutter="0" w:footer="0" w:header="0"/>
        </w:sectPr>
      </w:pPr>
    </w:p>
    <w:bookmarkStart w:id="73" w:name="page74"/>
    <w:bookmarkEnd w:id="73"/>
    <w:p>
      <w:pPr>
        <w:ind w:right="100"/>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and accuracy of estimated costs at completion. The procedures also included, among others, (i) evaluating and testing management’s process for developing estimates of total estimated costs at completion for long-term contracts for a sample of contracts; (ii) testing the completeness and accuracy of costs incurred to date and (iii) evaluating the reasonableness of significant estimates used by management related to subcontractor performance, material costs, labor costs, and overhead costs, and considering factors that could affect the accuracy of those estimates. Evaluating the reasonableness of the significant assumptions used involved assessing management’s ability to reasonably estimate costs at completion by (i) testing samples of third-party quotes or bids for materials and subcontractor services; (ii) assessing the reasonableness of estimates of total costs at completion in comparison to actual total costs incurred to date; (iii) recalculating estimated labor and overhead, and (iv) evaluating the timely identification of circumstances that may warrant a modification to estimated costs to complete, including actual costs in excess of estimates.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the customer relationships intangible asset - Acquisition of RigNet, Inc.</w:t>
      </w:r>
    </w:p>
    <w:p>
      <w:pPr>
        <w:spacing w:after="0" w:line="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described in Note 16 to the consolidated financial statements, on April 30, 2021, the Company completed the acquisition of all outstanding shares of RigNet, Inc. for consideration of approximately $ 317.9 million, which resulted in recording of a customer relationships intangible asset valued at $101.9 million. Management determined the fair value of the acquired customer relationships intangible asset by applying the multi-period excess earnings method, which involved the use of significant estimates and assumptions related to forecasted revenue growth rate, gross margin, contributory asset charges, customer attrition rate and discount rate.</w:t>
      </w:r>
    </w:p>
    <w:p>
      <w:pPr>
        <w:spacing w:after="0" w:line="162"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customer relationships intangible asset from the acquisition of RigNet, Inc. is a critical audit matter are the significant judgment by management when determining the fair value of the customer relationships intangible asset, which in turn led to a high degree of auditor judgment, subjectivity, and effort in performing procedures and evaluating management’s significant assumptions related to the forecasted revenue growth rate, gross margin, customer attrition rate, and discount rate. In addition, the audit effort involved the use of professionals with specialized skill and knowledge.</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intangible asset and controls over the development of significant assumptions related to the forecasted revenue growth rate, gross margin, customer attrition rate, and discount rate. These procedures also included, among others (i) reading the purchase agreement; (ii) testing management’s process for estimating the fair value of the customer relationships intangible asset; (iii) evaluating the appropriateness of the multi-period excess earnings method; (iv) testing the completeness and accuracy of underlying data provided by management; and (v) evaluating the reasonableness of significant assumptions related to the forecasted revenue growth rate, gross margin, customer attrition rate, and discount rate. Evaluating management’s significant assumptions related to the forecasted revenue growth rate and gross margin involved evaluating whether the significant assumptions used were reasonable considering (i) the current and past performance of RigNet, Inc.; (ii) consistency with external market and industry data; and</w:t>
      </w:r>
    </w:p>
    <w:p>
      <w:pPr>
        <w:spacing w:after="0" w:line="7" w:lineRule="exact"/>
        <w:rPr>
          <w:sz w:val="20"/>
          <w:szCs w:val="20"/>
          <w:color w:val="auto"/>
        </w:rPr>
      </w:pPr>
    </w:p>
    <w:p>
      <w:pPr>
        <w:ind w:right="80" w:firstLine="8"/>
        <w:spacing w:after="0"/>
        <w:tabs>
          <w:tab w:leader="none" w:pos="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assumptions were consistent with evidence obtained in other areas of the audit. Professionals with specialized skill and knowledge were used to assist in evaluating the appropriateness of the multi-period excess earnings method and the reasonableness of the significant assumptions related to the customer attrition rate and discount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May 27,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240" w:type="dxa"/>
            <w:vAlign w:val="bottom"/>
          </w:tcPr>
          <w:p>
            <w:pPr>
              <w:jc w:val="right"/>
              <w:ind w:right="431"/>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89"/>
        </w:trPr>
        <w:tc>
          <w:tcPr>
            <w:tcW w:w="8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r>
      <w:tr>
        <w:trPr>
          <w:trHeight w:val="169"/>
        </w:trPr>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except share data)</w:t>
            </w:r>
          </w:p>
        </w:tc>
        <w:tc>
          <w:tcPr>
            <w:tcW w:w="100" w:type="dxa"/>
            <w:vAlign w:val="bottom"/>
          </w:tcPr>
          <w:p>
            <w:pPr>
              <w:spacing w:after="0"/>
              <w:rPr>
                <w:sz w:val="14"/>
                <w:szCs w:val="14"/>
                <w:color w:val="auto"/>
              </w:rPr>
            </w:pPr>
          </w:p>
        </w:tc>
      </w:tr>
      <w:tr>
        <w:trPr>
          <w:trHeight w:val="203"/>
        </w:trPr>
        <w:tc>
          <w:tcPr>
            <w:tcW w:w="8040" w:type="dxa"/>
            <w:vAlign w:val="bottom"/>
            <w:shd w:val="clear" w:color="auto" w:fill="CFF0FC"/>
          </w:tcPr>
          <w:p>
            <w:pPr>
              <w:ind w:left="356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310,459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295,949</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359,269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238,652</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341,890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336,672</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147,854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119,960</w:t>
            </w:r>
          </w:p>
        </w:tc>
        <w:tc>
          <w:tcPr>
            <w:tcW w:w="100" w:type="dxa"/>
            <w:vAlign w:val="bottom"/>
          </w:tcPr>
          <w:p>
            <w:pPr>
              <w:spacing w:after="0"/>
              <w:rPr>
                <w:sz w:val="17"/>
                <w:szCs w:val="17"/>
                <w:color w:val="auto"/>
              </w:rPr>
            </w:pPr>
          </w:p>
        </w:tc>
      </w:tr>
      <w:tr>
        <w:trPr>
          <w:trHeight w:val="196"/>
        </w:trPr>
        <w:tc>
          <w:tcPr>
            <w:tcW w:w="80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1,159,472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991,233</w:t>
            </w:r>
          </w:p>
        </w:tc>
        <w:tc>
          <w:tcPr>
            <w:tcW w:w="100" w:type="dxa"/>
            <w:vAlign w:val="bottom"/>
            <w:shd w:val="clear" w:color="auto" w:fill="CFF0FC"/>
          </w:tcPr>
          <w:p>
            <w:pPr>
              <w:spacing w:after="0"/>
              <w:rPr>
                <w:sz w:val="17"/>
                <w:szCs w:val="17"/>
                <w:color w:val="auto"/>
              </w:rPr>
            </w:pPr>
          </w:p>
        </w:tc>
      </w:tr>
      <w:tr>
        <w:trPr>
          <w:trHeight w:val="135"/>
        </w:trPr>
        <w:tc>
          <w:tcPr>
            <w:tcW w:w="8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8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equipment and satellites, net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3,741,912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3,050,483</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356,176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340,456</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acquired intangible assets, net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236,043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9,568</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190,113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7"/>
                <w:szCs w:val="17"/>
                <w:color w:val="auto"/>
              </w:rPr>
            </w:pPr>
          </w:p>
        </w:tc>
      </w:tr>
      <w:tr>
        <w:trPr>
          <w:trHeight w:val="203"/>
        </w:trPr>
        <w:tc>
          <w:tcPr>
            <w:tcW w:w="8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705,630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835,427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ind w:left="28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6,389,346</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5,349,467</w:t>
            </w:r>
          </w:p>
        </w:tc>
        <w:tc>
          <w:tcPr>
            <w:tcW w:w="100" w:type="dxa"/>
            <w:vAlign w:val="bottom"/>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8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03"/>
        </w:trPr>
        <w:tc>
          <w:tcPr>
            <w:tcW w:w="8040" w:type="dxa"/>
            <w:vAlign w:val="bottom"/>
          </w:tcPr>
          <w:p>
            <w:pPr>
              <w:ind w:left="2840"/>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219,088</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145,134</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and other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516,422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532,831</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34,911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30,472</w:t>
            </w:r>
          </w:p>
        </w:tc>
        <w:tc>
          <w:tcPr>
            <w:tcW w:w="100" w:type="dxa"/>
            <w:vAlign w:val="bottom"/>
          </w:tcPr>
          <w:p>
            <w:pPr>
              <w:spacing w:after="0"/>
              <w:rPr>
                <w:sz w:val="17"/>
                <w:szCs w:val="17"/>
                <w:color w:val="auto"/>
              </w:rPr>
            </w:pPr>
          </w:p>
        </w:tc>
      </w:tr>
      <w:tr>
        <w:trPr>
          <w:trHeight w:val="196"/>
        </w:trPr>
        <w:tc>
          <w:tcPr>
            <w:tcW w:w="80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770,421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708,437</w:t>
            </w:r>
          </w:p>
        </w:tc>
        <w:tc>
          <w:tcPr>
            <w:tcW w:w="100" w:type="dxa"/>
            <w:vAlign w:val="bottom"/>
            <w:shd w:val="clear" w:color="auto" w:fill="CFF0FC"/>
          </w:tcPr>
          <w:p>
            <w:pPr>
              <w:spacing w:after="0"/>
              <w:rPr>
                <w:sz w:val="17"/>
                <w:szCs w:val="17"/>
                <w:color w:val="auto"/>
              </w:rPr>
            </w:pPr>
          </w:p>
        </w:tc>
      </w:tr>
      <w:tr>
        <w:trPr>
          <w:trHeight w:val="135"/>
        </w:trPr>
        <w:tc>
          <w:tcPr>
            <w:tcW w:w="8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8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1,686,225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1,683,264</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0"/>
              <w:spacing w:after="0" w:line="202" w:lineRule="exact"/>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764,991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119,420</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327,664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313,762</w:t>
            </w:r>
          </w:p>
        </w:tc>
        <w:tc>
          <w:tcPr>
            <w:tcW w:w="100" w:type="dxa"/>
            <w:vAlign w:val="bottom"/>
            <w:shd w:val="clear" w:color="auto" w:fill="CFF0FC"/>
          </w:tcPr>
          <w:p>
            <w:pPr>
              <w:spacing w:after="0"/>
              <w:rPr>
                <w:sz w:val="17"/>
                <w:szCs w:val="17"/>
                <w:color w:val="auto"/>
              </w:rPr>
            </w:pPr>
          </w:p>
        </w:tc>
      </w:tr>
      <w:tr>
        <w:trPr>
          <w:trHeight w:val="202"/>
        </w:trPr>
        <w:tc>
          <w:tcPr>
            <w:tcW w:w="804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157,451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137,350</w:t>
            </w:r>
          </w:p>
        </w:tc>
        <w:tc>
          <w:tcPr>
            <w:tcW w:w="100" w:type="dxa"/>
            <w:vAlign w:val="bottom"/>
          </w:tcPr>
          <w:p>
            <w:pPr>
              <w:spacing w:after="0"/>
              <w:rPr>
                <w:sz w:val="17"/>
                <w:szCs w:val="17"/>
                <w:color w:val="auto"/>
              </w:rPr>
            </w:pPr>
          </w:p>
        </w:tc>
      </w:tr>
      <w:tr>
        <w:trPr>
          <w:trHeight w:val="196"/>
        </w:trPr>
        <w:tc>
          <w:tcPr>
            <w:tcW w:w="80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3,706,752</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2,962,233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(Notes 12 and 13)</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0"/>
              <w:spacing w:after="0" w:line="202" w:lineRule="exact"/>
              <w:rPr>
                <w:sz w:val="20"/>
                <w:szCs w:val="20"/>
                <w:color w:val="auto"/>
              </w:rPr>
            </w:pPr>
            <w:r>
              <w:rPr>
                <w:rFonts w:ascii="Arial" w:cs="Arial" w:eastAsia="Arial" w:hAnsi="Arial"/>
                <w:sz w:val="18"/>
                <w:szCs w:val="18"/>
                <w:color w:val="auto"/>
              </w:rPr>
              <w:t>Viasat, Inc. stockholders’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804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Preferred stock, $0.0001 par value; 5,000,000 shares authorized;</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04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no shares issued and outstanding at March 31, 2022 and 2021,</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04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8"/>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175"/>
        </w:trPr>
        <w:tc>
          <w:tcPr>
            <w:tcW w:w="8040" w:type="dxa"/>
            <w:vAlign w:val="bottom"/>
          </w:tcPr>
          <w:p>
            <w:pPr>
              <w:ind w:left="280"/>
              <w:spacing w:after="0" w:line="175" w:lineRule="exact"/>
              <w:rPr>
                <w:sz w:val="20"/>
                <w:szCs w:val="20"/>
                <w:color w:val="auto"/>
              </w:rPr>
            </w:pPr>
            <w:r>
              <w:rPr>
                <w:rFonts w:ascii="Arial" w:cs="Arial" w:eastAsia="Arial" w:hAnsi="Arial"/>
                <w:sz w:val="18"/>
                <w:szCs w:val="18"/>
                <w:color w:val="auto"/>
              </w:rPr>
              <w:t>Common stock, $0.0001 par value, 100,000,000 shares authorized;</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040" w:type="dxa"/>
            <w:vAlign w:val="bottom"/>
          </w:tcPr>
          <w:p>
            <w:pPr>
              <w:ind w:left="420"/>
              <w:spacing w:after="0" w:line="176" w:lineRule="exact"/>
              <w:rPr>
                <w:sz w:val="20"/>
                <w:szCs w:val="20"/>
                <w:color w:val="auto"/>
              </w:rPr>
            </w:pPr>
            <w:r>
              <w:rPr>
                <w:rFonts w:ascii="Arial" w:cs="Arial" w:eastAsia="Arial" w:hAnsi="Arial"/>
                <w:sz w:val="18"/>
                <w:szCs w:val="18"/>
                <w:color w:val="auto"/>
              </w:rPr>
              <w:t>74,428,816 and 68,529,133 shares outstanding at March 31, 2022 and 2021,</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040" w:type="dxa"/>
            <w:vAlign w:val="bottom"/>
          </w:tcPr>
          <w:p>
            <w:pPr>
              <w:ind w:left="420"/>
              <w:spacing w:after="0" w:line="203" w:lineRule="exact"/>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Paid-in capital</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2,421,950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2,092,595</w:t>
            </w:r>
          </w:p>
        </w:tc>
        <w:tc>
          <w:tcPr>
            <w:tcW w:w="100" w:type="dxa"/>
            <w:vAlign w:val="bottom"/>
            <w:shd w:val="clear" w:color="auto" w:fill="CFF0FC"/>
          </w:tcPr>
          <w:p>
            <w:pPr>
              <w:spacing w:after="0"/>
              <w:rPr>
                <w:sz w:val="17"/>
                <w:szCs w:val="17"/>
                <w:color w:val="auto"/>
              </w:rPr>
            </w:pPr>
          </w:p>
        </w:tc>
      </w:tr>
      <w:tr>
        <w:trPr>
          <w:trHeight w:val="203"/>
        </w:trPr>
        <w:tc>
          <w:tcPr>
            <w:tcW w:w="8040" w:type="dxa"/>
            <w:vAlign w:val="bottom"/>
          </w:tcPr>
          <w:p>
            <w:pPr>
              <w:ind w:left="28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233,530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249,064</w:t>
            </w:r>
          </w:p>
        </w:tc>
        <w:tc>
          <w:tcPr>
            <w:tcW w:w="100" w:type="dxa"/>
            <w:vAlign w:val="bottom"/>
          </w:tcPr>
          <w:p>
            <w:pPr>
              <w:spacing w:after="0"/>
              <w:rPr>
                <w:sz w:val="17"/>
                <w:szCs w:val="17"/>
                <w:color w:val="auto"/>
              </w:rPr>
            </w:pPr>
          </w:p>
        </w:tc>
      </w:tr>
      <w:tr>
        <w:trPr>
          <w:trHeight w:val="203"/>
        </w:trPr>
        <w:tc>
          <w:tcPr>
            <w:tcW w:w="80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(21,621 )</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9,803</w:t>
            </w:r>
          </w:p>
        </w:tc>
        <w:tc>
          <w:tcPr>
            <w:tcW w:w="100" w:type="dxa"/>
            <w:vAlign w:val="bottom"/>
            <w:shd w:val="clear" w:color="auto" w:fill="CFF0FC"/>
          </w:tcPr>
          <w:p>
            <w:pPr>
              <w:spacing w:after="0"/>
              <w:rPr>
                <w:sz w:val="17"/>
                <w:szCs w:val="17"/>
                <w:color w:val="auto"/>
              </w:rPr>
            </w:pPr>
          </w:p>
        </w:tc>
      </w:tr>
      <w:tr>
        <w:trPr>
          <w:trHeight w:val="196"/>
        </w:trPr>
        <w:tc>
          <w:tcPr>
            <w:tcW w:w="80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Viasat, Inc. stockholders’ equity</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2,633,866</w:t>
            </w: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2,351,469</w:t>
            </w:r>
          </w:p>
        </w:tc>
        <w:tc>
          <w:tcPr>
            <w:tcW w:w="100" w:type="dxa"/>
            <w:vAlign w:val="bottom"/>
            <w:tcBorders>
              <w:top w:val="single" w:sz="8" w:color="CFF0FC"/>
            </w:tcBorders>
          </w:tcPr>
          <w:p>
            <w:pPr>
              <w:spacing w:after="0"/>
              <w:rPr>
                <w:sz w:val="17"/>
                <w:szCs w:val="17"/>
                <w:color w:val="auto"/>
              </w:rPr>
            </w:pPr>
          </w:p>
        </w:tc>
      </w:tr>
      <w:tr>
        <w:trPr>
          <w:trHeight w:val="203"/>
        </w:trPr>
        <w:tc>
          <w:tcPr>
            <w:tcW w:w="8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 in subsidiary</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48,728</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40" w:type="dxa"/>
            <w:vAlign w:val="bottom"/>
          </w:tcPr>
          <w:p>
            <w:pPr>
              <w:ind w:left="520"/>
              <w:spacing w:after="0" w:line="196" w:lineRule="exact"/>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2,682,594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2,387,234</w:t>
            </w:r>
          </w:p>
        </w:tc>
        <w:tc>
          <w:tcPr>
            <w:tcW w:w="100" w:type="dxa"/>
            <w:vAlign w:val="bottom"/>
          </w:tcPr>
          <w:p>
            <w:pPr>
              <w:spacing w:after="0"/>
              <w:rPr>
                <w:sz w:val="17"/>
                <w:szCs w:val="17"/>
                <w:color w:val="auto"/>
              </w:rPr>
            </w:pPr>
          </w:p>
        </w:tc>
      </w:tr>
      <w:tr>
        <w:trPr>
          <w:trHeight w:val="236"/>
        </w:trPr>
        <w:tc>
          <w:tcPr>
            <w:tcW w:w="80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6,389,346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5,349,467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-3811270</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-3811270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-2045335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-2045335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-561975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-296545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right"/>
              <w:ind w:right="555"/>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38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1"/>
                <w:szCs w:val="11"/>
                <w:color w:val="auto"/>
              </w:rPr>
            </w:pPr>
          </w:p>
        </w:tc>
        <w:tc>
          <w:tcPr>
            <w:tcW w:w="104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b w:val="1"/>
                <w:bCs w:val="1"/>
                <w:color w:val="auto"/>
              </w:rPr>
              <w:t>(In</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thousands, except per share data)</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Product revenues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1,210,411</w:t>
            </w:r>
          </w:p>
        </w:tc>
        <w:tc>
          <w:tcPr>
            <w:tcW w:w="28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1,044,450</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1,172,541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1,577,224</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1,211,657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1,136,697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2,787,635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2,256,107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2,309,238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Cost of product revenues</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914,323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774,893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845,757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Cost of service revenues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1,025,799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789,391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763,930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657,251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512,316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523,085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Independent research and development</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153,203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115,792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130,434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28,729</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8,330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58,233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14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(29,391 )</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(32,687 )</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(38,641 )</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4,118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240" w:type="dxa"/>
            <w:vAlign w:val="bottom"/>
          </w:tcPr>
          <w:p>
            <w:pPr>
              <w:spacing w:after="0"/>
              <w:rPr>
                <w:sz w:val="17"/>
                <w:szCs w:val="17"/>
                <w:color w:val="auto"/>
              </w:rPr>
            </w:pPr>
          </w:p>
        </w:tc>
        <w:tc>
          <w:tcPr>
            <w:tcW w:w="1420" w:type="dxa"/>
            <w:vAlign w:val="bottom"/>
            <w:gridSpan w:val="2"/>
          </w:tcPr>
          <w:p>
            <w:pPr>
              <w:jc w:val="right"/>
              <w:ind w:right="115"/>
              <w:spacing w:after="0" w:line="196" w:lineRule="exact"/>
              <w:rPr>
                <w:sz w:val="20"/>
                <w:szCs w:val="20"/>
                <w:color w:val="auto"/>
              </w:rPr>
            </w:pPr>
            <w:r>
              <w:rPr>
                <w:rFonts w:ascii="Arial" w:cs="Arial" w:eastAsia="Arial" w:hAnsi="Arial"/>
                <w:sz w:val="18"/>
                <w:szCs w:val="18"/>
                <w:color w:val="auto"/>
              </w:rPr>
              <w:t>(16,439 )</w:t>
            </w: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25,986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 from (provision for) income taxes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14,237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(9,441 )</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Equity in (loss) income of unconsolidated affiliates, net</w:t>
            </w:r>
          </w:p>
        </w:tc>
        <w:tc>
          <w:tcPr>
            <w:tcW w:w="240" w:type="dxa"/>
            <w:vAlign w:val="bottom"/>
          </w:tcPr>
          <w:p>
            <w:pPr>
              <w:spacing w:after="0"/>
              <w:rPr>
                <w:sz w:val="17"/>
                <w:szCs w:val="17"/>
                <w:color w:val="auto"/>
              </w:rPr>
            </w:pPr>
          </w:p>
        </w:tc>
        <w:tc>
          <w:tcPr>
            <w:tcW w:w="14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(281 )</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(2,483</w:t>
            </w:r>
          </w:p>
        </w:tc>
        <w:tc>
          <w:tcPr>
            <w:tcW w:w="280" w:type="dxa"/>
            <w:vAlign w:val="bottom"/>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17,101</w:t>
            </w: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5" w:lineRule="exact"/>
              <w:rPr>
                <w:sz w:val="20"/>
                <w:szCs w:val="20"/>
                <w:color w:val="auto"/>
              </w:rPr>
            </w:pPr>
            <w:r>
              <w:rPr>
                <w:rFonts w:ascii="Arial" w:cs="Arial" w:eastAsia="Arial" w:hAnsi="Arial"/>
                <w:sz w:val="18"/>
                <w:szCs w:val="18"/>
                <w:color w:val="auto"/>
              </w:rPr>
              <w:t>Less: net income attributable to noncontrolling</w:t>
            </w: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13,051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13,410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80" w:type="dxa"/>
            <w:vAlign w:val="bottom"/>
          </w:tcPr>
          <w:p>
            <w:pPr>
              <w:ind w:left="180"/>
              <w:spacing w:after="0" w:line="190" w:lineRule="exact"/>
              <w:rPr>
                <w:sz w:val="20"/>
                <w:szCs w:val="20"/>
                <w:color w:val="auto"/>
              </w:rPr>
            </w:pPr>
            <w:r>
              <w:rPr>
                <w:rFonts w:ascii="Arial" w:cs="Arial" w:eastAsia="Arial" w:hAnsi="Arial"/>
                <w:sz w:val="18"/>
                <w:szCs w:val="18"/>
                <w:color w:val="auto"/>
              </w:rPr>
              <w:t>interest, net of tax</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income attributable to Viasat, Inc.</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(15,534</w:t>
            </w:r>
          </w:p>
        </w:tc>
        <w:tc>
          <w:tcPr>
            <w:tcW w:w="280" w:type="dxa"/>
            <w:vAlign w:val="bottom"/>
            <w:tcBorders>
              <w:bottom w:val="single" w:sz="8" w:color="CFF0FC"/>
            </w:tcBorders>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3,691</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6480" w:type="dxa"/>
            <w:vAlign w:val="bottom"/>
          </w:tcPr>
          <w:p>
            <w:pPr>
              <w:ind w:left="20"/>
              <w:spacing w:after="0" w:line="155" w:lineRule="exact"/>
              <w:rPr>
                <w:sz w:val="20"/>
                <w:szCs w:val="20"/>
                <w:color w:val="auto"/>
              </w:rPr>
            </w:pPr>
            <w:r>
              <w:rPr>
                <w:rFonts w:ascii="Arial" w:cs="Arial" w:eastAsia="Arial" w:hAnsi="Arial"/>
                <w:sz w:val="17"/>
                <w:szCs w:val="17"/>
                <w:color w:val="auto"/>
              </w:rPr>
              <w:t>Net (loss) income per share attributable to Viasat, Inc.</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3" w:lineRule="exact"/>
              <w:rPr>
                <w:sz w:val="20"/>
                <w:szCs w:val="20"/>
                <w:color w:val="auto"/>
              </w:rPr>
            </w:pPr>
            <w:r>
              <w:rPr>
                <w:rFonts w:ascii="Arial" w:cs="Arial" w:eastAsia="Arial" w:hAnsi="Arial"/>
                <w:sz w:val="18"/>
                <w:szCs w:val="18"/>
                <w:color w:val="auto"/>
              </w:rPr>
              <w:t>common stockholders: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Basic net (loss) income per share attributable to Viasat, Inc.</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common stockholders</w:t>
            </w:r>
          </w:p>
        </w:tc>
        <w:tc>
          <w:tcPr>
            <w:tcW w:w="2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15"/>
              <w:spacing w:after="0" w:line="203" w:lineRule="exact"/>
              <w:rPr>
                <w:sz w:val="20"/>
                <w:szCs w:val="20"/>
                <w:color w:val="auto"/>
              </w:rPr>
            </w:pPr>
            <w:r>
              <w:rPr>
                <w:rFonts w:ascii="Arial" w:cs="Arial" w:eastAsia="Arial" w:hAnsi="Arial"/>
                <w:sz w:val="18"/>
                <w:szCs w:val="18"/>
                <w:color w:val="auto"/>
              </w:rPr>
              <w:t>(0.21 )</w:t>
            </w:r>
          </w:p>
        </w:tc>
        <w:tc>
          <w:tcPr>
            <w:tcW w:w="2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175"/>
        </w:trPr>
        <w:tc>
          <w:tcPr>
            <w:tcW w:w="6480" w:type="dxa"/>
            <w:vAlign w:val="bottom"/>
          </w:tcPr>
          <w:p>
            <w:pPr>
              <w:ind w:left="280"/>
              <w:spacing w:after="0" w:line="175" w:lineRule="exact"/>
              <w:rPr>
                <w:sz w:val="20"/>
                <w:szCs w:val="20"/>
                <w:color w:val="auto"/>
              </w:rPr>
            </w:pPr>
            <w:r>
              <w:rPr>
                <w:rFonts w:ascii="Arial" w:cs="Arial" w:eastAsia="Arial" w:hAnsi="Arial"/>
                <w:sz w:val="18"/>
                <w:szCs w:val="18"/>
                <w:color w:val="auto"/>
              </w:rPr>
              <w:t>Diluted net (loss) income per share attributable to Viasat, Inc.</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420"/>
              <w:spacing w:after="0" w:line="203" w:lineRule="exact"/>
              <w:rPr>
                <w:sz w:val="20"/>
                <w:szCs w:val="20"/>
                <w:color w:val="auto"/>
              </w:rPr>
            </w:pPr>
            <w:r>
              <w:rPr>
                <w:rFonts w:ascii="Arial" w:cs="Arial" w:eastAsia="Arial" w:hAnsi="Arial"/>
                <w:sz w:val="18"/>
                <w:szCs w:val="18"/>
                <w:color w:val="auto"/>
              </w:rPr>
              <w:t>common stockholders</w:t>
            </w: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15"/>
              <w:spacing w:after="0" w:line="203" w:lineRule="exact"/>
              <w:rPr>
                <w:sz w:val="20"/>
                <w:szCs w:val="20"/>
                <w:color w:val="auto"/>
              </w:rPr>
            </w:pPr>
            <w:r>
              <w:rPr>
                <w:rFonts w:ascii="Arial" w:cs="Arial" w:eastAsia="Arial" w:hAnsi="Arial"/>
                <w:sz w:val="18"/>
                <w:szCs w:val="18"/>
                <w:color w:val="auto"/>
              </w:rPr>
              <w:t>(0.21 )</w:t>
            </w: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0.06</w:t>
            </w:r>
          </w:p>
        </w:tc>
        <w:tc>
          <w:tcPr>
            <w:tcW w:w="24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used in computing basic net (loss) income per share</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73,397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66,444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Shares used in computing diluted net (loss) income per share</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73,397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67,020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61,632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15"/>
              <w:spacing w:after="0" w:line="202" w:lineRule="exact"/>
              <w:rPr>
                <w:sz w:val="20"/>
                <w:szCs w:val="20"/>
                <w:color w:val="auto"/>
              </w:rPr>
            </w:pPr>
            <w:r>
              <w:rPr>
                <w:rFonts w:ascii="Arial" w:cs="Arial" w:eastAsia="Arial" w:hAnsi="Arial"/>
                <w:sz w:val="18"/>
                <w:szCs w:val="18"/>
                <w:color w:val="auto"/>
              </w:rPr>
              <w:t>(2,483 )</w:t>
            </w:r>
          </w:p>
        </w:tc>
        <w:tc>
          <w:tcPr>
            <w:tcW w:w="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17,101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 income, net of tax:</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gain on hedging, net of tax</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240" w:type="dxa"/>
            <w:vAlign w:val="bottom"/>
          </w:tcPr>
          <w:p>
            <w:pPr>
              <w:spacing w:after="0"/>
              <w:rPr>
                <w:sz w:val="17"/>
                <w:szCs w:val="17"/>
                <w:color w:val="auto"/>
              </w:rPr>
            </w:pPr>
          </w:p>
        </w:tc>
        <w:tc>
          <w:tcPr>
            <w:tcW w:w="14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(31,424 )</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15,851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(11,621 )</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(loss) income, net of tax</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(31,424</w:t>
            </w:r>
          </w:p>
        </w:tc>
        <w:tc>
          <w:tcPr>
            <w:tcW w:w="280" w:type="dxa"/>
            <w:vAlign w:val="bottom"/>
            <w:tcBorders>
              <w:bottom w:val="single" w:sz="8" w:color="CFF0FC"/>
            </w:tcBorders>
            <w:shd w:val="clear" w:color="auto" w:fill="CFF0FC"/>
          </w:tcPr>
          <w:p>
            <w:pPr>
              <w:jc w:val="right"/>
              <w:ind w:right="115"/>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15,851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 income</w:t>
            </w:r>
          </w:p>
        </w:tc>
        <w:tc>
          <w:tcPr>
            <w:tcW w:w="240" w:type="dxa"/>
            <w:vAlign w:val="bottom"/>
          </w:tcPr>
          <w:p>
            <w:pPr>
              <w:spacing w:after="0"/>
              <w:rPr>
                <w:sz w:val="17"/>
                <w:szCs w:val="17"/>
                <w:color w:val="auto"/>
              </w:rPr>
            </w:pPr>
          </w:p>
        </w:tc>
        <w:tc>
          <w:tcPr>
            <w:tcW w:w="1420" w:type="dxa"/>
            <w:vAlign w:val="bottom"/>
            <w:gridSpan w:val="2"/>
          </w:tcPr>
          <w:p>
            <w:pPr>
              <w:jc w:val="right"/>
              <w:ind w:right="115"/>
              <w:spacing w:after="0" w:line="196" w:lineRule="exact"/>
              <w:rPr>
                <w:sz w:val="20"/>
                <w:szCs w:val="20"/>
                <w:color w:val="auto"/>
              </w:rPr>
            </w:pPr>
            <w:r>
              <w:rPr>
                <w:rFonts w:ascii="Arial" w:cs="Arial" w:eastAsia="Arial" w:hAnsi="Arial"/>
                <w:sz w:val="18"/>
                <w:szCs w:val="18"/>
                <w:color w:val="auto"/>
              </w:rPr>
              <w:t>(33,907 )</w:t>
            </w:r>
          </w:p>
        </w:tc>
        <w:tc>
          <w:tcPr>
            <w:tcW w:w="2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32,952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2,427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Less: comprehensive income attributable to</w:t>
            </w:r>
          </w:p>
        </w:tc>
        <w:tc>
          <w:tcPr>
            <w:tcW w:w="2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13,051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13,410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CFF0FC"/>
            </w:tcBorders>
            <w:shd w:val="clear" w:color="auto" w:fill="CFF0FC"/>
          </w:tcPr>
          <w:p>
            <w:pPr>
              <w:ind w:left="180"/>
              <w:spacing w:after="0" w:line="190" w:lineRule="exact"/>
              <w:rPr>
                <w:sz w:val="20"/>
                <w:szCs w:val="20"/>
                <w:color w:val="auto"/>
              </w:rPr>
            </w:pPr>
            <w:r>
              <w:rPr>
                <w:rFonts w:ascii="Arial" w:cs="Arial" w:eastAsia="Arial" w:hAnsi="Arial"/>
                <w:sz w:val="18"/>
                <w:szCs w:val="18"/>
                <w:color w:val="auto"/>
              </w:rPr>
              <w:t>noncontrolling interest, net of tax</w:t>
            </w:r>
          </w:p>
        </w:tc>
        <w:tc>
          <w:tcPr>
            <w:tcW w:w="2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480" w:type="dxa"/>
            <w:vAlign w:val="bottom"/>
          </w:tcPr>
          <w:p>
            <w:pPr>
              <w:ind w:left="20"/>
              <w:spacing w:after="0" w:line="168" w:lineRule="exact"/>
              <w:rPr>
                <w:sz w:val="20"/>
                <w:szCs w:val="20"/>
                <w:color w:val="auto"/>
              </w:rPr>
            </w:pPr>
            <w:r>
              <w:rPr>
                <w:rFonts w:ascii="Arial" w:cs="Arial" w:eastAsia="Arial" w:hAnsi="Arial"/>
                <w:sz w:val="18"/>
                <w:szCs w:val="18"/>
                <w:color w:val="auto"/>
              </w:rPr>
              <w:t>Comprehensive (loss) income attributable to</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tcPr>
          <w:p>
            <w:pPr>
              <w:jc w:val="right"/>
              <w:ind w:right="115"/>
              <w:spacing w:after="0"/>
              <w:rPr>
                <w:sz w:val="20"/>
                <w:szCs w:val="20"/>
                <w:color w:val="auto"/>
              </w:rPr>
            </w:pPr>
            <w:r>
              <w:rPr>
                <w:rFonts w:ascii="Arial" w:cs="Arial" w:eastAsia="Arial" w:hAnsi="Arial"/>
                <w:sz w:val="18"/>
                <w:szCs w:val="18"/>
                <w:color w:val="auto"/>
              </w:rPr>
              <w:t>(46,958 )</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19,542</w:t>
            </w:r>
          </w:p>
        </w:tc>
        <w:tc>
          <w:tcPr>
            <w:tcW w:w="24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(11,598 )</w:t>
            </w:r>
          </w:p>
        </w:tc>
        <w:tc>
          <w:tcPr>
            <w:tcW w:w="0" w:type="dxa"/>
            <w:vAlign w:val="bottom"/>
          </w:tcPr>
          <w:p>
            <w:pPr>
              <w:spacing w:after="0"/>
              <w:rPr>
                <w:sz w:val="1"/>
                <w:szCs w:val="1"/>
                <w:color w:val="auto"/>
              </w:rPr>
            </w:pPr>
          </w:p>
        </w:tc>
      </w:tr>
      <w:tr>
        <w:trPr>
          <w:trHeight w:val="163"/>
        </w:trPr>
        <w:tc>
          <w:tcPr>
            <w:tcW w:w="6480" w:type="dxa"/>
            <w:vAlign w:val="bottom"/>
          </w:tcPr>
          <w:p>
            <w:pPr>
              <w:ind w:left="180"/>
              <w:spacing w:after="0" w:line="143" w:lineRule="exact"/>
              <w:rPr>
                <w:sz w:val="20"/>
                <w:szCs w:val="20"/>
                <w:color w:val="auto"/>
              </w:rPr>
            </w:pPr>
            <w:r>
              <w:rPr>
                <w:rFonts w:ascii="Arial" w:cs="Arial" w:eastAsia="Arial" w:hAnsi="Arial"/>
                <w:sz w:val="16"/>
                <w:szCs w:val="16"/>
                <w:color w:val="auto"/>
              </w:rPr>
              <w:t>Viasat, Inc.</w:t>
            </w:r>
          </w:p>
        </w:tc>
        <w:tc>
          <w:tcPr>
            <w:tcW w:w="24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-4985385</wp:posOffset>
            </wp:positionV>
            <wp:extent cx="768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-4985385</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-4985385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-3425190</wp:posOffset>
            </wp:positionV>
            <wp:extent cx="768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-3425190</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-3425190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-2527935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-2510790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-2527935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-2510790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-613410</wp:posOffset>
            </wp:positionV>
            <wp:extent cx="768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-613410</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-613410</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-245110</wp:posOffset>
            </wp:positionV>
            <wp:extent cx="768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-245110</wp:posOffset>
            </wp:positionV>
            <wp:extent cx="685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3"/>
                <w:szCs w:val="13"/>
                <w:b w:val="1"/>
                <w:bCs w:val="1"/>
                <w:color w:val="auto"/>
                <w:w w:val="97"/>
              </w:rPr>
              <w:t>Fiscal Years Ended</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4"/>
        </w:trPr>
        <w:tc>
          <w:tcPr>
            <w:tcW w:w="6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right"/>
              <w:ind w:right="620"/>
              <w:spacing w:after="0" w:line="104" w:lineRule="exact"/>
              <w:rPr>
                <w:sz w:val="20"/>
                <w:szCs w:val="20"/>
                <w:color w:val="auto"/>
              </w:rPr>
            </w:pPr>
            <w:r>
              <w:rPr>
                <w:rFonts w:ascii="Arial" w:cs="Arial" w:eastAsia="Arial" w:hAnsi="Arial"/>
                <w:sz w:val="12"/>
                <w:szCs w:val="12"/>
                <w:b w:val="1"/>
                <w:bCs w:val="1"/>
                <w:color w:val="auto"/>
              </w:rPr>
              <w:t>March 31,</w:t>
            </w:r>
          </w:p>
        </w:tc>
        <w:tc>
          <w:tcPr>
            <w:tcW w:w="120" w:type="dxa"/>
            <w:vAlign w:val="bottom"/>
          </w:tcPr>
          <w:p>
            <w:pPr>
              <w:spacing w:after="0"/>
              <w:rPr>
                <w:sz w:val="9"/>
                <w:szCs w:val="9"/>
                <w:color w:val="auto"/>
              </w:rPr>
            </w:pPr>
          </w:p>
        </w:tc>
        <w:tc>
          <w:tcPr>
            <w:tcW w:w="1460" w:type="dxa"/>
            <w:vAlign w:val="bottom"/>
            <w:gridSpan w:val="2"/>
          </w:tcPr>
          <w:p>
            <w:pPr>
              <w:jc w:val="right"/>
              <w:ind w:right="553"/>
              <w:spacing w:after="0" w:line="104" w:lineRule="exact"/>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9"/>
                <w:szCs w:val="9"/>
                <w:color w:val="auto"/>
              </w:rPr>
            </w:pPr>
          </w:p>
        </w:tc>
        <w:tc>
          <w:tcPr>
            <w:tcW w:w="1180" w:type="dxa"/>
            <w:vAlign w:val="bottom"/>
          </w:tcPr>
          <w:p>
            <w:pPr>
              <w:jc w:val="right"/>
              <w:ind w:right="353"/>
              <w:spacing w:after="0" w:line="104"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r>
      <w:tr>
        <w:trPr>
          <w:trHeight w:val="162"/>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55"/>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rPr>
                <w:sz w:val="20"/>
                <w:szCs w:val="20"/>
                <w:color w:val="auto"/>
              </w:rPr>
            </w:pPr>
            <w:r>
              <w:rPr>
                <w:rFonts w:ascii="Arial" w:cs="Arial" w:eastAsia="Arial" w:hAnsi="Arial"/>
                <w:sz w:val="13"/>
                <w:szCs w:val="13"/>
                <w:color w:val="auto"/>
              </w:rPr>
              <w:t>Net (loss) income</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(2,483 )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17,101</w:t>
            </w:r>
          </w:p>
        </w:tc>
        <w:tc>
          <w:tcPr>
            <w:tcW w:w="26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13,813</w:t>
            </w:r>
          </w:p>
        </w:tc>
        <w:tc>
          <w:tcPr>
            <w:tcW w:w="100" w:type="dxa"/>
            <w:vAlign w:val="bottom"/>
          </w:tcPr>
          <w:p>
            <w:pPr>
              <w:spacing w:after="0"/>
              <w:rPr>
                <w:sz w:val="14"/>
                <w:szCs w:val="14"/>
                <w:color w:val="auto"/>
              </w:rPr>
            </w:pPr>
          </w:p>
        </w:tc>
      </w:tr>
      <w:tr>
        <w:trPr>
          <w:trHeight w:val="122"/>
        </w:trPr>
        <w:tc>
          <w:tcPr>
            <w:tcW w:w="66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b w:val="1"/>
                <w:bCs w:val="1"/>
                <w:color w:val="auto"/>
              </w:rPr>
              <w:t>Adjustments to reconcile net (loss) income to net cash provided</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6"/>
        </w:trPr>
        <w:tc>
          <w:tcPr>
            <w:tcW w:w="6600" w:type="dxa"/>
            <w:vAlign w:val="bottom"/>
            <w:shd w:val="clear" w:color="auto" w:fill="CFF0FC"/>
          </w:tcPr>
          <w:p>
            <w:pPr>
              <w:ind w:left="140"/>
              <w:spacing w:after="0"/>
              <w:rPr>
                <w:sz w:val="20"/>
                <w:szCs w:val="20"/>
                <w:color w:val="auto"/>
              </w:rPr>
            </w:pPr>
            <w:r>
              <w:rPr>
                <w:rFonts w:ascii="Arial" w:cs="Arial" w:eastAsia="Arial" w:hAnsi="Arial"/>
                <w:sz w:val="13"/>
                <w:szCs w:val="13"/>
                <w:b w:val="1"/>
                <w:bCs w:val="1"/>
                <w:color w:val="auto"/>
              </w:rPr>
              <w:t>by operating activities:</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Depreciation</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407,376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330,861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279,733</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intangible assets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88,071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66,241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62,445</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Stock-based compensation expense</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86,808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84,879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86,553</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on disposition of fixed assets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46,793</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39,442</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45,622</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Other non-cash adjustments</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(11,772 )</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7,773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(3,154 )</w:t>
            </w:r>
          </w:p>
        </w:tc>
      </w:tr>
      <w:tr>
        <w:trPr>
          <w:trHeight w:val="134"/>
        </w:trPr>
        <w:tc>
          <w:tcPr>
            <w:tcW w:w="6600" w:type="dxa"/>
            <w:vAlign w:val="bottom"/>
            <w:shd w:val="clear" w:color="auto" w:fill="CFF0FC"/>
          </w:tcPr>
          <w:p>
            <w:pPr>
              <w:ind w:left="200"/>
              <w:spacing w:after="0" w:line="134" w:lineRule="exact"/>
              <w:rPr>
                <w:sz w:val="20"/>
                <w:szCs w:val="20"/>
                <w:color w:val="auto"/>
              </w:rPr>
            </w:pPr>
            <w:r>
              <w:rPr>
                <w:rFonts w:ascii="Arial" w:cs="Arial" w:eastAsia="Arial" w:hAnsi="Arial"/>
                <w:sz w:val="13"/>
                <w:szCs w:val="13"/>
                <w:color w:val="auto"/>
              </w:rPr>
              <w:t>Increase (decrease) in cash resulting from changes in operating assets</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6600" w:type="dxa"/>
            <w:vAlign w:val="bottom"/>
            <w:shd w:val="clear" w:color="auto" w:fill="CFF0FC"/>
          </w:tcPr>
          <w:p>
            <w:pPr>
              <w:ind w:left="320"/>
              <w:spacing w:after="0"/>
              <w:rPr>
                <w:sz w:val="20"/>
                <w:szCs w:val="20"/>
                <w:color w:val="auto"/>
              </w:rPr>
            </w:pPr>
            <w:r>
              <w:rPr>
                <w:rFonts w:ascii="Arial" w:cs="Arial" w:eastAsia="Arial" w:hAnsi="Arial"/>
                <w:sz w:val="13"/>
                <w:szCs w:val="13"/>
                <w:color w:val="auto"/>
              </w:rPr>
              <w:t>and liabilities, net of effect of acquisitions: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(60,488 )</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84,411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(44,807 )</w:t>
            </w: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Inventories</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(2,300 )</w:t>
            </w: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(42,460 )</w:t>
            </w: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(58,997 )</w:t>
            </w: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26,854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36,431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(3,313 )</w:t>
            </w: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25,444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(24,363 )</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28,175</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(48,827 )</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154,898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55,126</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(49,835 )</w:t>
            </w: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(27,999 )</w:t>
            </w: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(24,260 )</w:t>
            </w:r>
          </w:p>
        </w:tc>
      </w:tr>
      <w:tr>
        <w:trPr>
          <w:trHeight w:val="156"/>
        </w:trPr>
        <w:tc>
          <w:tcPr>
            <w:tcW w:w="6600" w:type="dxa"/>
            <w:vAlign w:val="bottom"/>
            <w:tcBorders>
              <w:top w:val="single" w:sz="8" w:color="CFF0FC"/>
            </w:tcBorders>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505,641</w:t>
            </w:r>
          </w:p>
        </w:tc>
        <w:tc>
          <w:tcPr>
            <w:tcW w:w="2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727,215</w:t>
            </w:r>
          </w:p>
        </w:tc>
        <w:tc>
          <w:tcPr>
            <w:tcW w:w="2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436,936</w:t>
            </w:r>
          </w:p>
        </w:tc>
        <w:tc>
          <w:tcPr>
            <w:tcW w:w="100" w:type="dxa"/>
            <w:vAlign w:val="bottom"/>
            <w:tcBorders>
              <w:top w:val="single" w:sz="8" w:color="CFF0FC"/>
            </w:tcBorders>
          </w:tcPr>
          <w:p>
            <w:pPr>
              <w:spacing w:after="0"/>
              <w:rPr>
                <w:sz w:val="13"/>
                <w:szCs w:val="13"/>
                <w:color w:val="auto"/>
              </w:rPr>
            </w:pPr>
          </w:p>
        </w:tc>
      </w:tr>
      <w:tr>
        <w:trPr>
          <w:trHeight w:val="162"/>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200"/>
              <w:spacing w:after="0"/>
              <w:rPr>
                <w:sz w:val="20"/>
                <w:szCs w:val="20"/>
                <w:color w:val="auto"/>
              </w:rPr>
            </w:pPr>
            <w:r>
              <w:rPr>
                <w:rFonts w:ascii="Arial" w:cs="Arial" w:eastAsia="Arial" w:hAnsi="Arial"/>
                <w:sz w:val="13"/>
                <w:szCs w:val="13"/>
                <w:color w:val="auto"/>
              </w:rPr>
              <w:t>Purchase of property, equipment and satellites</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(938,280 )</w:t>
            </w:r>
          </w:p>
        </w:tc>
        <w:tc>
          <w:tcPr>
            <w:tcW w:w="120" w:type="dxa"/>
            <w:vAlign w:val="bottom"/>
          </w:tcPr>
          <w:p>
            <w:pPr>
              <w:spacing w:after="0"/>
              <w:rPr>
                <w:sz w:val="14"/>
                <w:szCs w:val="14"/>
                <w:color w:val="auto"/>
              </w:rPr>
            </w:pPr>
          </w:p>
        </w:tc>
        <w:tc>
          <w:tcPr>
            <w:tcW w:w="1460" w:type="dxa"/>
            <w:vAlign w:val="bottom"/>
            <w:gridSpan w:val="2"/>
          </w:tcPr>
          <w:p>
            <w:pPr>
              <w:jc w:val="right"/>
              <w:ind w:right="133"/>
              <w:spacing w:after="0"/>
              <w:rPr>
                <w:sz w:val="20"/>
                <w:szCs w:val="20"/>
                <w:color w:val="auto"/>
              </w:rPr>
            </w:pPr>
            <w:r>
              <w:rPr>
                <w:rFonts w:ascii="Arial" w:cs="Arial" w:eastAsia="Arial" w:hAnsi="Arial"/>
                <w:sz w:val="13"/>
                <w:szCs w:val="13"/>
                <w:color w:val="auto"/>
              </w:rPr>
              <w:t>(827,241 )</w:t>
            </w: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(693,966 )</w:t>
            </w:r>
          </w:p>
        </w:tc>
      </w:tr>
      <w:tr>
        <w:trPr>
          <w:trHeight w:val="162"/>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patents, licenses and other assets</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(52,030 )</w:t>
            </w: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(58,030 )</w:t>
            </w: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(67,112 )</w:t>
            </w:r>
          </w:p>
        </w:tc>
      </w:tr>
      <w:tr>
        <w:trPr>
          <w:trHeight w:val="162"/>
        </w:trPr>
        <w:tc>
          <w:tcPr>
            <w:tcW w:w="6600" w:type="dxa"/>
            <w:vAlign w:val="bottom"/>
          </w:tcPr>
          <w:p>
            <w:pPr>
              <w:ind w:left="200"/>
              <w:spacing w:after="0"/>
              <w:rPr>
                <w:sz w:val="20"/>
                <w:szCs w:val="20"/>
                <w:color w:val="auto"/>
              </w:rPr>
            </w:pPr>
            <w:r>
              <w:rPr>
                <w:rFonts w:ascii="Arial" w:cs="Arial" w:eastAsia="Arial" w:hAnsi="Arial"/>
                <w:sz w:val="13"/>
                <w:szCs w:val="13"/>
                <w:color w:val="auto"/>
              </w:rPr>
              <w:t>Payments related to acquisition of businesses, net of cash acquired</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(139,533 )</w:t>
            </w:r>
          </w:p>
        </w:tc>
        <w:tc>
          <w:tcPr>
            <w:tcW w:w="120" w:type="dxa"/>
            <w:vAlign w:val="bottom"/>
          </w:tcPr>
          <w:p>
            <w:pPr>
              <w:spacing w:after="0"/>
              <w:rPr>
                <w:sz w:val="14"/>
                <w:szCs w:val="14"/>
                <w:color w:val="auto"/>
              </w:rPr>
            </w:pPr>
          </w:p>
        </w:tc>
        <w:tc>
          <w:tcPr>
            <w:tcW w:w="146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Proceeds from insurance claims on ViaSat-2 satellite</w:t>
            </w:r>
          </w:p>
        </w:tc>
        <w:tc>
          <w:tcPr>
            <w:tcW w:w="2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2,277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60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(1,129,843 )</w:t>
            </w:r>
          </w:p>
        </w:tc>
        <w:tc>
          <w:tcPr>
            <w:tcW w:w="120" w:type="dxa"/>
            <w:vAlign w:val="bottom"/>
          </w:tcPr>
          <w:p>
            <w:pPr>
              <w:spacing w:after="0"/>
              <w:rPr>
                <w:sz w:val="13"/>
                <w:szCs w:val="13"/>
                <w:color w:val="auto"/>
              </w:rPr>
            </w:pPr>
          </w:p>
        </w:tc>
        <w:tc>
          <w:tcPr>
            <w:tcW w:w="1460" w:type="dxa"/>
            <w:vAlign w:val="bottom"/>
            <w:gridSpan w:val="2"/>
          </w:tcPr>
          <w:p>
            <w:pPr>
              <w:jc w:val="right"/>
              <w:ind w:right="133"/>
              <w:spacing w:after="0"/>
              <w:rPr>
                <w:sz w:val="20"/>
                <w:szCs w:val="20"/>
                <w:color w:val="auto"/>
              </w:rPr>
            </w:pPr>
            <w:r>
              <w:rPr>
                <w:rFonts w:ascii="Arial" w:cs="Arial" w:eastAsia="Arial" w:hAnsi="Arial"/>
                <w:sz w:val="13"/>
                <w:szCs w:val="13"/>
                <w:color w:val="auto"/>
              </w:rPr>
              <w:t>(885,271 )</w:t>
            </w:r>
          </w:p>
        </w:tc>
        <w:tc>
          <w:tcPr>
            <w:tcW w:w="2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(758,801 )</w:t>
            </w:r>
          </w:p>
        </w:tc>
      </w:tr>
      <w:tr>
        <w:trPr>
          <w:trHeight w:val="162"/>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Proceeds from debt borrowings, net of discount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1,266,000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420,000</w:t>
            </w:r>
          </w:p>
        </w:tc>
        <w:tc>
          <w:tcPr>
            <w:tcW w:w="100" w:type="dxa"/>
            <w:vAlign w:val="bottom"/>
          </w:tcPr>
          <w:p>
            <w:pPr>
              <w:spacing w:after="0"/>
              <w:rPr>
                <w:sz w:val="14"/>
                <w:szCs w:val="14"/>
                <w:color w:val="auto"/>
              </w:rPr>
            </w:pP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Payments on debt borrowings</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(610,401 )</w:t>
            </w: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(420,552 )</w:t>
            </w: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(59,691 )</w:t>
            </w: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Payment of debt issuance costs</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(6,261 )</w:t>
            </w:r>
          </w:p>
        </w:tc>
        <w:tc>
          <w:tcPr>
            <w:tcW w:w="120" w:type="dxa"/>
            <w:vAlign w:val="bottom"/>
          </w:tcPr>
          <w:p>
            <w:pPr>
              <w:spacing w:after="0"/>
              <w:rPr>
                <w:sz w:val="14"/>
                <w:szCs w:val="14"/>
                <w:color w:val="auto"/>
              </w:rPr>
            </w:pPr>
          </w:p>
        </w:tc>
        <w:tc>
          <w:tcPr>
            <w:tcW w:w="1460" w:type="dxa"/>
            <w:vAlign w:val="bottom"/>
            <w:gridSpan w:val="2"/>
          </w:tcPr>
          <w:p>
            <w:pPr>
              <w:jc w:val="right"/>
              <w:ind w:right="133"/>
              <w:spacing w:after="0"/>
              <w:rPr>
                <w:sz w:val="20"/>
                <w:szCs w:val="20"/>
                <w:color w:val="auto"/>
              </w:rPr>
            </w:pPr>
            <w:r>
              <w:rPr>
                <w:rFonts w:ascii="Arial" w:cs="Arial" w:eastAsia="Arial" w:hAnsi="Arial"/>
                <w:sz w:val="13"/>
                <w:szCs w:val="13"/>
                <w:color w:val="auto"/>
              </w:rPr>
              <w:t>(5,060 )</w:t>
            </w: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(2,479 )</w:t>
            </w:r>
          </w:p>
        </w:tc>
      </w:tr>
      <w:tr>
        <w:trPr>
          <w:trHeight w:val="162"/>
        </w:trPr>
        <w:tc>
          <w:tcPr>
            <w:tcW w:w="66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Proceeds from issuance of common stock under equity plans</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19,101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38,410</w:t>
            </w:r>
          </w:p>
        </w:tc>
        <w:tc>
          <w:tcPr>
            <w:tcW w:w="100" w:type="dxa"/>
            <w:vAlign w:val="bottom"/>
            <w:shd w:val="clear" w:color="auto" w:fill="CFF0FC"/>
          </w:tcPr>
          <w:p>
            <w:pPr>
              <w:spacing w:after="0"/>
              <w:rPr>
                <w:sz w:val="14"/>
                <w:szCs w:val="14"/>
                <w:color w:val="auto"/>
              </w:rPr>
            </w:pPr>
          </w:p>
        </w:tc>
      </w:tr>
      <w:tr>
        <w:trPr>
          <w:trHeight w:val="134"/>
        </w:trPr>
        <w:tc>
          <w:tcPr>
            <w:tcW w:w="6600" w:type="dxa"/>
            <w:vAlign w:val="bottom"/>
          </w:tcPr>
          <w:p>
            <w:pPr>
              <w:ind w:left="380"/>
              <w:spacing w:after="0" w:line="134" w:lineRule="exact"/>
              <w:rPr>
                <w:sz w:val="20"/>
                <w:szCs w:val="20"/>
                <w:color w:val="auto"/>
              </w:rPr>
            </w:pPr>
            <w:r>
              <w:rPr>
                <w:rFonts w:ascii="Arial" w:cs="Arial" w:eastAsia="Arial" w:hAnsi="Arial"/>
                <w:sz w:val="13"/>
                <w:szCs w:val="13"/>
                <w:color w:val="auto"/>
              </w:rPr>
              <w:t>Purchase of common stock in treasury (immediately retired)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related to tax withholdings for stock-based compensation</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(22,969 )</w:t>
            </w:r>
          </w:p>
        </w:tc>
        <w:tc>
          <w:tcPr>
            <w:tcW w:w="120" w:type="dxa"/>
            <w:vAlign w:val="bottom"/>
          </w:tcPr>
          <w:p>
            <w:pPr>
              <w:spacing w:after="0"/>
              <w:rPr>
                <w:sz w:val="14"/>
                <w:szCs w:val="14"/>
                <w:color w:val="auto"/>
              </w:rPr>
            </w:pPr>
          </w:p>
        </w:tc>
        <w:tc>
          <w:tcPr>
            <w:tcW w:w="1460" w:type="dxa"/>
            <w:vAlign w:val="bottom"/>
            <w:gridSpan w:val="2"/>
          </w:tcPr>
          <w:p>
            <w:pPr>
              <w:jc w:val="right"/>
              <w:ind w:right="133"/>
              <w:spacing w:after="0"/>
              <w:rPr>
                <w:sz w:val="20"/>
                <w:szCs w:val="20"/>
                <w:color w:val="auto"/>
              </w:rPr>
            </w:pPr>
            <w:r>
              <w:rPr>
                <w:rFonts w:ascii="Arial" w:cs="Arial" w:eastAsia="Arial" w:hAnsi="Arial"/>
                <w:sz w:val="13"/>
                <w:szCs w:val="13"/>
                <w:color w:val="auto"/>
              </w:rPr>
              <w:t>(13,676 )</w:t>
            </w: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(28,802 )</w:t>
            </w:r>
          </w:p>
        </w:tc>
      </w:tr>
      <w:tr>
        <w:trPr>
          <w:trHeight w:val="135"/>
        </w:trPr>
        <w:tc>
          <w:tcPr>
            <w:tcW w:w="6600" w:type="dxa"/>
            <w:vAlign w:val="bottom"/>
            <w:shd w:val="clear" w:color="auto" w:fill="CFF0FC"/>
          </w:tcPr>
          <w:p>
            <w:pPr>
              <w:ind w:left="380"/>
              <w:spacing w:after="0" w:line="135" w:lineRule="exact"/>
              <w:rPr>
                <w:sz w:val="20"/>
                <w:szCs w:val="20"/>
                <w:color w:val="auto"/>
              </w:rPr>
            </w:pPr>
            <w:r>
              <w:rPr>
                <w:rFonts w:ascii="Arial" w:cs="Arial" w:eastAsia="Arial" w:hAnsi="Arial"/>
                <w:sz w:val="13"/>
                <w:szCs w:val="13"/>
                <w:color w:val="auto"/>
              </w:rPr>
              <w:t>Proceeds from common stock issued in private placement, net</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of issuance costs</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174,749</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Other financing activities</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(3,288 )</w:t>
            </w:r>
          </w:p>
        </w:tc>
        <w:tc>
          <w:tcPr>
            <w:tcW w:w="120" w:type="dxa"/>
            <w:vAlign w:val="bottom"/>
          </w:tcPr>
          <w:p>
            <w:pPr>
              <w:spacing w:after="0"/>
              <w:rPr>
                <w:sz w:val="14"/>
                <w:szCs w:val="14"/>
                <w:color w:val="auto"/>
              </w:rPr>
            </w:pPr>
          </w:p>
        </w:tc>
        <w:tc>
          <w:tcPr>
            <w:tcW w:w="1460" w:type="dxa"/>
            <w:vAlign w:val="bottom"/>
            <w:gridSpan w:val="2"/>
          </w:tcPr>
          <w:p>
            <w:pPr>
              <w:jc w:val="right"/>
              <w:ind w:right="133"/>
              <w:spacing w:after="0"/>
              <w:rPr>
                <w:sz w:val="20"/>
                <w:szCs w:val="20"/>
                <w:color w:val="auto"/>
              </w:rPr>
            </w:pPr>
            <w:r>
              <w:rPr>
                <w:rFonts w:ascii="Arial" w:cs="Arial" w:eastAsia="Arial" w:hAnsi="Arial"/>
                <w:sz w:val="13"/>
                <w:szCs w:val="13"/>
                <w:color w:val="auto"/>
              </w:rPr>
              <w:t>(4,871 )</w:t>
            </w: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(2,253 )</w:t>
            </w:r>
          </w:p>
        </w:tc>
      </w:tr>
      <w:tr>
        <w:trPr>
          <w:trHeight w:val="155"/>
        </w:trPr>
        <w:tc>
          <w:tcPr>
            <w:tcW w:w="66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provided by financing activities</w:t>
            </w:r>
          </w:p>
        </w:tc>
        <w:tc>
          <w:tcPr>
            <w:tcW w:w="2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643,630</w:t>
            </w:r>
          </w:p>
        </w:tc>
        <w:tc>
          <w:tcPr>
            <w:tcW w:w="2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149,691</w:t>
            </w:r>
          </w:p>
        </w:tc>
        <w:tc>
          <w:tcPr>
            <w:tcW w:w="2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365,185</w:t>
            </w:r>
          </w:p>
        </w:tc>
        <w:tc>
          <w:tcPr>
            <w:tcW w:w="100" w:type="dxa"/>
            <w:vAlign w:val="bottom"/>
            <w:shd w:val="clear" w:color="auto" w:fill="CFF0FC"/>
          </w:tcPr>
          <w:p>
            <w:pPr>
              <w:spacing w:after="0"/>
              <w:rPr>
                <w:sz w:val="13"/>
                <w:szCs w:val="13"/>
                <w:color w:val="auto"/>
              </w:rPr>
            </w:pPr>
          </w:p>
        </w:tc>
      </w:tr>
      <w:tr>
        <w:trPr>
          <w:trHeight w:val="162"/>
        </w:trPr>
        <w:tc>
          <w:tcPr>
            <w:tcW w:w="6600" w:type="dxa"/>
            <w:vAlign w:val="bottom"/>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22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(4,918 )</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(712 )</w:t>
            </w:r>
          </w:p>
        </w:tc>
      </w:tr>
      <w:tr>
        <w:trPr>
          <w:trHeight w:val="155"/>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2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14,510</w:t>
            </w:r>
          </w:p>
        </w:tc>
        <w:tc>
          <w:tcPr>
            <w:tcW w:w="2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(8,360</w:t>
            </w:r>
          </w:p>
        </w:tc>
        <w:tc>
          <w:tcPr>
            <w:tcW w:w="260" w:type="dxa"/>
            <w:vAlign w:val="bottom"/>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42,608</w:t>
            </w:r>
          </w:p>
        </w:tc>
        <w:tc>
          <w:tcPr>
            <w:tcW w:w="100" w:type="dxa"/>
            <w:vAlign w:val="bottom"/>
            <w:shd w:val="clear" w:color="auto" w:fill="CFF0FC"/>
          </w:tcPr>
          <w:p>
            <w:pPr>
              <w:spacing w:after="0"/>
              <w:rPr>
                <w:sz w:val="13"/>
                <w:szCs w:val="13"/>
                <w:color w:val="auto"/>
              </w:rPr>
            </w:pPr>
          </w:p>
        </w:tc>
      </w:tr>
      <w:tr>
        <w:trPr>
          <w:trHeight w:val="162"/>
        </w:trPr>
        <w:tc>
          <w:tcPr>
            <w:tcW w:w="6600" w:type="dxa"/>
            <w:vAlign w:val="bottom"/>
          </w:tcPr>
          <w:p>
            <w:pPr>
              <w:ind w:left="20"/>
              <w:spacing w:after="0"/>
              <w:rPr>
                <w:sz w:val="20"/>
                <w:szCs w:val="20"/>
                <w:color w:val="auto"/>
              </w:rPr>
            </w:pPr>
            <w:r>
              <w:rPr>
                <w:rFonts w:ascii="Arial" w:cs="Arial" w:eastAsia="Arial" w:hAnsi="Arial"/>
                <w:sz w:val="13"/>
                <w:szCs w:val="13"/>
                <w:color w:val="auto"/>
              </w:rPr>
              <w:t>Cash and cash equivalents at beginning of fiscal year</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295,949</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304,309</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261,701</w:t>
            </w:r>
          </w:p>
        </w:tc>
        <w:tc>
          <w:tcPr>
            <w:tcW w:w="100" w:type="dxa"/>
            <w:vAlign w:val="bottom"/>
          </w:tcPr>
          <w:p>
            <w:pPr>
              <w:spacing w:after="0"/>
              <w:rPr>
                <w:sz w:val="14"/>
                <w:szCs w:val="14"/>
                <w:color w:val="auto"/>
              </w:rPr>
            </w:pPr>
          </w:p>
        </w:tc>
      </w:tr>
      <w:tr>
        <w:trPr>
          <w:trHeight w:val="195"/>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and cash equivalents at end of fiscal year</w:t>
            </w:r>
          </w:p>
        </w:tc>
        <w:tc>
          <w:tcPr>
            <w:tcW w:w="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310,459</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295,949</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304,309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6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Supplemental information:</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Cash paid for interest (net of amounts capitalized)</w:t>
            </w:r>
          </w:p>
        </w:tc>
        <w:tc>
          <w:tcPr>
            <w:tcW w:w="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14,627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23,526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27,805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6600" w:type="dxa"/>
            <w:vAlign w:val="bottom"/>
          </w:tcPr>
          <w:p>
            <w:pPr>
              <w:ind w:left="200"/>
              <w:spacing w:after="0" w:line="143" w:lineRule="exact"/>
              <w:rPr>
                <w:sz w:val="20"/>
                <w:szCs w:val="20"/>
                <w:color w:val="auto"/>
              </w:rPr>
            </w:pPr>
            <w:r>
              <w:rPr>
                <w:rFonts w:ascii="Arial" w:cs="Arial" w:eastAsia="Arial" w:hAnsi="Arial"/>
                <w:sz w:val="13"/>
                <w:szCs w:val="13"/>
                <w:color w:val="auto"/>
              </w:rPr>
              <w:t>Cash paid for income taxes, net</w:t>
            </w:r>
          </w:p>
        </w:tc>
        <w:tc>
          <w:tcPr>
            <w:tcW w:w="220" w:type="dxa"/>
            <w:vAlign w:val="bottom"/>
            <w:tcBorders>
              <w:bottom w:val="single" w:sz="8" w:color="auto"/>
            </w:tcBorders>
          </w:tcPr>
          <w:p>
            <w:pPr>
              <w:jc w:val="right"/>
              <w:ind w:right="73"/>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17,144</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6,670</w:t>
            </w:r>
          </w:p>
        </w:tc>
        <w:tc>
          <w:tcPr>
            <w:tcW w:w="260" w:type="dxa"/>
            <w:vAlign w:val="bottom"/>
          </w:tcPr>
          <w:p>
            <w:pPr>
              <w:spacing w:after="0"/>
              <w:rPr>
                <w:sz w:val="12"/>
                <w:szCs w:val="12"/>
                <w:color w:val="auto"/>
              </w:rPr>
            </w:pPr>
          </w:p>
        </w:tc>
        <w:tc>
          <w:tcPr>
            <w:tcW w:w="240" w:type="dxa"/>
            <w:vAlign w:val="bottom"/>
            <w:tcBorders>
              <w:bottom w:val="single" w:sz="8" w:color="auto"/>
            </w:tcBorders>
          </w:tcPr>
          <w:p>
            <w:pPr>
              <w:jc w:val="right"/>
              <w:ind w:right="93"/>
              <w:spacing w:after="0" w:line="143"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10,950</w:t>
            </w:r>
          </w:p>
        </w:tc>
        <w:tc>
          <w:tcPr>
            <w:tcW w:w="100" w:type="dxa"/>
            <w:vAlign w:val="bottom"/>
          </w:tcPr>
          <w:p>
            <w:pPr>
              <w:spacing w:after="0"/>
              <w:rPr>
                <w:sz w:val="12"/>
                <w:szCs w:val="12"/>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60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b w:val="1"/>
                <w:bCs w:val="1"/>
                <w:color w:val="auto"/>
              </w:rPr>
              <w:t>Non-cash investing and financing activities:</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Issuance of common stock in connection with acquisition</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207,169</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6600" w:type="dxa"/>
            <w:vAlign w:val="bottom"/>
            <w:shd w:val="clear" w:color="auto" w:fill="CFF0FC"/>
          </w:tcPr>
          <w:p>
            <w:pPr>
              <w:ind w:left="380"/>
              <w:spacing w:after="0" w:line="134" w:lineRule="exact"/>
              <w:rPr>
                <w:sz w:val="20"/>
                <w:szCs w:val="20"/>
                <w:color w:val="auto"/>
              </w:rPr>
            </w:pPr>
            <w:r>
              <w:rPr>
                <w:rFonts w:ascii="Arial" w:cs="Arial" w:eastAsia="Arial" w:hAnsi="Arial"/>
                <w:sz w:val="13"/>
                <w:szCs w:val="13"/>
                <w:color w:val="auto"/>
              </w:rPr>
              <w:t>Issuance of common stock in satisfaction of certain accrued</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employee compensation liabilities</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22,829</w:t>
            </w:r>
          </w:p>
        </w:tc>
        <w:tc>
          <w:tcPr>
            <w:tcW w:w="100" w:type="dxa"/>
            <w:vAlign w:val="bottom"/>
            <w:shd w:val="clear" w:color="auto" w:fill="CFF0FC"/>
          </w:tcPr>
          <w:p>
            <w:pPr>
              <w:spacing w:after="0"/>
              <w:rPr>
                <w:sz w:val="14"/>
                <w:szCs w:val="14"/>
                <w:color w:val="auto"/>
              </w:rPr>
            </w:pPr>
          </w:p>
        </w:tc>
      </w:tr>
      <w:tr>
        <w:trPr>
          <w:trHeight w:val="162"/>
        </w:trPr>
        <w:tc>
          <w:tcPr>
            <w:tcW w:w="6600" w:type="dxa"/>
            <w:vAlign w:val="bottom"/>
          </w:tcPr>
          <w:p>
            <w:pPr>
              <w:ind w:left="380"/>
              <w:spacing w:after="0"/>
              <w:rPr>
                <w:sz w:val="20"/>
                <w:szCs w:val="20"/>
                <w:color w:val="auto"/>
              </w:rPr>
            </w:pPr>
            <w:r>
              <w:rPr>
                <w:rFonts w:ascii="Arial" w:cs="Arial" w:eastAsia="Arial" w:hAnsi="Arial"/>
                <w:sz w:val="13"/>
                <w:szCs w:val="13"/>
                <w:color w:val="auto"/>
              </w:rPr>
              <w:t>Capital expenditures not paid for</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67,931</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32,616</w:t>
            </w:r>
          </w:p>
        </w:tc>
        <w:tc>
          <w:tcPr>
            <w:tcW w:w="26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43,606</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-3151505</wp:posOffset>
            </wp:positionV>
            <wp:extent cx="7683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-3151505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-3151505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-2525395</wp:posOffset>
            </wp:positionV>
            <wp:extent cx="768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-2525395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-882650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-865505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-882650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-865505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-650875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-633730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-650875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8"/>
              </w:rPr>
              <w:t>Viasat, Inc. Stockholders</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980" w:type="dxa"/>
            <w:vAlign w:val="bottom"/>
            <w:tcBorders>
              <w:bottom w:val="single" w:sz="8" w:color="auto"/>
            </w:tcBorders>
            <w:gridSpan w:val="4"/>
          </w:tcPr>
          <w:p>
            <w:pPr>
              <w:jc w:val="right"/>
              <w:ind w:right="377"/>
              <w:spacing w:after="0" w:line="143" w:lineRule="exact"/>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3"/>
            <w:vMerge w:val="restart"/>
          </w:tcPr>
          <w:p>
            <w:pPr>
              <w:jc w:val="center"/>
              <w:ind w:right="340"/>
              <w:spacing w:after="0"/>
              <w:rPr>
                <w:sz w:val="20"/>
                <w:szCs w:val="20"/>
                <w:color w:val="auto"/>
              </w:rPr>
            </w:pPr>
            <w:r>
              <w:rPr>
                <w:rFonts w:ascii="Arial" w:cs="Arial" w:eastAsia="Arial" w:hAnsi="Arial"/>
                <w:sz w:val="13"/>
                <w:szCs w:val="13"/>
                <w:b w:val="1"/>
                <w:bCs w:val="1"/>
                <w:color w:val="auto"/>
                <w:w w:val="97"/>
              </w:rPr>
              <w:t>Noncontrolling</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400" w:type="dxa"/>
            <w:vAlign w:val="bottom"/>
            <w:gridSpan w:val="3"/>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3"/>
          </w:tcPr>
          <w:p>
            <w:pPr>
              <w:jc w:val="center"/>
              <w:ind w:right="3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360" w:type="dxa"/>
            <w:vAlign w:val="bottom"/>
            <w:gridSpan w:val="3"/>
          </w:tcPr>
          <w:p>
            <w:pPr>
              <w:jc w:val="center"/>
              <w:ind w:right="340"/>
              <w:spacing w:after="0" w:line="122" w:lineRule="exact"/>
              <w:rPr>
                <w:sz w:val="20"/>
                <w:szCs w:val="20"/>
                <w:color w:val="auto"/>
              </w:rPr>
            </w:pPr>
            <w:r>
              <w:rPr>
                <w:rFonts w:ascii="Arial" w:cs="Arial" w:eastAsia="Arial" w:hAnsi="Arial"/>
                <w:sz w:val="13"/>
                <w:szCs w:val="13"/>
                <w:b w:val="1"/>
                <w:bCs w:val="1"/>
                <w:color w:val="auto"/>
                <w:w w:val="99"/>
              </w:rPr>
              <w:t>Interest in</w:t>
            </w:r>
          </w:p>
        </w:tc>
        <w:tc>
          <w:tcPr>
            <w:tcW w:w="220" w:type="dxa"/>
            <w:vAlign w:val="bottom"/>
          </w:tcPr>
          <w:p>
            <w:pPr>
              <w:spacing w:after="0"/>
              <w:rPr>
                <w:sz w:val="10"/>
                <w:szCs w:val="10"/>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Capital</w:t>
            </w:r>
          </w:p>
        </w:tc>
        <w:tc>
          <w:tcPr>
            <w:tcW w:w="20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2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c>
          <w:tcPr>
            <w:tcW w:w="22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9"/>
              </w:rPr>
              <w:t>Subsidiary</w:t>
            </w:r>
          </w:p>
        </w:tc>
        <w:tc>
          <w:tcPr>
            <w:tcW w:w="20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(In</w:t>
            </w:r>
          </w:p>
        </w:tc>
        <w:tc>
          <w:tcPr>
            <w:tcW w:w="2720" w:type="dxa"/>
            <w:vAlign w:val="bottom"/>
            <w:gridSpan w:val="8"/>
          </w:tcPr>
          <w:p>
            <w:pPr>
              <w:spacing w:after="0" w:line="142" w:lineRule="exact"/>
              <w:rPr>
                <w:sz w:val="20"/>
                <w:szCs w:val="20"/>
                <w:color w:val="auto"/>
              </w:rPr>
            </w:pPr>
            <w:r>
              <w:rPr>
                <w:rFonts w:ascii="Arial" w:cs="Arial" w:eastAsia="Arial" w:hAnsi="Arial"/>
                <w:sz w:val="13"/>
                <w:szCs w:val="13"/>
                <w:b w:val="1"/>
                <w:bCs w:val="1"/>
                <w:color w:val="auto"/>
              </w:rPr>
              <w:t>thousands, except share data)</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60,550,093</w:t>
            </w:r>
          </w:p>
        </w:tc>
        <w:tc>
          <w:tcPr>
            <w:tcW w:w="960" w:type="dxa"/>
            <w:vAlign w:val="bottom"/>
            <w:gridSpan w:val="3"/>
            <w:shd w:val="clear" w:color="auto" w:fill="CFF0FC"/>
          </w:tcPr>
          <w:p>
            <w:pPr>
              <w:jc w:val="right"/>
              <w:ind w:right="5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42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1,656,819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245,585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5,338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1,916,078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3"/>
                <w:szCs w:val="13"/>
                <w:color w:val="auto"/>
              </w:rPr>
              <w:t>340,373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21,060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Issuance of stock under</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Employee Stock</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311,137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17,350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17,350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Plan</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Shares issued in settlement</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of certain accrued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employee compensation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255,615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22,829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22,829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liabilities</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80" w:type="dxa"/>
            <w:vAlign w:val="bottom"/>
          </w:tcPr>
          <w:p>
            <w:pPr>
              <w:ind w:left="120"/>
              <w:spacing w:after="0" w:line="122" w:lineRule="exact"/>
              <w:rPr>
                <w:sz w:val="20"/>
                <w:szCs w:val="20"/>
                <w:color w:val="auto"/>
              </w:rPr>
            </w:pPr>
            <w:r>
              <w:rPr>
                <w:rFonts w:ascii="Arial" w:cs="Arial" w:eastAsia="Arial" w:hAnsi="Arial"/>
                <w:sz w:val="13"/>
                <w:szCs w:val="13"/>
                <w:color w:val="auto"/>
              </w:rPr>
              <w:t>shares withheld for taxes</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689,922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(28,802 )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(28,802 )</w:t>
            </w:r>
          </w:p>
        </w:tc>
        <w:tc>
          <w:tcPr>
            <w:tcW w:w="0" w:type="dxa"/>
            <w:vAlign w:val="bottom"/>
          </w:tcPr>
          <w:p>
            <w:pPr>
              <w:spacing w:after="0"/>
              <w:rPr>
                <w:sz w:val="1"/>
                <w:szCs w:val="1"/>
                <w:color w:val="auto"/>
              </w:rPr>
            </w:pPr>
          </w:p>
        </w:tc>
      </w:tr>
      <w:tr>
        <w:trPr>
          <w:trHeight w:val="153"/>
        </w:trPr>
        <w:tc>
          <w:tcPr>
            <w:tcW w:w="228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(212 )</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14,025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Other comprehensive loss,</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color w:val="auto"/>
              </w:rPr>
              <w:t>(11,386 )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(11,386 )</w:t>
            </w:r>
          </w:p>
        </w:tc>
        <w:tc>
          <w:tcPr>
            <w:tcW w:w="0" w:type="dxa"/>
            <w:vAlign w:val="bottom"/>
          </w:tcPr>
          <w:p>
            <w:pPr>
              <w:spacing w:after="0"/>
              <w:rPr>
                <w:sz w:val="1"/>
                <w:szCs w:val="1"/>
                <w:color w:val="auto"/>
              </w:rPr>
            </w:pPr>
          </w:p>
        </w:tc>
      </w:tr>
      <w:tr>
        <w:trPr>
          <w:trHeight w:val="141"/>
        </w:trPr>
        <w:tc>
          <w:tcPr>
            <w:tcW w:w="2280" w:type="dxa"/>
            <w:vAlign w:val="bottom"/>
          </w:tcPr>
          <w:p>
            <w:pPr>
              <w:ind w:left="120"/>
              <w:spacing w:after="0" w:line="141" w:lineRule="exact"/>
              <w:rPr>
                <w:sz w:val="20"/>
                <w:szCs w:val="20"/>
                <w:color w:val="auto"/>
              </w:rPr>
            </w:pPr>
            <w:r>
              <w:rPr>
                <w:rFonts w:ascii="Arial" w:cs="Arial" w:eastAsia="Arial" w:hAnsi="Arial"/>
                <w:sz w:val="13"/>
                <w:szCs w:val="13"/>
                <w:color w:val="auto"/>
              </w:rPr>
              <w:t>net of tax</w:t>
            </w: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March 31, 2020</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62,147,140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ind w:right="577"/>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1,788,456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245,373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(6,048</w:t>
            </w: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22,355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2,050,142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Issuance of stock under</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80" w:type="dxa"/>
            <w:vAlign w:val="bottom"/>
          </w:tcPr>
          <w:p>
            <w:pPr>
              <w:ind w:left="120"/>
              <w:spacing w:after="0" w:line="122" w:lineRule="exact"/>
              <w:rPr>
                <w:sz w:val="20"/>
                <w:szCs w:val="20"/>
                <w:color w:val="auto"/>
              </w:rPr>
            </w:pPr>
            <w:r>
              <w:rPr>
                <w:rFonts w:ascii="Arial" w:cs="Arial" w:eastAsia="Arial" w:hAnsi="Arial"/>
                <w:sz w:val="13"/>
                <w:szCs w:val="13"/>
                <w:color w:val="auto"/>
              </w:rPr>
              <w:t>Employee Stock</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638,792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19,101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19,101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120"/>
              <w:spacing w:after="0"/>
              <w:rPr>
                <w:sz w:val="20"/>
                <w:szCs w:val="20"/>
                <w:color w:val="auto"/>
              </w:rPr>
            </w:pPr>
            <w:r>
              <w:rPr>
                <w:rFonts w:ascii="Arial" w:cs="Arial" w:eastAsia="Arial" w:hAnsi="Arial"/>
                <w:sz w:val="13"/>
                <w:szCs w:val="13"/>
                <w:color w:val="auto"/>
              </w:rPr>
              <w:t>Purchase Plan</w:t>
            </w: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8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Common stock issued in</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private placement, net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4,474,559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174,748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174,749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of issuance costs</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98,560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Shares issued in settlement</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of certain accrued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employee compensation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580,846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25,406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25,406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liabilities</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120"/>
              <w:spacing w:after="0" w:line="122" w:lineRule="exact"/>
              <w:rPr>
                <w:sz w:val="20"/>
                <w:szCs w:val="20"/>
                <w:color w:val="auto"/>
              </w:rPr>
            </w:pPr>
            <w:r>
              <w:rPr>
                <w:rFonts w:ascii="Arial" w:cs="Arial" w:eastAsia="Arial" w:hAnsi="Arial"/>
                <w:sz w:val="13"/>
                <w:szCs w:val="13"/>
                <w:color w:val="auto"/>
              </w:rPr>
              <w:t>shares withheld for taxes</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687,796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(13,676 )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(13,676 )</w:t>
            </w:r>
          </w:p>
        </w:tc>
        <w:tc>
          <w:tcPr>
            <w:tcW w:w="0" w:type="dxa"/>
            <w:vAlign w:val="bottom"/>
          </w:tcPr>
          <w:p>
            <w:pPr>
              <w:spacing w:after="0"/>
              <w:rPr>
                <w:sz w:val="1"/>
                <w:szCs w:val="1"/>
                <w:color w:val="auto"/>
              </w:rPr>
            </w:pPr>
          </w:p>
        </w:tc>
      </w:tr>
      <w:tr>
        <w:trPr>
          <w:trHeight w:val="153"/>
        </w:trPr>
        <w:tc>
          <w:tcPr>
            <w:tcW w:w="228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13,410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Other comprehensive income,</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15,851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15,851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80" w:type="dxa"/>
            <w:vAlign w:val="bottom"/>
          </w:tcPr>
          <w:p>
            <w:pPr>
              <w:ind w:left="120"/>
              <w:spacing w:after="0" w:line="141" w:lineRule="exact"/>
              <w:rPr>
                <w:sz w:val="20"/>
                <w:szCs w:val="20"/>
                <w:color w:val="auto"/>
              </w:rPr>
            </w:pPr>
            <w:r>
              <w:rPr>
                <w:rFonts w:ascii="Arial" w:cs="Arial" w:eastAsia="Arial" w:hAnsi="Arial"/>
                <w:sz w:val="13"/>
                <w:szCs w:val="13"/>
                <w:color w:val="auto"/>
              </w:rPr>
              <w:t>net of tax</w:t>
            </w: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March 31, 2021</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68,529,133</w:t>
            </w:r>
          </w:p>
        </w:tc>
        <w:tc>
          <w:tcPr>
            <w:tcW w:w="120" w:type="dxa"/>
            <w:vAlign w:val="bottom"/>
            <w:shd w:val="clear" w:color="auto" w:fill="CFF0FC"/>
          </w:tcPr>
          <w:p>
            <w:pPr>
              <w:spacing w:after="0"/>
              <w:rPr>
                <w:sz w:val="12"/>
                <w:szCs w:val="12"/>
                <w:color w:val="auto"/>
              </w:rPr>
            </w:pPr>
          </w:p>
        </w:tc>
        <w:tc>
          <w:tcPr>
            <w:tcW w:w="840" w:type="dxa"/>
            <w:vAlign w:val="bottom"/>
            <w:tcBorders>
              <w:top w:val="single" w:sz="8" w:color="auto"/>
            </w:tcBorders>
            <w:gridSpan w:val="2"/>
            <w:shd w:val="clear" w:color="auto" w:fill="CFF0FC"/>
          </w:tcPr>
          <w:p>
            <w:pPr>
              <w:jc w:val="right"/>
              <w:ind w:right="577"/>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2"/>
                <w:szCs w:val="12"/>
                <w:color w:val="auto"/>
              </w:rPr>
            </w:pPr>
          </w:p>
        </w:tc>
        <w:tc>
          <w:tcPr>
            <w:tcW w:w="300" w:type="dxa"/>
            <w:vAlign w:val="bottom"/>
            <w:tcBorders>
              <w:top w:val="single" w:sz="8" w:color="auto"/>
            </w:tcBorders>
            <w:gridSpan w:val="2"/>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2,092,595</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249,064</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9,803</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35,765</w:t>
            </w: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2,387,234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3"/>
                <w:szCs w:val="13"/>
                <w:color w:val="auto"/>
              </w:rPr>
              <w:t>27,107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Issuance of stock under</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Employee Stock</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586,203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19,023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19,023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Plan</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100,118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Shares issued in settlement</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of certain accrued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employee compensation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457,130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liabilities</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120"/>
              <w:spacing w:after="0" w:line="122" w:lineRule="exact"/>
              <w:rPr>
                <w:sz w:val="20"/>
                <w:szCs w:val="20"/>
                <w:color w:val="auto"/>
              </w:rPr>
            </w:pPr>
            <w:r>
              <w:rPr>
                <w:rFonts w:ascii="Arial" w:cs="Arial" w:eastAsia="Arial" w:hAnsi="Arial"/>
                <w:sz w:val="13"/>
                <w:szCs w:val="13"/>
                <w:color w:val="auto"/>
              </w:rPr>
              <w:t>shares withheld for taxes</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829,054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(22,969 )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4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(22,969 )</w:t>
            </w:r>
          </w:p>
        </w:tc>
        <w:tc>
          <w:tcPr>
            <w:tcW w:w="0" w:type="dxa"/>
            <w:vAlign w:val="bottom"/>
          </w:tcPr>
          <w:p>
            <w:pPr>
              <w:spacing w:after="0"/>
              <w:rPr>
                <w:sz w:val="1"/>
                <w:szCs w:val="1"/>
                <w:color w:val="auto"/>
              </w:rPr>
            </w:pPr>
          </w:p>
        </w:tc>
      </w:tr>
      <w:tr>
        <w:trPr>
          <w:trHeight w:val="153"/>
        </w:trPr>
        <w:tc>
          <w:tcPr>
            <w:tcW w:w="228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8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Shares issued in connection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4,000,189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4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6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with acquisition of business</w:t>
            </w:r>
          </w:p>
        </w:tc>
        <w:tc>
          <w:tcPr>
            <w:tcW w:w="10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gridSpan w:val="3"/>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(88 )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(15,534 )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13,051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(2,483 )</w:t>
            </w:r>
          </w:p>
        </w:tc>
        <w:tc>
          <w:tcPr>
            <w:tcW w:w="0" w:type="dxa"/>
            <w:vAlign w:val="bottom"/>
          </w:tcPr>
          <w:p>
            <w:pPr>
              <w:spacing w:after="0"/>
              <w:rPr>
                <w:sz w:val="1"/>
                <w:szCs w:val="1"/>
                <w:color w:val="auto"/>
              </w:rPr>
            </w:pPr>
          </w:p>
        </w:tc>
      </w:tr>
      <w:tr>
        <w:trPr>
          <w:trHeight w:val="116"/>
        </w:trPr>
        <w:tc>
          <w:tcPr>
            <w:tcW w:w="2280" w:type="dxa"/>
            <w:vAlign w:val="bottom"/>
          </w:tcPr>
          <w:p>
            <w:pPr>
              <w:ind w:left="20"/>
              <w:spacing w:after="0" w:line="116" w:lineRule="exact"/>
              <w:rPr>
                <w:sz w:val="20"/>
                <w:szCs w:val="20"/>
                <w:color w:val="auto"/>
              </w:rPr>
            </w:pPr>
            <w:r>
              <w:rPr>
                <w:rFonts w:ascii="Arial" w:cs="Arial" w:eastAsia="Arial" w:hAnsi="Arial"/>
                <w:sz w:val="13"/>
                <w:szCs w:val="13"/>
                <w:color w:val="auto"/>
              </w:rPr>
              <w:t>Other comprehensive</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color w:val="auto"/>
              </w:rPr>
              <w:t>(31,424 )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(31,424 )</w:t>
            </w:r>
          </w:p>
        </w:tc>
        <w:tc>
          <w:tcPr>
            <w:tcW w:w="0" w:type="dxa"/>
            <w:vAlign w:val="bottom"/>
          </w:tcPr>
          <w:p>
            <w:pPr>
              <w:spacing w:after="0"/>
              <w:rPr>
                <w:sz w:val="1"/>
                <w:szCs w:val="1"/>
                <w:color w:val="auto"/>
              </w:rPr>
            </w:pPr>
          </w:p>
        </w:tc>
      </w:tr>
      <w:tr>
        <w:trPr>
          <w:trHeight w:val="141"/>
        </w:trPr>
        <w:tc>
          <w:tcPr>
            <w:tcW w:w="2280" w:type="dxa"/>
            <w:vAlign w:val="bottom"/>
          </w:tcPr>
          <w:p>
            <w:pPr>
              <w:ind w:left="120"/>
              <w:spacing w:after="0" w:line="141" w:lineRule="exact"/>
              <w:rPr>
                <w:sz w:val="20"/>
                <w:szCs w:val="20"/>
                <w:color w:val="auto"/>
              </w:rPr>
            </w:pPr>
            <w:r>
              <w:rPr>
                <w:rFonts w:ascii="Arial" w:cs="Arial" w:eastAsia="Arial" w:hAnsi="Arial"/>
                <w:sz w:val="13"/>
                <w:szCs w:val="13"/>
                <w:color w:val="auto"/>
              </w:rPr>
              <w:t>income, net of tax</w:t>
            </w: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March 31, 2022</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74,428,816</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577"/>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2,421,950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233,530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(21,621</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48,728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2,682,594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-24765</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-24765</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99"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Viasat, Inc. (also referred to hereafter as the “Company” or “Viasat”) is an innovator in communications technologies and services, including high-speed and cost-effective broadband and advanced communications products and services.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9"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(EBI) and RigNet, Inc. (RigNet) (see Note 16 — Acquisitions for more information). The acquisitions were accounted for as purchases and accordingly, the consolidated financial statements include the operating results of EBI and RigNet from the dates of acquisition.</w:t>
      </w:r>
    </w:p>
    <w:p>
      <w:pPr>
        <w:spacing w:after="0" w:line="148" w:lineRule="exact"/>
        <w:rPr>
          <w:sz w:val="20"/>
          <w:szCs w:val="20"/>
          <w:color w:val="auto"/>
        </w:rPr>
      </w:pPr>
    </w:p>
    <w:p>
      <w:pPr>
        <w:jc w:val="both"/>
        <w:ind w:right="300" w:firstLine="509"/>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99"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Revenues from the U.S. Government as an individual customer comprised approximately 25%, 30% and 30% of total revenues for fiscal years 2022, 2021 and 2020, respectively. Billed accounts receivable to the U.S. Government as of March 31, 2022 and 2021 were approximately 18% and 27%, respectively, of total billed receivables. In addition, none of the Company’s commercial customers comprised 10% or more of total revenues for fiscal years 2022, 2021 and 2020. The Company’s five largest contracts generated approximately 20%, 16% and 18% of the Company’s total revenues for the fiscal years ended March 31, 2022, 2021 and 2020, respectively.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73"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sheets.</w:t>
      </w:r>
    </w:p>
    <w:p>
      <w:pPr>
        <w:spacing w:after="0" w:line="14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the construction of satellites, gateway and networking equipment and other assets under construction, the Company capitalized $102.1 million, $81.0 million and $54.1 million of interest expense for the fiscal years ended March 31, 2022, 2021 and 2020, respectively.</w:t>
      </w:r>
    </w:p>
    <w:p>
      <w:pPr>
        <w:spacing w:after="0" w:line="151" w:lineRule="exact"/>
        <w:rPr>
          <w:sz w:val="20"/>
          <w:szCs w:val="20"/>
          <w:color w:val="auto"/>
        </w:rPr>
      </w:pPr>
    </w:p>
    <w:p>
      <w:pPr>
        <w:ind w:right="240" w:firstLine="509"/>
        <w:spacing w:after="0" w:line="236" w:lineRule="auto"/>
        <w:rPr>
          <w:sz w:val="20"/>
          <w:szCs w:val="20"/>
          <w:color w:val="auto"/>
        </w:rPr>
      </w:pPr>
      <w:r>
        <w:rPr>
          <w:rFonts w:ascii="Arial" w:cs="Arial" w:eastAsia="Arial" w:hAnsi="Arial"/>
          <w:sz w:val="18"/>
          <w:szCs w:val="18"/>
          <w:color w:val="auto"/>
        </w:rPr>
        <w:t>The Company owns four satellites in service — three over North America (ViaSat-2, ViaSat-1 and WildBlue-1) and, the KA-SAT satellite over Europe, Middle East, and Africa (EMEA). In addition, the Company has lifetime leases of Ka-band capacity on two satellites. The Company is also planning to launch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2022 were $395.5 million and $210.6 million, respectively. The total cost and accumulated depreciation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CPE units included in property, equipment and satellites, net, as of March 31, 2021 were $409.9 million and $193.7 million, respectively.</w:t>
      </w:r>
    </w:p>
    <w:p>
      <w:pPr>
        <w:spacing w:after="0" w:line="16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The Company and a Summary of Its Significant Accounting Policies – Leases and Note 5 — Leases for more information).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9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Company adopted Accounting Standards Update (ASU) 2016-02, Leases, as amended, commonly referred to as ASC 842, on April 1, 2019 using the optional transition method. Under the optional transition method, the Company applied the new guidance to all leases that commenced before and were existing as of April 1, 2019. 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180" w:firstLine="8"/>
        <w:spacing w:after="0" w:line="238"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9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9"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values of acquired tangible and intangible assets, including goodwill, and assumed liabilities, where applicable. The Company recognizes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The authoritative guidance for business combinations (ASC 805)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$3.5 million related to patents were included in other assets as of both March 31, 2022 and March 31, 2021. The Company capitalized costs of $64.1 million and $53.8 million related to acquiring and obtaining orbital slots and other licenses included in other assets as of March 31, 2022 and 2021, respectively. Accumulated amortization related to these assets was $5.4 million and $4.4 million as of March 31, 2022 and 2021, respectively. Amortization expense related to these assets was $1.1 million for the fiscal year ended March 31, 2022 and an insignificant amount for the fiscal years ended March 31, 2021 and 2020. If a patent, orbital slot or other license is rejected, abandoned or otherwise invalidated, the unamortized cost is expensed in that period. During fiscal years 2022, 2021 and 2020, the Company did not write off any significant costs due to abandonment or impairment.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The Company capitalized $7.8 million and $5.1 million of debt issuance costs during fiscal years 2022 and 2021, respectively. During fiscal year 2020, no debt issuance costs were capitalized. Unamortized debt issuance costs related to extinguished debt are expensed at the time the debt is extinguished and recorded in loss on extinguishment of debt in the consolidated statements of operations and comprehensive income (loss). Debt issuance costs related to the Company’s revolving credit facility (the Revolving Credit Facility) are recorded in prepaid expenses and other current assets and in other long-term assets in the consolidated balance sheets in accordance with the authoritative guidance for imputation of interest (ASC 835-30). Debt issuance costs related to the Company’s term loan facility (the Term Loan Facility),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$221.6 million and $237.1 million related to software developed for resale were included in other assets as of March 31, 2022 and 2021, respectively. The Company capitalized $42.6 million and $54.0 million of costs related to software developed for resale for the fiscal years ended March 31, 2022 and 2021,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Amortization expense for capitalized software development costs was $58.1 million, $59.6 million and $53.0 million during fiscal years 2022, 2021 and 2020, respectively.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2022, 2021 and 2020.</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and the provisions of ASU 2017-04, Simplifying the Test for Goodwill Impairment, which the Company early adopted in the third quarter of fiscal year 2020. The Company first assesses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Alternatively, if the Company determines in the qualitative assessment that it is more likely than not that the fair value is less than its carrying value, then the Company performs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Based on the Company’s qualitative assessment performed during the fourth quarter of fiscal year 2022, the Company concluded that it was more likely than not that the estimated fair value of the Company’s reporting units exceeded their carrying values as of March 31, 2022, and therefore, determined it was not necessary to perform a quantitative impairment analysis. No impairments were recorded by the Company related to goodwill and other intangible assets for fiscal years 2022, 2021 and 2020.</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the Company ships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Company estimates the warranty costs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the Company will make future adjustments to the recorded warranty obligation (see Note 14 — Product Warranty).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Company’s long-term borrowings and other long-term interest bearing liabilities is determined by using available market information for those securities or similar financial instruments (see Note 3 – Fair Value Measurements).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$6.5 million and $6.9 million in accrued and other liabilities in the consolidated balance sheets as of March 31, 2022 and 2021,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2022 and 2021, no such amounts were accrued related to the aforementioned provisions.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2021, the Company had no shares of common stock held in treasury.</w:t>
      </w:r>
    </w:p>
    <w:p>
      <w:pPr>
        <w:spacing w:after="0" w:line="17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During fiscal years 2022, 2021 and 2020, the Company issued 1,274,311, 1,064,680 and 1,075,526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445,257, 376,884 and 385,604 shares of common stock at cost and with a total value of $23.0 million, $13.7 million and $28.8 million during fiscal years 2022, 2021 and 2020,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7"/>
          <w:szCs w:val="17"/>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13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Other comprehensive loss related to the effects of foreign currency translation adjustments attributable to Viasat, Inc. during fiscal year 2022 was $37.3 million, or $31.4 million net of tax. Other comprehensive income related to the effects of foreign currency translation adjustments attributable to Viasat, Inc. during fiscal year 2021 was $20.4 million, or $15.9 million net of tax. Other comprehensive loss related to the effects of foreign currency translation adjustments attributed to Viasat, Inc. during fiscal year 2020 was $12.8 million, or $11.6 million net of tax.</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jc w:val="both"/>
        <w:ind w:right="60" w:firstLine="8"/>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discussed further above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72"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63"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has not been concluded for fiscal year 2021. As of March 31, 2022, the DCAA had completed its incurred cost audit for fiscal years 2004, 2016, 2019, and 2020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2022 and March 31, 2021,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Company had $12.1 million and $10.3 million, respectively, in contract-related reserves for its estimate of potential refunds to customers for potential cost adjustments on several multi-year U.S. Government cost reimbursable contracts (see Note 13 — Contingencies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3" w:lineRule="exact"/>
        <w:rPr>
          <w:sz w:val="20"/>
          <w:szCs w:val="20"/>
          <w:color w:val="auto"/>
        </w:rPr>
      </w:pPr>
    </w:p>
    <w:p>
      <w:pPr>
        <w:ind w:right="28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March 31, 2022, the aggregate amount of the transaction price allocated to remaining performance obligations was $2.0 billion, of which the Company expects to recognize a little over half over the next 12 months, with the balance recognized thereafter.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following sets forth disaggregated reported revenue by segment and product and services for the fiscal years ended March 31, 2022, 2021 and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Fiscal Year Ended March 31, 2022</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57"/>
              <w:spacing w:after="0" w:line="129" w:lineRule="exact"/>
              <w:rPr>
                <w:sz w:val="20"/>
                <w:szCs w:val="20"/>
                <w:color w:val="auto"/>
              </w:rPr>
            </w:pPr>
            <w:r>
              <w:rPr>
                <w:rFonts w:ascii="Arial" w:cs="Arial" w:eastAsia="Arial" w:hAnsi="Arial"/>
                <w:sz w:val="14"/>
                <w:szCs w:val="14"/>
                <w:b w:val="1"/>
                <w:bCs w:val="1"/>
                <w:color w:val="auto"/>
              </w:rPr>
              <w:t>Government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Networks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Systems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443,435</w:t>
            </w:r>
          </w:p>
        </w:tc>
        <w:tc>
          <w:tcPr>
            <w:tcW w:w="5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766,976</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1,210,411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1,188,816</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68,664</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319,744</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1,188,816</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512,099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1,086,720</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2,787,635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Fiscal Year Ended March 31, 2021</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57"/>
              <w:spacing w:after="0" w:line="129" w:lineRule="exact"/>
              <w:rPr>
                <w:sz w:val="20"/>
                <w:szCs w:val="20"/>
                <w:color w:val="auto"/>
              </w:rPr>
            </w:pPr>
            <w:r>
              <w:rPr>
                <w:rFonts w:ascii="Arial" w:cs="Arial" w:eastAsia="Arial" w:hAnsi="Arial"/>
                <w:sz w:val="14"/>
                <w:szCs w:val="14"/>
                <w:b w:val="1"/>
                <w:bCs w:val="1"/>
                <w:color w:val="auto"/>
              </w:rPr>
              <w:t>Government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Networks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Systems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268,830</w:t>
            </w:r>
          </w:p>
        </w:tc>
        <w:tc>
          <w:tcPr>
            <w:tcW w:w="5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775,620</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1,044,450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868,943</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52,026</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290,688</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1,211,657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868,943</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320,856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1,066,308</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2,256,107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4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Fiscal Year Ended March 31, 2020</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Satellite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40"/>
              <w:spacing w:after="0" w:line="129" w:lineRule="exact"/>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157"/>
              <w:spacing w:after="0" w:line="129" w:lineRule="exact"/>
              <w:rPr>
                <w:sz w:val="20"/>
                <w:szCs w:val="20"/>
                <w:color w:val="auto"/>
              </w:rPr>
            </w:pPr>
            <w:r>
              <w:rPr>
                <w:rFonts w:ascii="Arial" w:cs="Arial" w:eastAsia="Arial" w:hAnsi="Arial"/>
                <w:sz w:val="14"/>
                <w:szCs w:val="14"/>
                <w:b w:val="1"/>
                <w:bCs w:val="1"/>
                <w:color w:val="auto"/>
              </w:rPr>
              <w:t>Government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Networks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Systems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289,959</w:t>
            </w:r>
          </w:p>
        </w:tc>
        <w:tc>
          <w:tcPr>
            <w:tcW w:w="5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882,582</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1,172,541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826,583</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54,598</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255,516</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1,136,697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826,583</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344,557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1,138,098</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2,309,238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-2047875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-2030730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-2047875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-2030730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-2047875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-2030730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-1036320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-1019175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-1036320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-1019175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-1036320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-1019175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25%, 30% and 30% of total revenues for the fiscal years ended March 31, 2022, 2021 and 2020, respectively, mainly reported within the government systems segment. Revenues from the Company’s other customers, mainly reported within the commercial networks and satellite services segments, comprised approximately 75%, 70% and 70% of total revenues for the fiscal years ended March 31, 2022, 2021 and 2020, respectively.</w:t>
      </w:r>
    </w:p>
    <w:p>
      <w:pPr>
        <w:spacing w:after="0" w:line="164" w:lineRule="exact"/>
        <w:rPr>
          <w:sz w:val="20"/>
          <w:szCs w:val="20"/>
          <w:color w:val="auto"/>
        </w:rPr>
      </w:pPr>
    </w:p>
    <w:p>
      <w:pPr>
        <w:ind w:right="500" w:firstLine="509"/>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energy services (acquired through the RigNet acquisition).</w:t>
      </w:r>
    </w:p>
    <w:p>
      <w:pPr>
        <w:spacing w:after="0" w:line="156" w:lineRule="exact"/>
        <w:rPr>
          <w:sz w:val="20"/>
          <w:szCs w:val="20"/>
          <w:color w:val="auto"/>
        </w:rPr>
      </w:pPr>
    </w:p>
    <w:p>
      <w:pPr>
        <w:ind w:right="180" w:firstLine="509"/>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90%, 89% and 88% of the Company’s total revenues for these segments for the fiscal years ended March 31, 2022, 2021 and 2020,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67"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23%, 23% and 24% of its total revenues for the fiscal years ended March 31, 2022, 2021 and 2020,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March 31, 2022 and March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jc w:val="center"/>
              <w:ind w:right="419"/>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48"/>
        </w:trPr>
        <w:tc>
          <w:tcPr>
            <w:tcW w:w="6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jc w:val="center"/>
              <w:ind w:right="300"/>
              <w:spacing w:after="0" w:line="149"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r>
      <w:tr>
        <w:trPr>
          <w:trHeight w:val="189"/>
        </w:trPr>
        <w:tc>
          <w:tcPr>
            <w:tcW w:w="6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jc w:val="right"/>
              <w:ind w:right="100"/>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Unbilled accounts receivable</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103,045</w:t>
            </w:r>
          </w:p>
        </w:tc>
        <w:tc>
          <w:tcPr>
            <w:tcW w:w="80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70,785</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Collections in excess of revenues and deferred revenues</w:t>
            </w: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148,906</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216,594</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revenues, long-term portion</w:t>
            </w:r>
          </w:p>
        </w:tc>
        <w:tc>
          <w:tcPr>
            <w:tcW w:w="3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90,151</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84,654</w:t>
            </w:r>
          </w:p>
        </w:tc>
        <w:tc>
          <w:tcPr>
            <w:tcW w:w="10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Unbilled accounts receivable increased $32.3 million during fiscal year 2022, primarily driven by revenue recognized in the Company’s satellite services and commercial networks segments. The acquisition of RigNet contributed $17.5 million of unbilled accounts receivable.</w:t>
      </w:r>
    </w:p>
    <w:p>
      <w:pPr>
        <w:spacing w:after="0" w:line="13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Collections in excess of revenues and deferred revenues decreased $67.7 million during fiscal year 2022, primarily driven by revenue recognized in excess of advances received on goods or services in the Company’s commercial networks and government systems segments.</w:t>
      </w:r>
    </w:p>
    <w:p>
      <w:pPr>
        <w:spacing w:after="0" w:line="16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During the fiscal year ended March 31, 2022, the Company recognized revenue of $193.2 million that was previously included in the Company’s collections in excess of revenues and deferred revenues at March 31, 2021. During the fiscal year ended March 31, 2021, the Company recognized revenue of $98.6 million that was previously included in the Company’s collections in excess of revenues and deferred revenues at March 31,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95"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$49.7 million and $35.0 million, respectively as of March 31, 2022. Of the Company’s total deferred customer contract acquisition costs and costs to fulfill contracts, $24.6 million was included in prepaid expenses and other current assets and $60.1 million was included in other assets on the Company’s consolidated balance sheet as of March 31, 2022. The Company’s deferred customer contract acquisition costs and costs to fulfill contract balances were $60.4 million and $24.2 million, respectively, as of March 31, 2021. Of the Company’s total deferred customer contract acquisition costs and costs to fulfill contracts, $26.8 million was included in prepaid expenses and other current assets and $57.8 million was included in other assets on the Company’s consolidated balance sheet as of March 31, 2021. For total deferred customer contract acquisition costs and contract fulfillment costs, the Company’s amortization and reduction of carrying value associated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with contract termination was $56.9 million, $50.5 million and $46.4 million for the fiscal years ended March 31, 2022, 2021 and 2020, respectively.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9" w:lineRule="exact"/>
        <w:rPr>
          <w:sz w:val="20"/>
          <w:szCs w:val="20"/>
          <w:color w:val="auto"/>
        </w:rPr>
      </w:pPr>
    </w:p>
    <w:p>
      <w:pPr>
        <w:jc w:val="both"/>
        <w:ind w:right="440" w:firstLine="509"/>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Advertising expenses for fiscal years 2022, 2021 and 2020 were $23.1 million, $12.0 million and $25.8 million, respectively.</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99"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6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 future operating results. In addition, the Company’s evaluation considered other factors, including the Company’s contractual backlog,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9"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TSR performance stock options)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15 — Segment Information).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The Company adopted the new guidance in the first quarter of fiscal year 2022 on a prospective basis and as a result upon purchase of the remaining 51% interest in EBI from Eutelsat (see Note 16 — Acquisitions for more information), and assertion to permanently reinvest future earnings, the deferred tax liability recorded for EBI’s outside basis difference of $8.1 million was reversed and recorded in the first quarter of fiscal year 2022 as an income tax benefit in the consolidated statements of operations and comprehensive income (loss).</w:t>
      </w:r>
    </w:p>
    <w:p>
      <w:pPr>
        <w:spacing w:after="0" w:line="154"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Company adopted the new guidance in the first quarter of fiscal year 2022 on a prospective basis and the guidance did not have a material impact on the Company's consolidated financial statements and disclosures.</w:t>
      </w:r>
    </w:p>
    <w:p>
      <w:pPr>
        <w:spacing w:after="0" w:line="151"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The Company is currently evaluating the impact of this standard on its consolidated financial statements and disclosures.</w:t>
      </w:r>
    </w:p>
    <w:p>
      <w:pPr>
        <w:spacing w:after="0" w:line="151"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ASU 2020-08 clarifies that a company should reevaluate whether a callable debt security is within the scope of ASC paragraph 310-20-35-33 for each reporting period. The Company adopted the new guidance in the first quarter of fiscal year 2022 on a prospective basis and the guidance did not have a material impact on the Company's consolidated financial statements and disclosures.</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new standard will become effective for the Company beginning in fiscal year 2024, with early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jc w:val="center"/>
        <w:ind w:right="40"/>
        <w:spacing w:after="0" w:line="328" w:lineRule="auto"/>
        <w:rPr>
          <w:sz w:val="20"/>
          <w:szCs w:val="20"/>
          <w:color w:val="auto"/>
        </w:rPr>
      </w:pPr>
      <w:r>
        <w:rPr>
          <w:rFonts w:ascii="Arial" w:cs="Arial" w:eastAsia="Arial" w:hAnsi="Arial"/>
          <w:sz w:val="18"/>
          <w:szCs w:val="18"/>
          <w:color w:val="auto"/>
        </w:rPr>
        <w:t>adoption permitted. The Company is currently evaluating the impact of this standard on its consolidated financial statements and disclosures. In November 2021, the FASB issued ASU 2021-10, Government Assistance (ASC 832): Disclosures by Business Entities about</w:t>
      </w:r>
    </w:p>
    <w:p>
      <w:pPr>
        <w:spacing w:after="0" w:line="1"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Government Assistance. ASU 2021-10 requires annual disclosures when an entity accounts for a transaction with a government by applying a grant or contribution accounting model by analogy to other accounting guidance. The new standard will become effective for the Company in fiscal year 2023. The Company is currently evaluating the impact of this standard on its consolidated financial statements and disclosures.</w:t>
      </w:r>
    </w:p>
    <w:p>
      <w:pPr>
        <w:spacing w:after="0" w:line="13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March 2022, the FASB issued ASU 2022-01, Derivatives and Hedging (ASC 815): Targeted Improvements to Accounting for Hedging Activities. ASU 2022-01 made targeted improvements to the optional hedge accounting model with the objective of improving hedge accounting to better portray the economic results of an entity’s risk management activities in its financial statements. The new standard will become effective for the Company beginning in fiscal year 2024. The Company is currently evaluating the impact of this standard on its consolidated financial statements and disclosures.</w:t>
      </w:r>
    </w:p>
    <w:p>
      <w:pPr>
        <w:spacing w:after="0" w:line="14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new standard will become effective for the Company beginning in fiscal year 2024. The Company is currently evaluating the impact of this standard on its consolidated financial statements and disclosures.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833"/>
              <w:spacing w:after="0"/>
              <w:rPr>
                <w:sz w:val="20"/>
                <w:szCs w:val="20"/>
                <w:color w:val="auto"/>
              </w:rPr>
            </w:pPr>
            <w:r>
              <w:rPr>
                <w:rFonts w:ascii="Arial" w:cs="Arial" w:eastAsia="Arial" w:hAnsi="Arial"/>
                <w:sz w:val="13"/>
                <w:szCs w:val="13"/>
                <w:b w:val="1"/>
                <w:bCs w:val="1"/>
                <w:color w:val="auto"/>
              </w:rPr>
              <w:t>As of</w:t>
            </w:r>
          </w:p>
        </w:tc>
        <w:tc>
          <w:tcPr>
            <w:tcW w:w="200" w:type="dxa"/>
            <w:vAlign w:val="bottom"/>
          </w:tcPr>
          <w:p>
            <w:pPr>
              <w:spacing w:after="0"/>
              <w:rPr>
                <w:sz w:val="13"/>
                <w:szCs w:val="13"/>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As of</w:t>
            </w:r>
          </w:p>
        </w:tc>
      </w:tr>
      <w:tr>
        <w:trPr>
          <w:trHeight w:val="176"/>
        </w:trPr>
        <w:tc>
          <w:tcPr>
            <w:tcW w:w="7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March 31, 2022</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15"/>
                <w:szCs w:val="15"/>
                <w:color w:val="auto"/>
              </w:rPr>
            </w:pPr>
          </w:p>
        </w:tc>
      </w:tr>
      <w:tr>
        <w:trPr>
          <w:trHeight w:val="155"/>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93"/>
              <w:spacing w:after="0"/>
              <w:rPr>
                <w:sz w:val="20"/>
                <w:szCs w:val="20"/>
                <w:color w:val="auto"/>
              </w:rPr>
            </w:pPr>
            <w:r>
              <w:rPr>
                <w:rFonts w:ascii="Arial" w:cs="Arial" w:eastAsia="Arial" w:hAnsi="Arial"/>
                <w:sz w:val="13"/>
                <w:szCs w:val="13"/>
                <w:b w:val="1"/>
                <w:bCs w:val="1"/>
                <w:color w:val="auto"/>
              </w:rPr>
              <w:t>(In</w:t>
            </w:r>
          </w:p>
        </w:tc>
        <w:tc>
          <w:tcPr>
            <w:tcW w:w="1860" w:type="dxa"/>
            <w:vAlign w:val="bottom"/>
            <w:gridSpan w:val="3"/>
          </w:tcPr>
          <w:p>
            <w:pPr>
              <w:jc w:val="right"/>
              <w:ind w:right="1193"/>
              <w:spacing w:after="0"/>
              <w:rPr>
                <w:sz w:val="20"/>
                <w:szCs w:val="20"/>
                <w:color w:val="auto"/>
              </w:rPr>
            </w:pPr>
            <w:r>
              <w:rPr>
                <w:rFonts w:ascii="Arial" w:cs="Arial" w:eastAsia="Arial" w:hAnsi="Arial"/>
                <w:sz w:val="13"/>
                <w:szCs w:val="13"/>
                <w:b w:val="1"/>
                <w:bCs w:val="1"/>
                <w:color w:val="auto"/>
                <w:w w:val="82"/>
              </w:rPr>
              <w:t>thousands)</w:t>
            </w:r>
          </w:p>
        </w:tc>
        <w:tc>
          <w:tcPr>
            <w:tcW w:w="100" w:type="dxa"/>
            <w:vAlign w:val="bottom"/>
          </w:tcPr>
          <w:p>
            <w:pPr>
              <w:spacing w:after="0"/>
              <w:rPr>
                <w:sz w:val="13"/>
                <w:szCs w:val="13"/>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Accounts receivable, net: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Billed</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263,383</w:t>
            </w:r>
          </w:p>
        </w:tc>
        <w:tc>
          <w:tcPr>
            <w:tcW w:w="28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172,559</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Unbilled</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103,045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70,785</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Allowance for doubtful accounts</w:t>
            </w:r>
          </w:p>
        </w:tc>
        <w:tc>
          <w:tcPr>
            <w:tcW w:w="200" w:type="dxa"/>
            <w:vAlign w:val="bottom"/>
          </w:tcPr>
          <w:p>
            <w:pPr>
              <w:spacing w:after="0"/>
              <w:rPr>
                <w:sz w:val="14"/>
                <w:szCs w:val="14"/>
                <w:color w:val="auto"/>
              </w:rPr>
            </w:pPr>
          </w:p>
        </w:tc>
        <w:tc>
          <w:tcPr>
            <w:tcW w:w="1640" w:type="dxa"/>
            <w:vAlign w:val="bottom"/>
            <w:gridSpan w:val="2"/>
          </w:tcPr>
          <w:p>
            <w:pPr>
              <w:jc w:val="right"/>
              <w:ind w:right="153"/>
              <w:spacing w:after="0"/>
              <w:rPr>
                <w:sz w:val="20"/>
                <w:szCs w:val="20"/>
                <w:color w:val="auto"/>
              </w:rPr>
            </w:pPr>
            <w:r>
              <w:rPr>
                <w:rFonts w:ascii="Arial" w:cs="Arial" w:eastAsia="Arial" w:hAnsi="Arial"/>
                <w:sz w:val="13"/>
                <w:szCs w:val="13"/>
                <w:color w:val="auto"/>
              </w:rPr>
              <w:t>(7,159 )</w:t>
            </w:r>
          </w:p>
        </w:tc>
        <w:tc>
          <w:tcPr>
            <w:tcW w:w="200" w:type="dxa"/>
            <w:vAlign w:val="bottom"/>
          </w:tcPr>
          <w:p>
            <w:pPr>
              <w:spacing w:after="0"/>
              <w:rPr>
                <w:sz w:val="14"/>
                <w:szCs w:val="14"/>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(4,692 )</w:t>
            </w:r>
          </w:p>
        </w:tc>
      </w:tr>
      <w:tr>
        <w:trPr>
          <w:trHeight w:val="196"/>
        </w:trPr>
        <w:tc>
          <w:tcPr>
            <w:tcW w:w="77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359,269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238,652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7720" w:type="dxa"/>
            <w:vAlign w:val="bottom"/>
          </w:tcPr>
          <w:p>
            <w:pPr>
              <w:ind w:left="20"/>
              <w:spacing w:after="0" w:line="143" w:lineRule="exact"/>
              <w:rPr>
                <w:sz w:val="20"/>
                <w:szCs w:val="20"/>
                <w:color w:val="auto"/>
              </w:rPr>
            </w:pPr>
            <w:r>
              <w:rPr>
                <w:rFonts w:ascii="Arial" w:cs="Arial" w:eastAsia="Arial" w:hAnsi="Arial"/>
                <w:sz w:val="13"/>
                <w:szCs w:val="13"/>
                <w:color w:val="auto"/>
              </w:rPr>
              <w:t>Inventories:</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Raw materials</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92,650</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98,338</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Work in process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64,371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71,875</w:t>
            </w:r>
          </w:p>
        </w:tc>
        <w:tc>
          <w:tcPr>
            <w:tcW w:w="100" w:type="dxa"/>
            <w:vAlign w:val="bottom"/>
          </w:tcPr>
          <w:p>
            <w:pPr>
              <w:spacing w:after="0"/>
              <w:rPr>
                <w:sz w:val="14"/>
                <w:szCs w:val="14"/>
                <w:color w:val="auto"/>
              </w:rPr>
            </w:pPr>
          </w:p>
        </w:tc>
      </w:tr>
      <w:tr>
        <w:trPr>
          <w:trHeight w:val="16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Finished goods</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184,869</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166,459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341,890</w:t>
            </w:r>
          </w:p>
        </w:tc>
        <w:tc>
          <w:tcPr>
            <w:tcW w:w="280" w:type="dxa"/>
            <w:vAlign w:val="bottom"/>
          </w:tcPr>
          <w:p>
            <w:pPr>
              <w:spacing w:after="0"/>
              <w:rPr>
                <w:sz w:val="13"/>
                <w:szCs w:val="13"/>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336,672</w:t>
            </w:r>
          </w:p>
        </w:tc>
        <w:tc>
          <w:tcPr>
            <w:tcW w:w="10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Prepaid expenses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107,885</w:t>
            </w:r>
          </w:p>
        </w:tc>
        <w:tc>
          <w:tcPr>
            <w:tcW w:w="28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94,405</w:t>
            </w:r>
          </w:p>
        </w:tc>
        <w:tc>
          <w:tcPr>
            <w:tcW w:w="100" w:type="dxa"/>
            <w:vAlign w:val="bottom"/>
          </w:tcPr>
          <w:p>
            <w:pPr>
              <w:spacing w:after="0"/>
              <w:rPr>
                <w:sz w:val="14"/>
                <w:szCs w:val="14"/>
                <w:color w:val="auto"/>
              </w:rPr>
            </w:pPr>
          </w:p>
        </w:tc>
      </w:tr>
      <w:tr>
        <w:trPr>
          <w:trHeight w:val="16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39,969</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25,555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147,854</w:t>
            </w:r>
          </w:p>
        </w:tc>
        <w:tc>
          <w:tcPr>
            <w:tcW w:w="280" w:type="dxa"/>
            <w:vAlign w:val="bottom"/>
          </w:tcPr>
          <w:p>
            <w:pPr>
              <w:spacing w:after="0"/>
              <w:rPr>
                <w:sz w:val="13"/>
                <w:szCs w:val="13"/>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119,960</w:t>
            </w:r>
          </w:p>
        </w:tc>
        <w:tc>
          <w:tcPr>
            <w:tcW w:w="10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Property, equipment and satellites, net:</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Equipment and software (estimated useful life of 3-7 years)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1,750,855</w:t>
            </w:r>
          </w:p>
        </w:tc>
        <w:tc>
          <w:tcPr>
            <w:tcW w:w="28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1,505,697</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CPE leased equipment (estimated useful life of 4-5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395,539</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409,942</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Furniture and fixtures (estimated useful life of 7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58,602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57,433</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Leasehold improvements (estimated useful life of 2-17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151,508</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149,324</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Buildings (estimated useful life of 12-38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12,440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8,923</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Land</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3,944</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Construction in progress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387,668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219,482</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Satellites (estimated useful life of 7-17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1,059,182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969,952</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Satellite Ka-band capacity obtained under finance leases (estimated useful life of 7-11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173,480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173,467</w:t>
            </w:r>
          </w:p>
        </w:tc>
        <w:tc>
          <w:tcPr>
            <w:tcW w:w="100" w:type="dxa"/>
            <w:vAlign w:val="bottom"/>
          </w:tcPr>
          <w:p>
            <w:pPr>
              <w:spacing w:after="0"/>
              <w:rPr>
                <w:sz w:val="14"/>
                <w:szCs w:val="14"/>
                <w:color w:val="auto"/>
              </w:rPr>
            </w:pPr>
          </w:p>
        </w:tc>
      </w:tr>
      <w:tr>
        <w:trPr>
          <w:trHeight w:val="16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Satellites under construction</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1,808,474</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1,338,408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5,801,692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4,834,919</w:t>
            </w:r>
          </w:p>
        </w:tc>
        <w:tc>
          <w:tcPr>
            <w:tcW w:w="100" w:type="dxa"/>
            <w:vAlign w:val="bottom"/>
          </w:tcPr>
          <w:p>
            <w:pPr>
              <w:spacing w:after="0"/>
              <w:rPr>
                <w:sz w:val="13"/>
                <w:szCs w:val="13"/>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Less: accumulated depreciation and amortization</w:t>
            </w:r>
          </w:p>
        </w:tc>
        <w:tc>
          <w:tcPr>
            <w:tcW w:w="2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(2,059,780 )</w:t>
            </w:r>
          </w:p>
        </w:tc>
        <w:tc>
          <w:tcPr>
            <w:tcW w:w="2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(1,784,436 )</w:t>
            </w:r>
          </w:p>
        </w:tc>
      </w:tr>
      <w:tr>
        <w:trPr>
          <w:trHeight w:val="156"/>
        </w:trPr>
        <w:tc>
          <w:tcPr>
            <w:tcW w:w="772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3,741,912</w:t>
            </w:r>
          </w:p>
        </w:tc>
        <w:tc>
          <w:tcPr>
            <w:tcW w:w="28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3,050,483</w:t>
            </w:r>
          </w:p>
        </w:tc>
        <w:tc>
          <w:tcPr>
            <w:tcW w:w="100" w:type="dxa"/>
            <w:vAlign w:val="bottom"/>
            <w:tcBorders>
              <w:top w:val="single" w:sz="8" w:color="CFF0FC"/>
            </w:tcBorders>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Other assets:</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304,642</w:t>
            </w:r>
          </w:p>
        </w:tc>
        <w:tc>
          <w:tcPr>
            <w:tcW w:w="280" w:type="dxa"/>
            <w:vAlign w:val="bottom"/>
          </w:tcPr>
          <w:p>
            <w:pPr>
              <w:spacing w:after="0"/>
              <w:rPr>
                <w:sz w:val="14"/>
                <w:szCs w:val="14"/>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273,288</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Capitalized software costs, net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221,647</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237,100</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Patents, orbital slots and other licenses, net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62,200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52,889</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Investment in unconsolidated affiliate</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176,938</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116,301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95,212</w:t>
            </w:r>
          </w:p>
        </w:tc>
        <w:tc>
          <w:tcPr>
            <w:tcW w:w="100" w:type="dxa"/>
            <w:vAlign w:val="bottom"/>
          </w:tcPr>
          <w:p>
            <w:pPr>
              <w:spacing w:after="0"/>
              <w:rPr>
                <w:sz w:val="14"/>
                <w:szCs w:val="14"/>
                <w:color w:val="auto"/>
              </w:rPr>
            </w:pPr>
          </w:p>
        </w:tc>
      </w:tr>
      <w:tr>
        <w:trPr>
          <w:trHeight w:val="195"/>
        </w:trPr>
        <w:tc>
          <w:tcPr>
            <w:tcW w:w="77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705,630</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835,427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720" w:type="dxa"/>
            <w:vAlign w:val="bottom"/>
          </w:tcPr>
          <w:p>
            <w:pPr>
              <w:ind w:left="20"/>
              <w:spacing w:after="0" w:line="143" w:lineRule="exact"/>
              <w:rPr>
                <w:sz w:val="20"/>
                <w:szCs w:val="20"/>
                <w:color w:val="auto"/>
              </w:rPr>
            </w:pPr>
            <w:r>
              <w:rPr>
                <w:rFonts w:ascii="Arial" w:cs="Arial" w:eastAsia="Arial" w:hAnsi="Arial"/>
                <w:sz w:val="13"/>
                <w:szCs w:val="13"/>
                <w:color w:val="auto"/>
              </w:rPr>
              <w:t>Accrued and other liabilities:</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Collections in excess of revenues and deferred revenues</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148,906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216,594</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Accrued employee compensation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113,554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87,153</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Accrued vacation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51,675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59,509</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Warranty reserve, current portion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5,043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6,693</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Operating lease liabilities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48,896</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145,122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113,986</w:t>
            </w:r>
          </w:p>
        </w:tc>
        <w:tc>
          <w:tcPr>
            <w:tcW w:w="100" w:type="dxa"/>
            <w:vAlign w:val="bottom"/>
          </w:tcPr>
          <w:p>
            <w:pPr>
              <w:spacing w:after="0"/>
              <w:rPr>
                <w:sz w:val="14"/>
                <w:szCs w:val="14"/>
                <w:color w:val="auto"/>
              </w:rPr>
            </w:pPr>
          </w:p>
        </w:tc>
      </w:tr>
      <w:tr>
        <w:trPr>
          <w:trHeight w:val="196"/>
        </w:trPr>
        <w:tc>
          <w:tcPr>
            <w:tcW w:w="77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516,422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532,831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720" w:type="dxa"/>
            <w:vAlign w:val="bottom"/>
          </w:tcPr>
          <w:p>
            <w:pPr>
              <w:ind w:left="20"/>
              <w:spacing w:after="0" w:line="143" w:lineRule="exact"/>
              <w:rPr>
                <w:sz w:val="20"/>
                <w:szCs w:val="20"/>
                <w:color w:val="auto"/>
              </w:rPr>
            </w:pPr>
            <w:r>
              <w:rPr>
                <w:rFonts w:ascii="Arial" w:cs="Arial" w:eastAsia="Arial" w:hAnsi="Arial"/>
                <w:sz w:val="13"/>
                <w:szCs w:val="13"/>
                <w:color w:val="auto"/>
              </w:rPr>
              <w:t>Other liabilities:</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revenues, long-term portion</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90,151</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84,654</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Warranty reserve, long-term portion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5,675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5,193</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Satellite performance incentive obligations, long-term portion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18,651</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22,191</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16,869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26,105</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25,312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157,451</w:t>
            </w:r>
          </w:p>
        </w:tc>
        <w:tc>
          <w:tcPr>
            <w:tcW w:w="280" w:type="dxa"/>
            <w:vAlign w:val="bottom"/>
          </w:tcPr>
          <w:p>
            <w:pPr>
              <w:spacing w:after="0"/>
              <w:rPr>
                <w:sz w:val="13"/>
                <w:szCs w:val="13"/>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137,350</w:t>
            </w:r>
          </w:p>
        </w:tc>
        <w:tc>
          <w:tcPr>
            <w:tcW w:w="10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-4868545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-4851400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-4428490</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-4428490</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-3982720</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-3982720</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-2713990</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-2713990</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-2499360</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-762635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-133350</wp:posOffset>
            </wp:positionV>
            <wp:extent cx="685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-133350</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70"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76" w:lineRule="exact"/>
        <w:rPr>
          <w:rFonts w:ascii="Arial" w:cs="Arial" w:eastAsia="Arial" w:hAnsi="Arial"/>
          <w:sz w:val="18"/>
          <w:szCs w:val="18"/>
          <w:color w:val="auto"/>
        </w:rPr>
      </w:pPr>
    </w:p>
    <w:p>
      <w:pPr>
        <w:jc w:val="both"/>
        <w:ind w:left="1020" w:right="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7"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both March 31, 2022 and March 31, 2021.</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09"/>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EBI on April 30, 2021 (see Note 16 —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information), part of the purchase price consideration will not be determined until two years after the closing date, when the Company may pay or receive up to €20.0 million, or approximately $22.3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assets on the consolidated balance sheets and any change to fair value is recorded in the Company’s consolidated statements of operations each reporting period. As of and for the fiscal year ended March 31, 2022, the Company’s fair value estimate, and change in fair value of the contingent consideration since the acquisition date, were immaterial.</w:t>
      </w:r>
    </w:p>
    <w:p>
      <w:pPr>
        <w:spacing w:after="0" w:line="133"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Company’s long-term debt consists of borrowings under its Term Loan Facility, Revolving Credit Facility and</w:t>
      </w:r>
      <w:r>
        <w:rPr>
          <w:rFonts w:ascii="Arial" w:cs="Arial" w:eastAsia="Arial" w:hAnsi="Arial"/>
          <w:sz w:val="17"/>
          <w:szCs w:val="17"/>
          <w:i w:val="1"/>
          <w:iCs w:val="1"/>
          <w:color w:val="auto"/>
        </w:rPr>
        <w:t xml:space="preserve"> </w:t>
      </w:r>
      <w:r>
        <w:rPr>
          <w:rFonts w:ascii="Arial" w:cs="Arial" w:eastAsia="Arial" w:hAnsi="Arial"/>
          <w:sz w:val="17"/>
          <w:szCs w:val="17"/>
          <w:color w:val="auto"/>
        </w:rPr>
        <w:t>Ex-Im Credit Facility (collectively,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Term Loan Facility,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Term Loan Facility and the Revolving Credit Facility approximates its carrying amount due to its variable interest rate, which approximates a market interest rate. As of March 31, 2022 and 2021, the fair value of the Company’s long-term debt related to the Ex-Im Credit Facility was determined based on a discounted cash flow analysis using observable market interest rates for instruments with similar terms (Level 2) and was approximately $78.0 million and $100.1 million, respectively. As of March 31, 2022 and 2021, the estimated fair value of the Company’s outstanding long-term debt related to each series of Notes was determined based on actual or estimated bids and offers for such series of Notes in an over-the-counter market (Level 2) and was $682.5 million and $709.6 million, respectively, for the 2025 Notes, $588.8 million and $629.2 million, respectively, for the 2027 Notes, and $382.7 million and $420.5 million, respectively, for the 2028 Notes.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2022 and 2021, the Company’s estimated satellite performance incentive obligations relating to certain satellites in service, including accrued interest, were $23.7 million and $27.1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During fiscal year 2022, the increase in the Company’s goodwill primarily related to the acquisitions of the remaining 51% interest in EBI and of RigNet on April 30, 2021 (see Note 16 — Acquisitions for more information), partially offset by foreign currency translation effects recorded within all three of the Company’s segments. During fiscal year 2021, the increase in the Company’s goodwill related to the insignificant amount of the effects of foreign currency translation recorded within all three of the Company’s segments.</w:t>
      </w:r>
    </w:p>
    <w:p>
      <w:pPr>
        <w:spacing w:after="0" w:line="151"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$28.7 million, $5.5 million and $7.6 million for the fiscal years ended March 31, 2022, 2021 and 2020, respectively.</w:t>
      </w:r>
    </w:p>
    <w:p>
      <w:pPr>
        <w:spacing w:after="0" w:line="149"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Expected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-123190</wp:posOffset>
            </wp:positionV>
            <wp:extent cx="427736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7"/>
          <w:szCs w:val="17"/>
          <w:color w:val="auto"/>
        </w:rPr>
        <w:t>Expected for fiscal year 2024</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Expected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-123190</wp:posOffset>
            </wp:positionV>
            <wp:extent cx="427736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7"/>
          <w:szCs w:val="17"/>
          <w:color w:val="auto"/>
        </w:rPr>
        <w:t>Expected for fiscal year 2026</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Expected for fiscal year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-123190</wp:posOffset>
            </wp:positionV>
            <wp:extent cx="427736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427736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797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9"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p>
      <w:pPr>
        <w:ind w:left="660" w:hanging="657"/>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31,383</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30,002</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27,880</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26,366</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25,805</w:t>
      </w:r>
    </w:p>
    <w:p>
      <w:pPr>
        <w:spacing w:after="0" w:line="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94,607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797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 w:lineRule="exact"/>
        <w:rPr>
          <w:sz w:val="20"/>
          <w:szCs w:val="20"/>
          <w:color w:val="auto"/>
        </w:rPr>
      </w:pPr>
    </w:p>
    <w:p>
      <w:pPr>
        <w:ind w:left="560" w:hanging="557"/>
        <w:spacing w:after="0"/>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236,043</w:t>
      </w:r>
    </w:p>
    <w:p>
      <w:pPr>
        <w:spacing w:after="0" w:line="200" w:lineRule="exact"/>
        <w:rPr>
          <w:sz w:val="20"/>
          <w:szCs w:val="20"/>
          <w:color w:val="auto"/>
        </w:rPr>
      </w:pPr>
    </w:p>
    <w:p>
      <w:pPr>
        <w:sectPr>
          <w:pgSz w:w="11900" w:h="16838" w:orient="portrait"/>
          <w:cols w:equalWidth="0" w:num="2">
            <w:col w:w="7000" w:space="720"/>
            <w:col w:w="3520"/>
          </w:cols>
          <w:pgMar w:left="320" w:top="118" w:right="339" w:bottom="1440" w:gutter="0" w:footer="0" w:header="0"/>
          <w:type w:val="continuous"/>
        </w:sectPr>
      </w:pP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and the related accumulated amortization as of March 31, 2022 and 2021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Weighted</w:t>
            </w:r>
          </w:p>
        </w:tc>
        <w:tc>
          <w:tcPr>
            <w:tcW w:w="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As of March 31, 2022</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As of March 31, 2021</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Net Book</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Average</w:t>
            </w:r>
          </w:p>
        </w:tc>
        <w:tc>
          <w:tcPr>
            <w:tcW w:w="6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Useful Life</w:t>
            </w: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Value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(In years)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b w:val="1"/>
                <w:bCs w:val="1"/>
                <w:color w:val="auto"/>
              </w:rPr>
              <w:t>(In</w:t>
            </w:r>
          </w:p>
        </w:tc>
        <w:tc>
          <w:tcPr>
            <w:tcW w:w="860" w:type="dxa"/>
            <w:vAlign w:val="bottom"/>
            <w:gridSpan w:val="3"/>
          </w:tcPr>
          <w:p>
            <w:pPr>
              <w:jc w:val="right"/>
              <w:ind w:right="149"/>
              <w:spacing w:after="0"/>
              <w:rPr>
                <w:sz w:val="20"/>
                <w:szCs w:val="20"/>
                <w:color w:val="auto"/>
              </w:rPr>
            </w:pPr>
            <w:r>
              <w:rPr>
                <w:rFonts w:ascii="Arial" w:cs="Arial" w:eastAsia="Arial" w:hAnsi="Arial"/>
                <w:sz w:val="13"/>
                <w:szCs w:val="13"/>
                <w:b w:val="1"/>
                <w:bCs w:val="1"/>
                <w:color w:val="auto"/>
                <w:w w:val="88"/>
              </w:rPr>
              <w:t>thousands)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Technology</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$ 154,624</w:t>
            </w:r>
          </w:p>
        </w:tc>
        <w:tc>
          <w:tcPr>
            <w:tcW w:w="460" w:type="dxa"/>
            <w:vAlign w:val="bottom"/>
            <w:gridSpan w:val="2"/>
            <w:shd w:val="clear" w:color="auto" w:fill="CFF0FC"/>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(71,582 )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83,042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78,185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(71,549 )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tcPr>
          <w:p>
            <w:pPr>
              <w:ind w:left="20"/>
              <w:spacing w:after="0"/>
              <w:rPr>
                <w:sz w:val="20"/>
                <w:szCs w:val="20"/>
                <w:color w:val="auto"/>
              </w:rPr>
            </w:pPr>
            <w:r>
              <w:rPr>
                <w:rFonts w:ascii="Arial" w:cs="Arial" w:eastAsia="Arial" w:hAnsi="Arial"/>
                <w:sz w:val="14"/>
                <w:szCs w:val="14"/>
                <w:color w:val="auto"/>
              </w:rPr>
              <w:t>Contracts and customer relationships</w:t>
            </w: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164,635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(53,250 )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111,385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55,161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(52,229 )</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Satellite co-location rights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(8,600 )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(8,600 )</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tcPr>
          <w:p>
            <w:pPr>
              <w:ind w:left="20"/>
              <w:spacing w:after="0"/>
              <w:rPr>
                <w:sz w:val="20"/>
                <w:szCs w:val="20"/>
                <w:color w:val="auto"/>
              </w:rPr>
            </w:pPr>
            <w:r>
              <w:rPr>
                <w:rFonts w:ascii="Arial" w:cs="Arial" w:eastAsia="Arial" w:hAnsi="Arial"/>
                <w:sz w:val="14"/>
                <w:szCs w:val="14"/>
                <w:color w:val="auto"/>
              </w:rPr>
              <w:t>Trade name</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32,463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(9,097 )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23,366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5,940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(5,940 )</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(4,013 )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18,250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(3,663 )</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tcPr>
          <w:p>
            <w:pPr>
              <w:ind w:left="20"/>
              <w:spacing w:after="0" w:line="155" w:lineRule="exact"/>
              <w:rPr>
                <w:sz w:val="20"/>
                <w:szCs w:val="20"/>
                <w:color w:val="auto"/>
              </w:rPr>
            </w:pPr>
            <w:r>
              <w:rPr>
                <w:rFonts w:ascii="Arial" w:cs="Arial" w:eastAsia="Arial" w:hAnsi="Arial"/>
                <w:sz w:val="14"/>
                <w:szCs w:val="14"/>
                <w:color w:val="auto"/>
              </w:rPr>
              <w:t>Total other acquired intangible assets</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$ 382,585</w:t>
            </w:r>
          </w:p>
        </w:tc>
        <w:tc>
          <w:tcPr>
            <w:tcW w:w="220" w:type="dxa"/>
            <w:vAlign w:val="bottom"/>
          </w:tcPr>
          <w:p>
            <w:pPr>
              <w:spacing w:after="0"/>
              <w:rPr>
                <w:sz w:val="14"/>
                <w:szCs w:val="14"/>
                <w:color w:val="auto"/>
              </w:rPr>
            </w:pPr>
          </w:p>
        </w:tc>
        <w:tc>
          <w:tcPr>
            <w:tcW w:w="240" w:type="dxa"/>
            <w:vAlign w:val="bottom"/>
          </w:tcPr>
          <w:p>
            <w:pPr>
              <w:jc w:val="right"/>
              <w:ind w:right="71"/>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(146,542 )</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236,043</w:t>
            </w: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151,549</w:t>
            </w: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(141,981 )</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-142240</wp:posOffset>
            </wp:positionV>
            <wp:extent cx="7683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-142240</wp:posOffset>
            </wp:positionV>
            <wp:extent cx="685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-142240</wp:posOffset>
            </wp:positionV>
            <wp:extent cx="685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-142240</wp:posOffset>
            </wp:positionV>
            <wp:extent cx="685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-142240</wp:posOffset>
            </wp:positionV>
            <wp:extent cx="685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ind w:right="700" w:firstLine="509"/>
        <w:spacing w:after="0" w:line="246" w:lineRule="auto"/>
        <w:rPr>
          <w:sz w:val="20"/>
          <w:szCs w:val="20"/>
          <w:color w:val="auto"/>
        </w:rPr>
      </w:pPr>
      <w:r>
        <w:rPr>
          <w:rFonts w:ascii="Arial" w:cs="Arial" w:eastAsia="Arial" w:hAnsi="Arial"/>
          <w:sz w:val="18"/>
          <w:szCs w:val="18"/>
          <w:color w:val="auto"/>
        </w:rPr>
        <w:t>In fiscal years 2022 and 2021, the gross amount and accumulated amortization for acquired identifiable intangible assets were reduced by the retirement of fully amortized assets that were no longer in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11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 The Company and a Summary of Its Significant Accounting Policies — Leases for more information).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53"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less than one year to four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4"/>
        </w:trPr>
        <w:tc>
          <w:tcPr>
            <w:tcW w:w="11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gridSpan w:val="2"/>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2020</w:t>
            </w:r>
          </w:p>
        </w:tc>
        <w:tc>
          <w:tcPr>
            <w:tcW w:w="1200" w:type="dxa"/>
            <w:vAlign w:val="bottom"/>
            <w:gridSpan w:val="2"/>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71,499</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65,732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60,861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rPr>
              <w:t>Depreciation of assets obtained under finance leases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11,961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13,656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10,514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8,752</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7,176</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Net lease cost</w:t>
            </w:r>
          </w:p>
        </w:tc>
        <w:tc>
          <w:tcPr>
            <w:tcW w:w="1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105,475</w:t>
            </w:r>
          </w:p>
        </w:tc>
        <w:tc>
          <w:tcPr>
            <w:tcW w:w="18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95,496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59"/>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87,691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345"/>
        </w:trPr>
        <w:tc>
          <w:tcPr>
            <w:tcW w:w="1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24"/>
                <w:szCs w:val="24"/>
                <w:color w:val="auto"/>
              </w:rPr>
            </w:pPr>
          </w:p>
        </w:tc>
        <w:tc>
          <w:tcPr>
            <w:tcW w:w="21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rPr>
              <w:t>As of</w:t>
            </w:r>
          </w:p>
        </w:tc>
      </w:tr>
      <w:tr>
        <w:trPr>
          <w:trHeight w:val="189"/>
        </w:trPr>
        <w:tc>
          <w:tcPr>
            <w:tcW w:w="1140" w:type="dxa"/>
            <w:vAlign w:val="bottom"/>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2020</w:t>
            </w:r>
          </w:p>
        </w:tc>
        <w:tc>
          <w:tcPr>
            <w:tcW w:w="1200" w:type="dxa"/>
            <w:vAlign w:val="bottom"/>
            <w:gridSpan w:val="2"/>
          </w:tcPr>
          <w:p>
            <w:pPr>
              <w:spacing w:after="0"/>
              <w:rPr>
                <w:sz w:val="16"/>
                <w:szCs w:val="16"/>
                <w:color w:val="auto"/>
              </w:rPr>
            </w:pPr>
          </w:p>
        </w:tc>
      </w:tr>
      <w:tr>
        <w:trPr>
          <w:trHeight w:val="223"/>
        </w:trPr>
        <w:tc>
          <w:tcPr>
            <w:tcW w:w="114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5"/>
              </w:rPr>
              <w:t>7.4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w w:val="95"/>
              </w:rPr>
              <w:t>5.3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72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discount rate: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ind w:left="640"/>
              <w:spacing w:after="0"/>
              <w:rPr>
                <w:sz w:val="20"/>
                <w:szCs w:val="20"/>
                <w:color w:val="auto"/>
              </w:rPr>
            </w:pPr>
            <w:r>
              <w:rPr>
                <w:rFonts w:ascii="Arial" w:cs="Arial" w:eastAsia="Arial" w:hAnsi="Arial"/>
                <w:sz w:val="18"/>
                <w:szCs w:val="18"/>
                <w:color w:val="auto"/>
              </w:rPr>
              <w:t>5.4 %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820"/>
              <w:spacing w:after="0"/>
              <w:rPr>
                <w:sz w:val="20"/>
                <w:szCs w:val="20"/>
                <w:color w:val="auto"/>
              </w:rPr>
            </w:pPr>
            <w:r>
              <w:rPr>
                <w:rFonts w:ascii="Arial" w:cs="Arial" w:eastAsia="Arial" w:hAnsi="Arial"/>
                <w:sz w:val="18"/>
                <w:szCs w:val="18"/>
                <w:color w:val="auto"/>
                <w:w w:val="95"/>
              </w:rPr>
              <w:t>5.4 %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3"/>
          </w:tcPr>
          <w:p>
            <w:pPr>
              <w:jc w:val="right"/>
              <w:ind w:right="1040"/>
              <w:spacing w:after="0"/>
              <w:rPr>
                <w:sz w:val="20"/>
                <w:szCs w:val="20"/>
                <w:color w:val="auto"/>
              </w:rPr>
            </w:pPr>
            <w:r>
              <w:rPr>
                <w:rFonts w:ascii="Arial" w:cs="Arial" w:eastAsia="Arial" w:hAnsi="Arial"/>
                <w:sz w:val="18"/>
                <w:szCs w:val="18"/>
                <w:color w:val="auto"/>
              </w:rPr>
              <w:t>5.4 %</w:t>
            </w:r>
          </w:p>
        </w:tc>
      </w:tr>
      <w:tr>
        <w:trPr>
          <w:trHeight w:val="243"/>
        </w:trPr>
        <w:tc>
          <w:tcPr>
            <w:tcW w:w="1140" w:type="dxa"/>
            <w:vAlign w:val="bottom"/>
          </w:tcPr>
          <w:p>
            <w:pPr>
              <w:spacing w:after="0"/>
              <w:rPr>
                <w:sz w:val="21"/>
                <w:szCs w:val="21"/>
                <w:color w:val="auto"/>
              </w:rPr>
            </w:pPr>
          </w:p>
        </w:tc>
        <w:tc>
          <w:tcPr>
            <w:tcW w:w="4720" w:type="dxa"/>
            <w:vAlign w:val="bottom"/>
            <w:gridSpan w:val="2"/>
          </w:tcPr>
          <w:p>
            <w:pPr>
              <w:ind w:left="2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ind w:left="640"/>
              <w:spacing w:after="0"/>
              <w:rPr>
                <w:sz w:val="20"/>
                <w:szCs w:val="20"/>
                <w:color w:val="auto"/>
              </w:rPr>
            </w:pPr>
            <w:r>
              <w:rPr>
                <w:rFonts w:ascii="Arial" w:cs="Arial" w:eastAsia="Arial" w:hAnsi="Arial"/>
                <w:sz w:val="18"/>
                <w:szCs w:val="18"/>
                <w:color w:val="auto"/>
              </w:rPr>
              <w:t>5.4 %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ind w:left="820"/>
              <w:spacing w:after="0"/>
              <w:rPr>
                <w:sz w:val="20"/>
                <w:szCs w:val="20"/>
                <w:color w:val="auto"/>
              </w:rPr>
            </w:pPr>
            <w:r>
              <w:rPr>
                <w:rFonts w:ascii="Arial" w:cs="Arial" w:eastAsia="Arial" w:hAnsi="Arial"/>
                <w:sz w:val="18"/>
                <w:szCs w:val="18"/>
                <w:color w:val="auto"/>
                <w:w w:val="95"/>
              </w:rPr>
              <w:t>5.4 %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3"/>
          </w:tcPr>
          <w:p>
            <w:pPr>
              <w:jc w:val="right"/>
              <w:ind w:right="1040"/>
              <w:spacing w:after="0"/>
              <w:rPr>
                <w:sz w:val="20"/>
                <w:szCs w:val="20"/>
                <w:color w:val="auto"/>
              </w:rPr>
            </w:pPr>
            <w:r>
              <w:rPr>
                <w:rFonts w:ascii="Arial" w:cs="Arial" w:eastAsia="Arial" w:hAnsi="Arial"/>
                <w:sz w:val="18"/>
                <w:szCs w:val="18"/>
                <w:color w:val="auto"/>
              </w:rPr>
              <w:t>5.4 %</w:t>
            </w:r>
          </w:p>
        </w:tc>
      </w:tr>
      <w:tr>
        <w:trPr>
          <w:trHeight w:val="621"/>
        </w:trPr>
        <w:tc>
          <w:tcPr>
            <w:tcW w:w="1140" w:type="dxa"/>
            <w:vAlign w:val="bottom"/>
          </w:tcPr>
          <w:p>
            <w:pPr>
              <w:spacing w:after="0"/>
              <w:rPr>
                <w:sz w:val="24"/>
                <w:szCs w:val="24"/>
                <w:color w:val="auto"/>
              </w:rPr>
            </w:pPr>
          </w:p>
        </w:tc>
        <w:tc>
          <w:tcPr>
            <w:tcW w:w="4720" w:type="dxa"/>
            <w:vAlign w:val="bottom"/>
            <w:gridSpan w:val="2"/>
          </w:tcPr>
          <w:p>
            <w:pPr>
              <w:ind w:left="4300"/>
              <w:spacing w:after="0"/>
              <w:rPr>
                <w:sz w:val="20"/>
                <w:szCs w:val="20"/>
                <w:color w:val="auto"/>
              </w:rPr>
            </w:pPr>
            <w:r>
              <w:rPr>
                <w:rFonts w:ascii="Arial" w:cs="Arial" w:eastAsia="Arial" w:hAnsi="Arial"/>
                <w:sz w:val="18"/>
                <w:szCs w:val="18"/>
                <w:color w:val="auto"/>
              </w:rPr>
              <w:t>F-25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-2156460</wp:posOffset>
            </wp:positionV>
            <wp:extent cx="6032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-2156460</wp:posOffset>
            </wp:positionV>
            <wp:extent cx="5143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-2156460</wp:posOffset>
            </wp:positionV>
            <wp:extent cx="5143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-762000</wp:posOffset>
            </wp:positionV>
            <wp:extent cx="5700395"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ind w:right="-3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consolidated statements of cash flows for operating and finance leases: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2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8"/>
                <w:szCs w:val="18"/>
                <w:color w:val="auto"/>
              </w:rPr>
            </w:pPr>
          </w:p>
        </w:tc>
      </w:tr>
      <w:tr>
        <w:trPr>
          <w:trHeight w:val="223"/>
        </w:trPr>
        <w:tc>
          <w:tcPr>
            <w:tcW w:w="4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2"/>
        </w:trPr>
        <w:tc>
          <w:tcPr>
            <w:tcW w:w="4920" w:type="dxa"/>
            <w:vAlign w:val="bottom"/>
            <w:shd w:val="clear" w:color="auto" w:fill="CFF0FC"/>
          </w:tcPr>
          <w:p>
            <w:pPr>
              <w:spacing w:after="0" w:line="162" w:lineRule="exact"/>
              <w:rPr>
                <w:sz w:val="20"/>
                <w:szCs w:val="20"/>
                <w:color w:val="auto"/>
              </w:rPr>
            </w:pPr>
            <w:r>
              <w:rPr>
                <w:rFonts w:ascii="Arial" w:cs="Arial" w:eastAsia="Arial" w:hAnsi="Arial"/>
                <w:sz w:val="18"/>
                <w:szCs w:val="18"/>
                <w:b w:val="1"/>
                <w:bCs w:val="1"/>
                <w:color w:val="auto"/>
              </w:rPr>
              <w:t>Cash paid for amounts included in the measurement of</w:t>
            </w: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71,335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64,676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58,987</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FF0FC"/>
          </w:tcPr>
          <w:p>
            <w:pPr>
              <w:spacing w:after="0"/>
              <w:rPr>
                <w:sz w:val="19"/>
                <w:szCs w:val="19"/>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8,044</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8"/>
                <w:szCs w:val="18"/>
                <w:b w:val="1"/>
                <w:bCs w:val="1"/>
                <w:color w:val="auto"/>
              </w:rPr>
              <w:t>Right-of-use assets obtained in exchange for lease</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25,420</w:t>
            </w:r>
          </w:p>
        </w:tc>
        <w:tc>
          <w:tcPr>
            <w:tcW w:w="80" w:type="dxa"/>
            <w:vAlign w:val="bottom"/>
            <w:shd w:val="clear" w:color="auto" w:fill="CFF0FC"/>
          </w:tcPr>
          <w:p>
            <w:pPr>
              <w:spacing w:after="0"/>
              <w:rPr>
                <w:sz w:val="19"/>
                <w:szCs w:val="19"/>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72,711</w:t>
            </w:r>
          </w:p>
        </w:tc>
        <w:tc>
          <w:tcPr>
            <w:tcW w:w="80" w:type="dxa"/>
            <w:vAlign w:val="bottom"/>
          </w:tcPr>
          <w:p>
            <w:pPr>
              <w:spacing w:after="0"/>
              <w:rPr>
                <w:sz w:val="21"/>
                <w:szCs w:val="21"/>
                <w:color w:val="auto"/>
              </w:rPr>
            </w:pPr>
          </w:p>
        </w:tc>
      </w:tr>
    </w:tbl>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March 31, 2022:</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rPr>
              <w:t>(In</w:t>
            </w:r>
          </w:p>
        </w:tc>
        <w:tc>
          <w:tcPr>
            <w:tcW w:w="1840" w:type="dxa"/>
            <w:vAlign w:val="bottom"/>
            <w:gridSpan w:val="3"/>
          </w:tcPr>
          <w:p>
            <w:pPr>
              <w:jc w:val="center"/>
              <w:ind w:right="1132"/>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4"/>
                <w:szCs w:val="14"/>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71,235</w:t>
            </w:r>
          </w:p>
        </w:tc>
        <w:tc>
          <w:tcPr>
            <w:tcW w:w="440" w:type="dxa"/>
            <w:vAlign w:val="bottom"/>
            <w:gridSpan w:val="2"/>
            <w:shd w:val="clear" w:color="auto" w:fill="CFF0FC"/>
          </w:tcPr>
          <w:p>
            <w:pPr>
              <w:jc w:val="center"/>
              <w:ind w:left="99"/>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70,286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Expected for fiscal year 2026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2027</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51,250</w:t>
            </w:r>
          </w:p>
        </w:tc>
        <w:tc>
          <w:tcPr>
            <w:tcW w:w="100" w:type="dxa"/>
            <w:vAlign w:val="bottom"/>
            <w:shd w:val="clear" w:color="auto" w:fill="CFF0FC"/>
          </w:tcPr>
          <w:p>
            <w:pPr>
              <w:spacing w:after="0"/>
              <w:rPr>
                <w:sz w:val="19"/>
                <w:szCs w:val="19"/>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8"/>
                <w:szCs w:val="18"/>
                <w:color w:val="auto"/>
              </w:rPr>
            </w:pPr>
          </w:p>
        </w:tc>
      </w:tr>
      <w:tr>
        <w:trPr>
          <w:trHeight w:val="236"/>
        </w:trPr>
        <w:tc>
          <w:tcPr>
            <w:tcW w:w="65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379,786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45,752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As of March 31, 2022, the Company had $55.5 million of additional lease commitments that will commence in fiscal year 2023 with lease terms of five to sixteen years.</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2022 and 2021:</w:t>
      </w:r>
    </w:p>
    <w:p>
      <w:pPr>
        <w:spacing w:after="0" w:line="1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r>
      <w:tr>
        <w:trPr>
          <w:trHeight w:val="189"/>
        </w:trPr>
        <w:tc>
          <w:tcPr>
            <w:tcW w:w="5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b w:val="1"/>
                <w:bCs w:val="1"/>
                <w:color w:val="auto"/>
              </w:rPr>
              <w:t>(In</w:t>
            </w:r>
          </w:p>
        </w:tc>
        <w:tc>
          <w:tcPr>
            <w:tcW w:w="1480" w:type="dxa"/>
            <w:vAlign w:val="bottom"/>
            <w:gridSpan w:val="3"/>
          </w:tcPr>
          <w:p>
            <w:pPr>
              <w:jc w:val="right"/>
              <w:ind w:right="793"/>
              <w:spacing w:after="0"/>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4"/>
                <w:szCs w:val="14"/>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 Notes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2027 Notes</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8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 Notes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Term Loan Facility</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Ex-Im Credit Facility</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78,609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98,261</w:t>
            </w:r>
          </w:p>
        </w:tc>
        <w:tc>
          <w:tcPr>
            <w:tcW w:w="80" w:type="dxa"/>
            <w:vAlign w:val="bottom"/>
          </w:tcPr>
          <w:p>
            <w:pPr>
              <w:spacing w:after="0"/>
              <w:rPr>
                <w:sz w:val="17"/>
                <w:szCs w:val="17"/>
                <w:color w:val="auto"/>
              </w:rPr>
            </w:pPr>
          </w:p>
        </w:tc>
      </w:tr>
      <w:tr>
        <w:trPr>
          <w:trHeight w:val="203"/>
        </w:trPr>
        <w:tc>
          <w:tcPr>
            <w:tcW w:w="5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Finance lease obligations (see Note 5)</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45,752</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56,336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2,524,361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1,854,597</w:t>
            </w:r>
          </w:p>
        </w:tc>
        <w:tc>
          <w:tcPr>
            <w:tcW w:w="8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discount and debt issuance costs</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(38,234 )</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(21,441 )</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34,911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30,472</w:t>
            </w:r>
          </w:p>
        </w:tc>
        <w:tc>
          <w:tcPr>
            <w:tcW w:w="8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2,451,216</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1,802,684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-553720</wp:posOffset>
            </wp:positionV>
            <wp:extent cx="5143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-553720</wp:posOffset>
            </wp:positionV>
            <wp:extent cx="431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2022 for the next five fiscal years and thereafter were as follows (excluding the effects of discount accretion under the 2025 Notes, the 2027 Notes, the 2028 Notes, the Term Loan Facility and the Ex-Im Credit Facility):</w:t>
      </w:r>
    </w:p>
    <w:p>
      <w:pPr>
        <w:spacing w:after="0" w:line="150"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190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35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34,911</w:t>
            </w:r>
          </w:p>
        </w:tc>
        <w:tc>
          <w:tcPr>
            <w:tcW w:w="20" w:type="dxa"/>
            <w:vAlign w:val="bottom"/>
          </w:tcPr>
          <w:p>
            <w:pPr>
              <w:spacing w:after="0"/>
              <w:rPr>
                <w:sz w:val="17"/>
                <w:szCs w:val="17"/>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37,017</w:t>
            </w:r>
          </w:p>
        </w:tc>
        <w:tc>
          <w:tcPr>
            <w:tcW w:w="20" w:type="dxa"/>
            <w:vAlign w:val="bottom"/>
          </w:tcPr>
          <w:p>
            <w:pPr>
              <w:spacing w:after="0"/>
              <w:rPr>
                <w:sz w:val="17"/>
                <w:szCs w:val="17"/>
                <w:color w:val="auto"/>
              </w:rPr>
            </w:pPr>
          </w:p>
        </w:tc>
      </w:tr>
      <w:tr>
        <w:trPr>
          <w:trHeight w:val="203"/>
        </w:trPr>
        <w:tc>
          <w:tcPr>
            <w:tcW w:w="1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w:t>
            </w:r>
          </w:p>
        </w:tc>
        <w:tc>
          <w:tcPr>
            <w:tcW w:w="3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37,555</w:t>
            </w:r>
          </w:p>
        </w:tc>
        <w:tc>
          <w:tcPr>
            <w:tcW w:w="20" w:type="dxa"/>
            <w:vAlign w:val="bottom"/>
          </w:tcPr>
          <w:p>
            <w:pPr>
              <w:spacing w:after="0"/>
              <w:rPr>
                <w:sz w:val="17"/>
                <w:szCs w:val="17"/>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738,155</w:t>
            </w:r>
          </w:p>
        </w:tc>
        <w:tc>
          <w:tcPr>
            <w:tcW w:w="20" w:type="dxa"/>
            <w:vAlign w:val="bottom"/>
          </w:tcPr>
          <w:p>
            <w:pPr>
              <w:spacing w:after="0"/>
              <w:rPr>
                <w:sz w:val="17"/>
                <w:szCs w:val="17"/>
                <w:color w:val="auto"/>
              </w:rPr>
            </w:pPr>
          </w:p>
        </w:tc>
      </w:tr>
      <w:tr>
        <w:trPr>
          <w:trHeight w:val="203"/>
        </w:trPr>
        <w:tc>
          <w:tcPr>
            <w:tcW w:w="1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3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9,973</w:t>
            </w:r>
          </w:p>
        </w:tc>
        <w:tc>
          <w:tcPr>
            <w:tcW w:w="20" w:type="dxa"/>
            <w:vAlign w:val="bottom"/>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1,666,750</w:t>
            </w:r>
          </w:p>
        </w:tc>
        <w:tc>
          <w:tcPr>
            <w:tcW w:w="20" w:type="dxa"/>
            <w:vAlign w:val="bottom"/>
          </w:tcPr>
          <w:p>
            <w:pPr>
              <w:spacing w:after="0"/>
              <w:rPr>
                <w:sz w:val="17"/>
                <w:szCs w:val="17"/>
                <w:color w:val="auto"/>
              </w:rPr>
            </w:pPr>
          </w:p>
        </w:tc>
      </w:tr>
      <w:tr>
        <w:trPr>
          <w:trHeight w:val="196"/>
        </w:trPr>
        <w:tc>
          <w:tcPr>
            <w:tcW w:w="1900" w:type="dxa"/>
            <w:vAlign w:val="bottom"/>
            <w:shd w:val="clear" w:color="auto" w:fill="CFF0FC"/>
          </w:tcPr>
          <w:p>
            <w:pPr>
              <w:spacing w:after="0"/>
              <w:rPr>
                <w:sz w:val="17"/>
                <w:szCs w:val="17"/>
                <w:color w:val="auto"/>
              </w:rPr>
            </w:pPr>
          </w:p>
        </w:tc>
        <w:tc>
          <w:tcPr>
            <w:tcW w:w="3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2,524,361</w:t>
            </w:r>
          </w:p>
        </w:tc>
        <w:tc>
          <w:tcPr>
            <w:tcW w:w="20" w:type="dxa"/>
            <w:vAlign w:val="bottom"/>
          </w:tcPr>
          <w:p>
            <w:pPr>
              <w:spacing w:after="0"/>
              <w:rPr>
                <w:sz w:val="17"/>
                <w:szCs w:val="17"/>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Plus: unamortized discount and debt issuance costs</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(38,234 )</w:t>
            </w:r>
          </w:p>
        </w:tc>
        <w:tc>
          <w:tcPr>
            <w:tcW w:w="20" w:type="dxa"/>
            <w:vAlign w:val="bottom"/>
          </w:tcPr>
          <w:p>
            <w:pPr>
              <w:spacing w:after="0"/>
              <w:rPr>
                <w:sz w:val="17"/>
                <w:szCs w:val="17"/>
                <w:color w:val="auto"/>
              </w:rPr>
            </w:pPr>
          </w:p>
        </w:tc>
      </w:tr>
      <w:tr>
        <w:trPr>
          <w:trHeight w:val="236"/>
        </w:trPr>
        <w:tc>
          <w:tcPr>
            <w:tcW w:w="546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2,486,127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9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On March 4, 2022, the Company entered into a $700.0 million Term Loan Facility, which was fully drawn at closing and matures on March 4, 2029. The Company received $686.0 million in proceeds, net of issue discount, from the borrowings under the Term Loan Facility. The Company used a portion of the net proceeds to repay all outstanding borrowings under the Revolving Credit Facility. At March 31, 2022, the Company had $700.0 million in principal amount of outstanding borrowings under the Term Loan Facility.</w:t>
      </w:r>
    </w:p>
    <w:p>
      <w:pPr>
        <w:spacing w:after="0" w:line="151"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Borrowings under the Term Loan Facility are required to be repaid in quarterly installments of $1.75 million each, which commence on September 30, 2022, followed by a final installment of $654.5 million at maturity. Borrowings under the Term Loan Facility bear interest, at the Company’s option, at either (1) a base rate equal to the greater of the administrative agent’s prime rate as announced 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4.50%. As of March 31, 2022, the effective interest rate on the Company’s outstanding borrowings under the Term Loan Facility was 5.51%. The Term Loan Facility is required to be guaranteed by certain significant domestic subsidiaries of the Company (as defined in the Term Loan Facility) and secured by substantially all of the Company’s and any such subsidiaries’ assets. As of March 31, 2022, none of the Company’s subsidiaries guaranteed the Term Loan Facility.</w:t>
      </w:r>
    </w:p>
    <w:p>
      <w:pPr>
        <w:spacing w:after="0" w:line="151"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Term Loan Facility contains covenants that restrict, among other things, the ability of Company and its restricted subsidiaries to incur additional debt, grant liens, sell assets, make investments, pay dividends and make certain other restricted payments.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Borrowings under the Term Loan Facility are recorded as current portion of long-term debt and as other long-term debt, net of unamortized discount and debt issuance costs, in the Company’s consolidated financial statements. The Term Loan Facility was issued with an original issue discount of 2.00%, or $14.0 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As of March 31, 2022, the Revolving Credit Facility provided a $700.0 million revolving line of credit (including up to $150.0 million of letters of credit), with a maturity date of January 18, 2024. At March 31, 2022, the Company had no outstanding borrowings under the Revolving Credit Facility and $63.0 million outstanding under standby letters of credit, leaving borrowing availability under the Revolving Credit Facility as of March 31, 2022 of $637.0 million.</w:t>
      </w:r>
    </w:p>
    <w:p>
      <w:pPr>
        <w:spacing w:after="0" w:line="151"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2022, none of the Company’s subsidiaries guaranteed the Revolving Credit Facility.</w:t>
      </w:r>
    </w:p>
    <w:p>
      <w:pPr>
        <w:spacing w:after="0" w:line="14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March 31, 2022.</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November 2021, the Company amended the Revolving Credit Facility to, among other matters, permit the consummation of the Inmarsat Transaction and provide additional covenant flexibility following the completion of the Inmarsat Transaction. These amendments will become effective at and are conditional upon the closing of the Inmarsat Transaction. In March 2022, the Company further amended the Revolving Credit Facility to provide additional covenant flexibility and permit the incurrence of the Term Loan Facility.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March 31, 2022, the Company had $78.6 million in principal amount of outstanding borrowings under the Ex-Im Credit Facility.</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and make certain other restricted payments. The Company was in compliance with its financial covenants under the Ex-Im Credit Facility as of March 31, 2022.</w:t>
      </w:r>
    </w:p>
    <w:p>
      <w:pPr>
        <w:spacing w:after="0" w:line="14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Borrowings under the Ex-Im Credit Facility are recorded as current portion of long-term debt and as other long-term debt, net of unamortized discount and debt issuance costs, in the Company’s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95"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March 31, 2022,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400" w:firstLine="509"/>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00" w:firstLine="509"/>
        <w:spacing w:after="0" w:line="265" w:lineRule="auto"/>
        <w:rPr>
          <w:sz w:val="20"/>
          <w:szCs w:val="20"/>
          <w:color w:val="auto"/>
        </w:rPr>
      </w:pPr>
      <w:r>
        <w:rPr>
          <w:rFonts w:ascii="Arial" w:cs="Arial" w:eastAsia="Arial" w:hAnsi="Arial"/>
          <w:sz w:val="17"/>
          <w:szCs w:val="17"/>
          <w:color w:val="auto"/>
        </w:rPr>
        <w:t>Prior to July 15, 2023, the Company may redeem up to 40% of the 2028 Notes at a redemption price of 106.500% of the principal amount thereof, plus accrued and unpaid interest, if any, thereon to the redemption date, from the net cash proceeds of specified equity</w:t>
      </w:r>
    </w:p>
    <w:p>
      <w:pPr>
        <w:ind w:right="40"/>
        <w:spacing w:after="0" w:line="238" w:lineRule="auto"/>
        <w:rPr>
          <w:sz w:val="20"/>
          <w:szCs w:val="20"/>
          <w:color w:val="auto"/>
        </w:rPr>
      </w:pPr>
      <w:r>
        <w:rPr>
          <w:rFonts w:ascii="Arial" w:cs="Arial" w:eastAsia="Arial" w:hAnsi="Arial"/>
          <w:sz w:val="18"/>
          <w:szCs w:val="18"/>
          <w:color w:val="auto"/>
        </w:rPr>
        <w:t>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48"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95" w:lineRule="exact"/>
        <w:rPr>
          <w:sz w:val="20"/>
          <w:szCs w:val="20"/>
          <w:color w:val="auto"/>
        </w:rPr>
      </w:pPr>
    </w:p>
    <w:p>
      <w:pPr>
        <w:ind w:right="260" w:firstLine="509"/>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March 31, 2022, none of the Company’s subsidiaries guaranteed the 2027 Notes. The 2027 Notes are secured, equally and ratably with the Revolving Credit Facility and any future parity lien debt, by liens on substantially all of the Company’s assets.</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49"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49" w:lineRule="exact"/>
        <w:rPr>
          <w:sz w:val="20"/>
          <w:szCs w:val="20"/>
          <w:color w:val="auto"/>
        </w:rPr>
      </w:pPr>
    </w:p>
    <w:p>
      <w:pPr>
        <w:jc w:val="both"/>
        <w:ind w:right="14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March 31, 2022,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right="420" w:firstLine="509"/>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jc w:val="both"/>
        <w:ind w:right="260" w:firstLine="509"/>
        <w:spacing w:after="0"/>
        <w:rPr>
          <w:sz w:val="20"/>
          <w:szCs w:val="20"/>
          <w:color w:val="auto"/>
        </w:rPr>
      </w:pPr>
      <w:r>
        <w:rPr>
          <w:rFonts w:ascii="Arial" w:cs="Arial" w:eastAsia="Arial" w:hAnsi="Arial"/>
          <w:sz w:val="18"/>
          <w:szCs w:val="18"/>
          <w:color w:val="auto"/>
        </w:rPr>
        <w:t>The 2025 Notes may be redeemed, in whole or in part, at any time prior to September 15, 2022 at a redemption price of 101.406%, and at any time thereafter at a redemption price of 100%, in each case plus accrued and unpaid interest, if any, thereon to the redemption date.</w:t>
      </w:r>
    </w:p>
    <w:p>
      <w:pPr>
        <w:spacing w:after="0" w:line="149" w:lineRule="exact"/>
        <w:rPr>
          <w:sz w:val="20"/>
          <w:szCs w:val="20"/>
          <w:color w:val="auto"/>
        </w:rPr>
      </w:pPr>
    </w:p>
    <w:p>
      <w:pPr>
        <w:jc w:val="both"/>
        <w:ind w:right="12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and Stock Plans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From time to time, the Company files universal shelf registration statements with the SEC for the future sale of an unlimited amount of common stock, preferred stock, debt securities, depositary shares, warrants and rights, which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2021 through various amendments of the Equity Participation Plan, the Company increased the maximum number of shares reserved for issuance under this plan to 41,315,000 shares. The Company believes that such awards align the interests of its executive officers, employees, consultants and non-employee directors with those of its stockholders. Shares of the Company’s common stock granted under the Equity Participation Plan in the form of stock options or stock appreciation right are counted against the Equity Participation Plan share reserve on a one for one basis 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subject to such awards. Restricted stock units are granted to eligible employees and directors and represent rights to receive shares of common stock at a future date.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2021 through various amendments of the Employee Stock Purchase Plan, the Company increased the maximum number of shares reserved for issuance under the Employee Stock Purchase Plan to 6,950,000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52"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Total stock-based compensation expense recognized in accordance with the authoritative guidance for share-based payments was as follows:</w:t>
      </w:r>
    </w:p>
    <w:p>
      <w:pPr>
        <w:spacing w:after="0" w:line="144"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17780</wp:posOffset>
            </wp:positionV>
            <wp:extent cx="26231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9" w:lineRule="exact"/>
        <w:rPr>
          <w:sz w:val="20"/>
          <w:szCs w:val="20"/>
          <w:color w:val="auto"/>
        </w:rPr>
      </w:pPr>
    </w:p>
    <w:p>
      <w:pPr>
        <w:ind w:left="5980"/>
        <w:spacing w:after="0"/>
        <w:tabs>
          <w:tab w:leader="none" w:pos="7420" w:val="left"/>
          <w:tab w:leader="none" w:pos="8860" w:val="left"/>
        </w:tabs>
        <w:rPr>
          <w:sz w:val="20"/>
          <w:szCs w:val="20"/>
          <w:color w:val="auto"/>
        </w:rPr>
      </w:pPr>
      <w:r>
        <w:rPr>
          <w:rFonts w:ascii="Arial" w:cs="Arial" w:eastAsia="Arial" w:hAnsi="Arial"/>
          <w:sz w:val="14"/>
          <w:szCs w:val="14"/>
          <w:b w:val="1"/>
          <w:bCs w:val="1"/>
          <w:color w:val="auto"/>
        </w:rPr>
        <w:t>March 31, 2022</w:t>
      </w:r>
      <w:r>
        <w:rPr>
          <w:sz w:val="20"/>
          <w:szCs w:val="20"/>
          <w:color w:val="auto"/>
        </w:rPr>
        <w:tab/>
      </w: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26231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(In thousands)</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before taxes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86,808</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84,879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86,553</w:t>
            </w:r>
          </w:p>
        </w:tc>
        <w:tc>
          <w:tcPr>
            <w:tcW w:w="8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Related income tax benefits</w:t>
            </w:r>
          </w:p>
        </w:tc>
        <w:tc>
          <w:tcPr>
            <w:tcW w:w="3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(20,228 )</w:t>
            </w:r>
          </w:p>
        </w:tc>
        <w:tc>
          <w:tcPr>
            <w:tcW w:w="3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(19,485 )</w:t>
            </w:r>
          </w:p>
        </w:tc>
        <w:tc>
          <w:tcPr>
            <w:tcW w:w="3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(20,388 )</w:t>
            </w:r>
          </w:p>
        </w:tc>
      </w:tr>
      <w:tr>
        <w:trPr>
          <w:trHeight w:val="236"/>
        </w:trPr>
        <w:tc>
          <w:tcPr>
            <w:tcW w:w="4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Stock-based compensation expense, net of taxes</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66,580</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65,394</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66,165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accordance with the authoritative guidance for share-based payments (ASC 718),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4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compensation cost that has been charged against income for the Equity Participation Plan under the authoritative guidance for share-based payments was $81.0 million, $77.9 million and $81.5 million, and for the Employee Stock Purchase Plan was $5.8 million, $6.9 million and $5.0 million, for the fiscal years ended March 31, 2022, 2021 and 2020, respectively. The Company capitalized $10.8 million, $13.7 million and $12.6 million of stock-based compensation expense as a part of the cost for software development for resale included in other assets and as a part of the equipment and software for internal use and satellites included in property, equipment and satellites, net for fiscal years 2022, 2021 and 2020, respectively.</w:t>
      </w:r>
    </w:p>
    <w:p>
      <w:pPr>
        <w:spacing w:after="0" w:line="16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of March 31, 2022, total unrecognized compensation cost related to unvested stock-based compensation arrangements granted under the Equity Participation Plan (including stock options, TSR performance stock options and restricted stock units) and the Employee Stock Purchase Plan was $192.6 million and $1.6 million, respectively. These costs are expected to be recognized over a weighted average period of 0.7 years, 1.7 years and 2.8 years, for stock options, TSR performance stock options and restricted stock units, respectively, under the Equity Participation Plan and less than six months under the Employee Stock Purchase Plan.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Stock options, TSR performance stock options and employee stock purchase plan. </w:t>
      </w:r>
      <w:r>
        <w:rPr>
          <w:rFonts w:ascii="Arial" w:cs="Arial" w:eastAsia="Arial" w:hAnsi="Arial"/>
          <w:sz w:val="18"/>
          <w:szCs w:val="18"/>
          <w:color w:val="auto"/>
        </w:rPr>
        <w:t>The Company’s stock options typically have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simple four-year vesting schedule (except for one- and three-year vesting schedules for options granted to the members of the Company’s</w:t>
      </w:r>
    </w:p>
    <w:p>
      <w:pPr>
        <w:spacing w:after="0" w:line="234" w:lineRule="auto"/>
        <w:rPr>
          <w:sz w:val="20"/>
          <w:szCs w:val="20"/>
          <w:color w:val="auto"/>
        </w:rPr>
      </w:pPr>
      <w:r>
        <w:rPr>
          <w:rFonts w:ascii="Arial" w:cs="Arial" w:eastAsia="Arial" w:hAnsi="Arial"/>
          <w:sz w:val="18"/>
          <w:szCs w:val="18"/>
          <w:color w:val="auto"/>
        </w:rPr>
        <w:t>Board of Directors) and a six-year contractual term. The Company grants TSR performance stock options to executive officers under the</w:t>
      </w:r>
    </w:p>
    <w:p>
      <w:pPr>
        <w:spacing w:after="0" w:line="235" w:lineRule="auto"/>
        <w:rPr>
          <w:sz w:val="20"/>
          <w:szCs w:val="20"/>
          <w:color w:val="auto"/>
        </w:rPr>
      </w:pPr>
      <w:r>
        <w:rPr>
          <w:rFonts w:ascii="Arial" w:cs="Arial" w:eastAsia="Arial" w:hAnsi="Arial"/>
          <w:sz w:val="18"/>
          <w:szCs w:val="18"/>
          <w:color w:val="auto"/>
        </w:rPr>
        <w:t>Equity Participation Plan. The number of shares of TSR performance stock options that will become eligible to vest based on the time-based</w:t>
      </w:r>
    </w:p>
    <w:p>
      <w:pPr>
        <w:spacing w:after="0" w:line="235" w:lineRule="auto"/>
        <w:rPr>
          <w:sz w:val="20"/>
          <w:szCs w:val="20"/>
          <w:color w:val="auto"/>
        </w:rPr>
      </w:pPr>
      <w:r>
        <w:rPr>
          <w:rFonts w:ascii="Arial" w:cs="Arial" w:eastAsia="Arial" w:hAnsi="Arial"/>
          <w:sz w:val="18"/>
          <w:szCs w:val="18"/>
          <w:color w:val="auto"/>
        </w:rPr>
        <w:t>vesting schedule described below is based on a comparison over a four-year performance period of the Company’s TSR to the TSR of the</w:t>
      </w:r>
    </w:p>
    <w:p>
      <w:pPr>
        <w:spacing w:after="0" w:line="235" w:lineRule="auto"/>
        <w:rPr>
          <w:sz w:val="20"/>
          <w:szCs w:val="20"/>
          <w:color w:val="auto"/>
        </w:rPr>
      </w:pPr>
      <w:r>
        <w:rPr>
          <w:rFonts w:ascii="Arial" w:cs="Arial" w:eastAsia="Arial" w:hAnsi="Arial"/>
          <w:sz w:val="18"/>
          <w:szCs w:val="18"/>
          <w:color w:val="auto"/>
        </w:rPr>
        <w:t>companies included in the S&amp;P Mid Cap 400 Index. The number of options that may become vested and exercisable will range from 0% to</w:t>
      </w:r>
    </w:p>
    <w:p>
      <w:pPr>
        <w:spacing w:after="0" w:line="235" w:lineRule="auto"/>
        <w:rPr>
          <w:sz w:val="20"/>
          <w:szCs w:val="20"/>
          <w:color w:val="auto"/>
        </w:rPr>
      </w:pPr>
      <w:r>
        <w:rPr>
          <w:rFonts w:ascii="Arial" w:cs="Arial" w:eastAsia="Arial" w:hAnsi="Arial"/>
          <w:sz w:val="18"/>
          <w:szCs w:val="18"/>
          <w:color w:val="auto"/>
        </w:rPr>
        <w:t>175% of the target number of options based on the Company’s relative TSR ranking for the performance period. The Company’s TSR</w:t>
      </w:r>
    </w:p>
    <w:p>
      <w:pPr>
        <w:spacing w:after="0" w:line="234" w:lineRule="auto"/>
        <w:rPr>
          <w:sz w:val="20"/>
          <w:szCs w:val="20"/>
          <w:color w:val="auto"/>
        </w:rPr>
      </w:pPr>
      <w:r>
        <w:rPr>
          <w:rFonts w:ascii="Arial" w:cs="Arial" w:eastAsia="Arial" w:hAnsi="Arial"/>
          <w:sz w:val="18"/>
          <w:szCs w:val="18"/>
          <w:color w:val="auto"/>
        </w:rPr>
        <w:t>performance stock options have a four-year time-based vesting schedule and a six-year contractual term. The TSR performance stock</w:t>
      </w:r>
    </w:p>
    <w:p>
      <w:pPr>
        <w:spacing w:after="0" w:line="235" w:lineRule="auto"/>
        <w:rPr>
          <w:sz w:val="20"/>
          <w:szCs w:val="20"/>
          <w:color w:val="auto"/>
        </w:rPr>
      </w:pPr>
      <w:r>
        <w:rPr>
          <w:rFonts w:ascii="Arial" w:cs="Arial" w:eastAsia="Arial" w:hAnsi="Arial"/>
          <w:sz w:val="18"/>
          <w:szCs w:val="18"/>
          <w:color w:val="auto"/>
        </w:rPr>
        <w:t>options must be vested under both the time-based vesting schedule and the performance-based vesting conditions in order to become</w:t>
      </w:r>
    </w:p>
    <w:p>
      <w:pPr>
        <w:spacing w:after="0" w:line="235" w:lineRule="auto"/>
        <w:rPr>
          <w:sz w:val="20"/>
          <w:szCs w:val="20"/>
          <w:color w:val="auto"/>
        </w:rPr>
      </w:pPr>
      <w:r>
        <w:rPr>
          <w:rFonts w:ascii="Arial" w:cs="Arial" w:eastAsia="Arial" w:hAnsi="Arial"/>
          <w:sz w:val="18"/>
          <w:szCs w:val="18"/>
          <w:color w:val="auto"/>
        </w:rPr>
        <w:t>exercisable. Expense for TSR performance stock options that time-vest is recognized regardless of the actual TSR outcome achieved and is</w:t>
      </w:r>
    </w:p>
    <w:p>
      <w:pPr>
        <w:spacing w:after="0" w:line="235" w:lineRule="auto"/>
        <w:rPr>
          <w:sz w:val="20"/>
          <w:szCs w:val="20"/>
          <w:color w:val="auto"/>
        </w:rPr>
      </w:pPr>
      <w:r>
        <w:rPr>
          <w:rFonts w:ascii="Arial" w:cs="Arial" w:eastAsia="Arial" w:hAnsi="Arial"/>
          <w:sz w:val="18"/>
          <w:szCs w:val="18"/>
          <w:color w:val="auto"/>
        </w:rPr>
        <w:t>recognized on a graded-vesting basis. The weighted average estimated fair value of TSR performance stock options granted during fiscal</w:t>
      </w:r>
    </w:p>
    <w:p>
      <w:pPr>
        <w:spacing w:after="0" w:line="235" w:lineRule="auto"/>
        <w:rPr>
          <w:sz w:val="20"/>
          <w:szCs w:val="20"/>
          <w:color w:val="auto"/>
        </w:rPr>
      </w:pPr>
      <w:r>
        <w:rPr>
          <w:rFonts w:ascii="Arial" w:cs="Arial" w:eastAsia="Arial" w:hAnsi="Arial"/>
          <w:sz w:val="18"/>
          <w:szCs w:val="18"/>
          <w:color w:val="auto"/>
        </w:rPr>
        <w:t>years 2022, 2021 and 2020 was $31.11, $19.25 and $30.41 per share, respectively, using the Monte Carlo simulation. The weighted average</w:t>
      </w:r>
    </w:p>
    <w:p>
      <w:pPr>
        <w:spacing w:after="0" w:line="234" w:lineRule="auto"/>
        <w:rPr>
          <w:sz w:val="20"/>
          <w:szCs w:val="20"/>
          <w:color w:val="auto"/>
        </w:rPr>
      </w:pPr>
      <w:r>
        <w:rPr>
          <w:rFonts w:ascii="Arial" w:cs="Arial" w:eastAsia="Arial" w:hAnsi="Arial"/>
          <w:sz w:val="18"/>
          <w:szCs w:val="18"/>
          <w:color w:val="auto"/>
        </w:rPr>
        <w:t>estimated fair value of stock options granted and employee stock purchase plan shares issued during fiscal year 2022 was $13.50 and</w:t>
      </w:r>
    </w:p>
    <w:p>
      <w:pPr>
        <w:spacing w:after="0" w:line="235" w:lineRule="auto"/>
        <w:rPr>
          <w:sz w:val="20"/>
          <w:szCs w:val="20"/>
          <w:color w:val="auto"/>
        </w:rPr>
      </w:pPr>
      <w:r>
        <w:rPr>
          <w:rFonts w:ascii="Arial" w:cs="Arial" w:eastAsia="Arial" w:hAnsi="Arial"/>
          <w:sz w:val="18"/>
          <w:szCs w:val="18"/>
          <w:color w:val="auto"/>
        </w:rPr>
        <w:t>$12.37 per share, respectively, during fiscal year 2021 was $12.81 and $11.60 per share, respectively, and during fiscal year 2020 was</w:t>
      </w:r>
    </w:p>
    <w:p>
      <w:pPr>
        <w:spacing w:after="0" w:line="235" w:lineRule="auto"/>
        <w:rPr>
          <w:sz w:val="20"/>
          <w:szCs w:val="20"/>
          <w:color w:val="auto"/>
        </w:rPr>
      </w:pPr>
      <w:r>
        <w:rPr>
          <w:rFonts w:ascii="Arial" w:cs="Arial" w:eastAsia="Arial" w:hAnsi="Arial"/>
          <w:sz w:val="18"/>
          <w:szCs w:val="18"/>
          <w:color w:val="auto"/>
        </w:rPr>
        <w:t>$20.15 and $17.15 per share, respectively, using the Black-Scholes model. The weighted average assumptions (annualized percentages)</w:t>
      </w:r>
    </w:p>
    <w:p>
      <w:pPr>
        <w:spacing w:after="0"/>
        <w:rPr>
          <w:sz w:val="20"/>
          <w:szCs w:val="20"/>
          <w:color w:val="auto"/>
        </w:rPr>
      </w:pPr>
      <w:r>
        <w:rPr>
          <w:rFonts w:ascii="Arial" w:cs="Arial" w:eastAsia="Arial" w:hAnsi="Arial"/>
          <w:sz w:val="18"/>
          <w:szCs w:val="18"/>
          <w:color w:val="auto"/>
        </w:rPr>
        <w:t>used in the Black-Scholes model and Monte Carlo simulation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rPr>
              <w:t>Stock Options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00" w:type="dxa"/>
            <w:vAlign w:val="bottom"/>
            <w:gridSpan w:val="6"/>
          </w:tcPr>
          <w:p>
            <w:pPr>
              <w:jc w:val="right"/>
              <w:ind w:right="557"/>
              <w:spacing w:after="0"/>
              <w:rPr>
                <w:sz w:val="20"/>
                <w:szCs w:val="20"/>
                <w:color w:val="auto"/>
              </w:rPr>
            </w:pPr>
            <w:r>
              <w:rPr>
                <w:rFonts w:ascii="Arial" w:cs="Arial" w:eastAsia="Arial" w:hAnsi="Arial"/>
                <w:sz w:val="13"/>
                <w:szCs w:val="13"/>
                <w:b w:val="1"/>
                <w:bCs w:val="1"/>
                <w:color w:val="auto"/>
              </w:rPr>
              <w:t>TSR Performance Stock Options</w:t>
            </w:r>
          </w:p>
        </w:tc>
        <w:tc>
          <w:tcPr>
            <w:tcW w:w="3040" w:type="dxa"/>
            <w:vAlign w:val="bottom"/>
            <w:gridSpan w:val="7"/>
          </w:tcPr>
          <w:p>
            <w:pPr>
              <w:ind w:left="460"/>
              <w:spacing w:after="0"/>
              <w:rPr>
                <w:sz w:val="20"/>
                <w:szCs w:val="20"/>
                <w:color w:val="auto"/>
              </w:rPr>
            </w:pPr>
            <w:r>
              <w:rPr>
                <w:rFonts w:ascii="Arial" w:cs="Arial" w:eastAsia="Arial" w:hAnsi="Arial"/>
                <w:sz w:val="13"/>
                <w:szCs w:val="13"/>
                <w:b w:val="1"/>
                <w:bCs w:val="1"/>
                <w:color w:val="auto"/>
              </w:rPr>
              <w:t>Employee Stock Purchase Plan</w:t>
            </w:r>
          </w:p>
        </w:tc>
      </w:tr>
      <w:tr>
        <w:trPr>
          <w:trHeight w:val="115"/>
        </w:trPr>
        <w:tc>
          <w:tcPr>
            <w:tcW w:w="192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157"/>
              <w:spacing w:after="0" w:line="116" w:lineRule="exact"/>
              <w:rPr>
                <w:sz w:val="20"/>
                <w:szCs w:val="20"/>
                <w:color w:val="auto"/>
              </w:rPr>
            </w:pPr>
            <w:r>
              <w:rPr>
                <w:rFonts w:ascii="Arial" w:cs="Arial" w:eastAsia="Arial" w:hAnsi="Arial"/>
                <w:sz w:val="13"/>
                <w:szCs w:val="13"/>
                <w:b w:val="1"/>
                <w:bCs w:val="1"/>
                <w:color w:val="auto"/>
              </w:rPr>
              <w:t>Fiscal Year</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237"/>
              <w:spacing w:after="0" w:line="116" w:lineRule="exact"/>
              <w:rPr>
                <w:sz w:val="20"/>
                <w:szCs w:val="20"/>
                <w:color w:val="auto"/>
              </w:rPr>
            </w:pPr>
            <w:r>
              <w:rPr>
                <w:rFonts w:ascii="Arial" w:cs="Arial" w:eastAsia="Arial" w:hAnsi="Arial"/>
                <w:sz w:val="13"/>
                <w:szCs w:val="13"/>
                <w:b w:val="1"/>
                <w:bCs w:val="1"/>
                <w:color w:val="auto"/>
              </w:rPr>
              <w:t>Fiscal Year</w:t>
            </w:r>
          </w:p>
        </w:tc>
        <w:tc>
          <w:tcPr>
            <w:tcW w:w="84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Fiscal Year</w:t>
            </w:r>
          </w:p>
        </w:tc>
        <w:tc>
          <w:tcPr>
            <w:tcW w:w="26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217"/>
              <w:spacing w:after="0" w:line="116" w:lineRule="exact"/>
              <w:rPr>
                <w:sz w:val="20"/>
                <w:szCs w:val="20"/>
                <w:color w:val="auto"/>
              </w:rPr>
            </w:pPr>
            <w:r>
              <w:rPr>
                <w:rFonts w:ascii="Arial" w:cs="Arial" w:eastAsia="Arial" w:hAnsi="Arial"/>
                <w:sz w:val="13"/>
                <w:szCs w:val="13"/>
                <w:b w:val="1"/>
                <w:bCs w:val="1"/>
                <w:color w:val="auto"/>
              </w:rPr>
              <w:t>Fiscal Year</w:t>
            </w:r>
          </w:p>
        </w:tc>
        <w:tc>
          <w:tcPr>
            <w:tcW w:w="1020" w:type="dxa"/>
            <w:vAlign w:val="bottom"/>
            <w:tcBorders>
              <w:top w:val="single" w:sz="8" w:color="auto"/>
            </w:tcBorders>
            <w:gridSpan w:val="2"/>
          </w:tcPr>
          <w:p>
            <w:pPr>
              <w:jc w:val="right"/>
              <w:ind w:right="197"/>
              <w:spacing w:after="0" w:line="116" w:lineRule="exact"/>
              <w:rPr>
                <w:sz w:val="20"/>
                <w:szCs w:val="20"/>
                <w:color w:val="auto"/>
              </w:rPr>
            </w:pPr>
            <w:r>
              <w:rPr>
                <w:rFonts w:ascii="Arial" w:cs="Arial" w:eastAsia="Arial" w:hAnsi="Arial"/>
                <w:sz w:val="13"/>
                <w:szCs w:val="13"/>
                <w:b w:val="1"/>
                <w:bCs w:val="1"/>
                <w:color w:val="auto"/>
              </w:rPr>
              <w:t>Fiscal Year</w:t>
            </w:r>
          </w:p>
        </w:tc>
        <w:tc>
          <w:tcPr>
            <w:tcW w:w="860" w:type="dxa"/>
            <w:vAlign w:val="bottom"/>
            <w:tcBorders>
              <w:top w:val="single" w:sz="8" w:color="auto"/>
            </w:tcBorders>
          </w:tcPr>
          <w:p>
            <w:pPr>
              <w:jc w:val="right"/>
              <w:ind w:right="16"/>
              <w:spacing w:after="0" w:line="116" w:lineRule="exact"/>
              <w:rPr>
                <w:sz w:val="20"/>
                <w:szCs w:val="20"/>
                <w:color w:val="auto"/>
              </w:rPr>
            </w:pPr>
            <w:r>
              <w:rPr>
                <w:rFonts w:ascii="Arial" w:cs="Arial" w:eastAsia="Arial" w:hAnsi="Arial"/>
                <w:sz w:val="13"/>
                <w:szCs w:val="13"/>
                <w:b w:val="1"/>
                <w:bCs w:val="1"/>
                <w:color w:val="auto"/>
              </w:rPr>
              <w:t>Fiscal Year</w:t>
            </w:r>
          </w:p>
        </w:tc>
        <w:tc>
          <w:tcPr>
            <w:tcW w:w="2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217"/>
              <w:spacing w:after="0" w:line="116" w:lineRule="exact"/>
              <w:rPr>
                <w:sz w:val="20"/>
                <w:szCs w:val="20"/>
                <w:color w:val="auto"/>
              </w:rPr>
            </w:pPr>
            <w:r>
              <w:rPr>
                <w:rFonts w:ascii="Arial" w:cs="Arial" w:eastAsia="Arial" w:hAnsi="Arial"/>
                <w:sz w:val="13"/>
                <w:szCs w:val="13"/>
                <w:b w:val="1"/>
                <w:bCs w:val="1"/>
                <w:color w:val="auto"/>
              </w:rPr>
              <w:t>Fiscal Year</w:t>
            </w:r>
          </w:p>
        </w:tc>
        <w:tc>
          <w:tcPr>
            <w:tcW w:w="1020" w:type="dxa"/>
            <w:vAlign w:val="bottom"/>
            <w:tcBorders>
              <w:top w:val="single" w:sz="8" w:color="auto"/>
            </w:tcBorders>
            <w:gridSpan w:val="2"/>
          </w:tcPr>
          <w:p>
            <w:pPr>
              <w:jc w:val="right"/>
              <w:ind w:right="197"/>
              <w:spacing w:after="0" w:line="116" w:lineRule="exact"/>
              <w:rPr>
                <w:sz w:val="20"/>
                <w:szCs w:val="20"/>
                <w:color w:val="auto"/>
              </w:rPr>
            </w:pPr>
            <w:r>
              <w:rPr>
                <w:rFonts w:ascii="Arial" w:cs="Arial" w:eastAsia="Arial" w:hAnsi="Arial"/>
                <w:sz w:val="13"/>
                <w:szCs w:val="13"/>
                <w:b w:val="1"/>
                <w:bCs w:val="1"/>
                <w:color w:val="auto"/>
              </w:rPr>
              <w:t>Fiscal Year</w:t>
            </w:r>
          </w:p>
        </w:tc>
        <w:tc>
          <w:tcPr>
            <w:tcW w:w="860" w:type="dxa"/>
            <w:vAlign w:val="bottom"/>
            <w:tcBorders>
              <w:top w:val="single" w:sz="8" w:color="auto"/>
            </w:tcBorders>
          </w:tcPr>
          <w:p>
            <w:pPr>
              <w:jc w:val="right"/>
              <w:ind w:right="16"/>
              <w:spacing w:after="0" w:line="116" w:lineRule="exact"/>
              <w:rPr>
                <w:sz w:val="20"/>
                <w:szCs w:val="20"/>
                <w:color w:val="auto"/>
              </w:rPr>
            </w:pPr>
            <w:r>
              <w:rPr>
                <w:rFonts w:ascii="Arial" w:cs="Arial" w:eastAsia="Arial" w:hAnsi="Arial"/>
                <w:sz w:val="13"/>
                <w:szCs w:val="13"/>
                <w:b w:val="1"/>
                <w:bCs w:val="1"/>
                <w:color w:val="auto"/>
              </w:rPr>
              <w:t>Fiscal Year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1920" w:type="dxa"/>
            <w:vAlign w:val="bottom"/>
          </w:tcPr>
          <w:p>
            <w:pPr>
              <w:spacing w:after="0"/>
              <w:rPr>
                <w:sz w:val="15"/>
                <w:szCs w:val="15"/>
                <w:color w:val="auto"/>
              </w:rPr>
            </w:pPr>
          </w:p>
        </w:tc>
        <w:tc>
          <w:tcPr>
            <w:tcW w:w="800" w:type="dxa"/>
            <w:vAlign w:val="bottom"/>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5"/>
                <w:szCs w:val="15"/>
                <w:color w:val="auto"/>
              </w:rPr>
            </w:pPr>
          </w:p>
        </w:tc>
        <w:tc>
          <w:tcPr>
            <w:tcW w:w="90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5"/>
                <w:szCs w:val="15"/>
                <w:color w:val="auto"/>
              </w:rPr>
            </w:pPr>
          </w:p>
        </w:tc>
        <w:tc>
          <w:tcPr>
            <w:tcW w:w="800" w:type="dxa"/>
            <w:vAlign w:val="bottom"/>
          </w:tcPr>
          <w:p>
            <w:pPr>
              <w:jc w:val="right"/>
              <w:ind w:right="19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860" w:type="dxa"/>
            <w:vAlign w:val="bottom"/>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5"/>
                <w:szCs w:val="15"/>
                <w:color w:val="auto"/>
              </w:rPr>
            </w:pPr>
          </w:p>
        </w:tc>
        <w:tc>
          <w:tcPr>
            <w:tcW w:w="820" w:type="dxa"/>
            <w:vAlign w:val="bottom"/>
          </w:tcPr>
          <w:p>
            <w:pPr>
              <w:jc w:val="right"/>
              <w:ind w:right="19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860" w:type="dxa"/>
            <w:vAlign w:val="bottom"/>
          </w:tcPr>
          <w:p>
            <w:pPr>
              <w:jc w:val="right"/>
              <w:ind w:right="21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9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Volatility</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49.5</w:t>
            </w:r>
          </w:p>
        </w:tc>
        <w:tc>
          <w:tcPr>
            <w:tcW w:w="1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w:t>
            </w:r>
          </w:p>
        </w:tc>
        <w:tc>
          <w:tcPr>
            <w:tcW w:w="80" w:type="dxa"/>
            <w:vAlign w:val="bottom"/>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39.1</w:t>
            </w:r>
          </w:p>
        </w:tc>
        <w:tc>
          <w:tcPr>
            <w:tcW w:w="24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6"/>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27.9</w:t>
            </w:r>
          </w:p>
        </w:tc>
        <w:tc>
          <w:tcPr>
            <w:tcW w:w="26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42.5</w:t>
            </w:r>
          </w:p>
        </w:tc>
        <w:tc>
          <w:tcPr>
            <w:tcW w:w="22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6"/>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39.8</w:t>
            </w:r>
          </w:p>
        </w:tc>
        <w:tc>
          <w:tcPr>
            <w:tcW w:w="22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27.7</w:t>
            </w:r>
          </w:p>
        </w:tc>
        <w:tc>
          <w:tcPr>
            <w:tcW w:w="20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6"/>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42.1</w:t>
            </w:r>
          </w:p>
        </w:tc>
        <w:tc>
          <w:tcPr>
            <w:tcW w:w="22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6"/>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64.8</w:t>
            </w:r>
          </w:p>
        </w:tc>
        <w:tc>
          <w:tcPr>
            <w:tcW w:w="22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r>
      <w:tr>
        <w:trPr>
          <w:trHeight w:val="148"/>
        </w:trPr>
        <w:tc>
          <w:tcPr>
            <w:tcW w:w="1920" w:type="dxa"/>
            <w:vAlign w:val="bottom"/>
          </w:tcPr>
          <w:p>
            <w:pPr>
              <w:ind w:left="20"/>
              <w:spacing w:after="0"/>
              <w:rPr>
                <w:sz w:val="20"/>
                <w:szCs w:val="20"/>
                <w:color w:val="auto"/>
              </w:rPr>
            </w:pPr>
            <w:r>
              <w:rPr>
                <w:rFonts w:ascii="Arial" w:cs="Arial" w:eastAsia="Arial" w:hAnsi="Arial"/>
                <w:sz w:val="13"/>
                <w:szCs w:val="13"/>
                <w:color w:val="auto"/>
              </w:rPr>
              <w:t>Risk-free interest rate</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0.4 %</w:t>
            </w:r>
          </w:p>
        </w:tc>
        <w:tc>
          <w:tcPr>
            <w:tcW w:w="1140" w:type="dxa"/>
            <w:vAlign w:val="bottom"/>
            <w:gridSpan w:val="3"/>
          </w:tcPr>
          <w:p>
            <w:pPr>
              <w:jc w:val="right"/>
              <w:ind w:right="57"/>
              <w:spacing w:after="0"/>
              <w:rPr>
                <w:sz w:val="20"/>
                <w:szCs w:val="20"/>
                <w:color w:val="auto"/>
              </w:rPr>
            </w:pPr>
            <w:r>
              <w:rPr>
                <w:rFonts w:ascii="Arial" w:cs="Arial" w:eastAsia="Arial" w:hAnsi="Arial"/>
                <w:sz w:val="13"/>
                <w:szCs w:val="13"/>
                <w:color w:val="auto"/>
              </w:rPr>
              <w:t>0.2 %</w:t>
            </w:r>
          </w:p>
        </w:tc>
        <w:tc>
          <w:tcPr>
            <w:tcW w:w="1100" w:type="dxa"/>
            <w:vAlign w:val="bottom"/>
            <w:gridSpan w:val="2"/>
          </w:tcPr>
          <w:p>
            <w:pPr>
              <w:jc w:val="right"/>
              <w:ind w:right="57"/>
              <w:spacing w:after="0"/>
              <w:rPr>
                <w:sz w:val="20"/>
                <w:szCs w:val="20"/>
                <w:color w:val="auto"/>
              </w:rPr>
            </w:pPr>
            <w:r>
              <w:rPr>
                <w:rFonts w:ascii="Arial" w:cs="Arial" w:eastAsia="Arial" w:hAnsi="Arial"/>
                <w:sz w:val="13"/>
                <w:szCs w:val="13"/>
                <w:color w:val="auto"/>
              </w:rPr>
              <w:t>1.3 %</w:t>
            </w:r>
          </w:p>
        </w:tc>
        <w:tc>
          <w:tcPr>
            <w:tcW w:w="1020" w:type="dxa"/>
            <w:vAlign w:val="bottom"/>
            <w:gridSpan w:val="2"/>
          </w:tcPr>
          <w:p>
            <w:pPr>
              <w:jc w:val="right"/>
              <w:ind w:right="37"/>
              <w:spacing w:after="0"/>
              <w:rPr>
                <w:sz w:val="20"/>
                <w:szCs w:val="20"/>
                <w:color w:val="auto"/>
              </w:rPr>
            </w:pPr>
            <w:r>
              <w:rPr>
                <w:rFonts w:ascii="Arial" w:cs="Arial" w:eastAsia="Arial" w:hAnsi="Arial"/>
                <w:sz w:val="13"/>
                <w:szCs w:val="13"/>
                <w:color w:val="auto"/>
              </w:rPr>
              <w:t>1.2 %</w:t>
            </w:r>
          </w:p>
        </w:tc>
        <w:tc>
          <w:tcPr>
            <w:tcW w:w="1020" w:type="dxa"/>
            <w:vAlign w:val="bottom"/>
            <w:gridSpan w:val="2"/>
          </w:tcPr>
          <w:p>
            <w:pPr>
              <w:jc w:val="right"/>
              <w:ind w:right="17"/>
              <w:spacing w:after="0"/>
              <w:rPr>
                <w:sz w:val="20"/>
                <w:szCs w:val="20"/>
                <w:color w:val="auto"/>
              </w:rPr>
            </w:pPr>
            <w:r>
              <w:rPr>
                <w:rFonts w:ascii="Arial" w:cs="Arial" w:eastAsia="Arial" w:hAnsi="Arial"/>
                <w:sz w:val="13"/>
                <w:szCs w:val="13"/>
                <w:color w:val="auto"/>
              </w:rPr>
              <w:t>0.4 %</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1.7 %</w:t>
            </w:r>
          </w:p>
        </w:tc>
        <w:tc>
          <w:tcPr>
            <w:tcW w:w="1040" w:type="dxa"/>
            <w:vAlign w:val="bottom"/>
            <w:gridSpan w:val="2"/>
          </w:tcPr>
          <w:p>
            <w:pPr>
              <w:jc w:val="right"/>
              <w:ind w:right="37"/>
              <w:spacing w:after="0"/>
              <w:rPr>
                <w:sz w:val="20"/>
                <w:szCs w:val="20"/>
                <w:color w:val="auto"/>
              </w:rPr>
            </w:pPr>
            <w:r>
              <w:rPr>
                <w:rFonts w:ascii="Arial" w:cs="Arial" w:eastAsia="Arial" w:hAnsi="Arial"/>
                <w:sz w:val="13"/>
                <w:szCs w:val="13"/>
                <w:color w:val="auto"/>
              </w:rPr>
              <w:t>0.1 %</w:t>
            </w:r>
          </w:p>
        </w:tc>
        <w:tc>
          <w:tcPr>
            <w:tcW w:w="1020" w:type="dxa"/>
            <w:vAlign w:val="bottom"/>
            <w:gridSpan w:val="2"/>
          </w:tcPr>
          <w:p>
            <w:pPr>
              <w:jc w:val="right"/>
              <w:ind w:right="17"/>
              <w:spacing w:after="0"/>
              <w:rPr>
                <w:sz w:val="20"/>
                <w:szCs w:val="20"/>
                <w:color w:val="auto"/>
              </w:rPr>
            </w:pPr>
            <w:r>
              <w:rPr>
                <w:rFonts w:ascii="Arial" w:cs="Arial" w:eastAsia="Arial" w:hAnsi="Arial"/>
                <w:sz w:val="13"/>
                <w:szCs w:val="13"/>
                <w:color w:val="auto"/>
              </w:rPr>
              <w:t>0.1 %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1.8 %</w:t>
            </w:r>
          </w:p>
        </w:tc>
        <w:tc>
          <w:tcPr>
            <w:tcW w:w="20" w:type="dxa"/>
            <w:vAlign w:val="bottom"/>
          </w:tcPr>
          <w:p>
            <w:pPr>
              <w:spacing w:after="0"/>
              <w:rPr>
                <w:sz w:val="12"/>
                <w:szCs w:val="12"/>
                <w:color w:val="auto"/>
              </w:rPr>
            </w:pPr>
          </w:p>
        </w:tc>
      </w:tr>
      <w:tr>
        <w:trPr>
          <w:trHeight w:val="149"/>
        </w:trPr>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 yield</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114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0.0 %</w:t>
            </w:r>
          </w:p>
        </w:tc>
        <w:tc>
          <w:tcPr>
            <w:tcW w:w="110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0.0 %</w:t>
            </w:r>
          </w:p>
        </w:tc>
        <w:tc>
          <w:tcPr>
            <w:tcW w:w="102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0.0 %</w:t>
            </w:r>
          </w:p>
        </w:tc>
        <w:tc>
          <w:tcPr>
            <w:tcW w:w="102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0.0 %</w:t>
            </w:r>
          </w:p>
        </w:tc>
        <w:tc>
          <w:tcPr>
            <w:tcW w:w="106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0.0 %</w:t>
            </w:r>
          </w:p>
        </w:tc>
        <w:tc>
          <w:tcPr>
            <w:tcW w:w="104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0.0 %</w:t>
            </w:r>
          </w:p>
        </w:tc>
        <w:tc>
          <w:tcPr>
            <w:tcW w:w="102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0.0 %</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r>
      <w:tr>
        <w:trPr>
          <w:trHeight w:val="152"/>
        </w:trPr>
        <w:tc>
          <w:tcPr>
            <w:tcW w:w="1920" w:type="dxa"/>
            <w:vAlign w:val="bottom"/>
          </w:tcPr>
          <w:p>
            <w:pPr>
              <w:ind w:left="20"/>
              <w:spacing w:after="0"/>
              <w:rPr>
                <w:sz w:val="20"/>
                <w:szCs w:val="20"/>
                <w:color w:val="auto"/>
              </w:rPr>
            </w:pPr>
            <w:r>
              <w:rPr>
                <w:rFonts w:ascii="Arial" w:cs="Arial" w:eastAsia="Arial" w:hAnsi="Arial"/>
                <w:sz w:val="13"/>
                <w:szCs w:val="13"/>
                <w:color w:val="auto"/>
              </w:rPr>
              <w:t>Expected life</w:t>
            </w:r>
          </w:p>
        </w:tc>
        <w:tc>
          <w:tcPr>
            <w:tcW w:w="960" w:type="dxa"/>
            <w:vAlign w:val="bottom"/>
            <w:gridSpan w:val="2"/>
          </w:tcPr>
          <w:p>
            <w:pPr>
              <w:jc w:val="right"/>
              <w:ind w:right="117"/>
              <w:spacing w:after="0"/>
              <w:rPr>
                <w:sz w:val="20"/>
                <w:szCs w:val="20"/>
                <w:color w:val="auto"/>
              </w:rPr>
            </w:pPr>
            <w:r>
              <w:rPr>
                <w:rFonts w:ascii="Arial" w:cs="Arial" w:eastAsia="Arial" w:hAnsi="Arial"/>
                <w:sz w:val="13"/>
                <w:szCs w:val="13"/>
                <w:color w:val="auto"/>
              </w:rPr>
              <w:t>3.2 years</w:t>
            </w:r>
          </w:p>
        </w:tc>
        <w:tc>
          <w:tcPr>
            <w:tcW w:w="80" w:type="dxa"/>
            <w:vAlign w:val="bottom"/>
          </w:tcPr>
          <w:p>
            <w:pPr>
              <w:spacing w:after="0"/>
              <w:rPr>
                <w:sz w:val="13"/>
                <w:szCs w:val="13"/>
                <w:color w:val="auto"/>
              </w:rPr>
            </w:pPr>
          </w:p>
        </w:tc>
        <w:tc>
          <w:tcPr>
            <w:tcW w:w="1060" w:type="dxa"/>
            <w:vAlign w:val="bottom"/>
            <w:gridSpan w:val="2"/>
          </w:tcPr>
          <w:p>
            <w:pPr>
              <w:jc w:val="right"/>
              <w:ind w:right="197"/>
              <w:spacing w:after="0"/>
              <w:rPr>
                <w:sz w:val="20"/>
                <w:szCs w:val="20"/>
                <w:color w:val="auto"/>
              </w:rPr>
            </w:pPr>
            <w:r>
              <w:rPr>
                <w:rFonts w:ascii="Arial" w:cs="Arial" w:eastAsia="Arial" w:hAnsi="Arial"/>
                <w:sz w:val="13"/>
                <w:szCs w:val="13"/>
                <w:color w:val="auto"/>
              </w:rPr>
              <w:t>5.0 years</w:t>
            </w:r>
          </w:p>
        </w:tc>
        <w:tc>
          <w:tcPr>
            <w:tcW w:w="1100" w:type="dxa"/>
            <w:vAlign w:val="bottom"/>
            <w:gridSpan w:val="2"/>
          </w:tcPr>
          <w:p>
            <w:pPr>
              <w:jc w:val="right"/>
              <w:ind w:right="197"/>
              <w:spacing w:after="0"/>
              <w:rPr>
                <w:sz w:val="20"/>
                <w:szCs w:val="20"/>
                <w:color w:val="auto"/>
              </w:rPr>
            </w:pPr>
            <w:r>
              <w:rPr>
                <w:rFonts w:ascii="Arial" w:cs="Arial" w:eastAsia="Arial" w:hAnsi="Arial"/>
                <w:sz w:val="13"/>
                <w:szCs w:val="13"/>
                <w:color w:val="auto"/>
              </w:rPr>
              <w:t>5.0 years</w:t>
            </w:r>
          </w:p>
        </w:tc>
        <w:tc>
          <w:tcPr>
            <w:tcW w:w="1020" w:type="dxa"/>
            <w:vAlign w:val="bottom"/>
            <w:gridSpan w:val="2"/>
          </w:tcPr>
          <w:p>
            <w:pPr>
              <w:jc w:val="right"/>
              <w:ind w:right="177"/>
              <w:spacing w:after="0"/>
              <w:rPr>
                <w:sz w:val="20"/>
                <w:szCs w:val="20"/>
                <w:color w:val="auto"/>
              </w:rPr>
            </w:pPr>
            <w:r>
              <w:rPr>
                <w:rFonts w:ascii="Arial" w:cs="Arial" w:eastAsia="Arial" w:hAnsi="Arial"/>
                <w:sz w:val="13"/>
                <w:szCs w:val="13"/>
                <w:color w:val="auto"/>
              </w:rPr>
              <w:t>5.0 years</w:t>
            </w:r>
          </w:p>
        </w:tc>
        <w:tc>
          <w:tcPr>
            <w:tcW w:w="1020" w:type="dxa"/>
            <w:vAlign w:val="bottom"/>
            <w:gridSpan w:val="2"/>
          </w:tcPr>
          <w:p>
            <w:pPr>
              <w:jc w:val="right"/>
              <w:ind w:right="157"/>
              <w:spacing w:after="0"/>
              <w:rPr>
                <w:sz w:val="20"/>
                <w:szCs w:val="20"/>
                <w:color w:val="auto"/>
              </w:rPr>
            </w:pPr>
            <w:r>
              <w:rPr>
                <w:rFonts w:ascii="Arial" w:cs="Arial" w:eastAsia="Arial" w:hAnsi="Arial"/>
                <w:sz w:val="13"/>
                <w:szCs w:val="13"/>
                <w:color w:val="auto"/>
              </w:rPr>
              <w:t>5.0 years</w:t>
            </w:r>
          </w:p>
        </w:tc>
        <w:tc>
          <w:tcPr>
            <w:tcW w:w="1060" w:type="dxa"/>
            <w:vAlign w:val="bottom"/>
            <w:gridSpan w:val="2"/>
          </w:tcPr>
          <w:p>
            <w:pPr>
              <w:jc w:val="right"/>
              <w:ind w:right="157"/>
              <w:spacing w:after="0"/>
              <w:rPr>
                <w:sz w:val="20"/>
                <w:szCs w:val="20"/>
                <w:color w:val="auto"/>
              </w:rPr>
            </w:pPr>
            <w:r>
              <w:rPr>
                <w:rFonts w:ascii="Arial" w:cs="Arial" w:eastAsia="Arial" w:hAnsi="Arial"/>
                <w:sz w:val="13"/>
                <w:szCs w:val="13"/>
                <w:color w:val="auto"/>
              </w:rPr>
              <w:t>5.0 years</w:t>
            </w:r>
          </w:p>
        </w:tc>
        <w:tc>
          <w:tcPr>
            <w:tcW w:w="1040" w:type="dxa"/>
            <w:vAlign w:val="bottom"/>
            <w:gridSpan w:val="2"/>
          </w:tcPr>
          <w:p>
            <w:pPr>
              <w:jc w:val="right"/>
              <w:ind w:right="177"/>
              <w:spacing w:after="0"/>
              <w:rPr>
                <w:sz w:val="20"/>
                <w:szCs w:val="20"/>
                <w:color w:val="auto"/>
              </w:rPr>
            </w:pPr>
            <w:r>
              <w:rPr>
                <w:rFonts w:ascii="Arial" w:cs="Arial" w:eastAsia="Arial" w:hAnsi="Arial"/>
                <w:sz w:val="13"/>
                <w:szCs w:val="13"/>
                <w:color w:val="auto"/>
              </w:rPr>
              <w:t>0.5 years</w:t>
            </w:r>
          </w:p>
        </w:tc>
        <w:tc>
          <w:tcPr>
            <w:tcW w:w="1020" w:type="dxa"/>
            <w:vAlign w:val="bottom"/>
            <w:gridSpan w:val="2"/>
          </w:tcPr>
          <w:p>
            <w:pPr>
              <w:jc w:val="right"/>
              <w:ind w:right="157"/>
              <w:spacing w:after="0"/>
              <w:rPr>
                <w:sz w:val="20"/>
                <w:szCs w:val="20"/>
                <w:color w:val="auto"/>
              </w:rPr>
            </w:pPr>
            <w:r>
              <w:rPr>
                <w:rFonts w:ascii="Arial" w:cs="Arial" w:eastAsia="Arial" w:hAnsi="Arial"/>
                <w:sz w:val="13"/>
                <w:szCs w:val="13"/>
                <w:color w:val="auto"/>
              </w:rPr>
              <w:t>0.5 years</w:t>
            </w:r>
          </w:p>
        </w:tc>
        <w:tc>
          <w:tcPr>
            <w:tcW w:w="960" w:type="dxa"/>
            <w:vAlign w:val="bottom"/>
            <w:gridSpan w:val="2"/>
          </w:tcPr>
          <w:p>
            <w:pPr>
              <w:jc w:val="right"/>
              <w:ind w:right="62"/>
              <w:spacing w:after="0"/>
              <w:rPr>
                <w:sz w:val="20"/>
                <w:szCs w:val="20"/>
                <w:color w:val="auto"/>
              </w:rPr>
            </w:pPr>
            <w:r>
              <w:rPr>
                <w:rFonts w:ascii="Arial" w:cs="Arial" w:eastAsia="Arial" w:hAnsi="Arial"/>
                <w:sz w:val="13"/>
                <w:szCs w:val="13"/>
                <w:color w:val="auto"/>
              </w:rPr>
              <w:t>0.5 years</w:t>
            </w:r>
          </w:p>
        </w:tc>
        <w:tc>
          <w:tcPr>
            <w:tcW w:w="20" w:type="dxa"/>
            <w:vAlign w:val="bottom"/>
          </w:tcPr>
          <w:p>
            <w:pPr>
              <w:spacing w:after="0"/>
              <w:rPr>
                <w:sz w:val="13"/>
                <w:szCs w:val="13"/>
                <w:color w:val="auto"/>
              </w:rPr>
            </w:pPr>
          </w:p>
        </w:tc>
      </w:tr>
    </w:tbl>
    <w:p>
      <w:pPr>
        <w:spacing w:after="0" w:line="171"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The Company’s expected volatility is a measure of the amount by which its stock price is expected to fluctuate over the expected term of the stock-based award. The estimated volatilities for stock options and TSR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stock options and TSR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fiscal year 2022 is presented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2021</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956,733</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65.18</w:t>
            </w:r>
          </w:p>
        </w:tc>
        <w:tc>
          <w:tcPr>
            <w:tcW w:w="20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tcPr>
          <w:p>
            <w:pPr>
              <w:ind w:left="260"/>
              <w:spacing w:after="0" w:line="202" w:lineRule="exact"/>
              <w:rPr>
                <w:sz w:val="20"/>
                <w:szCs w:val="20"/>
                <w:color w:val="auto"/>
              </w:rPr>
            </w:pPr>
            <w:r>
              <w:rPr>
                <w:rFonts w:ascii="Arial" w:cs="Arial" w:eastAsia="Arial" w:hAnsi="Arial"/>
                <w:sz w:val="18"/>
                <w:szCs w:val="18"/>
                <w:color w:val="auto"/>
              </w:rPr>
              <w:t>Options 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99,222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79.41</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Options expired</w:t>
            </w: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(388,119 )</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62.61</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tcPr>
          <w:p>
            <w:pPr>
              <w:ind w:left="260"/>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(27,107 )</w:t>
            </w: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56.33</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2022</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640,729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69.32</w:t>
            </w:r>
          </w:p>
        </w:tc>
        <w:tc>
          <w:tcPr>
            <w:tcW w:w="16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1.6</w:t>
            </w:r>
          </w:p>
        </w:tc>
        <w:tc>
          <w:tcPr>
            <w:tcW w:w="34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220" w:type="dxa"/>
            <w:vAlign w:val="bottom"/>
          </w:tcPr>
          <w:p>
            <w:pPr>
              <w:spacing w:after="0" w:line="197" w:lineRule="exact"/>
              <w:rPr>
                <w:sz w:val="20"/>
                <w:szCs w:val="20"/>
                <w:color w:val="auto"/>
              </w:rPr>
            </w:pPr>
            <w:r>
              <w:rPr>
                <w:rFonts w:ascii="Arial" w:cs="Arial" w:eastAsia="Arial" w:hAnsi="Arial"/>
                <w:sz w:val="18"/>
                <w:szCs w:val="18"/>
                <w:color w:val="auto"/>
              </w:rPr>
              <w:t>Vested and exercisable at March 31, 2022</w:t>
            </w:r>
          </w:p>
        </w:tc>
        <w:tc>
          <w:tcPr>
            <w:tcW w:w="1120" w:type="dxa"/>
            <w:vAlign w:val="bottom"/>
          </w:tcPr>
          <w:p>
            <w:pPr>
              <w:jc w:val="right"/>
              <w:spacing w:after="0" w:line="197" w:lineRule="exact"/>
              <w:rPr>
                <w:sz w:val="20"/>
                <w:szCs w:val="20"/>
                <w:color w:val="auto"/>
              </w:rPr>
            </w:pPr>
            <w:r>
              <w:rPr>
                <w:rFonts w:ascii="Arial" w:cs="Arial" w:eastAsia="Arial" w:hAnsi="Arial"/>
                <w:sz w:val="18"/>
                <w:szCs w:val="18"/>
                <w:color w:val="auto"/>
              </w:rPr>
              <w:t>598,994</w:t>
            </w:r>
          </w:p>
        </w:tc>
        <w:tc>
          <w:tcPr>
            <w:tcW w:w="240" w:type="dxa"/>
            <w:vAlign w:val="bottom"/>
          </w:tcPr>
          <w:p>
            <w:pPr>
              <w:spacing w:after="0"/>
              <w:rPr>
                <w:sz w:val="17"/>
                <w:szCs w:val="17"/>
                <w:color w:val="auto"/>
              </w:rPr>
            </w:pPr>
          </w:p>
        </w:tc>
        <w:tc>
          <w:tcPr>
            <w:tcW w:w="140" w:type="dxa"/>
            <w:vAlign w:val="bottom"/>
          </w:tcPr>
          <w:p>
            <w:pPr>
              <w:jc w:val="right"/>
              <w:spacing w:after="0" w:line="197"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7" w:lineRule="exact"/>
              <w:rPr>
                <w:sz w:val="20"/>
                <w:szCs w:val="20"/>
                <w:color w:val="auto"/>
              </w:rPr>
            </w:pPr>
            <w:r>
              <w:rPr>
                <w:rFonts w:ascii="Arial" w:cs="Arial" w:eastAsia="Arial" w:hAnsi="Arial"/>
                <w:sz w:val="18"/>
                <w:szCs w:val="18"/>
                <w:color w:val="auto"/>
              </w:rPr>
              <w:t>70.58</w:t>
            </w:r>
          </w:p>
        </w:tc>
        <w:tc>
          <w:tcPr>
            <w:tcW w:w="16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20"/>
              <w:spacing w:after="0" w:line="197"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7" w:lineRule="exact"/>
              <w:rPr>
                <w:sz w:val="20"/>
                <w:szCs w:val="20"/>
                <w:color w:val="auto"/>
              </w:rPr>
            </w:pPr>
            <w:r>
              <w:rPr>
                <w:rFonts w:ascii="Arial" w:cs="Arial" w:eastAsia="Arial" w:hAnsi="Arial"/>
                <w:sz w:val="18"/>
                <w:szCs w:val="18"/>
                <w:color w:val="auto"/>
              </w:rPr>
              <w:t>431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0"/>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F-33</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-633730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-616585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total intrinsic value of stock options exercised during fiscal years 2022, 2021 and 2020 was an insignificant amount, zero and $7.9 million, respectively. All options issued under the Company’s Equity Participation Plan have an exercise price equal to the fair market value of the Company’s stock on the date of the grant. The Company recorded no excess tax benefits during fiscal years 2022 and 2021 and an insignificant amount of excess tax benefit during fiscal year 2020 related to stock option exercises.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TSR performance stock option activity for fiscal year 2022 is presented below:</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 (1)</w:t>
            </w:r>
          </w:p>
        </w:tc>
        <w:tc>
          <w:tcPr>
            <w:tcW w:w="14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c>
          <w:tcPr>
            <w:tcW w:w="22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2021</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2,415,459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59.87</w:t>
            </w:r>
          </w:p>
        </w:tc>
        <w:tc>
          <w:tcPr>
            <w:tcW w:w="20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60"/>
              <w:spacing w:after="0" w:line="202" w:lineRule="exact"/>
              <w:rPr>
                <w:sz w:val="20"/>
                <w:szCs w:val="20"/>
                <w:color w:val="auto"/>
              </w:rPr>
            </w:pPr>
            <w:r>
              <w:rPr>
                <w:rFonts w:ascii="Arial" w:cs="Arial" w:eastAsia="Arial" w:hAnsi="Arial"/>
                <w:sz w:val="18"/>
                <w:szCs w:val="18"/>
                <w:color w:val="auto"/>
              </w:rPr>
              <w:t>TSR performance options 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599,292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53.43</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TSR performance options canceled</w:t>
            </w: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(578,764 )</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70.50</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60"/>
              <w:spacing w:after="0" w:line="202" w:lineRule="exact"/>
              <w:rPr>
                <w:sz w:val="20"/>
                <w:szCs w:val="20"/>
                <w:color w:val="auto"/>
              </w:rPr>
            </w:pPr>
            <w:r>
              <w:rPr>
                <w:rFonts w:ascii="Arial" w:cs="Arial" w:eastAsia="Arial" w:hAnsi="Arial"/>
                <w:sz w:val="18"/>
                <w:szCs w:val="18"/>
                <w:color w:val="auto"/>
              </w:rPr>
              <w:t>TSR performance options exercised</w:t>
            </w: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2022</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2,435,987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55.76</w:t>
            </w:r>
          </w:p>
        </w:tc>
        <w:tc>
          <w:tcPr>
            <w:tcW w:w="17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4.2</w:t>
            </w:r>
          </w:p>
        </w:tc>
        <w:tc>
          <w:tcPr>
            <w:tcW w:w="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80" w:type="dxa"/>
            <w:vAlign w:val="bottom"/>
          </w:tcPr>
          <w:p>
            <w:pPr>
              <w:spacing w:after="0" w:line="197" w:lineRule="exact"/>
              <w:rPr>
                <w:sz w:val="20"/>
                <w:szCs w:val="20"/>
                <w:color w:val="auto"/>
              </w:rPr>
            </w:pPr>
            <w:r>
              <w:rPr>
                <w:rFonts w:ascii="Arial" w:cs="Arial" w:eastAsia="Arial" w:hAnsi="Arial"/>
                <w:sz w:val="18"/>
                <w:szCs w:val="18"/>
                <w:color w:val="auto"/>
              </w:rPr>
              <w:t>Vested and exercisable at March 31, 2022</w:t>
            </w:r>
          </w:p>
        </w:tc>
        <w:tc>
          <w:tcPr>
            <w:tcW w:w="1340" w:type="dxa"/>
            <w:vAlign w:val="bottom"/>
            <w:gridSpan w:val="2"/>
          </w:tcPr>
          <w:p>
            <w:pPr>
              <w:jc w:val="right"/>
              <w:ind w:right="240"/>
              <w:spacing w:after="0" w:line="197"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7"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8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-162560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-145415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6686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 Number of shares is based on the target number of options under each TSR performance stock option.</w:t>
      </w:r>
    </w:p>
    <w:p>
      <w:pPr>
        <w:spacing w:after="0" w:line="15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(except for one- and three-year vesting schedules for restricted stock units granted to the members of the Company’s Board of Directors). Compensation cost for these awards is based on the fair value on the date of grant and recognized as compensation expense on a straight-line basis over the requisite service period. For fiscal years 2022, 2021 and 2020, the Company recognized $64.7 million, $59.4 million and $62.4 million, respectively, in stock-based compensation expense related to these restricted stock unit awards.</w:t>
      </w:r>
    </w:p>
    <w:p>
      <w:pPr>
        <w:spacing w:after="0" w:line="165"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2022, 2021 and 2020 was $52.85, $36.57 and $71.59, respectively. A summary of restricted stock unit activity for fiscal year 2022 is presented below:</w:t>
      </w:r>
    </w:p>
    <w:p>
      <w:pPr>
        <w:spacing w:after="0" w:line="1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r>
      <w:tr>
        <w:trPr>
          <w:trHeight w:val="148"/>
        </w:trPr>
        <w:tc>
          <w:tcPr>
            <w:tcW w:w="47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Restricted</w:t>
            </w:r>
          </w:p>
        </w:tc>
        <w:tc>
          <w:tcPr>
            <w:tcW w:w="180" w:type="dxa"/>
            <w:vAlign w:val="bottom"/>
          </w:tcPr>
          <w:p>
            <w:pPr>
              <w:spacing w:after="0"/>
              <w:rPr>
                <w:sz w:val="12"/>
                <w:szCs w:val="12"/>
                <w:color w:val="auto"/>
              </w:rPr>
            </w:pPr>
          </w:p>
        </w:tc>
        <w:tc>
          <w:tcPr>
            <w:tcW w:w="13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 Grant</w:t>
            </w:r>
          </w:p>
        </w:tc>
        <w:tc>
          <w:tcPr>
            <w:tcW w:w="8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3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Date Fair Value</w:t>
            </w:r>
          </w:p>
        </w:tc>
        <w:tc>
          <w:tcPr>
            <w:tcW w:w="80" w:type="dxa"/>
            <w:vAlign w:val="bottom"/>
          </w:tcPr>
          <w:p>
            <w:pPr>
              <w:spacing w:after="0"/>
              <w:rPr>
                <w:sz w:val="12"/>
                <w:szCs w:val="12"/>
                <w:color w:val="auto"/>
              </w:rPr>
            </w:pPr>
          </w:p>
        </w:tc>
      </w:tr>
      <w:tr>
        <w:trPr>
          <w:trHeight w:val="189"/>
        </w:trPr>
        <w:tc>
          <w:tcPr>
            <w:tcW w:w="47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6"/>
                <w:szCs w:val="16"/>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2021</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3,431,561</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53.44</w:t>
            </w:r>
          </w:p>
        </w:tc>
        <w:tc>
          <w:tcPr>
            <w:tcW w:w="80" w:type="dxa"/>
            <w:vAlign w:val="bottom"/>
            <w:shd w:val="clear" w:color="auto" w:fill="CFF0FC"/>
          </w:tcPr>
          <w:p>
            <w:pPr>
              <w:spacing w:after="0"/>
              <w:rPr>
                <w:sz w:val="17"/>
                <w:szCs w:val="17"/>
                <w:color w:val="auto"/>
              </w:rPr>
            </w:pPr>
          </w:p>
        </w:tc>
      </w:tr>
      <w:tr>
        <w:trPr>
          <w:trHeight w:val="203"/>
        </w:trPr>
        <w:tc>
          <w:tcPr>
            <w:tcW w:w="4740" w:type="dxa"/>
            <w:vAlign w:val="bottom"/>
          </w:tcPr>
          <w:p>
            <w:pPr>
              <w:ind w:left="260"/>
              <w:spacing w:after="0" w:line="202" w:lineRule="exact"/>
              <w:rPr>
                <w:sz w:val="20"/>
                <w:szCs w:val="20"/>
                <w:color w:val="auto"/>
              </w:rPr>
            </w:pPr>
            <w:r>
              <w:rPr>
                <w:rFonts w:ascii="Arial" w:cs="Arial" w:eastAsia="Arial" w:hAnsi="Arial"/>
                <w:sz w:val="18"/>
                <w:szCs w:val="18"/>
                <w:color w:val="auto"/>
              </w:rPr>
              <w:t>Awarded</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2,080,700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52.85</w:t>
            </w:r>
          </w:p>
        </w:tc>
        <w:tc>
          <w:tcPr>
            <w:tcW w:w="80" w:type="dxa"/>
            <w:vAlign w:val="bottom"/>
          </w:tcPr>
          <w:p>
            <w:pPr>
              <w:spacing w:after="0"/>
              <w:rPr>
                <w:sz w:val="17"/>
                <w:szCs w:val="17"/>
                <w:color w:val="auto"/>
              </w:rPr>
            </w:pPr>
          </w:p>
        </w:tc>
      </w:tr>
      <w:tr>
        <w:trPr>
          <w:trHeight w:val="203"/>
        </w:trPr>
        <w:tc>
          <w:tcPr>
            <w:tcW w:w="474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Forfeited</w:t>
            </w: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(217,024 )</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52.93</w:t>
            </w:r>
          </w:p>
        </w:tc>
        <w:tc>
          <w:tcPr>
            <w:tcW w:w="80" w:type="dxa"/>
            <w:vAlign w:val="bottom"/>
            <w:shd w:val="clear" w:color="auto" w:fill="CFF0FC"/>
          </w:tcPr>
          <w:p>
            <w:pPr>
              <w:spacing w:after="0"/>
              <w:rPr>
                <w:sz w:val="17"/>
                <w:szCs w:val="17"/>
                <w:color w:val="auto"/>
              </w:rPr>
            </w:pPr>
          </w:p>
        </w:tc>
      </w:tr>
      <w:tr>
        <w:trPr>
          <w:trHeight w:val="203"/>
        </w:trPr>
        <w:tc>
          <w:tcPr>
            <w:tcW w:w="4740" w:type="dxa"/>
            <w:vAlign w:val="bottom"/>
          </w:tcPr>
          <w:p>
            <w:pPr>
              <w:ind w:left="260"/>
              <w:spacing w:after="0" w:line="202" w:lineRule="exact"/>
              <w:rPr>
                <w:sz w:val="20"/>
                <w:szCs w:val="20"/>
                <w:color w:val="auto"/>
              </w:rPr>
            </w:pPr>
            <w:r>
              <w:rPr>
                <w:rFonts w:ascii="Arial" w:cs="Arial" w:eastAsia="Arial" w:hAnsi="Arial"/>
                <w:sz w:val="18"/>
                <w:szCs w:val="18"/>
                <w:color w:val="auto"/>
              </w:rPr>
              <w:t>Vested</w:t>
            </w: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(1,274,311 )</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58.65</w:t>
            </w:r>
          </w:p>
        </w:tc>
        <w:tc>
          <w:tcPr>
            <w:tcW w:w="8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2022</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4,020,926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51.51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7"/>
        </w:trPr>
        <w:tc>
          <w:tcPr>
            <w:tcW w:w="4740" w:type="dxa"/>
            <w:vAlign w:val="bottom"/>
          </w:tcPr>
          <w:p>
            <w:pPr>
              <w:spacing w:after="0" w:line="197" w:lineRule="exact"/>
              <w:rPr>
                <w:sz w:val="20"/>
                <w:szCs w:val="20"/>
                <w:color w:val="auto"/>
              </w:rPr>
            </w:pPr>
            <w:r>
              <w:rPr>
                <w:rFonts w:ascii="Arial" w:cs="Arial" w:eastAsia="Arial" w:hAnsi="Arial"/>
                <w:sz w:val="18"/>
                <w:szCs w:val="18"/>
                <w:color w:val="auto"/>
              </w:rPr>
              <w:t>Vested and deferred at March 31, 2022</w:t>
            </w:r>
          </w:p>
        </w:tc>
        <w:tc>
          <w:tcPr>
            <w:tcW w:w="1240" w:type="dxa"/>
            <w:vAlign w:val="bottom"/>
          </w:tcPr>
          <w:p>
            <w:pPr>
              <w:jc w:val="right"/>
              <w:spacing w:after="0" w:line="197" w:lineRule="exact"/>
              <w:rPr>
                <w:sz w:val="20"/>
                <w:szCs w:val="20"/>
                <w:color w:val="auto"/>
              </w:rPr>
            </w:pPr>
            <w:r>
              <w:rPr>
                <w:rFonts w:ascii="Arial" w:cs="Arial" w:eastAsia="Arial" w:hAnsi="Arial"/>
                <w:sz w:val="18"/>
                <w:szCs w:val="18"/>
                <w:color w:val="auto"/>
              </w:rPr>
              <w:t>194,641</w:t>
            </w:r>
          </w:p>
        </w:tc>
        <w:tc>
          <w:tcPr>
            <w:tcW w:w="260" w:type="dxa"/>
            <w:vAlign w:val="bottom"/>
          </w:tcPr>
          <w:p>
            <w:pPr>
              <w:spacing w:after="0"/>
              <w:rPr>
                <w:sz w:val="17"/>
                <w:szCs w:val="17"/>
                <w:color w:val="auto"/>
              </w:rPr>
            </w:pPr>
          </w:p>
        </w:tc>
        <w:tc>
          <w:tcPr>
            <w:tcW w:w="180" w:type="dxa"/>
            <w:vAlign w:val="bottom"/>
          </w:tcPr>
          <w:p>
            <w:pPr>
              <w:jc w:val="right"/>
              <w:spacing w:after="0" w:line="197"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7" w:lineRule="exact"/>
              <w:rPr>
                <w:sz w:val="20"/>
                <w:szCs w:val="20"/>
                <w:color w:val="auto"/>
              </w:rPr>
            </w:pPr>
            <w:r>
              <w:rPr>
                <w:rFonts w:ascii="Arial" w:cs="Arial" w:eastAsia="Arial" w:hAnsi="Arial"/>
                <w:sz w:val="18"/>
                <w:szCs w:val="18"/>
                <w:color w:val="auto"/>
              </w:rPr>
              <w:t>48.96</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-162560</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-145415</wp:posOffset>
            </wp:positionV>
            <wp:extent cx="514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0"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The total fair value of shares vested related to restricted stock units during the fiscal years 2022, 2021 and 2020 was $66.0 million, $38.8 million and $80.4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Shares Used In Computing Diluted Net (Loss) Income Per Share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8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Weighted average:</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line="175" w:lineRule="exact"/>
              <w:rPr>
                <w:sz w:val="20"/>
                <w:szCs w:val="20"/>
                <w:color w:val="auto"/>
              </w:rPr>
            </w:pPr>
            <w:r>
              <w:rPr>
                <w:rFonts w:ascii="Arial" w:cs="Arial" w:eastAsia="Arial" w:hAnsi="Arial"/>
                <w:sz w:val="18"/>
                <w:szCs w:val="18"/>
                <w:color w:val="auto"/>
              </w:rPr>
              <w:t>Common shares outstanding used in calculating basic</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20" w:type="dxa"/>
            <w:vAlign w:val="bottom"/>
          </w:tcPr>
          <w:p>
            <w:pPr>
              <w:ind w:left="160"/>
              <w:spacing w:after="0" w:line="176" w:lineRule="exact"/>
              <w:rPr>
                <w:sz w:val="20"/>
                <w:szCs w:val="20"/>
                <w:color w:val="auto"/>
              </w:rPr>
            </w:pPr>
            <w:r>
              <w:rPr>
                <w:rFonts w:ascii="Arial" w:cs="Arial" w:eastAsia="Arial" w:hAnsi="Arial"/>
                <w:sz w:val="18"/>
                <w:szCs w:val="18"/>
                <w:color w:val="auto"/>
              </w:rPr>
              <w:t>net (loss) income per share attributable to Viasat,</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60"/>
              <w:spacing w:after="0" w:line="203" w:lineRule="exact"/>
              <w:rPr>
                <w:sz w:val="20"/>
                <w:szCs w:val="20"/>
                <w:color w:val="auto"/>
              </w:rPr>
            </w:pPr>
            <w:r>
              <w:rPr>
                <w:rFonts w:ascii="Arial" w:cs="Arial" w:eastAsia="Arial" w:hAnsi="Arial"/>
                <w:sz w:val="18"/>
                <w:szCs w:val="18"/>
                <w:color w:val="auto"/>
              </w:rPr>
              <w:t>Inc. common stockholders</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73,397</w:t>
            </w:r>
          </w:p>
        </w:tc>
        <w:tc>
          <w:tcPr>
            <w:tcW w:w="1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66,444</w:t>
            </w:r>
          </w:p>
        </w:tc>
        <w:tc>
          <w:tcPr>
            <w:tcW w:w="1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61,632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Restricted stock units to acquire common stock as</w:t>
            </w: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determined by application of the treasury stock</w:t>
            </w:r>
          </w:p>
        </w:tc>
        <w:tc>
          <w:tcPr>
            <w:tcW w:w="1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method</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line="175" w:lineRule="exact"/>
              <w:rPr>
                <w:sz w:val="20"/>
                <w:szCs w:val="20"/>
                <w:color w:val="auto"/>
              </w:rPr>
            </w:pPr>
            <w:r>
              <w:rPr>
                <w:rFonts w:ascii="Arial" w:cs="Arial" w:eastAsia="Arial" w:hAnsi="Arial"/>
                <w:sz w:val="18"/>
                <w:szCs w:val="18"/>
                <w:color w:val="auto"/>
              </w:rPr>
              <w:t>Potentially issuable shares in connection with certain</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160"/>
              <w:spacing w:after="0" w:line="176" w:lineRule="exact"/>
              <w:rPr>
                <w:sz w:val="20"/>
                <w:szCs w:val="20"/>
                <w:color w:val="auto"/>
              </w:rPr>
            </w:pPr>
            <w:r>
              <w:rPr>
                <w:rFonts w:ascii="Arial" w:cs="Arial" w:eastAsia="Arial" w:hAnsi="Arial"/>
                <w:sz w:val="18"/>
                <w:szCs w:val="18"/>
                <w:color w:val="auto"/>
              </w:rPr>
              <w:t>terms of the Viasat 401(k) Profit Sharing Plan and</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160"/>
              <w:spacing w:after="0" w:line="190" w:lineRule="exact"/>
              <w:rPr>
                <w:sz w:val="20"/>
                <w:szCs w:val="20"/>
                <w:color w:val="auto"/>
              </w:rPr>
            </w:pPr>
            <w:r>
              <w:rPr>
                <w:rFonts w:ascii="Arial" w:cs="Arial" w:eastAsia="Arial" w:hAnsi="Arial"/>
                <w:sz w:val="18"/>
                <w:szCs w:val="18"/>
                <w:color w:val="auto"/>
              </w:rPr>
              <w:t>Employee Stock Purchase Plan</w:t>
            </w:r>
          </w:p>
        </w:tc>
        <w:tc>
          <w:tcPr>
            <w:tcW w:w="126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52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Shares used in computing diluted net (loss) income per</w:t>
            </w:r>
          </w:p>
        </w:tc>
        <w:tc>
          <w:tcPr>
            <w:tcW w:w="12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2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share attributable to Viasat, Inc. common</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73,397</w:t>
            </w:r>
          </w:p>
        </w:tc>
        <w:tc>
          <w:tcPr>
            <w:tcW w:w="240" w:type="dxa"/>
            <w:vAlign w:val="bottom"/>
            <w:vMerge w:val="restart"/>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67,020</w:t>
            </w:r>
          </w:p>
        </w:tc>
        <w:tc>
          <w:tcPr>
            <w:tcW w:w="220" w:type="dxa"/>
            <w:vAlign w:val="bottom"/>
            <w:vMerge w:val="restart"/>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61,632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shd w:val="clear" w:color="auto" w:fill="CFF0FC"/>
          </w:tcPr>
          <w:p>
            <w:pPr>
              <w:ind w:left="160"/>
              <w:spacing w:after="0" w:line="143" w:lineRule="exact"/>
              <w:rPr>
                <w:sz w:val="20"/>
                <w:szCs w:val="20"/>
                <w:color w:val="auto"/>
              </w:rPr>
            </w:pPr>
            <w:r>
              <w:rPr>
                <w:rFonts w:ascii="Arial" w:cs="Arial" w:eastAsia="Arial" w:hAnsi="Arial"/>
                <w:sz w:val="16"/>
                <w:szCs w:val="16"/>
                <w:color w:val="auto"/>
              </w:rPr>
              <w:t>stockholders</w:t>
            </w: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vMerge w:val="continue"/>
            <w:shd w:val="clear" w:color="auto" w:fill="CFF0FC"/>
          </w:tcPr>
          <w:p>
            <w:pPr>
              <w:spacing w:after="0"/>
              <w:rPr>
                <w:sz w:val="17"/>
                <w:szCs w:val="17"/>
                <w:color w:val="auto"/>
              </w:rPr>
            </w:pPr>
          </w:p>
        </w:tc>
        <w:tc>
          <w:tcPr>
            <w:tcW w:w="14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vMerge w:val="continue"/>
            <w:shd w:val="clear" w:color="auto" w:fill="CFF0FC"/>
          </w:tcPr>
          <w:p>
            <w:pPr>
              <w:spacing w:after="0"/>
              <w:rPr>
                <w:sz w:val="17"/>
                <w:szCs w:val="17"/>
                <w:color w:val="auto"/>
              </w:rPr>
            </w:pP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5"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fiscal years ended March 31, 2022 and 2020, as the Company incurred a net loss attributable to Viasat, Inc. common stockholders for such periods and inclusion of potentially dilutive weighted average shares of common stock would be antidilutive. Potentially dilutive weighted average shares excluded from the calculation for fiscal years 2022 and 2020, respectively, consisted of 848,791 and 591,396 shares related to stock options (other than TSR performance stock options), 264,645 and 138,026 shares related to TSR performance stock options, 2,150,449 and 841,890 shares related to restricted stock units, and 417,308 and 446,603 shares related to certain terms of the Viasat 401(k) Profit Sharing Plan and Employee Stock Purchase Plan.</w:t>
      </w:r>
    </w:p>
    <w:p>
      <w:pPr>
        <w:spacing w:after="0" w:line="14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Antidilutive shares excluded from the calculation for the fiscal year ended March 31, 2021 consisted of 1,119,819 shares related to stock options (other than TSR performance stock options), 475,371 shares related to TSR performance stock options and 2,205,085 shares related to restricted stock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(loss) income before income taxes by jurisdiction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29"/>
        </w:trPr>
        <w:tc>
          <w:tcPr>
            <w:tcW w:w="11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221"/>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960" w:type="dxa"/>
            <w:vAlign w:val="bottom"/>
          </w:tcPr>
          <w:p>
            <w:pPr>
              <w:jc w:val="right"/>
              <w:ind w:right="157"/>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9"/>
        </w:trPr>
        <w:tc>
          <w:tcPr>
            <w:tcW w:w="1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2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2,222</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48,443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27,000</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(18,661 )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(22,457 )</w:t>
            </w: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(25,572 )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2700" w:type="dxa"/>
            <w:vAlign w:val="bottom"/>
            <w:tcBorders>
              <w:bottom w:val="single" w:sz="8" w:color="CFF0FC"/>
            </w:tcBorders>
            <w:shd w:val="clear" w:color="auto" w:fill="CFF0FC"/>
          </w:tcPr>
          <w:p>
            <w:pPr>
              <w:spacing w:after="0"/>
              <w:rPr>
                <w:sz w:val="20"/>
                <w:szCs w:val="20"/>
                <w:color w:val="auto"/>
              </w:rPr>
            </w:pPr>
          </w:p>
        </w:tc>
        <w:tc>
          <w:tcPr>
            <w:tcW w:w="25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25,986</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1,428</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80" w:type="dxa"/>
            <w:vAlign w:val="bottom"/>
            <w:gridSpan w:val="2"/>
          </w:tcPr>
          <w:p>
            <w:pPr>
              <w:jc w:val="right"/>
              <w:ind w:right="630"/>
              <w:spacing w:after="0"/>
              <w:rPr>
                <w:sz w:val="20"/>
                <w:szCs w:val="20"/>
                <w:color w:val="auto"/>
              </w:rPr>
            </w:pPr>
            <w:r>
              <w:rPr>
                <w:rFonts w:ascii="Arial" w:cs="Arial" w:eastAsia="Arial" w:hAnsi="Arial"/>
                <w:sz w:val="18"/>
                <w:szCs w:val="18"/>
                <w:color w:val="auto"/>
              </w:rPr>
              <w:t>F-35</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-505460</wp:posOffset>
            </wp:positionV>
            <wp:extent cx="603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-488315</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-505460</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-488315</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-488315</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benefit from (provision for) income taxes includes the following:</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9"/>
        </w:trPr>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221"/>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1"/>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96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r>
      <w:tr>
        <w:trPr>
          <w:trHeight w:val="189"/>
        </w:trPr>
        <w:tc>
          <w:tcPr>
            <w:tcW w:w="5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tax provision</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220" w:type="dxa"/>
            <w:vAlign w:val="bottom"/>
          </w:tcPr>
          <w:p>
            <w:pPr>
              <w:ind w:left="260"/>
              <w:spacing w:after="0" w:line="202" w:lineRule="exact"/>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(7,097 )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(8,573 )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(5,935 )</w:t>
            </w:r>
          </w:p>
        </w:tc>
      </w:tr>
      <w:tr>
        <w:trPr>
          <w:trHeight w:val="203"/>
        </w:trPr>
        <w:tc>
          <w:tcPr>
            <w:tcW w:w="52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State</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(2,041 )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(3,386 )</w:t>
            </w: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(1,465 )</w:t>
            </w:r>
          </w:p>
        </w:tc>
      </w:tr>
      <w:tr>
        <w:trPr>
          <w:trHeight w:val="203"/>
        </w:trPr>
        <w:tc>
          <w:tcPr>
            <w:tcW w:w="5220" w:type="dxa"/>
            <w:vAlign w:val="bottom"/>
          </w:tcPr>
          <w:p>
            <w:pPr>
              <w:ind w:left="260"/>
              <w:spacing w:after="0" w:line="202" w:lineRule="exact"/>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(4,042 )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(327 )</w:t>
            </w:r>
          </w:p>
        </w:tc>
      </w:tr>
      <w:tr>
        <w:trPr>
          <w:trHeight w:val="196"/>
        </w:trPr>
        <w:tc>
          <w:tcPr>
            <w:tcW w:w="5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(11,510</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(7,727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Deferred tax benefit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12,961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9,889</w:t>
            </w:r>
          </w:p>
        </w:tc>
        <w:tc>
          <w:tcPr>
            <w:tcW w:w="80" w:type="dxa"/>
            <w:vAlign w:val="bottom"/>
            <w:shd w:val="clear" w:color="auto" w:fill="CFF0FC"/>
          </w:tcPr>
          <w:p>
            <w:pPr>
              <w:spacing w:after="0"/>
              <w:rPr>
                <w:sz w:val="17"/>
                <w:szCs w:val="17"/>
                <w:color w:val="auto"/>
              </w:rPr>
            </w:pPr>
          </w:p>
        </w:tc>
      </w:tr>
      <w:tr>
        <w:trPr>
          <w:trHeight w:val="203"/>
        </w:trPr>
        <w:tc>
          <w:tcPr>
            <w:tcW w:w="5220" w:type="dxa"/>
            <w:vAlign w:val="bottom"/>
          </w:tcPr>
          <w:p>
            <w:pPr>
              <w:ind w:left="260"/>
              <w:spacing w:after="0" w:line="202" w:lineRule="exact"/>
              <w:rPr>
                <w:sz w:val="20"/>
                <w:szCs w:val="20"/>
                <w:color w:val="auto"/>
              </w:rPr>
            </w:pPr>
            <w:r>
              <w:rPr>
                <w:rFonts w:ascii="Arial" w:cs="Arial" w:eastAsia="Arial" w:hAnsi="Arial"/>
                <w:sz w:val="18"/>
                <w:szCs w:val="18"/>
                <w:color w:val="auto"/>
              </w:rPr>
              <w:t>State</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5,797</w:t>
            </w:r>
          </w:p>
        </w:tc>
        <w:tc>
          <w:tcPr>
            <w:tcW w:w="80" w:type="dxa"/>
            <w:vAlign w:val="bottom"/>
          </w:tcPr>
          <w:p>
            <w:pPr>
              <w:spacing w:after="0"/>
              <w:rPr>
                <w:sz w:val="17"/>
                <w:szCs w:val="17"/>
                <w:color w:val="auto"/>
              </w:rPr>
            </w:pPr>
          </w:p>
        </w:tc>
      </w:tr>
      <w:tr>
        <w:trPr>
          <w:trHeight w:val="202"/>
        </w:trPr>
        <w:tc>
          <w:tcPr>
            <w:tcW w:w="52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Foreign</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(44 )</w:t>
            </w:r>
          </w:p>
        </w:tc>
      </w:tr>
      <w:tr>
        <w:trPr>
          <w:trHeight w:val="196"/>
        </w:trPr>
        <w:tc>
          <w:tcPr>
            <w:tcW w:w="52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27,417</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w:t>
            </w:r>
          </w:p>
        </w:tc>
        <w:tc>
          <w:tcPr>
            <w:tcW w:w="1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15,642</w:t>
            </w:r>
          </w:p>
        </w:tc>
        <w:tc>
          <w:tcPr>
            <w:tcW w:w="80" w:type="dxa"/>
            <w:vAlign w:val="bottom"/>
            <w:tcBorders>
              <w:top w:val="single" w:sz="8" w:color="CFF0FC"/>
            </w:tcBorders>
          </w:tcPr>
          <w:p>
            <w:pPr>
              <w:spacing w:after="0"/>
              <w:rPr>
                <w:sz w:val="17"/>
                <w:szCs w:val="17"/>
                <w:color w:val="auto"/>
              </w:rPr>
            </w:pPr>
          </w:p>
        </w:tc>
      </w:tr>
      <w:tr>
        <w:trPr>
          <w:trHeight w:val="23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benefit from (provision for) income taxes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14,237</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(9,441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7,915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-819150</wp:posOffset>
            </wp:positionV>
            <wp:extent cx="6032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-819150</wp:posOffset>
            </wp:positionV>
            <wp:extent cx="5143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-819150</wp:posOffset>
            </wp:positionV>
            <wp:extent cx="5143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-296545</wp:posOffset>
            </wp:positionV>
            <wp:extent cx="6032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-296545</wp:posOffset>
            </wp:positionV>
            <wp:extent cx="5143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-296545</wp:posOffset>
            </wp:positionV>
            <wp:extent cx="5143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348"/>
              <w:spacing w:after="0" w:line="12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9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tcPr>
          <w:p>
            <w:pPr>
              <w:ind w:left="260"/>
              <w:spacing w:after="0" w:line="202" w:lineRule="exact"/>
              <w:rPr>
                <w:sz w:val="20"/>
                <w:szCs w:val="20"/>
                <w:color w:val="auto"/>
              </w:rPr>
            </w:pPr>
            <w:r>
              <w:rPr>
                <w:rFonts w:ascii="Arial" w:cs="Arial" w:eastAsia="Arial" w:hAnsi="Arial"/>
                <w:sz w:val="18"/>
                <w:szCs w:val="18"/>
                <w:color w:val="auto"/>
              </w:rPr>
              <w:t>Net operating loss carryforwards</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251,276</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187,900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Tax credit carryforwards</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299,165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272,126</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tcPr>
          <w:p>
            <w:pPr>
              <w:ind w:left="260"/>
              <w:spacing w:after="0" w:line="202" w:lineRule="exact"/>
              <w:rPr>
                <w:sz w:val="20"/>
                <w:szCs w:val="20"/>
                <w:color w:val="auto"/>
              </w:rPr>
            </w:pPr>
            <w:r>
              <w:rPr>
                <w:rFonts w:ascii="Arial" w:cs="Arial" w:eastAsia="Arial" w:hAnsi="Arial"/>
                <w:sz w:val="18"/>
                <w:szCs w:val="18"/>
                <w:color w:val="auto"/>
              </w:rPr>
              <w:t>Operating lease liabilities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93,580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88,259</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Deferred revenue</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21,546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21,345</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tcPr>
          <w:p>
            <w:pPr>
              <w:ind w:left="260"/>
              <w:spacing w:after="0" w:line="202" w:lineRule="exact"/>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99,074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82,222</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Valuation allowance</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(78,071 )</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(47,076 )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360" w:type="dxa"/>
            <w:vAlign w:val="bottom"/>
            <w:tcBorders>
              <w:top w:val="single" w:sz="8" w:color="CFF0FC"/>
            </w:tcBorders>
          </w:tcPr>
          <w:p>
            <w:pPr>
              <w:ind w:left="260"/>
              <w:spacing w:after="0" w:line="196" w:lineRule="exact"/>
              <w:rPr>
                <w:sz w:val="20"/>
                <w:szCs w:val="20"/>
                <w:color w:val="auto"/>
              </w:rPr>
            </w:pPr>
            <w:r>
              <w:rPr>
                <w:rFonts w:ascii="Arial" w:cs="Arial" w:eastAsia="Arial" w:hAnsi="Arial"/>
                <w:sz w:val="18"/>
                <w:szCs w:val="18"/>
                <w:color w:val="auto"/>
              </w:rPr>
              <w:t>Total deferred tax assets</w:t>
            </w:r>
          </w:p>
        </w:tc>
        <w:tc>
          <w:tcPr>
            <w:tcW w:w="19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686,570</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604,776</w:t>
            </w:r>
          </w:p>
        </w:tc>
        <w:tc>
          <w:tcPr>
            <w:tcW w:w="8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tcPr>
          <w:p>
            <w:pPr>
              <w:ind w:left="260"/>
              <w:spacing w:after="0" w:line="202" w:lineRule="exact"/>
              <w:rPr>
                <w:sz w:val="20"/>
                <w:szCs w:val="20"/>
                <w:color w:val="auto"/>
              </w:rPr>
            </w:pPr>
            <w:r>
              <w:rPr>
                <w:rFonts w:ascii="Arial" w:cs="Arial" w:eastAsia="Arial" w:hAnsi="Arial"/>
                <w:sz w:val="18"/>
                <w:szCs w:val="18"/>
                <w:color w:val="auto"/>
              </w:rPr>
              <w:t>Intangible assets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(119,299 )</w:t>
            </w:r>
          </w:p>
        </w:tc>
        <w:tc>
          <w:tcPr>
            <w:tcW w:w="1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(71,335 )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Property, equipment and satellites</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(163,560 )</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(142,899 )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tcPr>
          <w:p>
            <w:pPr>
              <w:ind w:left="260"/>
              <w:spacing w:after="0" w:line="202" w:lineRule="exact"/>
              <w:rPr>
                <w:sz w:val="20"/>
                <w:szCs w:val="20"/>
                <w:color w:val="auto"/>
              </w:rPr>
            </w:pPr>
            <w:r>
              <w:rPr>
                <w:rFonts w:ascii="Arial" w:cs="Arial" w:eastAsia="Arial" w:hAnsi="Arial"/>
                <w:sz w:val="18"/>
                <w:szCs w:val="18"/>
                <w:color w:val="auto"/>
              </w:rPr>
              <w:t>Operating lease assets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(87,677 )</w:t>
            </w:r>
          </w:p>
        </w:tc>
        <w:tc>
          <w:tcPr>
            <w:tcW w:w="1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(83,065 )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(28,261 )</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(34,208 )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360" w:type="dxa"/>
            <w:vAlign w:val="bottom"/>
          </w:tcPr>
          <w:p>
            <w:pPr>
              <w:ind w:left="260"/>
              <w:spacing w:after="0" w:line="196" w:lineRule="exact"/>
              <w:rPr>
                <w:sz w:val="20"/>
                <w:szCs w:val="20"/>
                <w:color w:val="auto"/>
              </w:rPr>
            </w:pPr>
            <w:r>
              <w:rPr>
                <w:rFonts w:ascii="Arial" w:cs="Arial" w:eastAsia="Arial" w:hAnsi="Arial"/>
                <w:sz w:val="18"/>
                <w:szCs w:val="18"/>
                <w:color w:val="auto"/>
              </w:rPr>
              <w:t>Total deferred tax liabilities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(398,797 )</w:t>
            </w:r>
          </w:p>
        </w:tc>
        <w:tc>
          <w:tcPr>
            <w:tcW w:w="18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(331,507 )</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19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287,773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273,269</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40" w:type="dxa"/>
            <w:vAlign w:val="bottom"/>
            <w:gridSpan w:val="2"/>
          </w:tcPr>
          <w:p>
            <w:pPr>
              <w:jc w:val="right"/>
              <w:ind w:right="1310"/>
              <w:spacing w:after="0"/>
              <w:rPr>
                <w:sz w:val="20"/>
                <w:szCs w:val="20"/>
                <w:color w:val="auto"/>
              </w:rPr>
            </w:pPr>
            <w:r>
              <w:rPr>
                <w:rFonts w:ascii="Arial" w:cs="Arial" w:eastAsia="Arial" w:hAnsi="Arial"/>
                <w:sz w:val="18"/>
                <w:szCs w:val="18"/>
                <w:color w:val="auto"/>
              </w:rPr>
              <w:t>F-36</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-1556385</wp:posOffset>
            </wp:positionV>
            <wp:extent cx="5143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-1556385</wp:posOffset>
            </wp:positionV>
            <wp:extent cx="4318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-776605</wp:posOffset>
            </wp:positionV>
            <wp:extent cx="5143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-776605</wp:posOffset>
            </wp:positionV>
            <wp:extent cx="431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-504825</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-488315</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A reconciliation of the benefit from (provision for) income taxes to the amount computed by applying the statutory federal income tax rate to (loss) income before income taxes is as follows: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9"/>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1"/>
                <w:szCs w:val="11"/>
                <w:color w:val="auto"/>
              </w:rPr>
            </w:pPr>
          </w:p>
        </w:tc>
        <w:tc>
          <w:tcPr>
            <w:tcW w:w="9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r>
      <w:tr>
        <w:trPr>
          <w:trHeight w:val="189"/>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benefit (provision) at federal statutory rate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3,455</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(5,457 )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(300 )</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State tax provision, net of federal benefit</w:t>
            </w:r>
          </w:p>
        </w:tc>
        <w:tc>
          <w:tcPr>
            <w:tcW w:w="1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(653 )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(5,067 )</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(1,093 )</w:t>
            </w: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credits, net of valuation allowance</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27,052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24,272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25,153</w:t>
            </w:r>
          </w:p>
        </w:tc>
        <w:tc>
          <w:tcPr>
            <w:tcW w:w="8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Non-deductible compensation</w:t>
            </w:r>
          </w:p>
        </w:tc>
        <w:tc>
          <w:tcPr>
            <w:tcW w:w="1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(5,771 )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(5,728 )</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(7,150 )</w:t>
            </w: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transaction costs</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(1,361 )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Non-deductible meals and entertainment</w:t>
            </w:r>
          </w:p>
        </w:tc>
        <w:tc>
          <w:tcPr>
            <w:tcW w:w="1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(337 )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(386 )</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(1,075 )</w:t>
            </w: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(7,569 )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(9,901 )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w:t>
            </w:r>
          </w:p>
        </w:tc>
        <w:tc>
          <w:tcPr>
            <w:tcW w:w="8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Change in state effective tax rate</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(2,360 )</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(14 )</w:t>
            </w:r>
          </w:p>
        </w:tc>
      </w:tr>
      <w:tr>
        <w:trPr>
          <w:trHeight w:val="175"/>
        </w:trPr>
        <w:tc>
          <w:tcPr>
            <w:tcW w:w="524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Foreign effective tax rate differential, net of</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52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(6,201 )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(3,046 )</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(5,707 )</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Unremitted subsidiary gains</w:t>
            </w:r>
          </w:p>
        </w:tc>
        <w:tc>
          <w:tcPr>
            <w:tcW w:w="1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(1,565 )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(1,682 )</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(2,742 )</w:t>
            </w: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to indefinite reinvestment assertion (EBI)</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8,071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75"/>
        </w:trPr>
        <w:tc>
          <w:tcPr>
            <w:tcW w:w="5240" w:type="dxa"/>
            <w:vAlign w:val="bottom"/>
          </w:tcPr>
          <w:p>
            <w:pPr>
              <w:spacing w:after="0" w:line="175" w:lineRule="exact"/>
              <w:rPr>
                <w:sz w:val="20"/>
                <w:szCs w:val="20"/>
                <w:color w:val="auto"/>
              </w:rPr>
            </w:pPr>
            <w:r>
              <w:rPr>
                <w:rFonts w:ascii="Arial" w:cs="Arial" w:eastAsia="Arial" w:hAnsi="Arial"/>
                <w:sz w:val="18"/>
                <w:szCs w:val="18"/>
                <w:color w:val="auto"/>
              </w:rPr>
              <w:t>Change in federal tax rate due to 2020 CARES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5240" w:type="dxa"/>
            <w:vAlign w:val="bottom"/>
          </w:tcPr>
          <w:p>
            <w:pPr>
              <w:ind w:left="140"/>
              <w:spacing w:after="0" w:line="203" w:lineRule="exact"/>
              <w:rPr>
                <w:sz w:val="20"/>
                <w:szCs w:val="20"/>
                <w:color w:val="auto"/>
              </w:rPr>
            </w:pPr>
            <w:r>
              <w:rPr>
                <w:rFonts w:ascii="Arial" w:cs="Arial" w:eastAsia="Arial" w:hAnsi="Arial"/>
                <w:sz w:val="18"/>
                <w:szCs w:val="18"/>
                <w:color w:val="auto"/>
              </w:rPr>
              <w:t>Act</w:t>
            </w:r>
          </w:p>
        </w:tc>
        <w:tc>
          <w:tcPr>
            <w:tcW w:w="160" w:type="dxa"/>
            <w:vAlign w:val="bottom"/>
          </w:tcPr>
          <w:p>
            <w:pPr>
              <w:spacing w:after="0"/>
              <w:rPr>
                <w:sz w:val="17"/>
                <w:szCs w:val="17"/>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567</w:t>
            </w:r>
          </w:p>
        </w:tc>
        <w:tc>
          <w:tcPr>
            <w:tcW w:w="8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(1,423 )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(86 )</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(504 )</w:t>
            </w:r>
          </w:p>
        </w:tc>
      </w:tr>
      <w:tr>
        <w:trPr>
          <w:trHeight w:val="20"/>
        </w:trPr>
        <w:tc>
          <w:tcPr>
            <w:tcW w:w="5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Total benefit from (provision for) income taxes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14,237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(9,441 )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7,915</w:t>
            </w:r>
          </w:p>
        </w:tc>
        <w:tc>
          <w:tcPr>
            <w:tcW w:w="80" w:type="dxa"/>
            <w:vAlign w:val="bottom"/>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-159385</wp:posOffset>
            </wp:positionV>
            <wp:extent cx="5969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wp:posOffset>
            </wp:positionV>
            <wp:extent cx="5143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As of March 31, 2022, the Company had federal and state research &amp; development (R&amp;D) tax credit carryforwards of $242.9 million and $192.8 million, respectively, which begin to expire in fiscal year 2026 and fiscal year 2023, respectively. As of March 31, 2022, the Company had federal and state net operating loss carryforwards of $854.7 million and $546.5 million, respectively, both of which begin to expire in fiscal year 2023.</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$78.1 million at March 31, 2022 and $47.1 million at March 31, 2021 has been established relating to state and foreign net operating loss carryforwards, state R&amp;D tax credit carryforwards, and foreign tax credit carryforwards that, based on management’s estimate of future taxable income attributable to such jurisdictions and generation of additional research credits, are considered more likely than not to expire unused.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9"/>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96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r>
      <w:tr>
        <w:trPr>
          <w:trHeight w:val="189"/>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fiscal year</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92,962</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80,591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68,156</w:t>
            </w:r>
          </w:p>
        </w:tc>
        <w:tc>
          <w:tcPr>
            <w:tcW w:w="8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Increase (decrease) related to prior year tax positions</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7,486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(828 )</w:t>
            </w: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(949 )</w:t>
            </w:r>
          </w:p>
        </w:tc>
      </w:tr>
      <w:tr>
        <w:trPr>
          <w:trHeight w:val="203"/>
        </w:trPr>
        <w:tc>
          <w:tcPr>
            <w:tcW w:w="5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12,358</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13,199</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13,384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Balance, end of fiscal year</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112,806</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92,962</w:t>
            </w:r>
          </w:p>
        </w:tc>
        <w:tc>
          <w:tcPr>
            <w:tcW w:w="1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80,591</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-159385</wp:posOffset>
            </wp:positionV>
            <wp:extent cx="6032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-159385</wp:posOffset>
            </wp:positionV>
            <wp:extent cx="5143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right="300" w:firstLine="509"/>
        <w:spacing w:after="0" w:line="238" w:lineRule="auto"/>
        <w:rPr>
          <w:sz w:val="20"/>
          <w:szCs w:val="20"/>
          <w:color w:val="auto"/>
        </w:rPr>
      </w:pPr>
      <w:r>
        <w:rPr>
          <w:rFonts w:ascii="Arial" w:cs="Arial" w:eastAsia="Arial" w:hAnsi="Arial"/>
          <w:sz w:val="18"/>
          <w:szCs w:val="18"/>
          <w:color w:val="auto"/>
        </w:rPr>
        <w:t>Of the total unrecognized tax benefits at March 31, 2022, $102.5 million would reduce the Company’s annual effective tax rate if recognized, subject to valuation allowance consideration. The Company’s policy is to recognize interest expense and penalties related to income tax matters as a component of income tax expense. As of March 31, 2022, the Company has accrued interest and penalties of approximately $2.0 million. The Company recognized a tax benefit of $1.2 million for reductions of interest and penalties in income tax expense for the year ended March 31, 2022. No interest or penalties were accrued as of March 31, 2021.</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next 12 months it is reasonably possible that the amount of unrecognized tax benefits will not change significantly.</w:t>
      </w:r>
    </w:p>
    <w:p>
      <w:pPr>
        <w:spacing w:after="0" w:line="15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and state income tax returns are subject to examination by the tax authorities for fiscal years 2019 and thereafter. Additionally, net operating loss and R&amp;D tax credit carryovers that were generated in prior years may also be subject to examination. With few exceptions, fiscal years 2018 and thereafter remain open to examination by foreign tax authorities. The Company believes that it has appropriate support for the income tax positions taken on its tax returns and its accruals for tax liabilities are adequate for all open years based on an assessment of many factors, including past experience and interpretations.</w:t>
      </w:r>
    </w:p>
    <w:p>
      <w:pPr>
        <w:spacing w:after="0" w:line="210" w:lineRule="exact"/>
        <w:rPr>
          <w:sz w:val="20"/>
          <w:szCs w:val="20"/>
          <w:color w:val="auto"/>
        </w:rPr>
      </w:pPr>
    </w:p>
    <w:p>
      <w:pPr>
        <w:ind w:right="5220"/>
        <w:spacing w:after="0" w:line="341"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Euro Broadband Infrastructure Sàrl</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March 2017, the Company acquired a 49% interest in EBI for $139.5 million as part of the consummation of the Company’s strategic partnering arrangement with Eutelsat. On April 30, 2021, EBI became a consolidated subsidiary when the Company purchased the remaining 51% interest in EBI from Eutelsat (see Note 16 — Acquisitions — EBI for more information).</w:t>
      </w:r>
    </w:p>
    <w:p>
      <w:pPr>
        <w:spacing w:after="0" w:line="14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Prior to the purchase of the remaining 51% interest on April 30, 2021, the Company’s investment in EBI was accounted for under the equity method and the total investment, including basis difference allocated to tangible assets, identifiable intangible assets, deferred income taxes and goodwill, was classified as a single line item, as an investment in unconsolidated affiliate, in the Company’s consolidated balance sheets. Because the underlying net assets in EBI and the related excess carrying value of investment over the proportionate share of net assets was denominated in Euros, foreign currency translation gains or losses impacted the recorded value of the Company’s investment. Prior to the purchase, the Company’s investment in EBI was presented at cost of investment plus its accumulated proportional share of income or loss, including amortization of the difference in the historical basis of the Company’s contribution, less any distributions it has received.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difference between the Company’s carrying value of its investment in EBI and its proportionate share of the net assets of EBI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31, 2021 is summarized as follows:</w:t>
      </w:r>
    </w:p>
    <w:p>
      <w:pPr>
        <w:spacing w:after="0" w:line="1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Carrying value of investment in EBI</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176,938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Less: proportionate share of net assets of EBI</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159,394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400" w:type="dxa"/>
            <w:vAlign w:val="bottom"/>
            <w:shd w:val="clear" w:color="auto" w:fill="CFF0FC"/>
          </w:tcPr>
          <w:p>
            <w:pPr>
              <w:ind w:left="260"/>
              <w:spacing w:after="0" w:line="168" w:lineRule="exact"/>
              <w:rPr>
                <w:sz w:val="20"/>
                <w:szCs w:val="20"/>
                <w:color w:val="auto"/>
              </w:rPr>
            </w:pPr>
            <w:r>
              <w:rPr>
                <w:rFonts w:ascii="Arial" w:cs="Arial" w:eastAsia="Arial" w:hAnsi="Arial"/>
                <w:sz w:val="18"/>
                <w:szCs w:val="18"/>
                <w:color w:val="auto"/>
              </w:rPr>
              <w:t>Excess carrying value of investment over</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17,544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shd w:val="clear" w:color="auto" w:fill="CFF0FC"/>
          </w:tcPr>
          <w:p>
            <w:pPr>
              <w:ind w:left="420"/>
              <w:spacing w:after="0" w:line="143" w:lineRule="exact"/>
              <w:rPr>
                <w:sz w:val="20"/>
                <w:szCs w:val="20"/>
                <w:color w:val="auto"/>
              </w:rPr>
            </w:pPr>
            <w:r>
              <w:rPr>
                <w:rFonts w:ascii="Arial" w:cs="Arial" w:eastAsia="Arial" w:hAnsi="Arial"/>
                <w:sz w:val="16"/>
                <w:szCs w:val="16"/>
                <w:color w:val="auto"/>
              </w:rPr>
              <w:t>proportionate share of net assets</w:t>
            </w: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400" w:type="dxa"/>
            <w:vAlign w:val="bottom"/>
          </w:tcPr>
          <w:p>
            <w:pPr>
              <w:spacing w:after="0" w:line="155" w:lineRule="exact"/>
              <w:rPr>
                <w:sz w:val="20"/>
                <w:szCs w:val="20"/>
                <w:color w:val="auto"/>
              </w:rPr>
            </w:pPr>
            <w:r>
              <w:rPr>
                <w:rFonts w:ascii="Arial" w:cs="Arial" w:eastAsia="Arial" w:hAnsi="Arial"/>
                <w:sz w:val="17"/>
                <w:szCs w:val="17"/>
                <w:color w:val="auto"/>
              </w:rPr>
              <w:t>The excess carrying value has been primarily assigned</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60"/>
              <w:spacing w:after="0" w:line="203" w:lineRule="exact"/>
              <w:rPr>
                <w:sz w:val="20"/>
                <w:szCs w:val="20"/>
                <w:color w:val="auto"/>
              </w:rPr>
            </w:pPr>
            <w:r>
              <w:rPr>
                <w:rFonts w:ascii="Arial" w:cs="Arial" w:eastAsia="Arial" w:hAnsi="Arial"/>
                <w:sz w:val="18"/>
                <w:szCs w:val="18"/>
                <w:color w:val="auto"/>
              </w:rPr>
              <w:t>to:</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60"/>
              <w:spacing w:after="0" w:line="202" w:lineRule="exact"/>
              <w:rPr>
                <w:sz w:val="20"/>
                <w:szCs w:val="20"/>
                <w:color w:val="auto"/>
              </w:rPr>
            </w:pPr>
            <w:r>
              <w:rPr>
                <w:rFonts w:ascii="Arial" w:cs="Arial" w:eastAsia="Arial" w:hAnsi="Arial"/>
                <w:sz w:val="18"/>
                <w:szCs w:val="18"/>
                <w:color w:val="auto"/>
              </w:rPr>
              <w:t>Identifiable intangible assets</w:t>
            </w: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8,332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Tangible assets</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(15,781 )</w:t>
            </w:r>
          </w:p>
        </w:tc>
        <w:tc>
          <w:tcPr>
            <w:tcW w:w="0" w:type="dxa"/>
            <w:vAlign w:val="bottom"/>
          </w:tcPr>
          <w:p>
            <w:pPr>
              <w:spacing w:after="0"/>
              <w:rPr>
                <w:sz w:val="1"/>
                <w:szCs w:val="1"/>
                <w:color w:val="auto"/>
              </w:rPr>
            </w:pPr>
          </w:p>
        </w:tc>
      </w:tr>
      <w:tr>
        <w:trPr>
          <w:trHeight w:val="203"/>
        </w:trPr>
        <w:tc>
          <w:tcPr>
            <w:tcW w:w="6400" w:type="dxa"/>
            <w:vAlign w:val="bottom"/>
          </w:tcPr>
          <w:p>
            <w:pPr>
              <w:ind w:left="26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17,544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-942340</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of March 31, 2021, the identifiable intangible assets had useful lives of up to 11 years and a weighted average useful life of approximately ten years, and tangible assets had useful lives of up to 11 years and a weighted average useful life of approximately 11 years. Goodwill is not deductible for tax purposes.</w:t>
      </w:r>
    </w:p>
    <w:p>
      <w:pPr>
        <w:spacing w:after="0" w:line="14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Company’s share of earnings or losses on its investment in EBI was an insignificant amount of loss for the fiscal year ended March 31, 2022, and an insignificant amount of earnings and $4.5 million of earnings for the fiscal years ended March 31, 2021 and 2020, respectively, consisting of the Company’s share of equity in EBI’s income (loss), including amortization of the difference in the historical basis of the Company’s contribution. Prior to the purchase of the remaining 51% interest on April 30, 2021, the Company recorded its proportionate share of the results of EBI, and any related basis difference amortization expense, within equity in income of unconsolidated affiliate, net, one quarter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arrears. Subsequent to April 30, 2021, the results of EBI have been included within the consolidated results of the Company and will no longer be recorded in arrears with no material impact.</w:t>
      </w:r>
    </w:p>
    <w:p>
      <w:pPr>
        <w:spacing w:after="0" w:line="143" w:lineRule="exact"/>
        <w:rPr>
          <w:sz w:val="20"/>
          <w:szCs w:val="20"/>
          <w:color w:val="auto"/>
        </w:rPr>
      </w:pPr>
    </w:p>
    <w:p>
      <w:pPr>
        <w:ind w:right="580" w:firstLine="509"/>
        <w:spacing w:after="0" w:line="246" w:lineRule="auto"/>
        <w:rPr>
          <w:sz w:val="20"/>
          <w:szCs w:val="20"/>
          <w:color w:val="auto"/>
        </w:rPr>
      </w:pPr>
      <w:r>
        <w:rPr>
          <w:rFonts w:ascii="Arial" w:cs="Arial" w:eastAsia="Arial" w:hAnsi="Arial"/>
          <w:sz w:val="18"/>
          <w:szCs w:val="18"/>
          <w:color w:val="auto"/>
        </w:rPr>
        <w:t>Since acquiring its initial interest in EBI through the purchase date, the Company recorded $10.4 million in retained earnings of undistributed cumulative earnings in equity interests, net of tax, as of April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Transactions with the equity method investee are considered related-party transactions. In the first quarter of fiscal year 2022, the Company acquired the remaining 51% interest in its former equity method investee, EBI. Refer to Note 16 — Acquisitions — EBI for further information. The following tables set forth the material related-party transactions entered into between EBI and its subsidiaries, on the one hand, and the Company and its subsidiaries, on the other hand, in the ordinary course of business for the time periods presented:</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Fiscal Years Ended</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9"/>
        </w:trPr>
        <w:tc>
          <w:tcPr>
            <w:tcW w:w="5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28"/>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28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r>
      <w:tr>
        <w:trPr>
          <w:trHeight w:val="189"/>
        </w:trPr>
        <w:tc>
          <w:tcPr>
            <w:tcW w:w="5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(In</w:t>
            </w:r>
          </w:p>
        </w:tc>
        <w:tc>
          <w:tcPr>
            <w:tcW w:w="8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1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Revenue – EBI</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center"/>
              <w:ind w:left="357"/>
              <w:spacing w:after="0" w:line="202" w:lineRule="exact"/>
              <w:rPr>
                <w:sz w:val="20"/>
                <w:szCs w:val="20"/>
                <w:color w:val="auto"/>
              </w:rPr>
            </w:pPr>
            <w:r>
              <w:rPr>
                <w:rFonts w:ascii="Arial" w:cs="Arial" w:eastAsia="Arial" w:hAnsi="Arial"/>
                <w:sz w:val="18"/>
                <w:szCs w:val="18"/>
                <w:color w:val="auto"/>
              </w:rPr>
              <w:t>10,619</w:t>
            </w:r>
          </w:p>
        </w:tc>
        <w:tc>
          <w:tcPr>
            <w:tcW w:w="860" w:type="dxa"/>
            <w:vAlign w:val="bottom"/>
            <w:gridSpan w:val="2"/>
            <w:shd w:val="clear" w:color="auto" w:fill="CFF0FC"/>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9,993</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Expense – EBI</w:t>
            </w:r>
          </w:p>
        </w:tc>
        <w:tc>
          <w:tcPr>
            <w:tcW w:w="180" w:type="dxa"/>
            <w:vAlign w:val="bottom"/>
          </w:tcPr>
          <w:p>
            <w:pPr>
              <w:spacing w:after="0"/>
              <w:rPr>
                <w:sz w:val="17"/>
                <w:szCs w:val="17"/>
                <w:color w:val="auto"/>
              </w:rPr>
            </w:pPr>
          </w:p>
        </w:tc>
        <w:tc>
          <w:tcPr>
            <w:tcW w:w="1040" w:type="dxa"/>
            <w:vAlign w:val="bottom"/>
            <w:gridSpan w:val="2"/>
          </w:tcPr>
          <w:p>
            <w:pPr>
              <w:jc w:val="center"/>
              <w:ind w:left="357"/>
              <w:spacing w:after="0" w:line="202" w:lineRule="exact"/>
              <w:rPr>
                <w:sz w:val="20"/>
                <w:szCs w:val="20"/>
                <w:color w:val="auto"/>
              </w:rPr>
            </w:pPr>
            <w:r>
              <w:rPr>
                <w:rFonts w:ascii="Arial" w:cs="Arial" w:eastAsia="Arial" w:hAnsi="Arial"/>
                <w:sz w:val="18"/>
                <w:szCs w:val="18"/>
                <w:color w:val="auto"/>
              </w:rPr>
              <w:t>16,341</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18,854</w:t>
            </w:r>
          </w:p>
        </w:tc>
        <w:tc>
          <w:tcPr>
            <w:tcW w:w="80" w:type="dxa"/>
            <w:vAlign w:val="bottom"/>
          </w:tcPr>
          <w:p>
            <w:pPr>
              <w:spacing w:after="0"/>
              <w:rPr>
                <w:sz w:val="17"/>
                <w:szCs w:val="17"/>
                <w:color w:val="auto"/>
              </w:rPr>
            </w:pPr>
          </w:p>
        </w:tc>
      </w:tr>
      <w:tr>
        <w:trPr>
          <w:trHeight w:val="203"/>
        </w:trPr>
        <w:tc>
          <w:tcPr>
            <w:tcW w:w="61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Cash received – EBI</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center"/>
              <w:ind w:left="357"/>
              <w:spacing w:after="0" w:line="202" w:lineRule="exact"/>
              <w:rPr>
                <w:sz w:val="20"/>
                <w:szCs w:val="20"/>
                <w:color w:val="auto"/>
              </w:rPr>
            </w:pPr>
            <w:r>
              <w:rPr>
                <w:rFonts w:ascii="Arial" w:cs="Arial" w:eastAsia="Arial" w:hAnsi="Arial"/>
                <w:sz w:val="18"/>
                <w:szCs w:val="18"/>
                <w:color w:val="auto"/>
              </w:rPr>
              <w:t>10,800</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12,848</w:t>
            </w:r>
          </w:p>
        </w:tc>
        <w:tc>
          <w:tcPr>
            <w:tcW w:w="80" w:type="dxa"/>
            <w:vAlign w:val="bottom"/>
            <w:shd w:val="clear" w:color="auto" w:fill="CFF0FC"/>
          </w:tcPr>
          <w:p>
            <w:pPr>
              <w:spacing w:after="0"/>
              <w:rPr>
                <w:sz w:val="17"/>
                <w:szCs w:val="17"/>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8"/>
                <w:szCs w:val="18"/>
                <w:color w:val="auto"/>
              </w:rPr>
              <w:t>Cash paid – EBI</w:t>
            </w:r>
          </w:p>
        </w:tc>
        <w:tc>
          <w:tcPr>
            <w:tcW w:w="180" w:type="dxa"/>
            <w:vAlign w:val="bottom"/>
          </w:tcPr>
          <w:p>
            <w:pPr>
              <w:spacing w:after="0"/>
              <w:rPr>
                <w:sz w:val="18"/>
                <w:szCs w:val="18"/>
                <w:color w:val="auto"/>
              </w:rPr>
            </w:pPr>
          </w:p>
        </w:tc>
        <w:tc>
          <w:tcPr>
            <w:tcW w:w="1040" w:type="dxa"/>
            <w:vAlign w:val="bottom"/>
            <w:gridSpan w:val="2"/>
          </w:tcPr>
          <w:p>
            <w:pPr>
              <w:jc w:val="center"/>
              <w:ind w:left="357"/>
              <w:spacing w:after="0"/>
              <w:rPr>
                <w:sz w:val="20"/>
                <w:szCs w:val="20"/>
                <w:color w:val="auto"/>
              </w:rPr>
            </w:pPr>
            <w:r>
              <w:rPr>
                <w:rFonts w:ascii="Arial" w:cs="Arial" w:eastAsia="Arial" w:hAnsi="Arial"/>
                <w:sz w:val="18"/>
                <w:szCs w:val="18"/>
                <w:color w:val="auto"/>
              </w:rPr>
              <w:t>27,079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13,463</w:t>
            </w:r>
          </w:p>
        </w:tc>
        <w:tc>
          <w:tcPr>
            <w:tcW w:w="80" w:type="dxa"/>
            <w:vAlign w:val="bottom"/>
          </w:tcPr>
          <w:p>
            <w:pPr>
              <w:spacing w:after="0"/>
              <w:rPr>
                <w:sz w:val="18"/>
                <w:szCs w:val="18"/>
                <w:color w:val="auto"/>
              </w:rPr>
            </w:pPr>
          </w:p>
        </w:tc>
      </w:tr>
      <w:tr>
        <w:trPr>
          <w:trHeight w:val="296"/>
        </w:trPr>
        <w:tc>
          <w:tcPr>
            <w:tcW w:w="5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5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562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Collections in excess of revenues and deferred</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560" w:type="dxa"/>
            <w:vAlign w:val="bottom"/>
          </w:tcPr>
          <w:p>
            <w:pPr>
              <w:spacing w:after="0"/>
              <w:rPr>
                <w:sz w:val="17"/>
                <w:szCs w:val="17"/>
                <w:color w:val="auto"/>
              </w:rPr>
            </w:pPr>
          </w:p>
        </w:tc>
        <w:tc>
          <w:tcPr>
            <w:tcW w:w="56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revenues – EBI</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8"/>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6,013</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2022 fiscal year end, the Company elected to settle the discretionary contributions liability in shares of the Company’s common stock, consistent with fiscal year 2021. Based on the closing price of the Company’s common stock at the 2022 fiscal year end, the Company would issue approximately 571,721 shares of common stock at this time. Discretionary contributions accrued by the Company as of March 31, 2022 and 2021 amounted to $27.9 million and $24.5 million, respectively.</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w:t>
      </w:r>
    </w:p>
    <w:p>
      <w:pPr>
        <w:spacing w:after="0" w:line="99"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As of March 31, 2022, future minimum payments under the Company’s satellite construction contracts and other satellite-related purchase commitments for the next five fiscal years and thereafter were as follows:</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13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4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6"/>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481,694</w:t>
            </w:r>
          </w:p>
        </w:tc>
        <w:tc>
          <w:tcPr>
            <w:tcW w:w="60" w:type="dxa"/>
            <w:vAlign w:val="bottom"/>
            <w:shd w:val="clear" w:color="auto" w:fill="CFF0FC"/>
          </w:tcPr>
          <w:p>
            <w:pPr>
              <w:spacing w:after="0"/>
              <w:rPr>
                <w:sz w:val="17"/>
                <w:szCs w:val="17"/>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212,642</w:t>
            </w:r>
          </w:p>
        </w:tc>
        <w:tc>
          <w:tcPr>
            <w:tcW w:w="60" w:type="dxa"/>
            <w:vAlign w:val="bottom"/>
          </w:tcPr>
          <w:p>
            <w:pPr>
              <w:spacing w:after="0"/>
              <w:rPr>
                <w:sz w:val="17"/>
                <w:szCs w:val="17"/>
                <w:color w:val="auto"/>
              </w:rPr>
            </w:pPr>
          </w:p>
        </w:tc>
      </w:tr>
      <w:tr>
        <w:trPr>
          <w:trHeight w:val="203"/>
        </w:trPr>
        <w:tc>
          <w:tcPr>
            <w:tcW w:w="1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w:t>
            </w:r>
          </w:p>
        </w:tc>
        <w:tc>
          <w:tcPr>
            <w:tcW w:w="4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56,892</w:t>
            </w:r>
          </w:p>
        </w:tc>
        <w:tc>
          <w:tcPr>
            <w:tcW w:w="60" w:type="dxa"/>
            <w:vAlign w:val="bottom"/>
            <w:shd w:val="clear" w:color="auto" w:fill="CFF0FC"/>
          </w:tcPr>
          <w:p>
            <w:pPr>
              <w:spacing w:after="0"/>
              <w:rPr>
                <w:sz w:val="17"/>
                <w:szCs w:val="17"/>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5,974</w:t>
            </w:r>
          </w:p>
        </w:tc>
        <w:tc>
          <w:tcPr>
            <w:tcW w:w="60" w:type="dxa"/>
            <w:vAlign w:val="bottom"/>
          </w:tcPr>
          <w:p>
            <w:pPr>
              <w:spacing w:after="0"/>
              <w:rPr>
                <w:sz w:val="17"/>
                <w:szCs w:val="17"/>
                <w:color w:val="auto"/>
              </w:rPr>
            </w:pPr>
          </w:p>
        </w:tc>
      </w:tr>
      <w:tr>
        <w:trPr>
          <w:trHeight w:val="203"/>
        </w:trPr>
        <w:tc>
          <w:tcPr>
            <w:tcW w:w="1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4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1,714</w:t>
            </w:r>
          </w:p>
        </w:tc>
        <w:tc>
          <w:tcPr>
            <w:tcW w:w="60" w:type="dxa"/>
            <w:vAlign w:val="bottom"/>
            <w:shd w:val="clear" w:color="auto" w:fill="CFF0FC"/>
          </w:tcPr>
          <w:p>
            <w:pPr>
              <w:spacing w:after="0"/>
              <w:rPr>
                <w:sz w:val="17"/>
                <w:szCs w:val="17"/>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7,401</w:t>
            </w:r>
          </w:p>
        </w:tc>
        <w:tc>
          <w:tcPr>
            <w:tcW w:w="60" w:type="dxa"/>
            <w:vAlign w:val="bottom"/>
          </w:tcPr>
          <w:p>
            <w:pPr>
              <w:spacing w:after="0"/>
              <w:rPr>
                <w:sz w:val="17"/>
                <w:szCs w:val="17"/>
                <w:color w:val="auto"/>
              </w:rPr>
            </w:pPr>
          </w:p>
        </w:tc>
      </w:tr>
      <w:tr>
        <w:trPr>
          <w:trHeight w:val="236"/>
        </w:trPr>
        <w:tc>
          <w:tcPr>
            <w:tcW w:w="1360" w:type="dxa"/>
            <w:vAlign w:val="bottom"/>
            <w:tcBorders>
              <w:bottom w:val="single" w:sz="8" w:color="CFF0FC"/>
            </w:tcBorders>
            <w:shd w:val="clear" w:color="auto" w:fill="CFF0FC"/>
          </w:tcPr>
          <w:p>
            <w:pPr>
              <w:spacing w:after="0"/>
              <w:rPr>
                <w:sz w:val="20"/>
                <w:szCs w:val="20"/>
                <w:color w:val="auto"/>
              </w:rPr>
            </w:pPr>
          </w:p>
        </w:tc>
        <w:tc>
          <w:tcPr>
            <w:tcW w:w="4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766,317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Company’s contracts with satellite manufacturers require the Company to make monthly in-orbit satellite performance incentive payments with respect to certain satellites in service, including interest, through fiscal year 2028, subject to the continued satisfactory performance of the applicable satellite. The Company records the net present value of these expected future payments as a liability and as a component of the cost of the satellites. As of March 31, 2022, the Company’s estimated satellite performance incentive obligations and accrued interest for the applicable satellites were approximately $23.7 million, of which $5.0 million and $18.7 million have been classified as current in accrued liabilities and non-current in other liabilities, respectively. Under these satellite construction contracts, the Company may incur up to $27.6 million in total costs for satellite performance incentive obligations and related interest earned with potential future minimum payments of $5.4 million, $5.3 million, $5.5 million, $5.8 million and $4.7 million in fiscal years 2023, 2024, 2025, 2026 and 2027, respectively, with an insignificant amount in commitments thereafter.</w:t>
      </w:r>
    </w:p>
    <w:p>
      <w:pPr>
        <w:spacing w:after="0" w:line="16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$51.9 million, $19.3 million, $5.7 million, $9.7 million and $14.5 million in fiscal years 2023, 2024, 2025, 2026 and 2027, respectively, and $52.6 million of further minimum payments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has not been concluded for fiscal year 2021. As of March 31, 2022, the DCAA had completed its incurred cost audit for fiscal years 2004, 2016, 2019 and, 2020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2022 and 2021, the Company had $12.1 million and $10.3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Product Warranty</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2022, 2021 and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280" w:type="dxa"/>
            <w:vAlign w:val="bottom"/>
          </w:tcPr>
          <w:p>
            <w:pPr>
              <w:jc w:val="right"/>
              <w:ind w:right="11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r>
      <w:tr>
        <w:trPr>
          <w:trHeight w:val="169"/>
        </w:trPr>
        <w:tc>
          <w:tcPr>
            <w:tcW w:w="66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11,886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11,643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Change in liability for warranties issued in period</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5,140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5,328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9,107</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Settlements made (in cash or in kind) during the period</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(6,308 )</w:t>
            </w: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(5,085 )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(5,048 )</w:t>
            </w:r>
          </w:p>
        </w:tc>
      </w:tr>
      <w:tr>
        <w:trPr>
          <w:trHeight w:val="196"/>
        </w:trPr>
        <w:tc>
          <w:tcPr>
            <w:tcW w:w="6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10,718</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11,886</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11,643</w:t>
            </w:r>
          </w:p>
        </w:tc>
        <w:tc>
          <w:tcPr>
            <w:tcW w:w="100" w:type="dxa"/>
            <w:vAlign w:val="bottom"/>
            <w:tcBorders>
              <w:top w:val="single" w:sz="8" w:color="CFF0FC"/>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-159385</wp:posOffset>
            </wp:positionV>
            <wp:extent cx="7683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85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Prepaid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networks segments. The Company’s segments are determined consistent with the way management currently organizes and evaluates financial information internally for making operating decisions and assessing performance.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fiscal years ended March 31, 2022, 2021 and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220" w:type="dxa"/>
            <w:vAlign w:val="bottom"/>
          </w:tcPr>
          <w:p>
            <w:pPr>
              <w:jc w:val="right"/>
              <w:ind w:right="9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Revenues:</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Satellite services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2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1,188,816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868,943</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826,583</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1,188,816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868,943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826,583</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Commercial networks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443,435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268,830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289,959</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52,026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54,598</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512,099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320,856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344,557</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Government systems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Product</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766,976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775,620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882,582</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520"/>
              <w:spacing w:after="0" w:line="202" w:lineRule="exact"/>
              <w:rPr>
                <w:sz w:val="20"/>
                <w:szCs w:val="20"/>
                <w:color w:val="auto"/>
              </w:rPr>
            </w:pPr>
            <w:r>
              <w:rPr>
                <w:rFonts w:ascii="Arial" w:cs="Arial" w:eastAsia="Arial" w:hAnsi="Arial"/>
                <w:sz w:val="18"/>
                <w:szCs w:val="18"/>
                <w:color w:val="auto"/>
              </w:rPr>
              <w:t>Service</w:t>
            </w: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319,744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290,688</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255,516</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1,086,720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1,066,308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1,138,098</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Elimination of intersegment revenues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4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2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2,787,635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2,256,107</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2,309,238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620" w:type="dxa"/>
            <w:vAlign w:val="bottom"/>
          </w:tcPr>
          <w:p>
            <w:pPr>
              <w:ind w:left="20"/>
              <w:spacing w:after="0" w:line="183" w:lineRule="exact"/>
              <w:rPr>
                <w:sz w:val="20"/>
                <w:szCs w:val="20"/>
                <w:color w:val="auto"/>
              </w:rPr>
            </w:pPr>
            <w:r>
              <w:rPr>
                <w:rFonts w:ascii="Arial" w:cs="Arial" w:eastAsia="Arial" w:hAnsi="Arial"/>
                <w:sz w:val="18"/>
                <w:szCs w:val="18"/>
                <w:color w:val="auto"/>
              </w:rPr>
              <w:t>Operating profits (losses):</w:t>
            </w: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Satellite services</w:t>
            </w:r>
          </w:p>
        </w:tc>
        <w:tc>
          <w:tcPr>
            <w:tcW w:w="2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42,862</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35,853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7,015</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Commercial networks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(180,298 )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(180,749 )</w:t>
            </w:r>
          </w:p>
        </w:tc>
        <w:tc>
          <w:tcPr>
            <w:tcW w:w="1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(186,877 )</w:t>
            </w:r>
          </w:p>
        </w:tc>
      </w:tr>
      <w:tr>
        <w:trPr>
          <w:trHeight w:val="203"/>
        </w:trPr>
        <w:tc>
          <w:tcPr>
            <w:tcW w:w="4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Government systems</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174,495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208,611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225,894</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Elimination of intersegment operating profits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68"/>
        </w:trPr>
        <w:tc>
          <w:tcPr>
            <w:tcW w:w="46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Segment operating profit before corporate and</w:t>
            </w:r>
          </w:p>
        </w:tc>
        <w:tc>
          <w:tcPr>
            <w:tcW w:w="20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462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37,059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63,715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46,032</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80"/>
              <w:spacing w:after="0" w:line="202" w:lineRule="exact"/>
              <w:rPr>
                <w:sz w:val="20"/>
                <w:szCs w:val="20"/>
                <w:color w:val="auto"/>
              </w:rPr>
            </w:pPr>
            <w:r>
              <w:rPr>
                <w:rFonts w:ascii="Arial" w:cs="Arial" w:eastAsia="Arial" w:hAnsi="Arial"/>
                <w:sz w:val="18"/>
                <w:szCs w:val="18"/>
                <w:color w:val="auto"/>
              </w:rPr>
              <w:t>Corporate</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2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(28,729 )</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(5,482 )</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(7,611 )</w:t>
            </w:r>
          </w:p>
        </w:tc>
      </w:tr>
      <w:tr>
        <w:trPr>
          <w:trHeight w:val="196"/>
        </w:trPr>
        <w:tc>
          <w:tcPr>
            <w:tcW w:w="46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20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8,330</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58,233</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38,421</w:t>
            </w:r>
          </w:p>
        </w:tc>
        <w:tc>
          <w:tcPr>
            <w:tcW w:w="100" w:type="dxa"/>
            <w:vAlign w:val="bottom"/>
            <w:tcBorders>
              <w:top w:val="single" w:sz="8" w:color="CFF0FC"/>
            </w:tcBorders>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4620" w:type="dxa"/>
            <w:vAlign w:val="bottom"/>
          </w:tcPr>
          <w:p>
            <w:pPr>
              <w:spacing w:after="0"/>
              <w:rPr>
                <w:sz w:val="24"/>
                <w:szCs w:val="24"/>
                <w:color w:val="auto"/>
              </w:rPr>
            </w:pPr>
          </w:p>
        </w:tc>
        <w:tc>
          <w:tcPr>
            <w:tcW w:w="2220" w:type="dxa"/>
            <w:vAlign w:val="bottom"/>
            <w:gridSpan w:val="2"/>
          </w:tcPr>
          <w:p>
            <w:pPr>
              <w:jc w:val="right"/>
              <w:ind w:right="950"/>
              <w:spacing w:after="0"/>
              <w:rPr>
                <w:sz w:val="20"/>
                <w:szCs w:val="20"/>
                <w:color w:val="auto"/>
              </w:rPr>
            </w:pPr>
            <w:r>
              <w:rPr>
                <w:rFonts w:ascii="Arial" w:cs="Arial" w:eastAsia="Arial" w:hAnsi="Arial"/>
                <w:sz w:val="18"/>
                <w:szCs w:val="18"/>
                <w:color w:val="auto"/>
              </w:rPr>
              <w:t>F-42</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-1868170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-1851025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-1868170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-1851025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-690880</wp:posOffset>
            </wp:positionV>
            <wp:extent cx="7683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-690880</wp:posOffset>
            </wp:positionV>
            <wp:extent cx="685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2022 and 2021 were as follows: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r>
      <w:tr>
        <w:trPr>
          <w:trHeight w:val="148"/>
        </w:trPr>
        <w:tc>
          <w:tcPr>
            <w:tcW w:w="6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r>
      <w:tr>
        <w:trPr>
          <w:trHeight w:val="189"/>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6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Segment assets: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520"/>
              <w:spacing w:after="0" w:line="202" w:lineRule="exact"/>
              <w:rPr>
                <w:sz w:val="20"/>
                <w:szCs w:val="20"/>
                <w:color w:val="auto"/>
              </w:rPr>
            </w:pPr>
            <w:r>
              <w:rPr>
                <w:rFonts w:ascii="Arial" w:cs="Arial" w:eastAsia="Arial" w:hAnsi="Arial"/>
                <w:sz w:val="18"/>
                <w:szCs w:val="18"/>
                <w:color w:val="auto"/>
              </w:rPr>
              <w:t>Satellite services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444,976</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64,048</w:t>
            </w: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Commercial networks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202,941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168,334</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520"/>
              <w:spacing w:after="0" w:line="202" w:lineRule="exact"/>
              <w:rPr>
                <w:sz w:val="20"/>
                <w:szCs w:val="20"/>
                <w:color w:val="auto"/>
              </w:rPr>
            </w:pPr>
            <w:r>
              <w:rPr>
                <w:rFonts w:ascii="Arial" w:cs="Arial" w:eastAsia="Arial" w:hAnsi="Arial"/>
                <w:sz w:val="18"/>
                <w:szCs w:val="18"/>
                <w:color w:val="auto"/>
              </w:rPr>
              <w:t>Government systems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479,166</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470,389</w:t>
            </w:r>
          </w:p>
        </w:tc>
        <w:tc>
          <w:tcPr>
            <w:tcW w:w="80" w:type="dxa"/>
            <w:vAlign w:val="bottom"/>
          </w:tcPr>
          <w:p>
            <w:pPr>
              <w:spacing w:after="0"/>
              <w:rPr>
                <w:sz w:val="17"/>
                <w:szCs w:val="17"/>
                <w:color w:val="auto"/>
              </w:rPr>
            </w:pPr>
          </w:p>
        </w:tc>
      </w:tr>
      <w:tr>
        <w:trPr>
          <w:trHeight w:val="196"/>
        </w:trPr>
        <w:tc>
          <w:tcPr>
            <w:tcW w:w="618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segment assets</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1,127,083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702,771</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520"/>
              <w:spacing w:after="0" w:line="202" w:lineRule="exact"/>
              <w:rPr>
                <w:sz w:val="20"/>
                <w:szCs w:val="20"/>
                <w:color w:val="auto"/>
              </w:rPr>
            </w:pPr>
            <w:r>
              <w:rPr>
                <w:rFonts w:ascii="Arial" w:cs="Arial" w:eastAsia="Arial" w:hAnsi="Arial"/>
                <w:sz w:val="18"/>
                <w:szCs w:val="18"/>
                <w:color w:val="auto"/>
              </w:rPr>
              <w:t>Corporate assets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5,262,263</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4,646,696</w:t>
            </w:r>
          </w:p>
        </w:tc>
        <w:tc>
          <w:tcPr>
            <w:tcW w:w="80" w:type="dxa"/>
            <w:vAlign w:val="bottom"/>
          </w:tcPr>
          <w:p>
            <w:pPr>
              <w:spacing w:after="0"/>
              <w:rPr>
                <w:sz w:val="17"/>
                <w:szCs w:val="17"/>
                <w:color w:val="auto"/>
              </w:rPr>
            </w:pPr>
          </w:p>
        </w:tc>
      </w:tr>
      <w:tr>
        <w:trPr>
          <w:trHeight w:val="236"/>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6,389,346</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5,349,467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March 31, 2022 and 2021 were as follows: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233,740</w:t>
            </w:r>
          </w:p>
        </w:tc>
        <w:tc>
          <w:tcPr>
            <w:tcW w:w="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5,738</w:t>
            </w:r>
          </w:p>
        </w:tc>
        <w:tc>
          <w:tcPr>
            <w:tcW w:w="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81,972</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44,050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w:t>
            </w: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2,303</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64,091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64,442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236,043</w:t>
            </w:r>
          </w:p>
        </w:tc>
        <w:tc>
          <w:tcPr>
            <w:tcW w:w="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9,568</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190,113</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122,300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-159385</wp:posOffset>
            </wp:positionV>
            <wp:extent cx="6858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-159385</wp:posOffset>
            </wp:positionV>
            <wp:extent cx="6858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Amortization of acquired intangible assets by segment for the fiscal years ended March 31, 2022, 2021 and 2020 was as follows: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9"/>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94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r>
      <w:tr>
        <w:trPr>
          <w:trHeight w:val="189"/>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 services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27,220</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2,897</w:t>
            </w:r>
          </w:p>
        </w:tc>
        <w:tc>
          <w:tcPr>
            <w:tcW w:w="8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Commercial networks</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1,539</w:t>
            </w:r>
          </w:p>
        </w:tc>
        <w:tc>
          <w:tcPr>
            <w:tcW w:w="80" w:type="dxa"/>
            <w:vAlign w:val="bottom"/>
          </w:tcPr>
          <w:p>
            <w:pPr>
              <w:spacing w:after="0"/>
              <w:rPr>
                <w:sz w:val="17"/>
                <w:szCs w:val="17"/>
                <w:color w:val="auto"/>
              </w:rPr>
            </w:pPr>
          </w:p>
        </w:tc>
      </w:tr>
      <w:tr>
        <w:trPr>
          <w:trHeight w:val="203"/>
        </w:trPr>
        <w:tc>
          <w:tcPr>
            <w:tcW w:w="5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Government systems</w:t>
            </w: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1,509</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3,175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Total amortization of acquired intangible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28,729</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5,482</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7,611</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-159385</wp:posOffset>
            </wp:positionV>
            <wp:extent cx="6032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-159385</wp:posOffset>
            </wp:positionV>
            <wp:extent cx="5143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fiscal years ended March 31, 2022, 2021 and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200" w:type="dxa"/>
            <w:vAlign w:val="bottom"/>
          </w:tcPr>
          <w:p>
            <w:pPr>
              <w:jc w:val="right"/>
              <w:ind w:right="317"/>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7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2,376,252</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2,063,832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2,057,458</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4000" w:type="dxa"/>
            <w:vAlign w:val="bottom"/>
          </w:tcPr>
          <w:p>
            <w:pPr>
              <w:spacing w:after="0" w:line="175" w:lineRule="exact"/>
              <w:rPr>
                <w:sz w:val="20"/>
                <w:szCs w:val="20"/>
                <w:color w:val="auto"/>
              </w:rPr>
            </w:pPr>
            <w:r>
              <w:rPr>
                <w:rFonts w:ascii="Arial" w:cs="Arial" w:eastAsia="Arial" w:hAnsi="Arial"/>
                <w:sz w:val="18"/>
                <w:szCs w:val="18"/>
                <w:color w:val="auto"/>
              </w:rPr>
              <w:t>Non U.S. customers (each country individually</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411,383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192,275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251,780</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000" w:type="dxa"/>
            <w:vAlign w:val="bottom"/>
          </w:tcPr>
          <w:p>
            <w:pPr>
              <w:ind w:left="160"/>
              <w:spacing w:after="0" w:line="190" w:lineRule="exact"/>
              <w:rPr>
                <w:sz w:val="20"/>
                <w:szCs w:val="20"/>
                <w:color w:val="auto"/>
              </w:rPr>
            </w:pPr>
            <w:r>
              <w:rPr>
                <w:rFonts w:ascii="Arial" w:cs="Arial" w:eastAsia="Arial" w:hAnsi="Arial"/>
                <w:sz w:val="18"/>
                <w:szCs w:val="18"/>
                <w:color w:val="auto"/>
              </w:rPr>
              <w:t>insignificant)</w:t>
            </w: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2,787,635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2,256,107</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2,309,238</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F-43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-504825</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-488315</wp:posOffset>
            </wp:positionV>
            <wp:extent cx="603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-504825</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-488315</wp:posOffset>
            </wp:positionV>
            <wp:extent cx="514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-488315</wp:posOffset>
            </wp:positionV>
            <wp:extent cx="51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The net book value of long-lived assets located outside the United States was $148.4 million at March 31, 2022 and $74.6 million at March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Inmarsat Transaction</w:t>
      </w:r>
    </w:p>
    <w:p>
      <w:pPr>
        <w:spacing w:after="0" w:line="18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On November 8, 2021, the Company entered into a Share Purchase Agreement to combine Viasat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therein (the Inmarsat Transaction). The total consideration payable by the Company under the Share Purchase Agreement consists of $850.0 million in cash, subject to adjustments (including a reduction of $299.3 million as a result of the dividend paid by Inmarsat in April 2022), and approximately 46.36 million unregistered shares of the Company’s common stock.</w:t>
      </w:r>
    </w:p>
    <w:p>
      <w:pPr>
        <w:spacing w:after="0" w:line="154"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and approval by the stockholders of the Company of the issuance of shares in the transaction and an amendment to the Company’s certificate of incorporation to increase the number of shares of common stock authorized for issuance. The Share Purchase Agreement contains certain termination rights for both the Company and certain of the Sellers and further provides that, upon termination of the Share Purchase Agreement under certain circumstances, the Company may be obligated to pay a termination fee of up to $200.0 million or to reimburse certain out-of-pocket expenses of certain Sellers up to $40.0 million.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obtained financing commitments for an additional $1.6 billion of new debt facilities in connection with the Inmarsat</w:t>
      </w:r>
    </w:p>
    <w:p>
      <w:pPr>
        <w:spacing w:after="0" w:line="234" w:lineRule="auto"/>
        <w:rPr>
          <w:sz w:val="20"/>
          <w:szCs w:val="20"/>
          <w:color w:val="auto"/>
        </w:rPr>
      </w:pPr>
      <w:r>
        <w:rPr>
          <w:rFonts w:ascii="Arial" w:cs="Arial" w:eastAsia="Arial" w:hAnsi="Arial"/>
          <w:sz w:val="18"/>
          <w:szCs w:val="18"/>
          <w:color w:val="auto"/>
        </w:rPr>
        <w:t>Transaction (which may be secured and/or unsecured), which amount excludes the commitments that were obtained with respect to the</w:t>
      </w:r>
    </w:p>
    <w:p>
      <w:pPr>
        <w:spacing w:after="0" w:line="235" w:lineRule="auto"/>
        <w:rPr>
          <w:sz w:val="20"/>
          <w:szCs w:val="20"/>
          <w:color w:val="auto"/>
        </w:rPr>
      </w:pPr>
      <w:r>
        <w:rPr>
          <w:rFonts w:ascii="Arial" w:cs="Arial" w:eastAsia="Arial" w:hAnsi="Arial"/>
          <w:sz w:val="18"/>
          <w:szCs w:val="18"/>
          <w:color w:val="auto"/>
        </w:rPr>
        <w:t>$700.0 million Term Loan Facility that the Company entered into on March 4, 2022 to fund the Company’s standalone growth expenditures.</w:t>
      </w:r>
    </w:p>
    <w:p>
      <w:pPr>
        <w:spacing w:after="0" w:line="235" w:lineRule="auto"/>
        <w:rPr>
          <w:sz w:val="20"/>
          <w:szCs w:val="20"/>
          <w:color w:val="auto"/>
        </w:rPr>
      </w:pPr>
      <w:r>
        <w:rPr>
          <w:rFonts w:ascii="Arial" w:cs="Arial" w:eastAsia="Arial" w:hAnsi="Arial"/>
          <w:sz w:val="18"/>
          <w:szCs w:val="18"/>
          <w:color w:val="auto"/>
        </w:rPr>
        <w:t>In light of the $299.3 million reduction in the cash purchase price payable in the Inmarsat Transaction, the Company currently expects to</w:t>
      </w:r>
    </w:p>
    <w:p>
      <w:pPr>
        <w:spacing w:after="0" w:line="235" w:lineRule="auto"/>
        <w:rPr>
          <w:sz w:val="20"/>
          <w:szCs w:val="20"/>
          <w:color w:val="auto"/>
        </w:rPr>
      </w:pPr>
      <w:r>
        <w:rPr>
          <w:rFonts w:ascii="Arial" w:cs="Arial" w:eastAsia="Arial" w:hAnsi="Arial"/>
          <w:sz w:val="18"/>
          <w:szCs w:val="18"/>
          <w:color w:val="auto"/>
        </w:rPr>
        <w:t>incur $1.3 billion of additional indebtedness under these commitments. However, the total amount of indebtedness incurred under these</w:t>
      </w:r>
    </w:p>
    <w:p>
      <w:pPr>
        <w:spacing w:after="0" w:line="235" w:lineRule="auto"/>
        <w:rPr>
          <w:sz w:val="20"/>
          <w:szCs w:val="20"/>
          <w:color w:val="auto"/>
        </w:rPr>
      </w:pPr>
      <w:r>
        <w:rPr>
          <w:rFonts w:ascii="Arial" w:cs="Arial" w:eastAsia="Arial" w:hAnsi="Arial"/>
          <w:sz w:val="18"/>
          <w:szCs w:val="18"/>
          <w:color w:val="auto"/>
        </w:rPr>
        <w:t>commitments may change, including in the event that available cash from other sources is higher than expected. The Company also plans to</w:t>
      </w:r>
    </w:p>
    <w:p>
      <w:pPr>
        <w:spacing w:after="0" w:line="234" w:lineRule="auto"/>
        <w:rPr>
          <w:sz w:val="20"/>
          <w:szCs w:val="20"/>
          <w:color w:val="auto"/>
        </w:rPr>
      </w:pPr>
      <w:r>
        <w:rPr>
          <w:rFonts w:ascii="Arial" w:cs="Arial" w:eastAsia="Arial" w:hAnsi="Arial"/>
          <w:sz w:val="18"/>
          <w:szCs w:val="18"/>
          <w:color w:val="auto"/>
        </w:rPr>
        <w:t>assume $2.1 billion in principal amount of Inmarsat senior secured bonds and the outstanding indebtedness under Inmarsat’s $2.4 billion</w:t>
      </w:r>
    </w:p>
    <w:p>
      <w:pPr>
        <w:spacing w:after="0" w:line="235" w:lineRule="auto"/>
        <w:rPr>
          <w:sz w:val="20"/>
          <w:szCs w:val="20"/>
          <w:color w:val="auto"/>
        </w:rPr>
      </w:pPr>
      <w:r>
        <w:rPr>
          <w:rFonts w:ascii="Arial" w:cs="Arial" w:eastAsia="Arial" w:hAnsi="Arial"/>
          <w:sz w:val="18"/>
          <w:szCs w:val="18"/>
          <w:color w:val="auto"/>
        </w:rPr>
        <w:t>senior secured credit facilities. The Company had also obtained commitments of $3.2 billion to backstop certain amendments required under</w:t>
      </w:r>
    </w:p>
    <w:p>
      <w:pPr>
        <w:spacing w:after="0" w:line="235" w:lineRule="auto"/>
        <w:rPr>
          <w:sz w:val="20"/>
          <w:szCs w:val="20"/>
          <w:color w:val="auto"/>
        </w:rPr>
      </w:pPr>
      <w:r>
        <w:rPr>
          <w:rFonts w:ascii="Arial" w:cs="Arial" w:eastAsia="Arial" w:hAnsi="Arial"/>
          <w:sz w:val="18"/>
          <w:szCs w:val="18"/>
          <w:color w:val="auto"/>
        </w:rPr>
        <w:t>the Revolving Credit Facility and Ex-Im Credit Facility and Inmarsat’s $2.4 billion senior secured credit facilities, which amendments have</w:t>
      </w:r>
    </w:p>
    <w:p>
      <w:pPr>
        <w:spacing w:after="0"/>
        <w:rPr>
          <w:sz w:val="20"/>
          <w:szCs w:val="20"/>
          <w:color w:val="auto"/>
        </w:rPr>
      </w:pPr>
      <w:r>
        <w:rPr>
          <w:rFonts w:ascii="Arial" w:cs="Arial" w:eastAsia="Arial" w:hAnsi="Arial"/>
          <w:sz w:val="18"/>
          <w:szCs w:val="18"/>
          <w:color w:val="auto"/>
        </w:rPr>
        <w:t>been obtained under the Revolving Credit Facility and Inmarsat’s $2.4 billion senior secured credit facilities.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 Broadband Infrastructure Sàrl</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April 30, 2021, the Company acquired the remaining 51% interest in EBI, a broadband services provider, from Eutelsat. By completing the acquisition, the Company gained 100% ownership and control of EBI and the KA-SAT satellite over EMEA and related ground infrastructure, which is expected to facilitate the diversification of the Company’s business portfolio in Europe, while establishing operations, distribution and sales of satellite-based broadband services, ahead of the anticipated ViaSat-3 (EMEA) satellite launch. The benefits and additional opportunities of the acquisition were among the factors that contributed to a purchase price resulting in the recognition of goodwill, which was recorded within the Company’s satellite services segment. The goodwill recognized is not deductible for U.S. and foreign income tax purposes.</w:t>
      </w:r>
    </w:p>
    <w:p>
      <w:pPr>
        <w:spacing w:after="0" w:line="150"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Prior to the acquisition date, the Company owned a 49% interest in EBI and accounted for the investment using the equity method of accounting (see Note 10 — Equity Method Investments and Related-Party Transactions for more information). The acquisition of the remaining equity interest in EBI was accounted for as a step acquisition in accordance with the authoritative guidance for business combinations (ASC 805). Accordingly, the Company allocated the purchase price of the acquired company to the net tangible assets and intangible assets acquired based upon their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consolidated statements of operations and comprehensive income (loss) in the first quarter of fiscal year 2022.</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w:t>
      </w:r>
    </w:p>
    <w:p>
      <w:pPr>
        <w:spacing w:after="0" w:line="234" w:lineRule="auto"/>
        <w:rPr>
          <w:sz w:val="20"/>
          <w:szCs w:val="20"/>
          <w:color w:val="auto"/>
        </w:rPr>
      </w:pPr>
      <w:r>
        <w:rPr>
          <w:rFonts w:ascii="Arial" w:cs="Arial" w:eastAsia="Arial" w:hAnsi="Arial"/>
          <w:sz w:val="18"/>
          <w:szCs w:val="18"/>
          <w:color w:val="auto"/>
        </w:rPr>
        <w:t>immaterial amount of estimated purchase price consideration to be settled among the parties over the next 24 months (up to plus or minus</w:t>
      </w:r>
    </w:p>
    <w:p>
      <w:pPr>
        <w:spacing w:after="0" w:line="235" w:lineRule="auto"/>
        <w:rPr>
          <w:sz w:val="20"/>
          <w:szCs w:val="20"/>
          <w:color w:val="auto"/>
        </w:rPr>
      </w:pPr>
      <w:r>
        <w:rPr>
          <w:rFonts w:ascii="Arial" w:cs="Arial" w:eastAsia="Arial" w:hAnsi="Arial"/>
          <w:sz w:val="18"/>
          <w:szCs w:val="18"/>
          <w:color w:val="auto"/>
        </w:rPr>
        <w:t>€20.0 million, or approximately $22.3 million, see Note 3 — Fair Value Measurements for more information) from the closing date (which after</w:t>
      </w:r>
    </w:p>
    <w:p>
      <w:pPr>
        <w:spacing w:after="0" w:line="235" w:lineRule="auto"/>
        <w:rPr>
          <w:sz w:val="20"/>
          <w:szCs w:val="20"/>
          <w:color w:val="auto"/>
        </w:rPr>
      </w:pPr>
      <w:r>
        <w:rPr>
          <w:rFonts w:ascii="Arial" w:cs="Arial" w:eastAsia="Arial" w:hAnsi="Arial"/>
          <w:sz w:val="18"/>
          <w:szCs w:val="18"/>
          <w:color w:val="auto"/>
        </w:rPr>
        <w:t>consideration of approximately $121.7 million of EBI’s cash on hand, resulted in a net cash outlay of approximately $51.0 million) and the fair</w:t>
      </w:r>
    </w:p>
    <w:p>
      <w:pPr>
        <w:spacing w:after="0"/>
        <w:rPr>
          <w:sz w:val="20"/>
          <w:szCs w:val="20"/>
          <w:color w:val="auto"/>
        </w:rPr>
      </w:pPr>
      <w:r>
        <w:rPr>
          <w:rFonts w:ascii="Arial" w:cs="Arial" w:eastAsia="Arial" w:hAnsi="Arial"/>
          <w:sz w:val="18"/>
          <w:szCs w:val="18"/>
          <w:color w:val="auto"/>
        </w:rPr>
        <w:t>value of previously held equity method investment of approximately $160.4 million.</w:t>
      </w:r>
    </w:p>
    <w:p>
      <w:pPr>
        <w:spacing w:after="0" w:line="158"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8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154,207</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Property, equipment and satellites</w:t>
            </w:r>
          </w:p>
        </w:tc>
        <w:tc>
          <w:tcPr>
            <w:tcW w:w="660" w:type="dxa"/>
            <w:vAlign w:val="bottom"/>
          </w:tcPr>
          <w:p>
            <w:pPr>
              <w:spacing w:after="0"/>
              <w:rPr>
                <w:sz w:val="17"/>
                <w:szCs w:val="17"/>
                <w:color w:val="auto"/>
              </w:rPr>
            </w:pP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109,028</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Identifiable intangible assets</w:t>
            </w:r>
          </w:p>
        </w:tc>
        <w:tc>
          <w:tcPr>
            <w:tcW w:w="660" w:type="dxa"/>
            <w:vAlign w:val="bottom"/>
            <w:shd w:val="clear" w:color="auto" w:fill="CFF0FC"/>
          </w:tcPr>
          <w:p>
            <w:pPr>
              <w:spacing w:after="0"/>
              <w:rPr>
                <w:sz w:val="17"/>
                <w:szCs w:val="17"/>
                <w:color w:val="auto"/>
              </w:rPr>
            </w:pPr>
          </w:p>
        </w:tc>
        <w:tc>
          <w:tcPr>
            <w:tcW w:w="2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795</w:t>
            </w: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66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2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290,604</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Total liabilities assumed</w:t>
            </w:r>
          </w:p>
        </w:tc>
        <w:tc>
          <w:tcPr>
            <w:tcW w:w="66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99"/>
              </w:rPr>
              <w:t>$</w:t>
            </w:r>
          </w:p>
        </w:tc>
        <w:tc>
          <w:tcPr>
            <w:tcW w:w="2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(5,914 )</w:t>
            </w: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FF0FC"/>
          </w:tcPr>
          <w:p>
            <w:pPr>
              <w:spacing w:after="0"/>
              <w:rPr>
                <w:sz w:val="17"/>
                <w:szCs w:val="17"/>
                <w:color w:val="auto"/>
              </w:rPr>
            </w:pPr>
          </w:p>
        </w:tc>
        <w:tc>
          <w:tcPr>
            <w:tcW w:w="2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42,662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82" w:lineRule="exact"/>
              <w:rPr>
                <w:sz w:val="20"/>
                <w:szCs w:val="20"/>
                <w:color w:val="auto"/>
              </w:rPr>
            </w:pPr>
            <w:r>
              <w:rPr>
                <w:rFonts w:ascii="Arial" w:cs="Arial" w:eastAsia="Arial" w:hAnsi="Arial"/>
                <w:sz w:val="18"/>
                <w:szCs w:val="18"/>
                <w:color w:val="auto"/>
              </w:rPr>
              <w:t>Total consideration transferred</w:t>
            </w:r>
          </w:p>
        </w:tc>
        <w:tc>
          <w:tcPr>
            <w:tcW w:w="66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327,352</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30"/>
        </w:trPr>
        <w:tc>
          <w:tcPr>
            <w:tcW w:w="5640" w:type="dxa"/>
            <w:vAlign w:val="bottom"/>
          </w:tcPr>
          <w:p>
            <w:pPr>
              <w:spacing w:after="0"/>
              <w:rPr>
                <w:sz w:val="19"/>
                <w:szCs w:val="19"/>
                <w:color w:val="auto"/>
              </w:rPr>
            </w:pPr>
          </w:p>
        </w:tc>
        <w:tc>
          <w:tcPr>
            <w:tcW w:w="1860" w:type="dxa"/>
            <w:vAlign w:val="bottom"/>
          </w:tcPr>
          <w:p>
            <w:pPr>
              <w:jc w:val="right"/>
              <w:ind w:right="179"/>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9"/>
                <w:szCs w:val="19"/>
                <w:color w:val="auto"/>
              </w:rPr>
            </w:pPr>
          </w:p>
        </w:tc>
      </w:tr>
      <w:tr>
        <w:trPr>
          <w:trHeight w:val="214"/>
        </w:trPr>
        <w:tc>
          <w:tcPr>
            <w:tcW w:w="5640" w:type="dxa"/>
            <w:vAlign w:val="bottom"/>
          </w:tcPr>
          <w:p>
            <w:pPr>
              <w:spacing w:after="0"/>
              <w:rPr>
                <w:sz w:val="18"/>
                <w:szCs w:val="18"/>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1860" w:type="dxa"/>
            <w:vAlign w:val="bottom"/>
            <w:shd w:val="clear" w:color="auto" w:fill="CFF0FC"/>
          </w:tcPr>
          <w:p>
            <w:pPr>
              <w:jc w:val="right"/>
              <w:ind w:right="1659"/>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17,877</w:t>
            </w:r>
          </w:p>
        </w:tc>
        <w:tc>
          <w:tcPr>
            <w:tcW w:w="260" w:type="dxa"/>
            <w:vAlign w:val="bottom"/>
            <w:shd w:val="clear" w:color="auto" w:fill="CFF0FC"/>
          </w:tcPr>
          <w:p>
            <w:pPr>
              <w:spacing w:after="0"/>
              <w:rPr>
                <w:sz w:val="17"/>
                <w:szCs w:val="17"/>
                <w:color w:val="auto"/>
              </w:rPr>
            </w:pPr>
          </w:p>
        </w:tc>
        <w:tc>
          <w:tcPr>
            <w:tcW w:w="2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2"/>
        </w:trPr>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7,851</w:t>
            </w:r>
          </w:p>
        </w:tc>
        <w:tc>
          <w:tcPr>
            <w:tcW w:w="2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r>
      <w:tr>
        <w:trPr>
          <w:trHeight w:val="203"/>
        </w:trPr>
        <w:tc>
          <w:tcPr>
            <w:tcW w:w="5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18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846</w:t>
            </w:r>
          </w:p>
        </w:tc>
        <w:tc>
          <w:tcPr>
            <w:tcW w:w="29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40" w:type="dxa"/>
            <w:vAlign w:val="bottom"/>
          </w:tcPr>
          <w:p>
            <w:pPr>
              <w:ind w:left="20"/>
              <w:spacing w:after="0" w:line="182" w:lineRule="exact"/>
              <w:rPr>
                <w:sz w:val="20"/>
                <w:szCs w:val="20"/>
                <w:color w:val="auto"/>
              </w:rPr>
            </w:pPr>
            <w:r>
              <w:rPr>
                <w:rFonts w:ascii="Arial" w:cs="Arial" w:eastAsia="Arial" w:hAnsi="Arial"/>
                <w:sz w:val="18"/>
                <w:szCs w:val="18"/>
                <w:color w:val="auto"/>
              </w:rPr>
              <w:t>Total identifiable intangible assets</w:t>
            </w:r>
          </w:p>
        </w:tc>
        <w:tc>
          <w:tcPr>
            <w:tcW w:w="1860" w:type="dxa"/>
            <w:vAlign w:val="bottom"/>
            <w:tcBorders>
              <w:bottom w:val="single" w:sz="8" w:color="auto"/>
            </w:tcBorders>
          </w:tcPr>
          <w:p>
            <w:pPr>
              <w:jc w:val="right"/>
              <w:ind w:right="1659"/>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26,574</w:t>
            </w:r>
          </w:p>
        </w:tc>
        <w:tc>
          <w:tcPr>
            <w:tcW w:w="2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-159385</wp:posOffset>
            </wp:positionV>
            <wp:extent cx="6858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At the closing of the acquisition, EBI became a wholly owned subsidiary of the Company and EBI’s operations have been included in the Company’s consolidated financial statements in the Company’s satellite services segment (with an insignificant amount included in its commercial networks segment) commencing on the acquisition date.</w:t>
      </w:r>
    </w:p>
    <w:p>
      <w:pPr>
        <w:spacing w:after="0" w:line="16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As EBI’s results of operations are not material to the Company’s consolidated results of operations, pro forma results of operations for this acquisition have not been presented.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RigNet, Inc.</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The acquisition of RigNet is beneficial to the Company as it enables the Company to expand into new and adjacent industries, including renewable energy, transportation, maritime, mining and other enterprise markets. These benefits and additional opportunities were among the factors that contributed to a purchase price resulting in the recognition of goodwill, which was recorded within the Company’s satellite services segment. The goodwill recognized is not deductible for U.S. and foreign income tax purposes.</w:t>
      </w:r>
    </w:p>
    <w:p>
      <w:pPr>
        <w:spacing w:after="0" w:line="164"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consideration. In connection with the RigNet acquisition, the Company recorded merger-related transaction costs of approximately $7.2 million, respectively, for the fiscal year ended March 31, 2022, included in selling, general and administrative expenses.</w:t>
      </w:r>
    </w:p>
    <w:p>
      <w:pPr>
        <w:spacing w:after="0" w:line="15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8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88,166</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Property, equipment and satellites</w:t>
            </w:r>
          </w:p>
        </w:tc>
        <w:tc>
          <w:tcPr>
            <w:tcW w:w="660" w:type="dxa"/>
            <w:vAlign w:val="bottom"/>
          </w:tcPr>
          <w:p>
            <w:pPr>
              <w:spacing w:after="0"/>
              <w:rPr>
                <w:sz w:val="17"/>
                <w:szCs w:val="17"/>
                <w:color w:val="auto"/>
              </w:rPr>
            </w:pP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63,191</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Identifiable intangible assets</w:t>
            </w:r>
          </w:p>
        </w:tc>
        <w:tc>
          <w:tcPr>
            <w:tcW w:w="660" w:type="dxa"/>
            <w:vAlign w:val="bottom"/>
            <w:shd w:val="clear" w:color="auto" w:fill="CFF0FC"/>
          </w:tcPr>
          <w:p>
            <w:pPr>
              <w:spacing w:after="0"/>
              <w:rPr>
                <w:sz w:val="17"/>
                <w:szCs w:val="17"/>
                <w:color w:val="auto"/>
              </w:rPr>
            </w:pPr>
          </w:p>
        </w:tc>
        <w:tc>
          <w:tcPr>
            <w:tcW w:w="2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13,350</w:t>
            </w: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66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2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386,247</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7"/>
                <w:szCs w:val="17"/>
                <w:color w:val="auto"/>
              </w:rPr>
            </w:pPr>
          </w:p>
        </w:tc>
        <w:tc>
          <w:tcPr>
            <w:tcW w:w="2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(66,006 )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7"/>
                <w:szCs w:val="17"/>
                <w:color w:val="auto"/>
              </w:rPr>
            </w:pPr>
          </w:p>
        </w:tc>
        <w:tc>
          <w:tcPr>
            <w:tcW w:w="28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(31,433 )</w:t>
            </w:r>
          </w:p>
        </w:tc>
      </w:tr>
      <w:tr>
        <w:trPr>
          <w:trHeight w:val="20"/>
        </w:trPr>
        <w:tc>
          <w:tcPr>
            <w:tcW w:w="77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66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28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(97,439 )</w:t>
            </w: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FF0FC"/>
          </w:tcPr>
          <w:p>
            <w:pPr>
              <w:spacing w:after="0"/>
              <w:rPr>
                <w:sz w:val="17"/>
                <w:szCs w:val="17"/>
                <w:color w:val="auto"/>
              </w:rPr>
            </w:pPr>
          </w:p>
        </w:tc>
        <w:tc>
          <w:tcPr>
            <w:tcW w:w="2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29,132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82" w:lineRule="exact"/>
              <w:rPr>
                <w:sz w:val="20"/>
                <w:szCs w:val="20"/>
                <w:color w:val="auto"/>
              </w:rPr>
            </w:pPr>
            <w:r>
              <w:rPr>
                <w:rFonts w:ascii="Arial" w:cs="Arial" w:eastAsia="Arial" w:hAnsi="Arial"/>
                <w:sz w:val="18"/>
                <w:szCs w:val="18"/>
                <w:color w:val="auto"/>
              </w:rPr>
              <w:t>Total consideration transferred</w:t>
            </w:r>
          </w:p>
        </w:tc>
        <w:tc>
          <w:tcPr>
            <w:tcW w:w="66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29"/>
        </w:trPr>
        <w:tc>
          <w:tcPr>
            <w:tcW w:w="5700" w:type="dxa"/>
            <w:vAlign w:val="bottom"/>
          </w:tcPr>
          <w:p>
            <w:pPr>
              <w:spacing w:after="0"/>
              <w:rPr>
                <w:sz w:val="19"/>
                <w:szCs w:val="19"/>
                <w:color w:val="auto"/>
              </w:rPr>
            </w:pPr>
          </w:p>
        </w:tc>
        <w:tc>
          <w:tcPr>
            <w:tcW w:w="1840" w:type="dxa"/>
            <w:vAlign w:val="bottom"/>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9"/>
                <w:szCs w:val="19"/>
                <w:color w:val="auto"/>
              </w:rPr>
            </w:pPr>
          </w:p>
        </w:tc>
      </w:tr>
      <w:tr>
        <w:trPr>
          <w:trHeight w:val="215"/>
        </w:trPr>
        <w:tc>
          <w:tcPr>
            <w:tcW w:w="57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w:t>
            </w:r>
          </w:p>
        </w:tc>
        <w:tc>
          <w:tcPr>
            <w:tcW w:w="1840" w:type="dxa"/>
            <w:vAlign w:val="bottom"/>
            <w:shd w:val="clear" w:color="auto" w:fill="CFF0FC"/>
          </w:tcPr>
          <w:p>
            <w:pPr>
              <w:jc w:val="right"/>
              <w:ind w:right="1639"/>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85,440</w:t>
            </w:r>
          </w:p>
        </w:tc>
        <w:tc>
          <w:tcPr>
            <w:tcW w:w="260" w:type="dxa"/>
            <w:vAlign w:val="bottom"/>
            <w:shd w:val="clear" w:color="auto" w:fill="CFF0FC"/>
          </w:tcPr>
          <w:p>
            <w:pPr>
              <w:spacing w:after="0"/>
              <w:rPr>
                <w:sz w:val="17"/>
                <w:szCs w:val="17"/>
                <w:color w:val="auto"/>
              </w:rPr>
            </w:pPr>
          </w:p>
        </w:tc>
        <w:tc>
          <w:tcPr>
            <w:tcW w:w="2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8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101,920</w:t>
            </w:r>
          </w:p>
        </w:tc>
        <w:tc>
          <w:tcPr>
            <w:tcW w:w="2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18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25,540</w:t>
            </w:r>
          </w:p>
        </w:tc>
        <w:tc>
          <w:tcPr>
            <w:tcW w:w="2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8,640</w:t>
            </w:r>
          </w:p>
        </w:tc>
        <w:tc>
          <w:tcPr>
            <w:tcW w:w="2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36"/>
        </w:trPr>
        <w:tc>
          <w:tcPr>
            <w:tcW w:w="5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identifiable intangible assets</w:t>
            </w:r>
          </w:p>
        </w:tc>
        <w:tc>
          <w:tcPr>
            <w:tcW w:w="1840" w:type="dxa"/>
            <w:vAlign w:val="bottom"/>
            <w:tcBorders>
              <w:bottom w:val="single" w:sz="8" w:color="auto"/>
            </w:tcBorders>
            <w:shd w:val="clear" w:color="auto" w:fill="CFF0FC"/>
          </w:tcPr>
          <w:p>
            <w:pPr>
              <w:jc w:val="right"/>
              <w:ind w:right="1639"/>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221,540</w:t>
            </w:r>
          </w:p>
        </w:tc>
        <w:tc>
          <w:tcPr>
            <w:tcW w:w="28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Management determined the fair value of acquired customer relationships intangible asset by applying the multi-period excess earnings method, which involved the use of significant estimates and assumptions related to forecasted revenue growth rate, gross margin, contributory asset charges, customer attrition rate and discount rate. In connection with the acquisition, the Company assumed a contingent liability associated with a RigNet predecessor subsidiary of approximately $13.8 million, which represented the maximum amount payable under the terms of the agreement. As of March 31, 2022, no amount remains payable as the maximum amount payable was paid during the first and second quarters of fiscal year 2022.</w:t>
      </w:r>
    </w:p>
    <w:p>
      <w:pPr>
        <w:spacing w:after="0" w:line="15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The consolidated financial statements include the operating results of RigNet from the date of acquisition. Since the acquisition date, the Company recorded approximately $180.2 million in revenue for the fiscal year ended March 31, 2022, and $31.2 million of net losses for the fiscal year ended March 31, 2022, with respect to the RigNet business primarily in the Company’s satellite services segment (with a portion included in its commercial networks segment) in the consolidated statements of operations.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9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fiscal year 2021,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fiscal years ended March 31, 2022 and 2021 include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business combination accounting effects primarily related to the amortization and depreciation changes from acquired intangible and tangible assets, acquisition-related transaction costs and related tax effects.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Fiscal Years Ended</w:t>
            </w:r>
          </w:p>
        </w:tc>
        <w:tc>
          <w:tcPr>
            <w:tcW w:w="2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5"/>
                <w:szCs w:val="15"/>
                <w:color w:val="auto"/>
              </w:rPr>
            </w:pPr>
          </w:p>
        </w:tc>
      </w:tr>
      <w:tr>
        <w:trPr>
          <w:trHeight w:val="196"/>
        </w:trPr>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revenues</w:t>
            </w:r>
          </w:p>
        </w:tc>
        <w:tc>
          <w:tcPr>
            <w:tcW w:w="160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2,799,252</w:t>
            </w: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w w:val="99"/>
              </w:rPr>
              <w:t>$</w:t>
            </w:r>
          </w:p>
        </w:tc>
        <w:tc>
          <w:tcPr>
            <w:tcW w:w="2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2,449,881</w:t>
            </w:r>
          </w:p>
        </w:tc>
        <w:tc>
          <w:tcPr>
            <w:tcW w:w="100" w:type="dxa"/>
            <w:vAlign w:val="bottom"/>
            <w:shd w:val="clear" w:color="auto" w:fill="CFF0FC"/>
          </w:tcPr>
          <w:p>
            <w:pPr>
              <w:spacing w:after="0"/>
              <w:rPr>
                <w:sz w:val="17"/>
                <w:szCs w:val="17"/>
                <w:color w:val="auto"/>
              </w:rPr>
            </w:pPr>
          </w:p>
        </w:tc>
      </w:tr>
      <w:tr>
        <w:trPr>
          <w:trHeight w:val="217"/>
        </w:trPr>
        <w:tc>
          <w:tcPr>
            <w:tcW w:w="4460" w:type="dxa"/>
            <w:vAlign w:val="bottom"/>
          </w:tcPr>
          <w:p>
            <w:pPr>
              <w:ind w:left="20"/>
              <w:spacing w:after="0"/>
              <w:rPr>
                <w:sz w:val="20"/>
                <w:szCs w:val="20"/>
                <w:color w:val="auto"/>
              </w:rPr>
            </w:pPr>
            <w:r>
              <w:rPr>
                <w:rFonts w:ascii="Arial" w:cs="Arial" w:eastAsia="Arial" w:hAnsi="Arial"/>
                <w:sz w:val="18"/>
                <w:szCs w:val="18"/>
                <w:color w:val="auto"/>
              </w:rPr>
              <w:t>Net (loss) income attributable to Viasat, Inc.</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00"/>
              <w:spacing w:after="0"/>
              <w:rPr>
                <w:sz w:val="20"/>
                <w:szCs w:val="20"/>
                <w:color w:val="auto"/>
              </w:rPr>
            </w:pPr>
            <w:r>
              <w:rPr>
                <w:rFonts w:ascii="Arial" w:cs="Arial" w:eastAsia="Arial" w:hAnsi="Arial"/>
                <w:sz w:val="18"/>
                <w:szCs w:val="18"/>
                <w:color w:val="auto"/>
              </w:rPr>
              <w:t>(19,957 )</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(43,866 )</w:t>
            </w:r>
          </w:p>
        </w:tc>
      </w:tr>
      <w:tr>
        <w:trPr>
          <w:trHeight w:val="620"/>
        </w:trPr>
        <w:tc>
          <w:tcPr>
            <w:tcW w:w="446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F-47</w:t>
            </w: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4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9"/>
        </w:trPr>
        <w:tc>
          <w:tcPr>
            <w:tcW w:w="1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180" w:type="dxa"/>
            <w:vAlign w:val="bottom"/>
            <w:gridSpan w:val="3"/>
          </w:tcPr>
          <w:p>
            <w:pPr>
              <w:jc w:val="center"/>
              <w:ind w:right="1430"/>
              <w:spacing w:after="0"/>
              <w:rPr>
                <w:sz w:val="20"/>
                <w:szCs w:val="20"/>
                <w:color w:val="auto"/>
              </w:rPr>
            </w:pPr>
            <w:r>
              <w:rPr>
                <w:rFonts w:ascii="Arial" w:cs="Arial" w:eastAsia="Arial" w:hAnsi="Arial"/>
                <w:sz w:val="18"/>
                <w:szCs w:val="18"/>
                <w:b w:val="1"/>
                <w:bCs w:val="1"/>
                <w:color w:val="auto"/>
                <w:w w:val="99"/>
              </w:rPr>
              <w:t>SCHEDULE II</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80" w:type="dxa"/>
            <w:vAlign w:val="bottom"/>
            <w:gridSpan w:val="3"/>
          </w:tcPr>
          <w:p>
            <w:pPr>
              <w:jc w:val="center"/>
              <w:ind w:right="1450"/>
              <w:spacing w:after="0"/>
              <w:rPr>
                <w:sz w:val="20"/>
                <w:szCs w:val="20"/>
                <w:color w:val="auto"/>
              </w:rPr>
            </w:pPr>
            <w:r>
              <w:rPr>
                <w:rFonts w:ascii="Arial" w:cs="Arial" w:eastAsia="Arial" w:hAnsi="Arial"/>
                <w:sz w:val="18"/>
                <w:szCs w:val="18"/>
                <w:b w:val="1"/>
                <w:bCs w:val="1"/>
                <w:color w:val="auto"/>
                <w:w w:val="98"/>
              </w:rPr>
              <w:t>VALUATION AND QUALIFYING ACCOUNTS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80" w:type="dxa"/>
            <w:vAlign w:val="bottom"/>
            <w:gridSpan w:val="3"/>
          </w:tcPr>
          <w:p>
            <w:pPr>
              <w:jc w:val="center"/>
              <w:ind w:right="1450"/>
              <w:spacing w:after="0"/>
              <w:rPr>
                <w:sz w:val="20"/>
                <w:szCs w:val="20"/>
                <w:color w:val="auto"/>
              </w:rPr>
            </w:pPr>
            <w:r>
              <w:rPr>
                <w:rFonts w:ascii="Arial" w:cs="Arial" w:eastAsia="Arial" w:hAnsi="Arial"/>
                <w:sz w:val="18"/>
                <w:szCs w:val="18"/>
                <w:b w:val="1"/>
                <w:bCs w:val="1"/>
                <w:color w:val="auto"/>
                <w:w w:val="99"/>
              </w:rPr>
              <w:t>For the Three Fiscal Years Ended March 31, 2022</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center"/>
              <w:ind w:right="195"/>
              <w:spacing w:after="0"/>
              <w:rPr>
                <w:sz w:val="20"/>
                <w:szCs w:val="20"/>
                <w:color w:val="auto"/>
              </w:rPr>
            </w:pPr>
            <w:r>
              <w:rPr>
                <w:rFonts w:ascii="Arial" w:cs="Arial" w:eastAsia="Arial" w:hAnsi="Arial"/>
                <w:sz w:val="14"/>
                <w:szCs w:val="14"/>
                <w:b w:val="1"/>
                <w:bCs w:val="1"/>
                <w:color w:val="auto"/>
              </w:rPr>
              <w:t>Deferred Tax</w:t>
            </w:r>
          </w:p>
        </w:tc>
        <w:tc>
          <w:tcPr>
            <w:tcW w:w="100" w:type="dxa"/>
            <w:vAlign w:val="bottom"/>
          </w:tcPr>
          <w:p>
            <w:pPr>
              <w:spacing w:after="0"/>
              <w:rPr>
                <w:sz w:val="24"/>
                <w:szCs w:val="24"/>
                <w:color w:val="auto"/>
              </w:rPr>
            </w:pPr>
          </w:p>
        </w:tc>
      </w:tr>
      <w:tr>
        <w:trPr>
          <w:trHeight w:val="148"/>
        </w:trPr>
        <w:tc>
          <w:tcPr>
            <w:tcW w:w="1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rPr>
              <w:t>Asset Valuation</w:t>
            </w:r>
          </w:p>
        </w:tc>
        <w:tc>
          <w:tcPr>
            <w:tcW w:w="100" w:type="dxa"/>
            <w:vAlign w:val="bottom"/>
          </w:tcPr>
          <w:p>
            <w:pPr>
              <w:spacing w:after="0"/>
              <w:rPr>
                <w:sz w:val="12"/>
                <w:szCs w:val="12"/>
                <w:color w:val="auto"/>
              </w:rPr>
            </w:pPr>
          </w:p>
        </w:tc>
      </w:tr>
      <w:tr>
        <w:trPr>
          <w:trHeight w:val="189"/>
        </w:trPr>
        <w:tc>
          <w:tcPr>
            <w:tcW w:w="10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r>
      <w:tr>
        <w:trPr>
          <w:trHeight w:val="169"/>
        </w:trPr>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9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03"/>
        </w:trPr>
        <w:tc>
          <w:tcPr>
            <w:tcW w:w="33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March 31, 2019</w:t>
            </w:r>
          </w:p>
        </w:tc>
        <w:tc>
          <w:tcPr>
            <w:tcW w:w="618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33,499</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Charged to costs and expenses</w:t>
            </w:r>
          </w:p>
        </w:tc>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9,122</w:t>
            </w:r>
          </w:p>
        </w:tc>
        <w:tc>
          <w:tcPr>
            <w:tcW w:w="100" w:type="dxa"/>
            <w:vAlign w:val="bottom"/>
          </w:tcPr>
          <w:p>
            <w:pPr>
              <w:spacing w:after="0"/>
              <w:rPr>
                <w:sz w:val="17"/>
                <w:szCs w:val="17"/>
                <w:color w:val="auto"/>
              </w:rPr>
            </w:pPr>
          </w:p>
        </w:tc>
      </w:tr>
      <w:tr>
        <w:trPr>
          <w:trHeight w:val="203"/>
        </w:trPr>
        <w:tc>
          <w:tcPr>
            <w:tcW w:w="3300" w:type="dxa"/>
            <w:vAlign w:val="bottom"/>
            <w:tcBorders>
              <w:bottom w:val="single" w:sz="8" w:color="CFF0FC"/>
            </w:tcBorders>
            <w:gridSpan w:val="2"/>
            <w:shd w:val="clear" w:color="auto" w:fill="CFF0FC"/>
          </w:tcPr>
          <w:p>
            <w:pPr>
              <w:ind w:left="520"/>
              <w:spacing w:after="0" w:line="202" w:lineRule="exact"/>
              <w:rPr>
                <w:sz w:val="20"/>
                <w:szCs w:val="20"/>
                <w:color w:val="auto"/>
              </w:rPr>
            </w:pPr>
            <w:r>
              <w:rPr>
                <w:rFonts w:ascii="Arial" w:cs="Arial" w:eastAsia="Arial" w:hAnsi="Arial"/>
                <w:sz w:val="18"/>
                <w:szCs w:val="18"/>
                <w:color w:val="auto"/>
              </w:rPr>
              <w:t>Deductions</w:t>
            </w:r>
          </w:p>
        </w:tc>
        <w:tc>
          <w:tcPr>
            <w:tcW w:w="57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3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March 31, 2020</w:t>
            </w:r>
          </w:p>
        </w:tc>
        <w:tc>
          <w:tcPr>
            <w:tcW w:w="6180" w:type="dxa"/>
            <w:vAlign w:val="bottom"/>
            <w:gridSpan w:val="3"/>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42,621</w:t>
            </w:r>
          </w:p>
        </w:tc>
        <w:tc>
          <w:tcPr>
            <w:tcW w:w="100" w:type="dxa"/>
            <w:vAlign w:val="bottom"/>
          </w:tcPr>
          <w:p>
            <w:pPr>
              <w:spacing w:after="0"/>
              <w:rPr>
                <w:sz w:val="17"/>
                <w:szCs w:val="17"/>
                <w:color w:val="auto"/>
              </w:rPr>
            </w:pPr>
          </w:p>
        </w:tc>
      </w:tr>
      <w:tr>
        <w:trPr>
          <w:trHeight w:val="203"/>
        </w:trPr>
        <w:tc>
          <w:tcPr>
            <w:tcW w:w="3300" w:type="dxa"/>
            <w:vAlign w:val="bottom"/>
            <w:gridSpan w:val="2"/>
            <w:shd w:val="clear" w:color="auto" w:fill="CFF0FC"/>
          </w:tcPr>
          <w:p>
            <w:pPr>
              <w:ind w:left="520"/>
              <w:spacing w:after="0" w:line="202" w:lineRule="exact"/>
              <w:rPr>
                <w:sz w:val="20"/>
                <w:szCs w:val="20"/>
                <w:color w:val="auto"/>
              </w:rPr>
            </w:pPr>
            <w:r>
              <w:rPr>
                <w:rFonts w:ascii="Arial" w:cs="Arial" w:eastAsia="Arial" w:hAnsi="Arial"/>
                <w:sz w:val="18"/>
                <w:szCs w:val="18"/>
                <w:color w:val="auto"/>
              </w:rPr>
              <w:t>Charged to costs and expenses</w:t>
            </w:r>
          </w:p>
        </w:tc>
        <w:tc>
          <w:tcPr>
            <w:tcW w:w="5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4,455</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Deductions</w:t>
            </w:r>
          </w:p>
        </w:tc>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33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March 31, 2021</w:t>
            </w:r>
          </w:p>
        </w:tc>
        <w:tc>
          <w:tcPr>
            <w:tcW w:w="5920" w:type="dxa"/>
            <w:vAlign w:val="bottom"/>
            <w:gridSpan w:val="2"/>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47,076</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Charged to costs and expenses</w:t>
            </w:r>
          </w:p>
        </w:tc>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5,119</w:t>
            </w:r>
          </w:p>
        </w:tc>
        <w:tc>
          <w:tcPr>
            <w:tcW w:w="100" w:type="dxa"/>
            <w:vAlign w:val="bottom"/>
          </w:tcPr>
          <w:p>
            <w:pPr>
              <w:spacing w:after="0"/>
              <w:rPr>
                <w:sz w:val="17"/>
                <w:szCs w:val="17"/>
                <w:color w:val="auto"/>
              </w:rPr>
            </w:pPr>
          </w:p>
        </w:tc>
      </w:tr>
      <w:tr>
        <w:trPr>
          <w:trHeight w:val="203"/>
        </w:trPr>
        <w:tc>
          <w:tcPr>
            <w:tcW w:w="3300" w:type="dxa"/>
            <w:vAlign w:val="bottom"/>
            <w:gridSpan w:val="2"/>
            <w:shd w:val="clear" w:color="auto" w:fill="CFF0FC"/>
          </w:tcPr>
          <w:p>
            <w:pPr>
              <w:ind w:left="520"/>
              <w:spacing w:after="0" w:line="202" w:lineRule="exact"/>
              <w:rPr>
                <w:sz w:val="20"/>
                <w:szCs w:val="20"/>
                <w:color w:val="auto"/>
              </w:rPr>
            </w:pPr>
            <w:r>
              <w:rPr>
                <w:rFonts w:ascii="Arial" w:cs="Arial" w:eastAsia="Arial" w:hAnsi="Arial"/>
                <w:sz w:val="18"/>
                <w:szCs w:val="18"/>
                <w:color w:val="auto"/>
              </w:rPr>
              <w:t>Charged to goodwill*</w:t>
            </w:r>
          </w:p>
        </w:tc>
        <w:tc>
          <w:tcPr>
            <w:tcW w:w="5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25,876</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Deductions</w:t>
            </w:r>
          </w:p>
        </w:tc>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330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March 31, 2022</w:t>
            </w:r>
          </w:p>
        </w:tc>
        <w:tc>
          <w:tcPr>
            <w:tcW w:w="5920" w:type="dxa"/>
            <w:vAlign w:val="bottom"/>
            <w:tcBorders>
              <w:bottom w:val="single" w:sz="8" w:color="CFF0FC"/>
            </w:tcBorders>
            <w:gridSpan w:val="2"/>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78,071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8"/>
        </w:trPr>
        <w:tc>
          <w:tcPr>
            <w:tcW w:w="106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5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-1153795</wp:posOffset>
            </wp:positionV>
            <wp:extent cx="685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Related to the acquisitions of RigNet and EBI</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jc w:val="center"/>
        <w:spacing w:after="0"/>
        <w:rPr>
          <w:sz w:val="20"/>
          <w:szCs w:val="20"/>
          <w:color w:val="auto"/>
        </w:rPr>
      </w:pPr>
      <w:r>
        <w:rPr>
          <w:rFonts w:ascii="Arial" w:cs="Arial" w:eastAsia="Arial" w:hAnsi="Arial"/>
          <w:sz w:val="18"/>
          <w:szCs w:val="18"/>
          <w:b w:val="1"/>
          <w:bCs w:val="1"/>
          <w:color w:val="auto"/>
        </w:rPr>
        <w:t>CHANGE IN CONTROL SEVERANCE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FIRST AMENDMENT TO CHANGE IN CONTROL SEVERANCE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made as of __________,</w:t>
      </w:r>
    </w:p>
    <w:p>
      <w:pPr>
        <w:spacing w:after="0" w:line="234" w:lineRule="auto"/>
        <w:rPr>
          <w:sz w:val="20"/>
          <w:szCs w:val="20"/>
          <w:color w:val="auto"/>
        </w:rPr>
      </w:pPr>
      <w:r>
        <w:rPr>
          <w:rFonts w:ascii="Arial" w:cs="Arial" w:eastAsia="Arial" w:hAnsi="Arial"/>
          <w:sz w:val="18"/>
          <w:szCs w:val="18"/>
          <w:color w:val="auto"/>
        </w:rPr>
        <w:t>20__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Viasat,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Capitalized terms used and not otherwise defined herein shall have the meanings ascribed to such terms in the Severance Agreement (as defined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The Company and Executive have entered into that certain Change in Control Severance Agreement, effective as of __________ (the</w:t>
      </w: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Agreement</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 The parties hereto wish to amend certain terms of the Severance Agreement.</w:t>
      </w:r>
    </w:p>
    <w:p>
      <w:pPr>
        <w:spacing w:after="0" w:line="17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AMENDMENT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hereby amend the Severance Agreement as follows, effective as of the Effective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Section 1(c)</w:t>
      </w:r>
      <w:r>
        <w:rPr>
          <w:rFonts w:ascii="Arial" w:cs="Arial" w:eastAsia="Arial" w:hAnsi="Arial"/>
          <w:sz w:val="18"/>
          <w:szCs w:val="18"/>
          <w:color w:val="auto"/>
        </w:rPr>
        <w:t>. Section 1(c) of the Severance Agreement is hereby amended and restated as follows: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 and include each of the following:</w:t>
      </w:r>
    </w:p>
    <w:p>
      <w:pPr>
        <w:spacing w:after="0" w:line="220" w:lineRule="exact"/>
        <w:rPr>
          <w:sz w:val="20"/>
          <w:szCs w:val="20"/>
          <w:color w:val="auto"/>
        </w:rPr>
      </w:pPr>
    </w:p>
    <w:p>
      <w:pPr>
        <w:jc w:val="both"/>
        <w:ind w:left="760" w:hanging="3"/>
        <w:spacing w:after="0" w:line="236" w:lineRule="auto"/>
        <w:tabs>
          <w:tab w:leader="none" w:pos="9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p>
    <w:p>
      <w:pPr>
        <w:spacing w:after="0" w:line="172" w:lineRule="exact"/>
        <w:rPr>
          <w:rFonts w:ascii="Arial" w:cs="Arial" w:eastAsia="Arial" w:hAnsi="Arial"/>
          <w:sz w:val="18"/>
          <w:szCs w:val="18"/>
          <w:color w:val="auto"/>
        </w:rPr>
      </w:pPr>
    </w:p>
    <w:p>
      <w:pPr>
        <w:jc w:val="both"/>
        <w:ind w:left="760" w:hanging="3"/>
        <w:spacing w:after="0"/>
        <w:tabs>
          <w:tab w:leader="none" w:pos="10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individuals who, as of the date hereof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two-thirds of the members of the Board; provided, however, that if the election, or nomination for election by the Company’s common stockholders,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Arial" w:cs="Arial" w:eastAsia="Arial" w:hAnsi="Arial"/>
          <w:sz w:val="18"/>
          <w:szCs w:val="18"/>
          <w:b w:val="1"/>
          <w:bCs w:val="1"/>
          <w:i w:val="1"/>
          <w:iCs w:val="1"/>
          <w:color w:val="auto"/>
        </w:rPr>
        <w:t>Proxy Contest</w:t>
      </w:r>
      <w:r>
        <w:rPr>
          <w:rFonts w:ascii="Arial" w:cs="Arial" w:eastAsia="Arial" w:hAnsi="Arial"/>
          <w:sz w:val="18"/>
          <w:szCs w:val="18"/>
          <w:color w:val="auto"/>
        </w:rPr>
        <w:t>”) including by reason of any agreement intended to avoid or settle any Election Contest or Proxy Contest;</w:t>
      </w:r>
    </w:p>
    <w:p>
      <w:pPr>
        <w:spacing w:after="0" w:line="188" w:lineRule="exact"/>
        <w:rPr>
          <w:rFonts w:ascii="Arial" w:cs="Arial" w:eastAsia="Arial" w:hAnsi="Arial"/>
          <w:sz w:val="18"/>
          <w:szCs w:val="18"/>
          <w:color w:val="auto"/>
        </w:rPr>
      </w:pPr>
    </w:p>
    <w:p>
      <w:pPr>
        <w:jc w:val="both"/>
        <w:ind w:left="760" w:hanging="3"/>
        <w:spacing w:after="0" w:line="238" w:lineRule="auto"/>
        <w:tabs>
          <w:tab w:leader="none" w:pos="10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91" w:lineRule="exact"/>
        <w:rPr>
          <w:sz w:val="20"/>
          <w:szCs w:val="20"/>
          <w:color w:val="auto"/>
        </w:rPr>
      </w:pPr>
    </w:p>
    <w:p>
      <w:pPr>
        <w:jc w:val="both"/>
        <w:ind w:left="760" w:hanging="3"/>
        <w:spacing w:after="0" w:line="237" w:lineRule="auto"/>
        <w:tabs>
          <w:tab w:leader="none" w:pos="10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91" w:lineRule="exact"/>
        <w:rPr>
          <w:rFonts w:ascii="Arial" w:cs="Arial" w:eastAsia="Arial" w:hAnsi="Arial"/>
          <w:sz w:val="18"/>
          <w:szCs w:val="18"/>
          <w:color w:val="auto"/>
        </w:rPr>
      </w:pPr>
    </w:p>
    <w:p>
      <w:pPr>
        <w:jc w:val="both"/>
        <w:ind w:left="760" w:hanging="3"/>
        <w:spacing w:after="0" w:line="233" w:lineRule="auto"/>
        <w:tabs>
          <w:tab w:leader="none" w:pos="10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forty percent (40%) or more of the combined voting power of the Successor Entity;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person or group shall be treated for purposes of this Section 1(c) (ii)(B) as beneficially owning 40% or more of combined voting power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0" w:name="page121"/>
    <w:bookmarkEnd w:id="120"/>
    <w:p>
      <w:pPr>
        <w:ind w:left="760"/>
        <w:spacing w:after="0"/>
        <w:rPr>
          <w:sz w:val="20"/>
          <w:szCs w:val="20"/>
          <w:color w:val="auto"/>
        </w:rPr>
      </w:pPr>
      <w:r>
        <w:rPr>
          <w:rFonts w:ascii="Arial" w:cs="Arial" w:eastAsia="Arial" w:hAnsi="Arial"/>
          <w:sz w:val="18"/>
          <w:szCs w:val="18"/>
          <w:color w:val="auto"/>
        </w:rPr>
        <w:t>of the Successor Entity solely as a result of the voting power held in the Company prior to the consummation of the transaction; or</w:t>
      </w:r>
    </w:p>
    <w:p>
      <w:pPr>
        <w:spacing w:after="0" w:line="198" w:lineRule="exact"/>
        <w:rPr>
          <w:sz w:val="20"/>
          <w:szCs w:val="20"/>
          <w:color w:val="auto"/>
        </w:rPr>
      </w:pPr>
    </w:p>
    <w:p>
      <w:pPr>
        <w:jc w:val="both"/>
        <w:ind w:left="760" w:firstLine="745"/>
        <w:spacing w:after="0"/>
        <w:tabs>
          <w:tab w:leader="none" w:pos="18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that certain Share Purchase Agreement relating to Connect Topco Limited, between the Investor Sellers, the Management Sellers, the Optionholder Sellers, and the Company, dated November 8, 2021.</w:t>
      </w:r>
    </w:p>
    <w:p>
      <w:pPr>
        <w:spacing w:after="0" w:line="18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2.This First Amendment shall be and, as of the Effective Date, is hereby incorporated in and forms a part of, the Severance Agreement.</w:t>
      </w:r>
    </w:p>
    <w:p>
      <w:pPr>
        <w:spacing w:after="0" w:line="198" w:lineRule="exact"/>
        <w:rPr>
          <w:sz w:val="20"/>
          <w:szCs w:val="20"/>
          <w:color w:val="auto"/>
        </w:rPr>
      </w:pPr>
    </w:p>
    <w:p>
      <w:pPr>
        <w:ind w:left="4660" w:right="1040" w:hanging="4645"/>
        <w:spacing w:after="0" w:line="246" w:lineRule="auto"/>
        <w:rPr>
          <w:sz w:val="20"/>
          <w:szCs w:val="20"/>
          <w:color w:val="auto"/>
        </w:rPr>
      </w:pPr>
      <w:r>
        <w:rPr>
          <w:rFonts w:ascii="Arial" w:cs="Arial" w:eastAsia="Arial" w:hAnsi="Arial"/>
          <w:sz w:val="18"/>
          <w:szCs w:val="18"/>
          <w:color w:val="auto"/>
        </w:rPr>
        <w:t xml:space="preserve">3.Except as expressly provided herein, all terms and conditions of the Severance Agreement shall remain in full force and effect. </w:t>
      </w: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First Amendment as of the date first written above.</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w:t>
      </w:r>
    </w:p>
    <w:p>
      <w:pPr>
        <w:ind w:left="4860"/>
        <w:spacing w:after="0" w:line="234" w:lineRule="auto"/>
        <w:rPr>
          <w:sz w:val="20"/>
          <w:szCs w:val="20"/>
          <w:color w:val="auto"/>
        </w:rPr>
      </w:pPr>
      <w:r>
        <w:rPr>
          <w:rFonts w:ascii="Arial" w:cs="Arial" w:eastAsia="Arial" w:hAnsi="Arial"/>
          <w:sz w:val="18"/>
          <w:szCs w:val="18"/>
          <w:color w:val="auto"/>
        </w:rPr>
        <w:t>Name:</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w:t>
      </w:r>
    </w:p>
    <w:p>
      <w:pPr>
        <w:spacing w:after="0" w:line="37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162560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700" w:top="319" w:right="9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9"/>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2"/>
          </w:tcPr>
          <w:p>
            <w:pPr>
              <w:ind w:left="4600"/>
              <w:spacing w:after="0"/>
              <w:rPr>
                <w:sz w:val="20"/>
                <w:szCs w:val="20"/>
                <w:color w:val="auto"/>
              </w:rPr>
            </w:pPr>
            <w:r>
              <w:rPr>
                <w:rFonts w:ascii="Arial" w:cs="Arial" w:eastAsia="Arial" w:hAnsi="Arial"/>
                <w:sz w:val="18"/>
                <w:szCs w:val="18"/>
                <w:b w:val="1"/>
                <w:bCs w:val="1"/>
                <w:color w:val="auto"/>
                <w:w w:val="99"/>
              </w:rPr>
              <w:t>Exhibit 21.1</w:t>
            </w:r>
          </w:p>
        </w:tc>
      </w:tr>
      <w:tr>
        <w:trPr>
          <w:trHeight w:val="364"/>
        </w:trPr>
        <w:tc>
          <w:tcPr>
            <w:tcW w:w="550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140" w:type="dxa"/>
            <w:vAlign w:val="bottom"/>
          </w:tcPr>
          <w:p>
            <w:pPr>
              <w:spacing w:after="0"/>
              <w:rPr>
                <w:sz w:val="24"/>
                <w:szCs w:val="24"/>
                <w:color w:val="auto"/>
              </w:rPr>
            </w:pPr>
          </w:p>
        </w:tc>
        <w:tc>
          <w:tcPr>
            <w:tcW w:w="5620" w:type="dxa"/>
            <w:vAlign w:val="bottom"/>
            <w:gridSpan w:val="2"/>
          </w:tcPr>
          <w:p>
            <w:pPr>
              <w:ind w:left="940"/>
              <w:spacing w:after="0"/>
              <w:rPr>
                <w:sz w:val="20"/>
                <w:szCs w:val="20"/>
                <w:color w:val="auto"/>
              </w:rPr>
            </w:pPr>
            <w:r>
              <w:rPr>
                <w:rFonts w:ascii="Arial" w:cs="Arial" w:eastAsia="Arial" w:hAnsi="Arial"/>
                <w:sz w:val="14"/>
                <w:szCs w:val="14"/>
                <w:color w:val="auto"/>
              </w:rPr>
              <w:t>State or Other Jurisdiction of Incorporation or Organization</w:t>
            </w:r>
          </w:p>
        </w:tc>
      </w:tr>
      <w:tr>
        <w:trPr>
          <w:trHeight w:val="195"/>
        </w:trPr>
        <w:tc>
          <w:tcPr>
            <w:tcW w:w="55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Automation Communications Engineering Corporation</w:t>
            </w:r>
          </w:p>
        </w:tc>
        <w:tc>
          <w:tcPr>
            <w:tcW w:w="140" w:type="dxa"/>
            <w:vAlign w:val="bottom"/>
          </w:tcPr>
          <w:p>
            <w:pPr>
              <w:spacing w:after="0"/>
              <w:rPr>
                <w:sz w:val="16"/>
                <w:szCs w:val="16"/>
                <w:color w:val="auto"/>
              </w:rPr>
            </w:pPr>
          </w:p>
        </w:tc>
        <w:tc>
          <w:tcPr>
            <w:tcW w:w="56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United States (LA)</w:t>
            </w:r>
          </w:p>
        </w:tc>
        <w:tc>
          <w:tcPr>
            <w:tcW w:w="20" w:type="dxa"/>
            <w:vAlign w:val="bottom"/>
          </w:tcPr>
          <w:p>
            <w:pPr>
              <w:spacing w:after="0"/>
              <w:rPr>
                <w:sz w:val="16"/>
                <w:szCs w:val="16"/>
                <w:color w:val="auto"/>
              </w:rPr>
            </w:pP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Beijing Viasat Science and Technology Co., Ltd.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C.S.G. Cyprus Space Gateways Ltd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Cyprus</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Carmel Comunicaciones, S.A. de C.V.</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ComPetro Communications Holdings,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ComPetro Communications,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ComPetro Comunicações Holdings do Brasil, Ltda.</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Congo Broadband Network Sarl</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Democratic Republic of the Congo</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Cyphre Security Solutions,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(TX)</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Engreen India Private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Engreen,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(CA)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Euro Broadband Infrastructure Sàrl</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Euro Broadband Services S.r.l.</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Intelie Solucoes em Informatica S.A.</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Intelie Technology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(TX)</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Intelie,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IOM Licensing Holding Company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Isle of Man</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Irish Space Gateways Ltd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Karama Technologies Ltd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British Virgin Islands</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LandTel Communications,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(LA)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LandTel,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mmWaveBroadband Co.</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Munaicom LLP</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Kazakhstan</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Nesscoinvsat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Orgtec, S. de R.L.de C.V.</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PT Viasat Communications Indonesia</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 Net Middle East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Oman</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(CA),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Angola, Limitada</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Angola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AP Facilities &amp; Services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Nigeria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AS</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Australia Pty.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BRN Sdn. Bhd.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Brunei</w:t>
            </w:r>
          </w:p>
        </w:tc>
      </w:tr>
      <w:tr>
        <w:trPr>
          <w:trHeight w:val="202"/>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Company for Communication Services Ltd.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Iraq</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de México, S de R.L. de C.V.</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EIS,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Ghana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Ghana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Global Holdings S.a.r.l.</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Holdings,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Luxembourg Holdings S.a.r.l.</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Middle East - FZE</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Mobile Solutions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Scotland</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Mozambique Limitada</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Mozambique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Newco,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Pte Ltd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Qatar W.L.L.</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Qatar</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Satcom,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Sdn. Bhd.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Serviços de Telecomunicações Brasil, Ltda.</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UK Holdings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Scotland</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UK Limited</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Scotland</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Inc.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RigNet, Inc. (Limited Liability One Person Company)</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Saudi Arabia</w:t>
            </w:r>
          </w:p>
        </w:tc>
      </w:tr>
      <w:tr>
        <w:trPr>
          <w:trHeight w:val="202"/>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RNET Properties LLC</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RNSAT Servicios de México, S. de R.L. de C.V.</w:t>
            </w:r>
          </w:p>
        </w:tc>
        <w:tc>
          <w:tcPr>
            <w:tcW w:w="140" w:type="dxa"/>
            <w:vAlign w:val="bottom"/>
          </w:tcPr>
          <w:p>
            <w:pPr>
              <w:spacing w:after="0"/>
              <w:rPr>
                <w:sz w:val="17"/>
                <w:szCs w:val="17"/>
                <w:color w:val="auto"/>
              </w:rPr>
            </w:pPr>
          </w:p>
        </w:tc>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Mexico</w:t>
            </w:r>
          </w:p>
        </w:tc>
      </w:tr>
      <w:tr>
        <w:trPr>
          <w:trHeight w:val="217"/>
        </w:trPr>
        <w:tc>
          <w:tcPr>
            <w:tcW w:w="5500" w:type="dxa"/>
            <w:vAlign w:val="bottom"/>
          </w:tcPr>
          <w:p>
            <w:pPr>
              <w:ind w:left="20"/>
              <w:spacing w:after="0"/>
              <w:rPr>
                <w:sz w:val="20"/>
                <w:szCs w:val="20"/>
                <w:color w:val="auto"/>
              </w:rPr>
            </w:pPr>
            <w:r>
              <w:rPr>
                <w:rFonts w:ascii="Arial" w:cs="Arial" w:eastAsia="Arial" w:hAnsi="Arial"/>
                <w:sz w:val="18"/>
                <w:szCs w:val="18"/>
                <w:color w:val="auto"/>
              </w:rPr>
              <w:t>Safety Controls, Inc.</w:t>
            </w:r>
          </w:p>
        </w:tc>
        <w:tc>
          <w:tcPr>
            <w:tcW w:w="140" w:type="dxa"/>
            <w:vAlign w:val="bottom"/>
          </w:tcPr>
          <w:p>
            <w:pPr>
              <w:spacing w:after="0"/>
              <w:rPr>
                <w:sz w:val="18"/>
                <w:szCs w:val="18"/>
                <w:color w:val="auto"/>
              </w:rPr>
            </w:pPr>
          </w:p>
        </w:tc>
        <w:tc>
          <w:tcPr>
            <w:tcW w:w="5620" w:type="dxa"/>
            <w:vAlign w:val="bottom"/>
            <w:gridSpan w:val="2"/>
          </w:tcPr>
          <w:p>
            <w:pPr>
              <w:ind w:left="20"/>
              <w:spacing w:after="0"/>
              <w:rPr>
                <w:sz w:val="20"/>
                <w:szCs w:val="20"/>
                <w:color w:val="auto"/>
              </w:rPr>
            </w:pPr>
            <w:r>
              <w:rPr>
                <w:rFonts w:ascii="Arial" w:cs="Arial" w:eastAsia="Arial" w:hAnsi="Arial"/>
                <w:sz w:val="18"/>
                <w:szCs w:val="18"/>
                <w:color w:val="auto"/>
              </w:rPr>
              <w:t>United States (LA)</w:t>
            </w:r>
          </w:p>
        </w:tc>
      </w:tr>
      <w:tr>
        <w:trPr>
          <w:trHeight w:val="547"/>
        </w:trPr>
        <w:tc>
          <w:tcPr>
            <w:tcW w:w="5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5460" w:type="dxa"/>
            <w:vAlign w:val="bottom"/>
          </w:tcPr>
          <w:p>
            <w:pPr>
              <w:ind w:left="20"/>
              <w:spacing w:after="0"/>
              <w:rPr>
                <w:sz w:val="20"/>
                <w:szCs w:val="20"/>
                <w:color w:val="auto"/>
              </w:rPr>
            </w:pPr>
            <w:r>
              <w:rPr>
                <w:rFonts w:ascii="Arial" w:cs="Arial" w:eastAsia="Arial" w:hAnsi="Arial"/>
                <w:sz w:val="18"/>
                <w:szCs w:val="18"/>
                <w:color w:val="auto"/>
              </w:rPr>
              <w:t>Shabakat Rafedain AI Iraq AI Jadeed for Trade in Communication</w:t>
            </w:r>
          </w:p>
        </w:tc>
        <w:tc>
          <w:tcPr>
            <w:tcW w:w="5780" w:type="dxa"/>
            <w:vAlign w:val="bottom"/>
          </w:tcPr>
          <w:p>
            <w:pPr>
              <w:spacing w:after="0"/>
              <w:rPr>
                <w:sz w:val="17"/>
                <w:szCs w:val="17"/>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Equipment and Devices LLC</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Iraq</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D.o.o.</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Croatia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Espana S.L.U.</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Eurasia Iletisim Sanayi</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Finland OY</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Finland</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France SAS</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Germany GmbH</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Skylogic Hellas MEPE</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Greece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Tailored Investments Ltd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British Virgin Islands</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TrellisWare Technologies, Inc.</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V3 Tanzania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Tanzania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VGlobal Corp, S.A. de C.V.</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(Cambodia) Co., Ltd.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Cambodia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(IOM)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Isle of Man</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Antenna Systems S.A.</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APAC Holdings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Australia Pty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Brasil Participações Ltda.</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Brasil Serviços de Comunicações Ltda.</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Broadband Holdings B.V.</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Cambodia Holdings Pte. Ltd.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Canada Corp.</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Carrier Services, Inc.</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China Services, Inc.</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Colombia S.A.S</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Colombia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Communications Germany GmbH</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Communications Italy S.r.l.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Communications Ltd.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Ghana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Communications Middle East LLC</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Arab Emirates</w:t>
            </w: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Communications Panama, S.A</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Republic of Panama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Communications Uganda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Uganda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Europe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Europe Sàrl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Germany GmbH</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Global Holdings, LLC</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Guatemala SA</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Guatemala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Honduras, S. de 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Honduras</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Ibérica, S.L..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India Private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Israel Ltd.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Israel</w:t>
            </w:r>
          </w:p>
        </w:tc>
      </w:tr>
      <w:tr>
        <w:trPr>
          <w:trHeight w:val="192"/>
        </w:trPr>
        <w:tc>
          <w:tcPr>
            <w:tcW w:w="5460" w:type="dxa"/>
            <w:vAlign w:val="bottom"/>
          </w:tcPr>
          <w:p>
            <w:pPr>
              <w:ind w:left="20"/>
              <w:spacing w:after="0" w:line="192" w:lineRule="exact"/>
              <w:rPr>
                <w:sz w:val="20"/>
                <w:szCs w:val="20"/>
                <w:color w:val="auto"/>
              </w:rPr>
            </w:pPr>
            <w:r>
              <w:rPr>
                <w:rFonts w:ascii="Arial" w:cs="Arial" w:eastAsia="Arial" w:hAnsi="Arial"/>
                <w:sz w:val="18"/>
                <w:szCs w:val="18"/>
                <w:color w:val="auto"/>
              </w:rPr>
              <w:t>Viasat Italy S.r.l.</w:t>
            </w:r>
          </w:p>
        </w:tc>
        <w:tc>
          <w:tcPr>
            <w:tcW w:w="5780" w:type="dxa"/>
            <w:vAlign w:val="bottom"/>
          </w:tcPr>
          <w:p>
            <w:pPr>
              <w:ind w:left="200"/>
              <w:spacing w:after="0" w:line="192" w:lineRule="exact"/>
              <w:rPr>
                <w:sz w:val="20"/>
                <w:szCs w:val="20"/>
                <w:color w:val="auto"/>
              </w:rPr>
            </w:pPr>
            <w:r>
              <w:rPr>
                <w:rFonts w:ascii="Arial" w:cs="Arial" w:eastAsia="Arial" w:hAnsi="Arial"/>
                <w:sz w:val="18"/>
                <w:szCs w:val="18"/>
                <w:color w:val="auto"/>
              </w:rPr>
              <w:t>Italy</w:t>
            </w:r>
          </w:p>
        </w:tc>
      </w:tr>
      <w:tr>
        <w:trPr>
          <w:trHeight w:val="213"/>
        </w:trPr>
        <w:tc>
          <w:tcPr>
            <w:tcW w:w="5460" w:type="dxa"/>
            <w:vAlign w:val="bottom"/>
          </w:tcPr>
          <w:p>
            <w:pPr>
              <w:ind w:left="20"/>
              <w:spacing w:after="0" w:line="213" w:lineRule="exact"/>
              <w:rPr>
                <w:sz w:val="20"/>
                <w:szCs w:val="20"/>
                <w:color w:val="auto"/>
              </w:rPr>
            </w:pPr>
            <w:r>
              <w:rPr>
                <w:rFonts w:ascii="Arial" w:cs="Arial" w:eastAsia="Arial" w:hAnsi="Arial"/>
                <w:sz w:val="18"/>
                <w:szCs w:val="18"/>
                <w:color w:val="auto"/>
              </w:rPr>
              <w:t xml:space="preserve">Viasat Japan </w:t>
            </w:r>
            <w:r>
              <w:rPr>
                <w:rFonts w:ascii="SimSun" w:cs="SimSun" w:eastAsia="SimSun" w:hAnsi="SimSun"/>
                <w:sz w:val="18"/>
                <w:szCs w:val="18"/>
                <w:color w:val="auto"/>
              </w:rPr>
              <w:t>合同会社</w:t>
            </w:r>
            <w:r>
              <w:rPr>
                <w:rFonts w:ascii="Arial" w:cs="Arial" w:eastAsia="Arial" w:hAnsi="Arial"/>
                <w:sz w:val="18"/>
                <w:szCs w:val="18"/>
                <w:color w:val="auto"/>
              </w:rPr>
              <w:t xml:space="preserve"> (Viasat Japan G.K.).</w:t>
            </w:r>
          </w:p>
        </w:tc>
        <w:tc>
          <w:tcPr>
            <w:tcW w:w="578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Kenya Holdings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Kenya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Kenya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Kenya Operations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Kenya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Malaysia Sdn. Bhd.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Mali-Sarl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Mali</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Mozambique, LDA</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Mozambique</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Netherlands B.V.</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Nigeria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Nigeria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Peru S.R.L.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Peru</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Polska LLC sp. z o.o..</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Poland</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RDC Sarl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Democratic Republic of the Congo</w:t>
            </w:r>
          </w:p>
        </w:tc>
      </w:tr>
      <w:tr>
        <w:trPr>
          <w:trHeight w:val="202"/>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Rwanda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Rwanda</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Satellite Holdings Limited</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Satellite Ventures Holdings Luxembourg S.a.r.l.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Senegal SUARL</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Senegal</w:t>
            </w: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Viasat Services Holding Co.</w:t>
            </w: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17"/>
        </w:trPr>
        <w:tc>
          <w:tcPr>
            <w:tcW w:w="5460" w:type="dxa"/>
            <w:vAlign w:val="bottom"/>
          </w:tcPr>
          <w:p>
            <w:pPr>
              <w:ind w:left="20"/>
              <w:spacing w:after="0"/>
              <w:rPr>
                <w:sz w:val="20"/>
                <w:szCs w:val="20"/>
                <w:color w:val="auto"/>
              </w:rPr>
            </w:pPr>
            <w:r>
              <w:rPr>
                <w:rFonts w:ascii="Arial" w:cs="Arial" w:eastAsia="Arial" w:hAnsi="Arial"/>
                <w:sz w:val="18"/>
                <w:szCs w:val="18"/>
                <w:color w:val="auto"/>
              </w:rPr>
              <w:t>Viasat Singapore Holdings Pte. Ltd</w:t>
            </w:r>
          </w:p>
        </w:tc>
        <w:tc>
          <w:tcPr>
            <w:tcW w:w="578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547"/>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4280" w:type="dxa"/>
            <w:vAlign w:val="bottom"/>
          </w:tcPr>
          <w:p>
            <w:pPr>
              <w:ind w:left="20"/>
              <w:spacing w:after="0"/>
              <w:rPr>
                <w:sz w:val="20"/>
                <w:szCs w:val="20"/>
                <w:color w:val="auto"/>
              </w:rPr>
            </w:pPr>
            <w:r>
              <w:rPr>
                <w:rFonts w:ascii="Arial" w:cs="Arial" w:eastAsia="Arial" w:hAnsi="Arial"/>
                <w:sz w:val="18"/>
                <w:szCs w:val="18"/>
                <w:color w:val="auto"/>
              </w:rPr>
              <w:t>Viasat South Africa (Pty) Ltd</w:t>
            </w:r>
          </w:p>
        </w:tc>
        <w:tc>
          <w:tcPr>
            <w:tcW w:w="6960" w:type="dxa"/>
            <w:vAlign w:val="bottom"/>
          </w:tcPr>
          <w:p>
            <w:pPr>
              <w:ind w:left="1380"/>
              <w:spacing w:after="0"/>
              <w:rPr>
                <w:sz w:val="20"/>
                <w:szCs w:val="20"/>
                <w:color w:val="auto"/>
              </w:rPr>
            </w:pPr>
            <w:r>
              <w:rPr>
                <w:rFonts w:ascii="Arial" w:cs="Arial" w:eastAsia="Arial" w:hAnsi="Arial"/>
                <w:sz w:val="18"/>
                <w:szCs w:val="18"/>
                <w:color w:val="auto"/>
              </w:rPr>
              <w:t>South Africa</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South Africa Holdings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Tchad Sarl</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Chad</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Technologies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Tecnologia S.A. de C.V</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UK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VS3 Holdings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West Africa Holdings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Worldwide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Viasat Zambia Limited</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Zambia</w:t>
            </w:r>
          </w:p>
        </w:tc>
      </w:tr>
      <w:tr>
        <w:trPr>
          <w:trHeight w:val="202"/>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VParent, Inc.</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VS3 MOROCCO (SARL)</w:t>
            </w:r>
          </w:p>
        </w:tc>
        <w:tc>
          <w:tcPr>
            <w:tcW w:w="6960" w:type="dxa"/>
            <w:vAlign w:val="bottom"/>
          </w:tcPr>
          <w:p>
            <w:pPr>
              <w:ind w:left="1380"/>
              <w:spacing w:after="0" w:line="202" w:lineRule="exact"/>
              <w:rPr>
                <w:sz w:val="20"/>
                <w:szCs w:val="20"/>
                <w:color w:val="auto"/>
              </w:rPr>
            </w:pPr>
            <w:r>
              <w:rPr>
                <w:rFonts w:ascii="Arial" w:cs="Arial" w:eastAsia="Arial" w:hAnsi="Arial"/>
                <w:sz w:val="18"/>
                <w:szCs w:val="18"/>
                <w:color w:val="auto"/>
              </w:rPr>
              <w:t>Morocco</w:t>
            </w:r>
          </w:p>
        </w:tc>
      </w:tr>
      <w:tr>
        <w:trPr>
          <w:trHeight w:val="217"/>
        </w:trPr>
        <w:tc>
          <w:tcPr>
            <w:tcW w:w="4280" w:type="dxa"/>
            <w:vAlign w:val="bottom"/>
          </w:tcPr>
          <w:p>
            <w:pPr>
              <w:ind w:left="20"/>
              <w:spacing w:after="0"/>
              <w:rPr>
                <w:sz w:val="20"/>
                <w:szCs w:val="20"/>
                <w:color w:val="auto"/>
              </w:rPr>
            </w:pPr>
            <w:r>
              <w:rPr>
                <w:rFonts w:ascii="Arial" w:cs="Arial" w:eastAsia="Arial" w:hAnsi="Arial"/>
                <w:sz w:val="18"/>
                <w:szCs w:val="18"/>
                <w:color w:val="auto"/>
              </w:rPr>
              <w:t>VService, Inc.</w:t>
            </w:r>
          </w:p>
        </w:tc>
        <w:tc>
          <w:tcPr>
            <w:tcW w:w="6960" w:type="dxa"/>
            <w:vAlign w:val="bottom"/>
          </w:tcPr>
          <w:p>
            <w:pPr>
              <w:ind w:left="1380"/>
              <w:spacing w:after="0"/>
              <w:rPr>
                <w:sz w:val="20"/>
                <w:szCs w:val="20"/>
                <w:color w:val="auto"/>
              </w:rPr>
            </w:pPr>
            <w:r>
              <w:rPr>
                <w:rFonts w:ascii="Arial" w:cs="Arial" w:eastAsia="Arial" w:hAnsi="Arial"/>
                <w:sz w:val="18"/>
                <w:szCs w:val="18"/>
                <w:color w:val="auto"/>
              </w:rPr>
              <w:t>United States (DE)</w:t>
            </w:r>
          </w:p>
        </w:tc>
      </w:tr>
      <w:tr>
        <w:trPr>
          <w:trHeight w:val="547"/>
        </w:trPr>
        <w:tc>
          <w:tcPr>
            <w:tcW w:w="428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and 333-242477) and Form S-8 (File Nos. 333-21113, 333-40396, 333-67010, 333-68757, 333-109959, 333-131382, 333-153828, 333-159708, 333-160361, 333-167379, 333-169593, 333-182015, 333-184029, 333-191326, 333-204440, 333-207064, 333-220556, 333-228221, 333-231791, 333-234634, 333-249941, 333-255690, 333-256652 and 333-260249) of Viasat, Inc. of our report dated May 27, 2022 relating to the financial statements, financial statement schedule and the effectiveness of internal control over financial reporting, which appears in this Form 10-K.</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ind w:left="20"/>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Richard Baldridge,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8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6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6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200" w:hanging="503"/>
        <w:spacing w:after="0"/>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right="20" w:hanging="503"/>
        <w:spacing w:after="0"/>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6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200" w:hanging="503"/>
        <w:spacing w:after="0"/>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20" w:hanging="503"/>
        <w:spacing w:after="0" w:line="246"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Richard Baldridge</w:t>
      </w: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8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6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6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200" w:hanging="50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right="20" w:hanging="50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6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200" w:hanging="50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20" w:hanging="503"/>
        <w:spacing w:after="0" w:line="246"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Shawn Duffy</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100" w:firstLine="506"/>
        <w:spacing w:after="0"/>
        <w:tabs>
          <w:tab w:leader="none" w:pos="12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2022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820" w:firstLine="506"/>
        <w:spacing w:after="0" w:line="246" w:lineRule="auto"/>
        <w:tabs>
          <w:tab w:leader="none" w:pos="12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Richard Baldridge</w:t>
      </w:r>
    </w:p>
    <w:p>
      <w:pPr>
        <w:ind w:left="67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100" w:firstLine="506"/>
        <w:spacing w:after="0"/>
        <w:tabs>
          <w:tab w:leader="none" w:pos="12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2022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820" w:firstLine="506"/>
        <w:spacing w:after="0" w:line="246" w:lineRule="auto"/>
        <w:tabs>
          <w:tab w:leader="none" w:pos="12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Shawn Duffy</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1"/>
    </w:lvl>
    <w:lvl w:ilvl="1">
      <w:lvlJc w:val="left"/>
      <w:lvlText w:val="(%2)"/>
      <w:numFmt w:val="decimal"/>
      <w:start w:val="1"/>
    </w:lvl>
  </w:abstractNum>
  <w:abstractNum w:abstractNumId="30">
    <w:nsid w:val="5E884ADC"/>
    <w:multiLevelType w:val="hybridMultilevel"/>
    <w:lvl w:ilvl="0">
      <w:lvlJc w:val="left"/>
      <w:lvlText w:val="(%1)"/>
      <w:numFmt w:val="decimal"/>
      <w:start w:val="2"/>
    </w:lvl>
  </w:abstractNum>
  <w:abstractNum w:abstractNumId="31">
    <w:nsid w:val="51EAD36B"/>
    <w:multiLevelType w:val="hybridMultilevel"/>
    <w:lvl w:ilvl="0">
      <w:lvlJc w:val="left"/>
      <w:lvlText w:val="(%1)"/>
      <w:numFmt w:val="decimal"/>
      <w:start w:val="3"/>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lowerLetter"/>
      <w:start w:val="16"/>
    </w:lvl>
  </w:abstractNum>
  <w:abstractNum w:abstractNumId="34">
    <w:nsid w:val="153EA438"/>
    <w:multiLevelType w:val="hybridMultilevel"/>
    <w:lvl w:ilvl="0">
      <w:lvlJc w:val="left"/>
      <w:lvlText w:val="(%1)"/>
      <w:numFmt w:val="lowerRoman"/>
      <w:start w:val="3"/>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842"/>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upperLetter"/>
      <w:start w:val="1"/>
    </w:lvl>
  </w:abstractNum>
  <w:abstractNum w:abstractNumId="42">
    <w:nsid w:val="57E4CCAF"/>
    <w:multiLevelType w:val="hybridMultilevel"/>
    <w:lvl w:ilvl="0">
      <w:lvlJc w:val="left"/>
      <w:lvlText w:val="(%1)"/>
      <w:numFmt w:val="lowerRoman"/>
      <w:start w:val="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1" Type="http://schemas.openxmlformats.org/officeDocument/2006/relationships/image" Target="media/image127.png"/><Relationship Id="rId156"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19" Type="http://schemas.openxmlformats.org/officeDocument/2006/relationships/image" Target="media/image473.png"/><Relationship Id="rId520" Type="http://schemas.openxmlformats.org/officeDocument/2006/relationships/image" Target="media/image474.png"/><Relationship Id="rId521" Type="http://schemas.openxmlformats.org/officeDocument/2006/relationships/image" Target="media/image475.png"/><Relationship Id="rId522" Type="http://schemas.openxmlformats.org/officeDocument/2006/relationships/image" Target="media/image476.png"/><Relationship Id="rId134" Type="http://schemas.openxmlformats.org/officeDocument/2006/relationships/hyperlink" Target="https://www.sec.gov/Archives/edgar/data/797721/000119312520322384/d16566dex21.htm" TargetMode="External"/><Relationship Id="rId135" Type="http://schemas.openxmlformats.org/officeDocument/2006/relationships/hyperlink" Target="https://www.sec.gov/Archives/edgar/data/797721/000119312521322283/d210128dex21.htm" TargetMode="External"/><Relationship Id="rId136" Type="http://schemas.openxmlformats.org/officeDocument/2006/relationships/hyperlink" Target="https://www.sec.gov/Archives/edgar/data/797721/000109581100004805/a66909ex3-1.txt" TargetMode="External"/><Relationship Id="rId137" Type="http://schemas.openxmlformats.org/officeDocument/2006/relationships/hyperlink" Target="https://www.sec.gov/Archives/edgar/data/797721/000119312512490491/d447607dex31.htm" TargetMode="External"/><Relationship Id="rId138" Type="http://schemas.openxmlformats.org/officeDocument/2006/relationships/hyperlink" Target="https://www.sec.gov/Archives/edgar/data/797721/000119312517290459/d414724dex41.htm" TargetMode="External"/><Relationship Id="rId139" Type="http://schemas.openxmlformats.org/officeDocument/2006/relationships/hyperlink" Target="https://www.sec.gov/Archives/edgar/data/797721/000119312519088484/d727895dex41.htm" TargetMode="External"/><Relationship Id="rId140" Type="http://schemas.openxmlformats.org/officeDocument/2006/relationships/hyperlink" Target="https://www.sec.gov/Archives/edgar/data/797721/000119312520177667/d907562dex41.htm" TargetMode="External"/><Relationship Id="rId142" Type="http://schemas.openxmlformats.org/officeDocument/2006/relationships/hyperlink" Target="https://www.sec.gov/Archives/edgar/data/797721/000156459020027420/vsat-ex46_1091.htm" TargetMode="External"/><Relationship Id="rId143" Type="http://schemas.openxmlformats.org/officeDocument/2006/relationships/hyperlink" Target="https://www.sec.gov/Archives/edgar/data/797721/000119312521322283/d210128dex101.htm" TargetMode="External"/><Relationship Id="rId144" Type="http://schemas.openxmlformats.org/officeDocument/2006/relationships/hyperlink" Target="https://www.sec.gov/Archives/edgar/data/797721/000119312521322283/d210128dex102.htm" TargetMode="External"/><Relationship Id="rId145" Type="http://schemas.openxmlformats.org/officeDocument/2006/relationships/hyperlink" Target="https://www.sec.gov/Archives/edgar/data/797721/000119312521322283/d210128dex103.htm" TargetMode="External"/><Relationship Id="rId146" Type="http://schemas.openxmlformats.org/officeDocument/2006/relationships/hyperlink" Target="https://www.sec.gov/Archives/edgar/data/797721/000093639208000182/a38834exv99w1.htm" TargetMode="External"/><Relationship Id="rId147" Type="http://schemas.openxmlformats.org/officeDocument/2006/relationships/hyperlink" Target="https://www.sec.gov/Archives/edgar/data/797721/000119312521265514/d191187dex102.htm" TargetMode="External"/><Relationship Id="rId148" Type="http://schemas.openxmlformats.org/officeDocument/2006/relationships/hyperlink" Target="https://www.sec.gov/Archives/edgar/data/797721/000119312521265514/d191187dex101.htm" TargetMode="External"/><Relationship Id="rId149" Type="http://schemas.openxmlformats.org/officeDocument/2006/relationships/hyperlink" Target="https://www.sec.gov/Archives/edgar/data/797721/000119312515199042/d875350dex104.htm" TargetMode="External"/><Relationship Id="rId150" Type="http://schemas.openxmlformats.org/officeDocument/2006/relationships/hyperlink" Target="https://www.sec.gov/Archives/edgar/data/797721/000119312518036708/d493158dex101.htm" TargetMode="External"/><Relationship Id="rId151" Type="http://schemas.openxmlformats.org/officeDocument/2006/relationships/hyperlink" Target="https://www.sec.gov/Archives/edgar/data/797721/000119312517182146/d351569dex105.htm" TargetMode="External"/><Relationship Id="rId152" Type="http://schemas.openxmlformats.org/officeDocument/2006/relationships/hyperlink" Target="https://www.sec.gov/Archives/edgar/data/797721/000119312515199042/d875350dex106.htm" TargetMode="External"/><Relationship Id="rId153" Type="http://schemas.openxmlformats.org/officeDocument/2006/relationships/hyperlink" Target="https://www.sec.gov/Archives/edgar/data/797721/000119312515199042/d875350dex107.htm" TargetMode="External"/><Relationship Id="rId154" Type="http://schemas.openxmlformats.org/officeDocument/2006/relationships/hyperlink" Target="https://www.sec.gov/Archives/edgar/data/797721/000095012310071941/a56801exv10w1.htm" TargetMode="External"/><Relationship Id="rId155" Type="http://schemas.openxmlformats.org/officeDocument/2006/relationships/hyperlink" Target="https://www.sec.gov/Archives/edgar/data/797721/000119312521145463/d42352dex103.htm" TargetMode="External"/><Relationship Id="rId157" Type="http://schemas.openxmlformats.org/officeDocument/2006/relationships/hyperlink" Target="https://www.sec.gov/Archives/edgar/data/797721/000119312521145463/d42352dex104.htm" TargetMode="External"/><Relationship Id="rId158" Type="http://schemas.openxmlformats.org/officeDocument/2006/relationships/hyperlink" Target="https://www.sec.gov/Archives/edgar/data/797721/000119312521145463/d42352dex105.htm" TargetMode="External"/><Relationship Id="rId159" Type="http://schemas.openxmlformats.org/officeDocument/2006/relationships/hyperlink" Target="https://www.sec.gov/Archives/edgar/data/797721/000119312521145463/d42352dex106.htm" TargetMode="External"/><Relationship Id="rId160" Type="http://schemas.openxmlformats.org/officeDocument/2006/relationships/hyperlink" Target="https://www.sec.gov/Archives/edgar/data/797721/000119312521145463/d42352dex108.htm" TargetMode="External"/><Relationship Id="rId161" Type="http://schemas.openxmlformats.org/officeDocument/2006/relationships/hyperlink" Target="https://www.sec.gov/Archives/edgar/data/797721/000119312513454965/d636795dex101.htm" TargetMode="External"/><Relationship Id="rId162" Type="http://schemas.openxmlformats.org/officeDocument/2006/relationships/hyperlink" Target="https://www.sec.gov/Archives/edgar/data/797721/000119312515089537/d887434dex102.htm" TargetMode="External"/><Relationship Id="rId163" Type="http://schemas.openxmlformats.org/officeDocument/2006/relationships/hyperlink" Target="https://www.sec.gov/Archives/edgar/data/797721/000119312516600648/d198247dex101.htm" TargetMode="External"/><Relationship Id="rId164" Type="http://schemas.openxmlformats.org/officeDocument/2006/relationships/hyperlink" Target="https://www.sec.gov/Archives/edgar/data/797721/000156459018014641/vsat-ex10103_745.htm" TargetMode="External"/><Relationship Id="rId165" Type="http://schemas.openxmlformats.org/officeDocument/2006/relationships/hyperlink" Target="https://www.sec.gov/Archives/edgar/data/797721/000119312519014040/d684351dex101.htm" TargetMode="External"/><Relationship Id="rId166" Type="http://schemas.openxmlformats.org/officeDocument/2006/relationships/hyperlink" Target="https://www.sec.gov/Archives/edgar/data/797721/000119312521343695/d220124dex101.htm" TargetMode="External"/><Relationship Id="rId167" Type="http://schemas.openxmlformats.org/officeDocument/2006/relationships/hyperlink" Target="https://www.sec.gov/Archives/edgar/data/797721/000156459022008789/d226637dex102.htm" TargetMode="External"/><Relationship Id="rId168" Type="http://schemas.openxmlformats.org/officeDocument/2006/relationships/hyperlink" Target="https://www.sec.gov/Archives/edgar/data/797721/000119312515089537/d887434dex101.htm" TargetMode="External"/><Relationship Id="rId172" Type="http://schemas.openxmlformats.org/officeDocument/2006/relationships/hyperlink" Target="https://www.sec.gov/Archives/edgar/data/797721/000119312515284965/d933025dex101.htm" TargetMode="External"/><Relationship Id="rId178" Type="http://schemas.openxmlformats.org/officeDocument/2006/relationships/hyperlink" Target="https://www.sec.gov/Archives/edgar/data/797721/000119312516516584/d152081dex101.htm" TargetMode="External"/><Relationship Id="rId184" Type="http://schemas.openxmlformats.org/officeDocument/2006/relationships/hyperlink" Target="https://www.sec.gov/Archives/edgar/data/797721/000119312516736730/d259569dex101.htm" TargetMode="External"/><Relationship Id="rId190" Type="http://schemas.openxmlformats.org/officeDocument/2006/relationships/hyperlink" Target="https://www.sec.gov/Archives/edgar/data/797721/000119312518223698/d548983dex101.htm" TargetMode="External"/><Relationship Id="rId196" Type="http://schemas.openxmlformats.org/officeDocument/2006/relationships/hyperlink" Target="https://www.sec.gov/Archives/edgar/data/797721/000119312519057936/d713677dex101.htm" TargetMode="External"/><Relationship Id="rId202" Type="http://schemas.openxmlformats.org/officeDocument/2006/relationships/hyperlink" Target="https://www.sec.gov/Archives/edgar/data/797721/000156459022008789/d2266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2022-05-31T07:03:14Z</dcterms:created>
  <dcterms:modified xsi:type="dcterms:W3CDTF">2022-05-31T07:03:14Z</dcterms:modified>
</cp:coreProperties>
</file>