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3440" w:right="1580" w:hanging="3419"/>
        <w:spacing w:after="0" w:line="338"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2022.</w:t>
      </w: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tbl>
      <w:tblPr>
        <w:tblLayout w:type="fixed"/>
        <w:tblInd w:w="1780" w:type="dxa"/>
        <w:tblCellMar>
          <w:top w:w="0" w:type="dxa"/>
          <w:left w:w="0" w:type="dxa"/>
          <w:bottom w:w="0" w:type="dxa"/>
          <w:right w:w="0" w:type="dxa"/>
        </w:tblCellMar>
      </w:tblPr>
      <w:tr>
        <w:trPr>
          <w:trHeight w:val="239"/>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62"/>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Carlsbad, California 92009</w:t>
      </w:r>
    </w:p>
    <w:p>
      <w:pPr>
        <w:jc w:val="center"/>
        <w:ind w:right="40"/>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6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6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6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98"/>
              </w:rPr>
              <w:t>VSAT</w:t>
            </w:r>
          </w:p>
        </w:tc>
        <w:tc>
          <w:tcPr>
            <w:tcW w:w="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82" w:lineRule="exact"/>
        <w:rPr>
          <w:sz w:val="24"/>
          <w:szCs w:val="24"/>
          <w:color w:val="auto"/>
        </w:rPr>
      </w:pPr>
    </w:p>
    <w:p>
      <w:pPr>
        <w:ind w:right="260" w:firstLine="509"/>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jc w:val="both"/>
        <w:ind w:right="660" w:firstLine="509"/>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0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62" w:right="339" w:bottom="1440" w:gutter="0" w:footer="0" w:header="0"/>
        </w:sectPr>
      </w:pPr>
    </w:p>
    <w:p>
      <w:pPr>
        <w:spacing w:after="0" w:line="35" w:lineRule="exact"/>
        <w:rPr>
          <w:sz w:val="24"/>
          <w:szCs w:val="24"/>
          <w:color w:val="auto"/>
        </w:rPr>
      </w:pPr>
    </w:p>
    <w:p>
      <w:pPr>
        <w:ind w:left="20"/>
        <w:spacing w:after="0" w:line="207" w:lineRule="exact"/>
        <w:tabs>
          <w:tab w:leader="none" w:pos="2600" w:val="left"/>
          <w:tab w:leader="none" w:pos="84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144" w:lineRule="exact"/>
        <w:rPr>
          <w:sz w:val="24"/>
          <w:szCs w:val="24"/>
          <w:color w:val="auto"/>
        </w:rPr>
      </w:pPr>
    </w:p>
    <w:p>
      <w:pPr>
        <w:ind w:left="20"/>
        <w:spacing w:after="0" w:line="207" w:lineRule="exact"/>
        <w:tabs>
          <w:tab w:leader="none" w:pos="2600" w:val="left"/>
          <w:tab w:leader="none" w:pos="84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Smaller reporting company</w:t>
      </w:r>
    </w:p>
    <w:p>
      <w:pPr>
        <w:spacing w:after="0" w:line="204" w:lineRule="exact"/>
        <w:rPr>
          <w:sz w:val="24"/>
          <w:szCs w:val="24"/>
          <w:color w:val="auto"/>
        </w:rPr>
      </w:pPr>
    </w:p>
    <w:p>
      <w:pPr>
        <w:ind w:left="8460"/>
        <w:spacing w:after="0"/>
        <w:rPr>
          <w:sz w:val="20"/>
          <w:szCs w:val="20"/>
          <w:color w:val="auto"/>
        </w:rPr>
      </w:pPr>
      <w:r>
        <w:rPr>
          <w:rFonts w:ascii="Arial" w:cs="Arial" w:eastAsia="Arial" w:hAnsi="Arial"/>
          <w:sz w:val="18"/>
          <w:szCs w:val="18"/>
          <w:color w:val="auto"/>
        </w:rPr>
        <w:t>Emerging growth company</w:t>
      </w:r>
    </w:p>
    <w:p>
      <w:pPr>
        <w:spacing w:after="0" w:line="90" w:lineRule="exact"/>
        <w:rPr>
          <w:sz w:val="24"/>
          <w:szCs w:val="24"/>
          <w:color w:val="auto"/>
        </w:rPr>
      </w:pPr>
    </w:p>
    <w:p>
      <w:pPr>
        <w:ind w:right="280" w:firstLine="50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January 27, 2023 was 76,373,242.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60" w:space="80"/>
            <w:col w:w="200"/>
          </w:cols>
          <w:pgMar w:left="320" w:top="562"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296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b w:val="1"/>
                <w:bCs w:val="1"/>
                <w:color w:val="0000FF"/>
                <w:w w:val="98"/>
              </w:rPr>
              <w:t>PART I. FINANCIAL INFORMATION</w:t>
            </w:r>
          </w:p>
        </w:tc>
        <w:tc>
          <w:tcPr>
            <w:tcW w:w="7360" w:type="dxa"/>
            <w:vAlign w:val="bottom"/>
            <w:gridSpan w:val="12"/>
          </w:tcPr>
          <w:p>
            <w:pPr>
              <w:spacing w:after="0"/>
              <w:rPr>
                <w:sz w:val="15"/>
                <w:szCs w:val="15"/>
                <w:color w:val="auto"/>
              </w:rPr>
            </w:pPr>
          </w:p>
        </w:tc>
        <w:tc>
          <w:tcPr>
            <w:tcW w:w="9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2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Item 1. Financial Statements (Unaudited)</w:t>
            </w:r>
          </w:p>
        </w:tc>
        <w:tc>
          <w:tcPr>
            <w:tcW w:w="20" w:type="dxa"/>
            <w:vAlign w:val="bottom"/>
            <w:tcBorders>
              <w:bottom w:val="single" w:sz="8" w:color="0000EE"/>
            </w:tcBorders>
          </w:tcPr>
          <w:p>
            <w:pPr>
              <w:spacing w:after="0"/>
              <w:rPr>
                <w:sz w:val="18"/>
                <w:szCs w:val="18"/>
                <w:color w:val="auto"/>
              </w:rPr>
            </w:pPr>
          </w:p>
        </w:tc>
        <w:tc>
          <w:tcPr>
            <w:tcW w:w="702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52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and Comprehensive Income (Loss)</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780" w:type="dxa"/>
            <w:vAlign w:val="bottom"/>
            <w:tcBorders>
              <w:top w:val="single" w:sz="8" w:color="0000FF"/>
            </w:tcBorders>
            <w:gridSpan w:val="4"/>
          </w:tcPr>
          <w:p>
            <w:pPr>
              <w:spacing w:after="0"/>
              <w:rPr>
                <w:sz w:val="18"/>
                <w:szCs w:val="18"/>
                <w:color w:val="auto"/>
              </w:rPr>
            </w:pPr>
          </w:p>
        </w:tc>
        <w:tc>
          <w:tcPr>
            <w:tcW w:w="292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614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8"/>
                <w:szCs w:val="18"/>
                <w:color w:val="auto"/>
              </w:rPr>
            </w:pPr>
          </w:p>
        </w:tc>
        <w:tc>
          <w:tcPr>
            <w:tcW w:w="50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Borders>
              <w:bottom w:val="single" w:sz="8" w:color="0000EE"/>
            </w:tcBorders>
          </w:tcPr>
          <w:p>
            <w:pPr>
              <w:spacing w:after="0"/>
              <w:rPr>
                <w:sz w:val="18"/>
                <w:szCs w:val="18"/>
                <w:color w:val="auto"/>
              </w:rPr>
            </w:pPr>
          </w:p>
        </w:tc>
        <w:tc>
          <w:tcPr>
            <w:tcW w:w="76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Borders>
              <w:bottom w:val="single" w:sz="8" w:color="0000EE"/>
            </w:tcBorders>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3.</w:t>
            </w:r>
          </w:p>
        </w:tc>
        <w:tc>
          <w:tcPr>
            <w:tcW w:w="4740" w:type="dxa"/>
            <w:vAlign w:val="bottom"/>
            <w:tcBorders>
              <w:bottom w:val="single" w:sz="8" w:color="0000FF"/>
            </w:tcBorders>
            <w:gridSpan w:val="17"/>
          </w:tcPr>
          <w:p>
            <w:pPr>
              <w:ind w:left="20"/>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50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20" w:type="dxa"/>
            <w:vAlign w:val="bottom"/>
            <w:tcBorders>
              <w:bottom w:val="single" w:sz="8" w:color="0000EE"/>
            </w:tcBorders>
          </w:tcPr>
          <w:p>
            <w:pPr>
              <w:spacing w:after="0"/>
              <w:rPr>
                <w:sz w:val="18"/>
                <w:szCs w:val="18"/>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4.</w:t>
            </w:r>
          </w:p>
        </w:tc>
        <w:tc>
          <w:tcPr>
            <w:tcW w:w="202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70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20" w:type="dxa"/>
            <w:vAlign w:val="bottom"/>
          </w:tcPr>
          <w:p>
            <w:pPr>
              <w:spacing w:after="0"/>
              <w:rPr>
                <w:sz w:val="18"/>
                <w:szCs w:val="18"/>
                <w:color w:val="auto"/>
              </w:rPr>
            </w:pPr>
          </w:p>
        </w:tc>
        <w:tc>
          <w:tcPr>
            <w:tcW w:w="10320" w:type="dxa"/>
            <w:vAlign w:val="bottom"/>
            <w:gridSpan w:val="22"/>
          </w:tcPr>
          <w:p>
            <w:pPr>
              <w:spacing w:after="0"/>
              <w:rPr>
                <w:sz w:val="20"/>
                <w:szCs w:val="20"/>
                <w:color w:val="auto"/>
              </w:rPr>
            </w:pPr>
            <w:r>
              <w:rPr>
                <w:rFonts w:ascii="Arial" w:cs="Arial" w:eastAsia="Arial" w:hAnsi="Arial"/>
                <w:sz w:val="18"/>
                <w:szCs w:val="18"/>
                <w:b w:val="1"/>
                <w:bCs w:val="1"/>
                <w:color w:val="0000FF"/>
              </w:rPr>
              <w:t>PART II. OTHER INFORMATION</w:t>
            </w:r>
          </w:p>
        </w:tc>
        <w:tc>
          <w:tcPr>
            <w:tcW w:w="900" w:type="dxa"/>
            <w:vAlign w:val="bottom"/>
          </w:tcPr>
          <w:p>
            <w:pPr>
              <w:spacing w:after="0"/>
              <w:rPr>
                <w:sz w:val="18"/>
                <w:szCs w:val="18"/>
                <w:color w:val="auto"/>
              </w:rPr>
            </w:pPr>
          </w:p>
        </w:tc>
      </w:tr>
      <w:tr>
        <w:trPr>
          <w:trHeight w:val="209"/>
        </w:trPr>
        <w:tc>
          <w:tcPr>
            <w:tcW w:w="20" w:type="dxa"/>
            <w:vAlign w:val="bottom"/>
            <w:tcBorders>
              <w:top w:val="single" w:sz="8" w:color="0000EE"/>
              <w:bottom w:val="single" w:sz="8" w:color="0000EE"/>
            </w:tcBorders>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1.</w:t>
            </w:r>
          </w:p>
        </w:tc>
        <w:tc>
          <w:tcPr>
            <w:tcW w:w="152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9"/>
              </w:rPr>
              <w:t>Legal Proceedings</w:t>
            </w:r>
          </w:p>
        </w:tc>
        <w:tc>
          <w:tcPr>
            <w:tcW w:w="560" w:type="dxa"/>
            <w:vAlign w:val="bottom"/>
            <w:tcBorders>
              <w:top w:val="single" w:sz="8" w:color="0000FF"/>
            </w:tcBorders>
            <w:gridSpan w:val="3"/>
          </w:tcPr>
          <w:p>
            <w:pPr>
              <w:spacing w:after="0"/>
              <w:rPr>
                <w:sz w:val="18"/>
                <w:szCs w:val="18"/>
                <w:color w:val="auto"/>
              </w:rPr>
            </w:pPr>
          </w:p>
        </w:tc>
        <w:tc>
          <w:tcPr>
            <w:tcW w:w="766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20" w:type="dxa"/>
            <w:vAlign w:val="bottom"/>
          </w:tcPr>
          <w:p>
            <w:pPr>
              <w:spacing w:after="0"/>
              <w:rPr>
                <w:sz w:val="18"/>
                <w:szCs w:val="18"/>
                <w:color w:val="auto"/>
              </w:rPr>
            </w:pPr>
          </w:p>
        </w:tc>
        <w:tc>
          <w:tcPr>
            <w:tcW w:w="10320" w:type="dxa"/>
            <w:vAlign w:val="bottom"/>
            <w:gridSpan w:val="22"/>
          </w:tcPr>
          <w:p>
            <w:pPr>
              <w:spacing w:after="0"/>
              <w:rPr>
                <w:sz w:val="20"/>
                <w:szCs w:val="20"/>
                <w:color w:val="auto"/>
              </w:rPr>
            </w:pPr>
            <w:r>
              <w:rPr>
                <w:rFonts w:ascii="Arial" w:cs="Arial" w:eastAsia="Arial" w:hAnsi="Arial"/>
                <w:sz w:val="18"/>
                <w:szCs w:val="18"/>
                <w:color w:val="0000FF"/>
              </w:rPr>
              <w:t>Item 1A. 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20" w:type="dxa"/>
            <w:vAlign w:val="bottom"/>
            <w:tcBorders>
              <w:top w:val="single" w:sz="8" w:color="0000EE"/>
              <w:bottom w:val="single" w:sz="8" w:color="0000EE"/>
            </w:tcBorders>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Item 6.</w:t>
            </w:r>
          </w:p>
        </w:tc>
        <w:tc>
          <w:tcPr>
            <w:tcW w:w="66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Exhibits</w:t>
            </w:r>
          </w:p>
        </w:tc>
        <w:tc>
          <w:tcPr>
            <w:tcW w:w="480" w:type="dxa"/>
            <w:vAlign w:val="bottom"/>
            <w:tcBorders>
              <w:top w:val="single" w:sz="8" w:color="0000FF"/>
            </w:tcBorders>
          </w:tcPr>
          <w:p>
            <w:pPr>
              <w:spacing w:after="0"/>
              <w:rPr>
                <w:sz w:val="18"/>
                <w:szCs w:val="18"/>
                <w:color w:val="auto"/>
              </w:rPr>
            </w:pPr>
          </w:p>
        </w:tc>
        <w:tc>
          <w:tcPr>
            <w:tcW w:w="8600" w:type="dxa"/>
            <w:vAlign w:val="bottom"/>
            <w:gridSpan w:val="1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20" w:type="dxa"/>
            <w:vAlign w:val="bottom"/>
          </w:tcPr>
          <w:p>
            <w:pPr>
              <w:spacing w:after="0"/>
              <w:rPr>
                <w:sz w:val="18"/>
                <w:szCs w:val="18"/>
                <w:color w:val="auto"/>
              </w:rPr>
            </w:pPr>
          </w:p>
        </w:tc>
        <w:tc>
          <w:tcPr>
            <w:tcW w:w="1032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669"/>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7"/>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89"/>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183"/>
        </w:trPr>
        <w:tc>
          <w:tcPr>
            <w:tcW w:w="8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8120" w:type="dxa"/>
            <w:vAlign w:val="bottom"/>
            <w:shd w:val="clear" w:color="auto" w:fill="CFF0FC"/>
          </w:tcPr>
          <w:p>
            <w:pPr>
              <w:ind w:left="37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310,459</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368,827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312,172</w:t>
            </w: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260,886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197,864</w:t>
            </w:r>
          </w:p>
        </w:tc>
        <w:tc>
          <w:tcPr>
            <w:tcW w:w="100" w:type="dxa"/>
            <w:vAlign w:val="bottom"/>
            <w:shd w:val="clear" w:color="auto" w:fill="CFF0FC"/>
          </w:tcPr>
          <w:p>
            <w:pPr>
              <w:spacing w:after="0"/>
              <w:rPr>
                <w:sz w:val="19"/>
                <w:szCs w:val="19"/>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156,932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141,386</w:t>
            </w:r>
          </w:p>
        </w:tc>
        <w:tc>
          <w:tcPr>
            <w:tcW w:w="100" w:type="dxa"/>
            <w:vAlign w:val="bottom"/>
          </w:tcPr>
          <w:p>
            <w:pPr>
              <w:spacing w:after="0"/>
              <w:rPr>
                <w:sz w:val="19"/>
                <w:szCs w:val="19"/>
                <w:color w:val="auto"/>
              </w:rPr>
            </w:pPr>
          </w:p>
        </w:tc>
      </w:tr>
      <w:tr>
        <w:trPr>
          <w:trHeight w:val="230"/>
        </w:trPr>
        <w:tc>
          <w:tcPr>
            <w:tcW w:w="8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283,404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1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1,252,179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1,159,472</w:t>
            </w:r>
          </w:p>
        </w:tc>
        <w:tc>
          <w:tcPr>
            <w:tcW w:w="100" w:type="dxa"/>
            <w:vAlign w:val="bottom"/>
          </w:tcPr>
          <w:p>
            <w:pPr>
              <w:spacing w:after="0"/>
              <w:rPr>
                <w:sz w:val="19"/>
                <w:szCs w:val="19"/>
                <w:color w:val="auto"/>
              </w:rPr>
            </w:pPr>
          </w:p>
        </w:tc>
      </w:tr>
      <w:tr>
        <w:trPr>
          <w:trHeight w:val="230"/>
        </w:trPr>
        <w:tc>
          <w:tcPr>
            <w:tcW w:w="8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Property, equipment and satellites,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4,198,133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3,704,991</w:t>
            </w: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343,339</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Other acquired intangible assets,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236,043</w:t>
            </w: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166,293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168,710</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667,747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699,280</w:t>
            </w: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77,511</w:t>
            </w:r>
          </w:p>
        </w:tc>
        <w:tc>
          <w:tcPr>
            <w:tcW w:w="100" w:type="dxa"/>
            <w:vAlign w:val="bottom"/>
            <w:shd w:val="clear" w:color="auto" w:fill="CFF0FC"/>
          </w:tcPr>
          <w:p>
            <w:pPr>
              <w:spacing w:after="0"/>
              <w:rPr>
                <w:sz w:val="19"/>
                <w:szCs w:val="19"/>
                <w:color w:val="auto"/>
              </w:rPr>
            </w:pPr>
          </w:p>
        </w:tc>
      </w:tr>
      <w:tr>
        <w:trPr>
          <w:trHeight w:val="223"/>
        </w:trPr>
        <w:tc>
          <w:tcPr>
            <w:tcW w:w="81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6,801,924</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6,389,346</w:t>
            </w:r>
          </w:p>
        </w:tc>
        <w:tc>
          <w:tcPr>
            <w:tcW w:w="100" w:type="dxa"/>
            <w:vAlign w:val="bottom"/>
            <w:tcBorders>
              <w:top w:val="single" w:sz="8" w:color="CFF0FC"/>
            </w:tcBorders>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FF0FC"/>
          </w:tcPr>
          <w:p>
            <w:pPr>
              <w:ind w:left="296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200,673</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Accrued and other liabilities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445,733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482,564</w:t>
            </w:r>
          </w:p>
        </w:tc>
        <w:tc>
          <w:tcPr>
            <w:tcW w:w="100" w:type="dxa"/>
            <w:vAlign w:val="bottom"/>
          </w:tcPr>
          <w:p>
            <w:pPr>
              <w:spacing w:after="0"/>
              <w:rPr>
                <w:sz w:val="19"/>
                <w:szCs w:val="19"/>
                <w:color w:val="auto"/>
              </w:rPr>
            </w:pPr>
          </w:p>
        </w:tc>
      </w:tr>
      <w:tr>
        <w:trPr>
          <w:trHeight w:val="230"/>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34,911</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52,273</w:t>
            </w:r>
          </w:p>
        </w:tc>
        <w:tc>
          <w:tcPr>
            <w:tcW w:w="100" w:type="dxa"/>
            <w:vAlign w:val="bottom"/>
          </w:tcPr>
          <w:p>
            <w:pPr>
              <w:spacing w:after="0"/>
              <w:rPr>
                <w:sz w:val="19"/>
                <w:szCs w:val="19"/>
                <w:color w:val="auto"/>
              </w:rPr>
            </w:pPr>
          </w:p>
        </w:tc>
      </w:tr>
      <w:tr>
        <w:trPr>
          <w:trHeight w:val="223"/>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770,421</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1,688,445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1,686,225</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Other long-term debt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1,210,569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764,991</w:t>
            </w:r>
          </w:p>
        </w:tc>
        <w:tc>
          <w:tcPr>
            <w:tcW w:w="100" w:type="dxa"/>
            <w:vAlign w:val="bottom"/>
          </w:tcPr>
          <w:p>
            <w:pPr>
              <w:spacing w:after="0"/>
              <w:rPr>
                <w:sz w:val="19"/>
                <w:szCs w:val="19"/>
                <w:color w:val="auto"/>
              </w:rPr>
            </w:pPr>
          </w:p>
        </w:tc>
      </w:tr>
      <w:tr>
        <w:trPr>
          <w:trHeight w:val="230"/>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316,178</w:t>
            </w: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153,156</w:t>
            </w:r>
          </w:p>
        </w:tc>
        <w:tc>
          <w:tcPr>
            <w:tcW w:w="100" w:type="dxa"/>
            <w:vAlign w:val="bottom"/>
          </w:tcPr>
          <w:p>
            <w:pPr>
              <w:spacing w:after="0"/>
              <w:rPr>
                <w:sz w:val="19"/>
                <w:szCs w:val="19"/>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15,781</w:t>
            </w:r>
          </w:p>
        </w:tc>
        <w:tc>
          <w:tcPr>
            <w:tcW w:w="100" w:type="dxa"/>
            <w:vAlign w:val="bottom"/>
            <w:shd w:val="clear" w:color="auto" w:fill="CFF0FC"/>
          </w:tcPr>
          <w:p>
            <w:pPr>
              <w:spacing w:after="0"/>
              <w:rPr>
                <w:sz w:val="19"/>
                <w:szCs w:val="19"/>
                <w:color w:val="auto"/>
              </w:rPr>
            </w:pPr>
          </w:p>
        </w:tc>
      </w:tr>
      <w:tr>
        <w:trPr>
          <w:trHeight w:val="223"/>
        </w:trPr>
        <w:tc>
          <w:tcPr>
            <w:tcW w:w="81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4,179,736</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3,706,752</w:t>
            </w:r>
          </w:p>
        </w:tc>
        <w:tc>
          <w:tcPr>
            <w:tcW w:w="100" w:type="dxa"/>
            <w:vAlign w:val="bottom"/>
            <w:tcBorders>
              <w:top w:val="single" w:sz="8" w:color="CFF0FC"/>
            </w:tcBorders>
          </w:tcPr>
          <w:p>
            <w:pPr>
              <w:spacing w:after="0"/>
              <w:rPr>
                <w:sz w:val="19"/>
                <w:szCs w:val="19"/>
                <w:color w:val="auto"/>
              </w:rPr>
            </w:pPr>
          </w:p>
        </w:tc>
      </w:tr>
      <w:tr>
        <w:trPr>
          <w:trHeight w:val="223"/>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Viasat, Inc. stockholders’ equity</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2,506,355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2,421,950</w:t>
            </w:r>
          </w:p>
        </w:tc>
        <w:tc>
          <w:tcPr>
            <w:tcW w:w="100" w:type="dxa"/>
            <w:vAlign w:val="bottom"/>
            <w:shd w:val="clear" w:color="auto" w:fill="CFF0FC"/>
          </w:tcPr>
          <w:p>
            <w:pPr>
              <w:spacing w:after="0"/>
              <w:rPr>
                <w:sz w:val="19"/>
                <w:szCs w:val="19"/>
                <w:color w:val="auto"/>
              </w:rPr>
            </w:pPr>
          </w:p>
        </w:tc>
      </w:tr>
      <w:tr>
        <w:trPr>
          <w:trHeight w:val="229"/>
        </w:trPr>
        <w:tc>
          <w:tcPr>
            <w:tcW w:w="81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233,530</w:t>
            </w:r>
          </w:p>
        </w:tc>
        <w:tc>
          <w:tcPr>
            <w:tcW w:w="100" w:type="dxa"/>
            <w:vAlign w:val="bottom"/>
          </w:tcPr>
          <w:p>
            <w:pPr>
              <w:spacing w:after="0"/>
              <w:rPr>
                <w:sz w:val="19"/>
                <w:szCs w:val="19"/>
                <w:color w:val="auto"/>
              </w:rPr>
            </w:pPr>
          </w:p>
        </w:tc>
      </w:tr>
      <w:tr>
        <w:trPr>
          <w:trHeight w:val="230"/>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(39,107 )</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(21,621 )</w:t>
            </w:r>
          </w:p>
        </w:tc>
      </w:tr>
      <w:tr>
        <w:trPr>
          <w:trHeight w:val="223"/>
        </w:trPr>
        <w:tc>
          <w:tcPr>
            <w:tcW w:w="81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Viasat, Inc. stockholders’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2,588,754</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2,633,866</w:t>
            </w:r>
          </w:p>
        </w:tc>
        <w:tc>
          <w:tcPr>
            <w:tcW w:w="100" w:type="dxa"/>
            <w:vAlign w:val="bottom"/>
            <w:tcBorders>
              <w:top w:val="single" w:sz="8" w:color="CFF0FC"/>
            </w:tcBorders>
          </w:tcPr>
          <w:p>
            <w:pPr>
              <w:spacing w:after="0"/>
              <w:rPr>
                <w:sz w:val="19"/>
                <w:szCs w:val="19"/>
                <w:color w:val="auto"/>
              </w:rPr>
            </w:pPr>
          </w:p>
        </w:tc>
      </w:tr>
      <w:tr>
        <w:trPr>
          <w:trHeight w:val="230"/>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 in subsidiary</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12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2,622,188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2,682,594</w:t>
            </w:r>
          </w:p>
        </w:tc>
        <w:tc>
          <w:tcPr>
            <w:tcW w:w="100" w:type="dxa"/>
            <w:vAlign w:val="bottom"/>
          </w:tcPr>
          <w:p>
            <w:pPr>
              <w:spacing w:after="0"/>
              <w:rPr>
                <w:sz w:val="19"/>
                <w:szCs w:val="19"/>
                <w:color w:val="auto"/>
              </w:rPr>
            </w:pPr>
          </w:p>
        </w:tc>
      </w:tr>
      <w:tr>
        <w:trPr>
          <w:trHeight w:val="263"/>
        </w:trPr>
        <w:tc>
          <w:tcPr>
            <w:tcW w:w="81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6,801,924</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6,389,346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-5074285</wp:posOffset>
            </wp:positionV>
            <wp:extent cx="685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-5074285</wp:posOffset>
            </wp:positionV>
            <wp:extent cx="685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-3899535</wp:posOffset>
            </wp:positionV>
            <wp:extent cx="685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-1816735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-633730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5"/>
          </w:tcPr>
          <w:p>
            <w:pPr>
              <w:jc w:val="right"/>
              <w:ind w:right="118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306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7"/>
              </w:rPr>
              <w:t>December 31, 2022</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December 31, 2021</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7"/>
              </w:rPr>
              <w:t>December 31, 2022</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December 31,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(In thousands, except per share data)</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Product revenues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249,315</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226,708</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682,769</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658,355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 revenues</w:t>
            </w: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402,129</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398,559</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1,207,290</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1,152,077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651,444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625,267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1,890,059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1,810,432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Cost of product revenues</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205,177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185,057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528,478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535,144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 of service revenues</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277,856</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259,175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814,224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740,085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162,845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165,855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511,661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469,248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Independent research and development</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29,444</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36,380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96,625</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22,335</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(31,311 )</w:t>
            </w: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(28,731 )</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(83,264 )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(64,501 )</w:t>
            </w: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(8,747 )</w:t>
            </w:r>
          </w:p>
        </w:tc>
        <w:tc>
          <w:tcPr>
            <w:tcW w:w="14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(5,411 )</w:t>
            </w: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(19,258 )</w:t>
            </w:r>
          </w:p>
        </w:tc>
        <w:tc>
          <w:tcPr>
            <w:tcW w:w="14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(17,796 )</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 net</w:t>
            </w: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1,098</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2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(39,533 )</w:t>
            </w:r>
          </w:p>
        </w:tc>
        <w:tc>
          <w:tcPr>
            <w:tcW w:w="14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(33,756 )</w:t>
            </w:r>
          </w:p>
        </w:tc>
        <w:tc>
          <w:tcPr>
            <w:tcW w:w="12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(93,967 )</w:t>
            </w:r>
          </w:p>
        </w:tc>
        <w:tc>
          <w:tcPr>
            <w:tcW w:w="14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(77,659 )</w:t>
            </w: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taxes from continuing operations</w:t>
            </w:r>
          </w:p>
        </w:tc>
        <w:tc>
          <w:tcPr>
            <w:tcW w:w="1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(5,212 )</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(59,045 )</w:t>
            </w: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Equity in income (loss) of unconsolidated affiliate, net</w:t>
            </w:r>
          </w:p>
        </w:tc>
        <w:tc>
          <w:tcPr>
            <w:tcW w:w="1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(13 )</w:t>
            </w:r>
          </w:p>
        </w:tc>
        <w:tc>
          <w:tcPr>
            <w:tcW w:w="14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(53 )</w:t>
            </w:r>
          </w:p>
        </w:tc>
        <w:tc>
          <w:tcPr>
            <w:tcW w:w="14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(256 )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(44,758 )</w:t>
            </w: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(30,443 )</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(153,065 )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(55,949 )</w:t>
            </w: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Net income (loss) from discontinued operations, net of tax</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26,453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44,045</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(40,425 )</w:t>
            </w: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(3,990 )</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(109,020 )</w:t>
            </w: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Arial" w:cs="Arial" w:eastAsia="Arial" w:hAnsi="Arial"/>
                <w:sz w:val="14"/>
                <w:szCs w:val="14"/>
                <w:color w:val="auto"/>
              </w:rPr>
              <w:t>Less: net income (loss) attributable to</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1,803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2,623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line="157" w:lineRule="exact"/>
              <w:rPr>
                <w:sz w:val="20"/>
                <w:szCs w:val="20"/>
                <w:color w:val="auto"/>
              </w:rPr>
            </w:pPr>
            <w:r>
              <w:rPr>
                <w:rFonts w:ascii="Arial" w:cs="Arial" w:eastAsia="Arial" w:hAnsi="Arial"/>
                <w:sz w:val="14"/>
                <w:szCs w:val="14"/>
                <w:color w:val="auto"/>
              </w:rPr>
              <w:t>noncontrolling interest, net of tax</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 attributable to Viasat, Inc.</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(42,228 )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(6,613 )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(112,032 )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Income (loss) per share attributable</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40"/>
              <w:spacing w:after="0"/>
              <w:rPr>
                <w:sz w:val="20"/>
                <w:szCs w:val="20"/>
                <w:color w:val="auto"/>
              </w:rPr>
            </w:pPr>
            <w:r>
              <w:rPr>
                <w:rFonts w:ascii="Arial" w:cs="Arial" w:eastAsia="Arial" w:hAnsi="Arial"/>
                <w:sz w:val="14"/>
                <w:szCs w:val="14"/>
                <w:color w:val="auto"/>
              </w:rPr>
              <w:t>to Viasat, Inc. common stockholders - basic:</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Continuing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(0.61 )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(0.45 )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(2.06 )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(0.84 )</w:t>
            </w: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Discontinued operations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(0.55 )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Income (loss) per share attributable</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40"/>
              <w:spacing w:after="0"/>
              <w:rPr>
                <w:sz w:val="20"/>
                <w:szCs w:val="20"/>
                <w:color w:val="auto"/>
              </w:rPr>
            </w:pPr>
            <w:r>
              <w:rPr>
                <w:rFonts w:ascii="Arial" w:cs="Arial" w:eastAsia="Arial" w:hAnsi="Arial"/>
                <w:sz w:val="14"/>
                <w:szCs w:val="14"/>
                <w:color w:val="auto"/>
              </w:rPr>
              <w:t>to Viasat, Inc. common stockholders - diluted</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Continuing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(0.61 )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(0.45 )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(2.06 )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(0.84 )</w:t>
            </w:r>
          </w:p>
        </w:tc>
        <w:tc>
          <w:tcPr>
            <w:tcW w:w="0" w:type="dxa"/>
            <w:vAlign w:val="bottom"/>
          </w:tcPr>
          <w:p>
            <w:pPr>
              <w:spacing w:after="0"/>
              <w:rPr>
                <w:sz w:val="1"/>
                <w:szCs w:val="1"/>
                <w:color w:val="auto"/>
              </w:rPr>
            </w:pPr>
          </w:p>
        </w:tc>
      </w:tr>
      <w:tr>
        <w:trPr>
          <w:trHeight w:val="189"/>
        </w:trPr>
        <w:tc>
          <w:tcPr>
            <w:tcW w:w="4700" w:type="dxa"/>
            <w:vAlign w:val="bottom"/>
          </w:tcPr>
          <w:p>
            <w:pPr>
              <w:ind w:left="200"/>
              <w:spacing w:after="0"/>
              <w:rPr>
                <w:sz w:val="20"/>
                <w:szCs w:val="20"/>
                <w:color w:val="auto"/>
              </w:rPr>
            </w:pPr>
            <w:r>
              <w:rPr>
                <w:rFonts w:ascii="Arial" w:cs="Arial" w:eastAsia="Arial" w:hAnsi="Arial"/>
                <w:sz w:val="14"/>
                <w:szCs w:val="14"/>
                <w:color w:val="auto"/>
              </w:rPr>
              <w:t>Discontinued operations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(0.55 )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(0.09 )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(1.48 )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0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Shares used in computing basic net</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320"/>
              <w:spacing w:after="0"/>
              <w:rPr>
                <w:sz w:val="20"/>
                <w:szCs w:val="20"/>
                <w:color w:val="auto"/>
              </w:rPr>
            </w:pPr>
            <w:r>
              <w:rPr>
                <w:rFonts w:ascii="Arial" w:cs="Arial" w:eastAsia="Arial" w:hAnsi="Arial"/>
                <w:sz w:val="14"/>
                <w:szCs w:val="14"/>
                <w:color w:val="auto"/>
              </w:rPr>
              <w:t>income (loss) per share</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76,138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73,917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75,586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used in computing diluted net</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FF0FC"/>
          </w:tcPr>
          <w:p>
            <w:pPr>
              <w:ind w:left="320"/>
              <w:spacing w:after="0"/>
              <w:rPr>
                <w:sz w:val="20"/>
                <w:szCs w:val="20"/>
                <w:color w:val="auto"/>
              </w:rPr>
            </w:pPr>
            <w:r>
              <w:rPr>
                <w:rFonts w:ascii="Arial" w:cs="Arial" w:eastAsia="Arial" w:hAnsi="Arial"/>
                <w:sz w:val="14"/>
                <w:szCs w:val="14"/>
                <w:color w:val="auto"/>
              </w:rPr>
              <w:t>income (loss) per share</w:t>
            </w: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76,138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73,917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75,586</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(40,425 )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(3,990 )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(109,020 )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adjustments, net</w:t>
            </w:r>
          </w:p>
        </w:tc>
        <w:tc>
          <w:tcPr>
            <w:tcW w:w="12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24,850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(9,297 )</w:t>
            </w:r>
          </w:p>
        </w:tc>
        <w:tc>
          <w:tcPr>
            <w:tcW w:w="120" w:type="dxa"/>
            <w:vAlign w:val="bottom"/>
            <w:shd w:val="clear" w:color="auto" w:fill="CFF0FC"/>
          </w:tcPr>
          <w:p>
            <w:pPr>
              <w:spacing w:after="0"/>
              <w:rPr>
                <w:sz w:val="15"/>
                <w:szCs w:val="15"/>
                <w:color w:val="auto"/>
              </w:rPr>
            </w:pPr>
          </w:p>
        </w:tc>
        <w:tc>
          <w:tcPr>
            <w:tcW w:w="15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(17,486 )</w:t>
            </w:r>
          </w:p>
        </w:tc>
        <w:tc>
          <w:tcPr>
            <w:tcW w:w="140" w:type="dxa"/>
            <w:vAlign w:val="bottom"/>
            <w:shd w:val="clear" w:color="auto" w:fill="CFF0FC"/>
          </w:tcPr>
          <w:p>
            <w:pPr>
              <w:spacing w:after="0"/>
              <w:rPr>
                <w:sz w:val="15"/>
                <w:szCs w:val="15"/>
                <w:color w:val="auto"/>
              </w:rPr>
            </w:pPr>
          </w:p>
        </w:tc>
        <w:tc>
          <w:tcPr>
            <w:tcW w:w="14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(35,973 )</w:t>
            </w:r>
          </w:p>
        </w:tc>
        <w:tc>
          <w:tcPr>
            <w:tcW w:w="0" w:type="dxa"/>
            <w:vAlign w:val="bottom"/>
          </w:tcPr>
          <w:p>
            <w:pPr>
              <w:spacing w:after="0"/>
              <w:rPr>
                <w:sz w:val="1"/>
                <w:szCs w:val="1"/>
                <w:color w:val="auto"/>
              </w:rPr>
            </w:pPr>
          </w:p>
        </w:tc>
      </w:tr>
      <w:tr>
        <w:trPr>
          <w:trHeight w:val="157"/>
        </w:trPr>
        <w:tc>
          <w:tcPr>
            <w:tcW w:w="4700" w:type="dxa"/>
            <w:vAlign w:val="bottom"/>
            <w:shd w:val="clear" w:color="auto" w:fill="CFF0FC"/>
          </w:tcPr>
          <w:p>
            <w:pPr>
              <w:ind w:left="320"/>
              <w:spacing w:after="0" w:line="157" w:lineRule="exact"/>
              <w:rPr>
                <w:sz w:val="20"/>
                <w:szCs w:val="20"/>
                <w:color w:val="auto"/>
              </w:rPr>
            </w:pPr>
            <w:r>
              <w:rPr>
                <w:rFonts w:ascii="Arial" w:cs="Arial" w:eastAsia="Arial" w:hAnsi="Arial"/>
                <w:sz w:val="14"/>
                <w:szCs w:val="14"/>
                <w:color w:val="auto"/>
              </w:rPr>
              <w:t>of tax</w:t>
            </w:r>
          </w:p>
        </w:tc>
        <w:tc>
          <w:tcPr>
            <w:tcW w:w="120" w:type="dxa"/>
            <w:vAlign w:val="bottom"/>
            <w:shd w:val="clear" w:color="auto" w:fill="CFF0FC"/>
          </w:tcPr>
          <w:p>
            <w:pPr>
              <w:spacing w:after="0"/>
              <w:rPr>
                <w:sz w:val="13"/>
                <w:szCs w:val="13"/>
                <w:color w:val="auto"/>
              </w:rPr>
            </w:pPr>
          </w:p>
        </w:tc>
        <w:tc>
          <w:tcPr>
            <w:tcW w:w="13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24,850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(9,297 )</w:t>
            </w:r>
          </w:p>
        </w:tc>
        <w:tc>
          <w:tcPr>
            <w:tcW w:w="12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(17,486 )</w:t>
            </w:r>
          </w:p>
        </w:tc>
        <w:tc>
          <w:tcPr>
            <w:tcW w:w="14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(35,973 )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(15,575 )</w:t>
            </w:r>
          </w:p>
        </w:tc>
        <w:tc>
          <w:tcPr>
            <w:tcW w:w="14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(13,287 )</w:t>
            </w: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(126,506 )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(16,801 )</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Arial" w:cs="Arial" w:eastAsia="Arial" w:hAnsi="Arial"/>
                <w:sz w:val="14"/>
                <w:szCs w:val="14"/>
                <w:color w:val="auto"/>
              </w:rPr>
              <w:t>Less: comprehensive income (loss) attributable</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1,803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2,623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3,012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5,526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40"/>
              <w:spacing w:after="0" w:line="157" w:lineRule="exact"/>
              <w:rPr>
                <w:sz w:val="20"/>
                <w:szCs w:val="20"/>
                <w:color w:val="auto"/>
              </w:rPr>
            </w:pPr>
            <w:r>
              <w:rPr>
                <w:rFonts w:ascii="Arial" w:cs="Arial" w:eastAsia="Arial" w:hAnsi="Arial"/>
                <w:sz w:val="14"/>
                <w:szCs w:val="14"/>
                <w:color w:val="auto"/>
              </w:rPr>
              <w:t>to noncontrolling interest, net of tax</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income (loss) attributable to</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(17,378 )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(15,910 )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(129,518 )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(22,327 )</w:t>
            </w:r>
          </w:p>
        </w:tc>
        <w:tc>
          <w:tcPr>
            <w:tcW w:w="0" w:type="dxa"/>
            <w:vAlign w:val="bottom"/>
          </w:tcPr>
          <w:p>
            <w:pPr>
              <w:spacing w:after="0"/>
              <w:rPr>
                <w:sz w:val="1"/>
                <w:szCs w:val="1"/>
                <w:color w:val="auto"/>
              </w:rPr>
            </w:pPr>
          </w:p>
        </w:tc>
      </w:tr>
      <w:tr>
        <w:trPr>
          <w:trHeight w:val="150"/>
        </w:trPr>
        <w:tc>
          <w:tcPr>
            <w:tcW w:w="4700" w:type="dxa"/>
            <w:vAlign w:val="bottom"/>
            <w:shd w:val="clear" w:color="auto" w:fill="CFF0FC"/>
          </w:tcPr>
          <w:p>
            <w:pPr>
              <w:ind w:left="140"/>
              <w:spacing w:after="0" w:line="110" w:lineRule="exact"/>
              <w:rPr>
                <w:sz w:val="20"/>
                <w:szCs w:val="20"/>
                <w:color w:val="auto"/>
              </w:rPr>
            </w:pPr>
            <w:r>
              <w:rPr>
                <w:rFonts w:ascii="Arial" w:cs="Arial" w:eastAsia="Arial" w:hAnsi="Arial"/>
                <w:sz w:val="12"/>
                <w:szCs w:val="12"/>
                <w:color w:val="auto"/>
              </w:rPr>
              <w:t>Viasat, Inc.</w:t>
            </w:r>
          </w:p>
        </w:tc>
        <w:tc>
          <w:tcPr>
            <w:tcW w:w="120" w:type="dxa"/>
            <w:vAlign w:val="bottom"/>
            <w:vMerge w:val="continue"/>
            <w:shd w:val="clear" w:color="auto" w:fill="CFF0FC"/>
          </w:tcPr>
          <w:p>
            <w:pPr>
              <w:spacing w:after="0"/>
              <w:rPr>
                <w:sz w:val="13"/>
                <w:szCs w:val="13"/>
                <w:color w:val="auto"/>
              </w:rPr>
            </w:pPr>
          </w:p>
        </w:tc>
        <w:tc>
          <w:tcPr>
            <w:tcW w:w="154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56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50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-5528310</wp:posOffset>
            </wp:positionV>
            <wp:extent cx="7747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-5528310</wp:posOffset>
            </wp:positionV>
            <wp:extent cx="7683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-5528310</wp:posOffset>
            </wp:positionV>
            <wp:extent cx="68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-5528310</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-4070985</wp:posOffset>
            </wp:positionV>
            <wp:extent cx="7747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-4070985</wp:posOffset>
            </wp:positionV>
            <wp:extent cx="7683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-4070985</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-2982595</wp:posOffset>
            </wp:positionV>
            <wp:extent cx="324866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8660" cy="24892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-2365375</wp:posOffset>
            </wp:positionV>
            <wp:extent cx="324866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8660" cy="24892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-1748155</wp:posOffset>
            </wp:positionV>
            <wp:extent cx="3248660" cy="248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8660" cy="24828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-702310</wp:posOffset>
            </wp:positionV>
            <wp:extent cx="774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-702310</wp:posOffset>
            </wp:positionV>
            <wp:extent cx="7683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-702310</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Cash Flows from Continuing and Discontinued Operations</w:t>
            </w:r>
          </w:p>
        </w:tc>
        <w:tc>
          <w:tcPr>
            <w:tcW w:w="200" w:type="dxa"/>
            <w:vAlign w:val="bottom"/>
          </w:tcPr>
          <w:p>
            <w:pPr>
              <w:spacing w:after="0"/>
              <w:rPr>
                <w:sz w:val="19"/>
                <w:szCs w:val="19"/>
                <w:color w:val="auto"/>
              </w:rPr>
            </w:pPr>
          </w:p>
        </w:tc>
        <w:tc>
          <w:tcPr>
            <w:tcW w:w="3900" w:type="dxa"/>
            <w:vAlign w:val="bottom"/>
            <w:gridSpan w:val="5"/>
          </w:tcPr>
          <w:p>
            <w:pPr>
              <w:jc w:val="right"/>
              <w:ind w:right="160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(109,020 )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19"/>
                <w:szCs w:val="19"/>
                <w:color w:val="auto"/>
              </w:rPr>
            </w:pPr>
          </w:p>
        </w:tc>
      </w:tr>
      <w:tr>
        <w:trPr>
          <w:trHeight w:val="193"/>
        </w:trPr>
        <w:tc>
          <w:tcPr>
            <w:tcW w:w="7140" w:type="dxa"/>
            <w:vAlign w:val="bottom"/>
            <w:shd w:val="clear" w:color="auto" w:fill="CFF0FC"/>
          </w:tcPr>
          <w:p>
            <w:pPr>
              <w:ind w:left="20"/>
              <w:spacing w:after="0" w:line="193"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307,632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304,145</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65,343</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64,941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64,676</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Loss on disposition of fixed assets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32,383</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520"/>
              <w:spacing w:after="0"/>
              <w:rPr>
                <w:sz w:val="20"/>
                <w:szCs w:val="20"/>
                <w:color w:val="auto"/>
              </w:rPr>
            </w:pPr>
            <w:r>
              <w:rPr>
                <w:rFonts w:ascii="Arial" w:cs="Arial" w:eastAsia="Arial" w:hAnsi="Arial"/>
                <w:sz w:val="18"/>
                <w:szCs w:val="18"/>
                <w:color w:val="auto"/>
              </w:rPr>
              <w:t>Deferred income taxes and other non-cash adjustments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81,847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(932 )</w:t>
            </w:r>
          </w:p>
        </w:tc>
      </w:tr>
      <w:tr>
        <w:trPr>
          <w:trHeight w:val="215"/>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Increase (decrease) in cash resulting from changes in operating</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7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assets and liabilities, net of effect of acquisitions:</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(76,208 )</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(58,166 )</w:t>
            </w: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(64,474 )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(14,717 )</w:t>
            </w: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8,680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25,141</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(19,374 )</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(59,135 )</w:t>
            </w: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(34,018 )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(41,250 )</w:t>
            </w:r>
          </w:p>
        </w:tc>
      </w:tr>
      <w:tr>
        <w:trPr>
          <w:trHeight w:val="223"/>
        </w:trPr>
        <w:tc>
          <w:tcPr>
            <w:tcW w:w="714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317,612</w:t>
            </w: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386,378</w:t>
            </w:r>
          </w:p>
        </w:tc>
        <w:tc>
          <w:tcPr>
            <w:tcW w:w="100" w:type="dxa"/>
            <w:vAlign w:val="bottom"/>
            <w:tcBorders>
              <w:top w:val="single" w:sz="8" w:color="CFF0FC"/>
            </w:tcBorders>
          </w:tcPr>
          <w:p>
            <w:pPr>
              <w:spacing w:after="0"/>
              <w:rPr>
                <w:sz w:val="19"/>
                <w:szCs w:val="19"/>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Purchase of property, equipment and satellites</w:t>
            </w:r>
          </w:p>
        </w:tc>
        <w:tc>
          <w:tcPr>
            <w:tcW w:w="2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(782,595 )</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(671,207 )</w:t>
            </w: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paid for patents, licenses and other assets</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(68,152 )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(41,041 )</w:t>
            </w: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(138,668 )</w:t>
            </w:r>
          </w:p>
        </w:tc>
      </w:tr>
      <w:tr>
        <w:trPr>
          <w:trHeight w:val="20"/>
        </w:trPr>
        <w:tc>
          <w:tcPr>
            <w:tcW w:w="7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(850,747 )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(850,916 )</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debt borrowings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440,000</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Payments on debt borrowings</w:t>
            </w:r>
          </w:p>
        </w:tc>
        <w:tc>
          <w:tcPr>
            <w:tcW w:w="2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(93,853 )</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(97,784 )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of debt issuance costs</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(1,511 )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Repurchase of shares by majority-owned subsidiary</w:t>
            </w:r>
          </w:p>
        </w:tc>
        <w:tc>
          <w:tcPr>
            <w:tcW w:w="2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(30,000 )</w:t>
            </w:r>
          </w:p>
        </w:tc>
        <w:tc>
          <w:tcPr>
            <w:tcW w:w="2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 under equity plans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20,549</w:t>
            </w:r>
          </w:p>
        </w:tc>
        <w:tc>
          <w:tcPr>
            <w:tcW w:w="100" w:type="dxa"/>
            <w:vAlign w:val="bottom"/>
            <w:shd w:val="clear" w:color="auto" w:fill="CFF0FC"/>
          </w:tcPr>
          <w:p>
            <w:pPr>
              <w:spacing w:after="0"/>
              <w:rPr>
                <w:sz w:val="19"/>
                <w:szCs w:val="19"/>
                <w:color w:val="auto"/>
              </w:rPr>
            </w:pPr>
          </w:p>
        </w:tc>
      </w:tr>
      <w:tr>
        <w:trPr>
          <w:trHeight w:val="215"/>
        </w:trPr>
        <w:tc>
          <w:tcPr>
            <w:tcW w:w="7140" w:type="dxa"/>
            <w:vAlign w:val="bottom"/>
          </w:tcPr>
          <w:p>
            <w:pPr>
              <w:ind w:left="280"/>
              <w:spacing w:after="0"/>
              <w:rPr>
                <w:sz w:val="20"/>
                <w:szCs w:val="20"/>
                <w:color w:val="auto"/>
              </w:rPr>
            </w:pPr>
            <w:r>
              <w:rPr>
                <w:rFonts w:ascii="Arial" w:cs="Arial" w:eastAsia="Arial" w:hAnsi="Arial"/>
                <w:sz w:val="18"/>
                <w:szCs w:val="18"/>
                <w:color w:val="auto"/>
              </w:rPr>
              <w:t>Purchase of common stock in treasury (immediately retired) related</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140" w:type="dxa"/>
            <w:vAlign w:val="bottom"/>
          </w:tcPr>
          <w:p>
            <w:pPr>
              <w:ind w:left="420"/>
              <w:spacing w:after="0"/>
              <w:rPr>
                <w:sz w:val="20"/>
                <w:szCs w:val="20"/>
                <w:color w:val="auto"/>
              </w:rPr>
            </w:pPr>
            <w:r>
              <w:rPr>
                <w:rFonts w:ascii="Arial" w:cs="Arial" w:eastAsia="Arial" w:hAnsi="Arial"/>
                <w:sz w:val="18"/>
                <w:szCs w:val="18"/>
                <w:color w:val="auto"/>
              </w:rPr>
              <w:t>to tax withholdings for stock-based compensation</w:t>
            </w:r>
          </w:p>
        </w:tc>
        <w:tc>
          <w:tcPr>
            <w:tcW w:w="20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(15,921 )</w:t>
            </w:r>
          </w:p>
        </w:tc>
        <w:tc>
          <w:tcPr>
            <w:tcW w:w="20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(22,165 )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financing activities</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(2,374 )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(2,340 )</w:t>
            </w:r>
          </w:p>
        </w:tc>
      </w:tr>
      <w:tr>
        <w:trPr>
          <w:trHeight w:val="223"/>
        </w:trPr>
        <w:tc>
          <w:tcPr>
            <w:tcW w:w="71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405,967</w:t>
            </w: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338,260</w:t>
            </w:r>
          </w:p>
        </w:tc>
        <w:tc>
          <w:tcPr>
            <w:tcW w:w="100" w:type="dxa"/>
            <w:vAlign w:val="bottom"/>
            <w:tcBorders>
              <w:top w:val="single" w:sz="8" w:color="CFF0FC"/>
            </w:tcBorders>
          </w:tcPr>
          <w:p>
            <w:pPr>
              <w:spacing w:after="0"/>
              <w:rPr>
                <w:sz w:val="19"/>
                <w:szCs w:val="19"/>
                <w:color w:val="auto"/>
              </w:rPr>
            </w:pP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(1,161 )</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(3,639 )</w:t>
            </w:r>
          </w:p>
        </w:tc>
      </w:tr>
      <w:tr>
        <w:trPr>
          <w:trHeight w:val="20"/>
        </w:trPr>
        <w:tc>
          <w:tcPr>
            <w:tcW w:w="7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(128,329 )</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(129,917 )</w:t>
            </w:r>
          </w:p>
        </w:tc>
      </w:tr>
      <w:tr>
        <w:trPr>
          <w:trHeight w:val="23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310,459</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182,130</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166,032</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6,923</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36,422</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in satisfaction of certain accrued compensation liabilities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24,488</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Capital expenditures not paid for during the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78,642</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73,705</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in connection with acquisition</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207,169</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-3693795</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-1508125</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-1207770</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-908050</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4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4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Retained</w:t>
            </w:r>
          </w:p>
        </w:tc>
        <w:tc>
          <w:tcPr>
            <w:tcW w:w="12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Interest in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9"/>
        </w:trPr>
        <w:tc>
          <w:tcPr>
            <w:tcW w:w="4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Earnings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7"/>
              </w:rPr>
              <w:t>Income (Loss)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Subsidiary</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4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234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w w:val="95"/>
              </w:rPr>
              <w:t>thousands, except share data)</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December 31, 2022</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Balance at September 30, 2022</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75,585,22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2,496,783</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163,726</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(63,957 )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31,631</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2,628,191</w:t>
            </w:r>
          </w:p>
        </w:tc>
        <w:tc>
          <w:tcPr>
            <w:tcW w:w="100" w:type="dxa"/>
            <w:vAlign w:val="bottom"/>
          </w:tcPr>
          <w:p>
            <w:pPr>
              <w:spacing w:after="0"/>
              <w:rPr>
                <w:sz w:val="13"/>
                <w:szCs w:val="13"/>
                <w:color w:val="auto"/>
              </w:rPr>
            </w:pP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24,661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24,661</w:t>
            </w:r>
          </w:p>
        </w:tc>
        <w:tc>
          <w:tcPr>
            <w:tcW w:w="100" w:type="dxa"/>
            <w:vAlign w:val="bottom"/>
            <w:shd w:val="clear" w:color="auto" w:fill="CFF0FC"/>
          </w:tcPr>
          <w:p>
            <w:pPr>
              <w:spacing w:after="0"/>
              <w:rPr>
                <w:sz w:val="14"/>
                <w:szCs w:val="14"/>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787,884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(15,089 )</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(15,089 )</w:t>
            </w: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(42,228 )</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1,803</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(40,425 )</w:t>
            </w: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24,850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24,850</w:t>
            </w:r>
          </w:p>
        </w:tc>
        <w:tc>
          <w:tcPr>
            <w:tcW w:w="100" w:type="dxa"/>
            <w:vAlign w:val="bottom"/>
          </w:tcPr>
          <w:p>
            <w:pPr>
              <w:spacing w:after="0"/>
              <w:rPr>
                <w:sz w:val="13"/>
                <w:szCs w:val="13"/>
                <w:color w:val="auto"/>
              </w:rPr>
            </w:pPr>
          </w:p>
        </w:tc>
      </w:tr>
      <w:tr>
        <w:trPr>
          <w:trHeight w:val="137"/>
        </w:trPr>
        <w:tc>
          <w:tcPr>
            <w:tcW w:w="4160" w:type="dxa"/>
            <w:vAlign w:val="bottom"/>
            <w:shd w:val="clear" w:color="auto" w:fill="CFF0FC"/>
          </w:tcPr>
          <w:p>
            <w:pPr>
              <w:ind w:left="20"/>
              <w:spacing w:after="0" w:line="138" w:lineRule="exact"/>
              <w:rPr>
                <w:sz w:val="20"/>
                <w:szCs w:val="20"/>
                <w:color w:val="auto"/>
              </w:rPr>
            </w:pPr>
            <w:r>
              <w:rPr>
                <w:rFonts w:ascii="Arial" w:cs="Arial" w:eastAsia="Arial" w:hAnsi="Arial"/>
                <w:sz w:val="13"/>
                <w:szCs w:val="13"/>
                <w:color w:val="auto"/>
              </w:rPr>
              <w:t>Balance at December 31, 2022</w:t>
            </w:r>
          </w:p>
        </w:tc>
        <w:tc>
          <w:tcPr>
            <w:tcW w:w="760" w:type="dxa"/>
            <w:vAlign w:val="bottom"/>
            <w:tcBorders>
              <w:top w:val="single" w:sz="8" w:color="auto"/>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76,373,10</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93"/>
        </w:trPr>
        <w:tc>
          <w:tcPr>
            <w:tcW w:w="4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2,506,355</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121,498</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(39,107 )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33,434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2,622,188</w:t>
            </w:r>
          </w:p>
        </w:tc>
        <w:tc>
          <w:tcPr>
            <w:tcW w:w="100" w:type="dxa"/>
            <w:vAlign w:val="bottom"/>
            <w:shd w:val="clear" w:color="auto" w:fill="CFF0FC"/>
          </w:tcPr>
          <w:p>
            <w:pPr>
              <w:spacing w:after="0"/>
              <w:rPr>
                <w:sz w:val="16"/>
                <w:szCs w:val="16"/>
                <w:color w:val="auto"/>
              </w:rPr>
            </w:pPr>
          </w:p>
        </w:tc>
      </w:tr>
      <w:tr>
        <w:trPr>
          <w:trHeight w:val="144"/>
        </w:trPr>
        <w:tc>
          <w:tcPr>
            <w:tcW w:w="416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December 31, 2021</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Balance at September 30, 2021</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73,398,07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2,382,356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269,323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(16,873 )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38,657</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2,673,470</w:t>
            </w:r>
          </w:p>
        </w:tc>
        <w:tc>
          <w:tcPr>
            <w:tcW w:w="100" w:type="dxa"/>
            <w:vAlign w:val="bottom"/>
          </w:tcPr>
          <w:p>
            <w:pPr>
              <w:spacing w:after="0"/>
              <w:rPr>
                <w:sz w:val="13"/>
                <w:szCs w:val="13"/>
                <w:color w:val="auto"/>
              </w:rPr>
            </w:pP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24,850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w:t>
            </w:r>
          </w:p>
        </w:tc>
        <w:tc>
          <w:tcPr>
            <w:tcW w:w="100" w:type="dxa"/>
            <w:vAlign w:val="bottom"/>
            <w:shd w:val="clear" w:color="auto" w:fill="CFF0FC"/>
          </w:tcPr>
          <w:p>
            <w:pPr>
              <w:spacing w:after="0"/>
              <w:rPr>
                <w:sz w:val="14"/>
                <w:szCs w:val="14"/>
                <w:color w:val="auto"/>
              </w:rPr>
            </w:pP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Issuance of stock under Employee Stock Purchase Plan</w:t>
            </w:r>
          </w:p>
        </w:tc>
        <w:tc>
          <w:tcPr>
            <w:tcW w:w="760" w:type="dxa"/>
            <w:vAlign w:val="bottom"/>
          </w:tcPr>
          <w:p>
            <w:pPr>
              <w:jc w:val="right"/>
              <w:spacing w:after="0"/>
              <w:rPr>
                <w:sz w:val="20"/>
                <w:szCs w:val="20"/>
                <w:color w:val="auto"/>
              </w:rPr>
            </w:pPr>
            <w:r>
              <w:rPr>
                <w:rFonts w:ascii="Arial" w:cs="Arial" w:eastAsia="Arial" w:hAnsi="Arial"/>
                <w:sz w:val="13"/>
                <w:szCs w:val="13"/>
                <w:color w:val="auto"/>
              </w:rPr>
              <w:t>272,503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10,317</w:t>
            </w:r>
          </w:p>
        </w:tc>
        <w:tc>
          <w:tcPr>
            <w:tcW w:w="100" w:type="dxa"/>
            <w:vAlign w:val="bottom"/>
          </w:tcPr>
          <w:p>
            <w:pPr>
              <w:spacing w:after="0"/>
              <w:rPr>
                <w:sz w:val="13"/>
                <w:szCs w:val="13"/>
                <w:color w:val="auto"/>
              </w:rPr>
            </w:pP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24,197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24,197</w:t>
            </w:r>
          </w:p>
        </w:tc>
        <w:tc>
          <w:tcPr>
            <w:tcW w:w="100" w:type="dxa"/>
            <w:vAlign w:val="bottom"/>
            <w:shd w:val="clear" w:color="auto" w:fill="CFF0FC"/>
          </w:tcPr>
          <w:p>
            <w:pPr>
              <w:spacing w:after="0"/>
              <w:rPr>
                <w:sz w:val="14"/>
                <w:szCs w:val="14"/>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697,472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(20,423 )</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(20,423 )</w:t>
            </w: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(6,613 )</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2,623</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(3,990 )</w:t>
            </w: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(9,297 )</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(9,297 )</w:t>
            </w:r>
          </w:p>
        </w:tc>
      </w:tr>
      <w:tr>
        <w:trPr>
          <w:trHeight w:val="137"/>
        </w:trPr>
        <w:tc>
          <w:tcPr>
            <w:tcW w:w="4160" w:type="dxa"/>
            <w:vAlign w:val="bottom"/>
            <w:shd w:val="clear" w:color="auto" w:fill="CFF0FC"/>
          </w:tcPr>
          <w:p>
            <w:pPr>
              <w:ind w:left="20"/>
              <w:spacing w:after="0" w:line="138" w:lineRule="exact"/>
              <w:rPr>
                <w:sz w:val="20"/>
                <w:szCs w:val="20"/>
                <w:color w:val="auto"/>
              </w:rPr>
            </w:pPr>
            <w:r>
              <w:rPr>
                <w:rFonts w:ascii="Arial" w:cs="Arial" w:eastAsia="Arial" w:hAnsi="Arial"/>
                <w:sz w:val="13"/>
                <w:szCs w:val="13"/>
                <w:color w:val="auto"/>
              </w:rPr>
              <w:t>Balance at December 31, 2021</w:t>
            </w:r>
          </w:p>
        </w:tc>
        <w:tc>
          <w:tcPr>
            <w:tcW w:w="760" w:type="dxa"/>
            <w:vAlign w:val="bottom"/>
            <w:tcBorders>
              <w:top w:val="single" w:sz="8" w:color="auto"/>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74,392,90</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3"/>
        </w:trPr>
        <w:tc>
          <w:tcPr>
            <w:tcW w:w="4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2,397,903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262,710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(26,170 )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41,280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2,675,730</w:t>
            </w:r>
          </w:p>
        </w:tc>
        <w:tc>
          <w:tcPr>
            <w:tcW w:w="100" w:type="dxa"/>
            <w:vAlign w:val="bottom"/>
            <w:shd w:val="clear" w:color="auto" w:fill="CFF0FC"/>
          </w:tcPr>
          <w:p>
            <w:pPr>
              <w:spacing w:after="0"/>
              <w:rPr>
                <w:sz w:val="15"/>
                <w:szCs w:val="15"/>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-1344930</wp:posOffset>
            </wp:positionV>
            <wp:extent cx="401193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11930" cy="12890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3"/>
                <w:szCs w:val="13"/>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4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4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1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Retained</w:t>
            </w:r>
          </w:p>
        </w:tc>
        <w:tc>
          <w:tcPr>
            <w:tcW w:w="12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9"/>
        </w:trPr>
        <w:tc>
          <w:tcPr>
            <w:tcW w:w="4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Earnings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7"/>
              </w:rPr>
              <w:t>Income (Loss)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Subsidiary</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157"/>
        </w:trPr>
        <w:tc>
          <w:tcPr>
            <w:tcW w:w="4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234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w w:val="95"/>
              </w:rPr>
              <w:t>thousands, except share data)</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Nine Months Ended December 31, 2022</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Balance at March 31, 2022</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74,428,81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2,421,950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233,530</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(21,621 )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48,728</w:t>
            </w:r>
          </w:p>
        </w:tc>
        <w:tc>
          <w:tcPr>
            <w:tcW w:w="1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2,682,594</w:t>
            </w:r>
          </w:p>
        </w:tc>
        <w:tc>
          <w:tcPr>
            <w:tcW w:w="100" w:type="dxa"/>
            <w:vAlign w:val="bottom"/>
          </w:tcPr>
          <w:p>
            <w:pPr>
              <w:spacing w:after="0"/>
              <w:rPr>
                <w:sz w:val="13"/>
                <w:szCs w:val="13"/>
                <w:color w:val="auto"/>
              </w:rPr>
            </w:pPr>
          </w:p>
        </w:tc>
      </w:tr>
      <w:tr>
        <w:trPr>
          <w:trHeight w:val="144"/>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color w:val="auto"/>
              </w:rPr>
              <w:t>Issuance of stock under Employee Stock Purchase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4"/>
        </w:trPr>
        <w:tc>
          <w:tcPr>
            <w:tcW w:w="4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369,712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9,626</w:t>
            </w:r>
          </w:p>
        </w:tc>
        <w:tc>
          <w:tcPr>
            <w:tcW w:w="100" w:type="dxa"/>
            <w:vAlign w:val="bottom"/>
            <w:shd w:val="clear" w:color="auto" w:fill="CFF0FC"/>
          </w:tcPr>
          <w:p>
            <w:pPr>
              <w:spacing w:after="0"/>
              <w:rPr>
                <w:sz w:val="13"/>
                <w:szCs w:val="13"/>
                <w:color w:val="auto"/>
              </w:rPr>
            </w:pP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74,865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74,865</w:t>
            </w:r>
          </w:p>
        </w:tc>
        <w:tc>
          <w:tcPr>
            <w:tcW w:w="100" w:type="dxa"/>
            <w:vAlign w:val="bottom"/>
          </w:tcPr>
          <w:p>
            <w:pPr>
              <w:spacing w:after="0"/>
              <w:rPr>
                <w:sz w:val="13"/>
                <w:szCs w:val="13"/>
                <w:color w:val="auto"/>
              </w:rPr>
            </w:pPr>
          </w:p>
        </w:tc>
      </w:tr>
      <w:tr>
        <w:trPr>
          <w:trHeight w:val="144"/>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color w:val="auto"/>
              </w:rPr>
              <w:t>Shares issued in settlement of certain accrued</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4"/>
        </w:trPr>
        <w:tc>
          <w:tcPr>
            <w:tcW w:w="4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719,989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27,618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27,619</w:t>
            </w:r>
          </w:p>
        </w:tc>
        <w:tc>
          <w:tcPr>
            <w:tcW w:w="100" w:type="dxa"/>
            <w:vAlign w:val="bottom"/>
            <w:shd w:val="clear" w:color="auto" w:fill="CFF0FC"/>
          </w:tcPr>
          <w:p>
            <w:pPr>
              <w:spacing w:after="0"/>
              <w:rPr>
                <w:sz w:val="13"/>
                <w:szCs w:val="13"/>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854,588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(15,921 )</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(15,921 )</w:t>
            </w: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noncontrolling interest activity</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(11,783 )</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(18,306 )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(30,089 )</w:t>
            </w: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(112,032 )</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3,012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(109,020 )</w:t>
            </w:r>
          </w:p>
        </w:tc>
      </w:tr>
      <w:tr>
        <w:trPr>
          <w:trHeight w:val="162"/>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(17,486 )</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(17,486 )</w:t>
            </w:r>
          </w:p>
        </w:tc>
      </w:tr>
      <w:tr>
        <w:trPr>
          <w:trHeight w:val="137"/>
        </w:trPr>
        <w:tc>
          <w:tcPr>
            <w:tcW w:w="4160" w:type="dxa"/>
            <w:vAlign w:val="bottom"/>
            <w:tcBorders>
              <w:top w:val="single" w:sz="8" w:color="CFF0FC"/>
            </w:tcBorders>
          </w:tcPr>
          <w:p>
            <w:pPr>
              <w:ind w:left="20"/>
              <w:spacing w:after="0" w:line="138" w:lineRule="exact"/>
              <w:rPr>
                <w:sz w:val="20"/>
                <w:szCs w:val="20"/>
                <w:color w:val="auto"/>
              </w:rPr>
            </w:pPr>
            <w:r>
              <w:rPr>
                <w:rFonts w:ascii="Arial" w:cs="Arial" w:eastAsia="Arial" w:hAnsi="Arial"/>
                <w:sz w:val="13"/>
                <w:szCs w:val="13"/>
                <w:color w:val="auto"/>
              </w:rPr>
              <w:t>Balance at December 31, 2022</w:t>
            </w:r>
          </w:p>
        </w:tc>
        <w:tc>
          <w:tcPr>
            <w:tcW w:w="76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color w:val="auto"/>
              </w:rPr>
              <w:t>76,373,10</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53"/>
        </w:trPr>
        <w:tc>
          <w:tcPr>
            <w:tcW w:w="4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2,506,355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121,498</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(39,107 )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33,434</w:t>
            </w:r>
          </w:p>
        </w:tc>
        <w:tc>
          <w:tcPr>
            <w:tcW w:w="1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2,622,188</w:t>
            </w:r>
          </w:p>
        </w:tc>
        <w:tc>
          <w:tcPr>
            <w:tcW w:w="100" w:type="dxa"/>
            <w:vAlign w:val="bottom"/>
          </w:tcPr>
          <w:p>
            <w:pPr>
              <w:spacing w:after="0"/>
              <w:rPr>
                <w:sz w:val="13"/>
                <w:szCs w:val="13"/>
                <w:color w:val="auto"/>
              </w:rPr>
            </w:pPr>
          </w:p>
        </w:tc>
      </w:tr>
      <w:tr>
        <w:trPr>
          <w:trHeight w:val="20"/>
        </w:trPr>
        <w:tc>
          <w:tcPr>
            <w:tcW w:w="4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4"/>
        </w:trPr>
        <w:tc>
          <w:tcPr>
            <w:tcW w:w="4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For the Nine Months Ended December 31, 2021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416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Balance at March 31, 2021</w:t>
            </w: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68,529,13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4"/>
        </w:trPr>
        <w:tc>
          <w:tcPr>
            <w:tcW w:w="4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2,092,595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249,064</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35,765</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2,387,234</w:t>
            </w:r>
          </w:p>
        </w:tc>
        <w:tc>
          <w:tcPr>
            <w:tcW w:w="100" w:type="dxa"/>
            <w:vAlign w:val="bottom"/>
            <w:shd w:val="clear" w:color="auto" w:fill="CFF0FC"/>
          </w:tcPr>
          <w:p>
            <w:pPr>
              <w:spacing w:after="0"/>
              <w:rPr>
                <w:sz w:val="13"/>
                <w:szCs w:val="13"/>
                <w:color w:val="auto"/>
              </w:rPr>
            </w:pP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27,107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1,526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13"/>
                <w:szCs w:val="13"/>
                <w:color w:val="auto"/>
              </w:rPr>
            </w:pPr>
          </w:p>
        </w:tc>
      </w:tr>
      <w:tr>
        <w:trPr>
          <w:trHeight w:val="144"/>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color w:val="auto"/>
              </w:rPr>
              <w:t>Issuance of stock under Employee Stock Purchase</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4"/>
        </w:trPr>
        <w:tc>
          <w:tcPr>
            <w:tcW w:w="4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586,203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19,023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19,023</w:t>
            </w:r>
          </w:p>
        </w:tc>
        <w:tc>
          <w:tcPr>
            <w:tcW w:w="100" w:type="dxa"/>
            <w:vAlign w:val="bottom"/>
            <w:shd w:val="clear" w:color="auto" w:fill="CFF0FC"/>
          </w:tcPr>
          <w:p>
            <w:pPr>
              <w:spacing w:after="0"/>
              <w:rPr>
                <w:sz w:val="13"/>
                <w:szCs w:val="13"/>
                <w:color w:val="auto"/>
              </w:rPr>
            </w:pP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75,267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75,267</w:t>
            </w:r>
          </w:p>
        </w:tc>
        <w:tc>
          <w:tcPr>
            <w:tcW w:w="100" w:type="dxa"/>
            <w:vAlign w:val="bottom"/>
          </w:tcPr>
          <w:p>
            <w:pPr>
              <w:spacing w:after="0"/>
              <w:rPr>
                <w:sz w:val="13"/>
                <w:szCs w:val="13"/>
                <w:color w:val="auto"/>
              </w:rPr>
            </w:pPr>
          </w:p>
        </w:tc>
      </w:tr>
      <w:tr>
        <w:trPr>
          <w:trHeight w:val="144"/>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color w:val="auto"/>
              </w:rPr>
              <w:t>Shares issued in settlement of certain accrued</w:t>
            </w: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4"/>
        </w:trPr>
        <w:tc>
          <w:tcPr>
            <w:tcW w:w="41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457,130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shd w:val="clear" w:color="auto" w:fill="CFF0FC"/>
          </w:tcPr>
          <w:p>
            <w:pPr>
              <w:spacing w:after="0"/>
              <w:rPr>
                <w:sz w:val="13"/>
                <w:szCs w:val="13"/>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3"/>
                <w:szCs w:val="13"/>
                <w:color w:val="auto"/>
              </w:rPr>
              <w:t>RSU awards vesting, net of shares withheld for taxes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16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760" w:type="dxa"/>
            <w:vAlign w:val="bottom"/>
          </w:tcPr>
          <w:p>
            <w:pPr>
              <w:jc w:val="right"/>
              <w:spacing w:after="0"/>
              <w:rPr>
                <w:sz w:val="20"/>
                <w:szCs w:val="20"/>
                <w:color w:val="auto"/>
              </w:rPr>
            </w:pPr>
            <w:r>
              <w:rPr>
                <w:rFonts w:ascii="Arial" w:cs="Arial" w:eastAsia="Arial" w:hAnsi="Arial"/>
                <w:sz w:val="13"/>
                <w:szCs w:val="13"/>
                <w:color w:val="auto"/>
              </w:rPr>
              <w:t>793,141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(22,165 )</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(22,165 )</w:t>
            </w: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in connection with acquisition of business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4,000,189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4"/>
                <w:szCs w:val="14"/>
                <w:color w:val="auto"/>
              </w:rPr>
            </w:pP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Other</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(11 )</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(11 )</w:t>
            </w:r>
          </w:p>
        </w:tc>
      </w:tr>
      <w:tr>
        <w:trPr>
          <w:trHeight w:val="16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19,172</w:t>
            </w:r>
          </w:p>
        </w:tc>
        <w:tc>
          <w:tcPr>
            <w:tcW w:w="100" w:type="dxa"/>
            <w:vAlign w:val="bottom"/>
            <w:shd w:val="clear" w:color="auto" w:fill="CFF0FC"/>
          </w:tcPr>
          <w:p>
            <w:pPr>
              <w:spacing w:after="0"/>
              <w:rPr>
                <w:sz w:val="14"/>
                <w:szCs w:val="14"/>
                <w:color w:val="auto"/>
              </w:rPr>
            </w:pPr>
          </w:p>
        </w:tc>
      </w:tr>
      <w:tr>
        <w:trPr>
          <w:trHeight w:val="161"/>
        </w:trPr>
        <w:tc>
          <w:tcPr>
            <w:tcW w:w="416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(35,973 )</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(35,973 )</w:t>
            </w:r>
          </w:p>
        </w:tc>
      </w:tr>
      <w:tr>
        <w:trPr>
          <w:trHeight w:val="137"/>
        </w:trPr>
        <w:tc>
          <w:tcPr>
            <w:tcW w:w="4160" w:type="dxa"/>
            <w:vAlign w:val="bottom"/>
            <w:shd w:val="clear" w:color="auto" w:fill="CFF0FC"/>
          </w:tcPr>
          <w:p>
            <w:pPr>
              <w:ind w:left="20"/>
              <w:spacing w:after="0" w:line="138" w:lineRule="exact"/>
              <w:rPr>
                <w:sz w:val="20"/>
                <w:szCs w:val="20"/>
                <w:color w:val="auto"/>
              </w:rPr>
            </w:pPr>
            <w:r>
              <w:rPr>
                <w:rFonts w:ascii="Arial" w:cs="Arial" w:eastAsia="Arial" w:hAnsi="Arial"/>
                <w:sz w:val="13"/>
                <w:szCs w:val="13"/>
                <w:color w:val="auto"/>
              </w:rPr>
              <w:t>Balance at December 31, 2021</w:t>
            </w:r>
          </w:p>
        </w:tc>
        <w:tc>
          <w:tcPr>
            <w:tcW w:w="760" w:type="dxa"/>
            <w:vAlign w:val="bottom"/>
            <w:tcBorders>
              <w:top w:val="single" w:sz="8" w:color="auto"/>
            </w:tcBorders>
            <w:shd w:val="clear" w:color="auto" w:fill="CFF0FC"/>
          </w:tcPr>
          <w:p>
            <w:pPr>
              <w:jc w:val="right"/>
              <w:spacing w:after="0" w:line="138" w:lineRule="exact"/>
              <w:rPr>
                <w:sz w:val="20"/>
                <w:szCs w:val="20"/>
                <w:color w:val="auto"/>
              </w:rPr>
            </w:pPr>
            <w:r>
              <w:rPr>
                <w:rFonts w:ascii="Arial" w:cs="Arial" w:eastAsia="Arial" w:hAnsi="Arial"/>
                <w:sz w:val="13"/>
                <w:szCs w:val="13"/>
                <w:color w:val="auto"/>
              </w:rPr>
              <w:t>74,392,90</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73"/>
        </w:trPr>
        <w:tc>
          <w:tcPr>
            <w:tcW w:w="4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2,397,903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262,710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(26,170 )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41,280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2,675,730</w:t>
            </w:r>
          </w:p>
        </w:tc>
        <w:tc>
          <w:tcPr>
            <w:tcW w:w="100" w:type="dxa"/>
            <w:vAlign w:val="bottom"/>
            <w:shd w:val="clear" w:color="auto" w:fill="CFF0FC"/>
          </w:tcPr>
          <w:p>
            <w:pPr>
              <w:spacing w:after="0"/>
              <w:rPr>
                <w:sz w:val="15"/>
                <w:szCs w:val="15"/>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-2022475</wp:posOffset>
            </wp:positionV>
            <wp:extent cx="76835"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22288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-2022475</wp:posOffset>
            </wp:positionV>
            <wp:extent cx="7747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-2022475</wp:posOffset>
            </wp:positionV>
            <wp:extent cx="7747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22288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-2022475</wp:posOffset>
            </wp:positionV>
            <wp:extent cx="6858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-2022475</wp:posOffset>
            </wp:positionV>
            <wp:extent cx="6858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-2022475</wp:posOffset>
            </wp:positionV>
            <wp:extent cx="6858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-8255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8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accompanying condensed consolidated balance sheet at December 31, 2022, the condensed consolidated statements of operations and comprehensive income (loss) for the three and nine months ended December 31, 2022 and 2021, the condensed consolidated statements of cash flows for the nine months ended December 31, 2022 and 2021 and the condensed consolidated statements of equity for the three and nine months ended December 31, 2022 and 2021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2022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2022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1"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first quarter of fiscal year 2022, the Company completed the acquisitions of the remaining 51% interest in Euro Broadband Infrastructure Sàrl (EBI) and RigNet, Inc. (RigNet) (see Note 5 – Acquisitions for more information). The acquisitions were accounted for as purchases and accordingly, the condensed consolidated financial statements include the operating results of EBI and RigNet from the dates of acquisition.</w:t>
      </w:r>
    </w:p>
    <w:p>
      <w:pPr>
        <w:spacing w:after="0" w:line="148" w:lineRule="exact"/>
        <w:rPr>
          <w:sz w:val="20"/>
          <w:szCs w:val="20"/>
          <w:color w:val="auto"/>
        </w:rPr>
      </w:pPr>
    </w:p>
    <w:p>
      <w:pPr>
        <w:jc w:val="both"/>
        <w:ind w:right="320" w:firstLine="509"/>
        <w:spacing w:after="0"/>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On October 1, 2022, the Company entered into an Asset Purchase Agreement to sell certain assets and assign certain liabilities comprising its Link-16 Tactical Data Links business (the Link-16 TDL Business) to L3Harris Technologies, Inc. (L3Harris) in exchange for approximately $1.96 billion in cash (subject to certain adjustments), on and subject to the terms and conditions set forth therein (the Link-16 TDL Sale). In accordance with authoritative guidance for discontinued operations (Accounting Standards Codification (ASC) 205-20), the Company determined that the Link-16 TDL Business met held-for-sale and discontinued operations accounting criteria at the end of the second quarter of fiscal year 2023. Accordingly, the Company classified the results of the Link-16 TDL Business as discontinued operations in its condensed consolidated statements of operations for all periods presented. Additionally, the related assets and liabilities associated with the Link-16 TDL Business are classified as held for sale and discontinued operations in the condensed consolidated balance sheets for all periods presented. The cash flows related to discontinued operations have not been segregated and are included in the condensed consolidated statements of cash flows. Unless otherwise noted, discussion within the notes to the condensed consolidated financial statements relates to continuing operations only and excludes the Link-16 TDL Business. On January 3, 2023, subsequent to quarter end, the Company completed the Link-16 TDL Sale. See Note 4 — Discontinued Operations for additional information.</w:t>
      </w:r>
    </w:p>
    <w:p>
      <w:pPr>
        <w:spacing w:after="0" w:line="15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On July 8, 2022, Cisco Systems, Inc., which previously acquired Acacia Communications, Inc. (Acacia), paid the Company approximately $62.2 million. The payment fully satisfied the July 2019 judgment previously entered against Acacia related to Acacia's breach of contract and misuse of the Company's soft decision forward error correction technology. During the second quarter of fiscal year 2023, the Company recorded $55.8 million as product revenues in the Company's commercial networks segment and $6.4 million as interest income with respect to such payment.</w:t>
      </w:r>
    </w:p>
    <w:p>
      <w:pPr>
        <w:spacing w:after="0" w:line="14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November 8, 2021, the Company entered into a Share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Share Purchase Agreement, the Company will purchase all of the issued and outstanding shares of Inmarsat from the Sellers upon the terms and subject to the conditions set forth therein (the Inmarsat Transaction). See Note 5 – Acquisitions for more information.</w:t>
      </w:r>
    </w:p>
    <w:p>
      <w:pPr>
        <w:spacing w:after="0" w:line="15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8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5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51"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5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 by the DCAA has not been concluded for fiscal year 2021. As of December 31, 2022, the DCAA had completed its incurred cost audit for fiscal years 2004, 2016, 2019 and 2020 and approved the Company’s incurred costs for those fiscal years, as well as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both December 31, 2022 and March 31, 2022, the Company had $12.1 million in contract-related reserves for its estimate of potential refunds to customers for potential cost adjustments on several multi-year U.S. Government cost reimbursable contracts (see Note 10 — Commitments and Contingencies for more information).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8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59" w:lineRule="exact"/>
        <w:rPr>
          <w:sz w:val="20"/>
          <w:szCs w:val="20"/>
          <w:color w:val="auto"/>
        </w:rPr>
      </w:pPr>
    </w:p>
    <w:p>
      <w:pPr>
        <w:ind w:right="28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8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December 31, 2022, the aggregate amount of the transaction price allocated to remaining performance obligations was $2.2 billion (including approximately $568.9 million attributable to discontinued operations), of which the Company expects to recognize a little over half over the next 12 months, with the balance recognized thereafter.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8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jc w:val="both"/>
        <w:ind w:right="280" w:firstLine="509"/>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nine months ended December 31, 2022 and 2021 (as noted above, revenue information excludes revenues from the Link-16 TDL Business, which have been classified as discontinued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December 31, 2022</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0"/>
              <w:spacing w:after="0" w:line="156"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Systems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23"/>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147,163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102,152</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249,315</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302,412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402,129</w:t>
            </w:r>
          </w:p>
        </w:tc>
        <w:tc>
          <w:tcPr>
            <w:tcW w:w="100" w:type="dxa"/>
            <w:vAlign w:val="bottom"/>
          </w:tcPr>
          <w:p>
            <w:pPr>
              <w:spacing w:after="0"/>
              <w:rPr>
                <w:sz w:val="19"/>
                <w:szCs w:val="19"/>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302,412</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167,223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181,809</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rPr>
              <w:t>Nine Months Ended December 31, 2022</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0"/>
              <w:spacing w:after="0" w:line="156"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Systems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23"/>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400,569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282,200</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682,769</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915,059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232,766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1,207,290</w:t>
            </w:r>
          </w:p>
        </w:tc>
        <w:tc>
          <w:tcPr>
            <w:tcW w:w="100" w:type="dxa"/>
            <w:vAlign w:val="bottom"/>
          </w:tcPr>
          <w:p>
            <w:pPr>
              <w:spacing w:after="0"/>
              <w:rPr>
                <w:sz w:val="19"/>
                <w:szCs w:val="19"/>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915,059</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460,034</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514,966</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1,890,059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9"/>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Three Months Ended December 31,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0"/>
              <w:spacing w:after="0" w:line="156"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Systems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23"/>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123,059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103,649</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226,708</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309,711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16,618</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398,559</w:t>
            </w:r>
          </w:p>
        </w:tc>
        <w:tc>
          <w:tcPr>
            <w:tcW w:w="100" w:type="dxa"/>
            <w:vAlign w:val="bottom"/>
          </w:tcPr>
          <w:p>
            <w:pPr>
              <w:spacing w:after="0"/>
              <w:rPr>
                <w:sz w:val="19"/>
                <w:szCs w:val="19"/>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309,711</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139,677</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175,879</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9"/>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17"/>
              <w:spacing w:after="0"/>
              <w:rPr>
                <w:sz w:val="20"/>
                <w:szCs w:val="20"/>
                <w:color w:val="auto"/>
              </w:rPr>
            </w:pPr>
            <w:r>
              <w:rPr>
                <w:rFonts w:ascii="Arial" w:cs="Arial" w:eastAsia="Arial" w:hAnsi="Arial"/>
                <w:sz w:val="14"/>
                <w:szCs w:val="14"/>
                <w:b w:val="1"/>
                <w:bCs w:val="1"/>
                <w:color w:val="auto"/>
              </w:rPr>
              <w:t>Nine Months Ended December 31, 2021</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Satellite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40"/>
              <w:spacing w:after="0" w:line="156" w:lineRule="exact"/>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37"/>
              <w:spacing w:after="0" w:line="15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89"/>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Networks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Systems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r>
      <w:tr>
        <w:trPr>
          <w:trHeight w:val="223"/>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4"/>
          </w:tcPr>
          <w:p>
            <w:pPr>
              <w:jc w:val="center"/>
              <w:ind w:right="17"/>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343,525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314,830</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658,355</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883,938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218,585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1,152,077</w:t>
            </w:r>
          </w:p>
        </w:tc>
        <w:tc>
          <w:tcPr>
            <w:tcW w:w="100" w:type="dxa"/>
            <w:vAlign w:val="bottom"/>
          </w:tcPr>
          <w:p>
            <w:pPr>
              <w:spacing w:after="0"/>
              <w:rPr>
                <w:sz w:val="19"/>
                <w:szCs w:val="19"/>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883,938</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393,079</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533,415</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1,810,432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-3471545</wp:posOffset>
            </wp:positionV>
            <wp:extent cx="3154680" cy="7029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54680" cy="7029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-2322195</wp:posOffset>
            </wp:positionV>
            <wp:extent cx="3154680" cy="7029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54680" cy="7029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-1173480</wp:posOffset>
            </wp:positionV>
            <wp:extent cx="3154680" cy="702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54680" cy="7029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Revenues from the U.S. Government as an individual customer comprised approximately 15% and 16% of total revenues for the three and nine months ended December 31, 2022, respectively, and approximately 18% and 19% of total revenues for the three and nine months ended December 31, 2021, respectively, mainly reported within the government systems segment. Revenues from the Company’s other customers, mainly reported within the commercial networks and satellite services segments, comprised approximately 85% and 84% of total revenues for the three and nine months ended December 31, 2022, respectively, and approximately 82% and 81% of total revenues for the three and nine months ended December 31, 2021, respectively.</w:t>
      </w:r>
    </w:p>
    <w:p>
      <w:pPr>
        <w:spacing w:after="0" w:line="151" w:lineRule="exact"/>
        <w:rPr>
          <w:sz w:val="20"/>
          <w:szCs w:val="20"/>
          <w:color w:val="auto"/>
        </w:rPr>
      </w:pPr>
    </w:p>
    <w:p>
      <w:pPr>
        <w:ind w:right="500" w:firstLine="509"/>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in-flight services and energy services (acquired through the RigNet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90% and 88% of the Company’s total revenues for these segments for the three and nine months ended December 31, 2022, respectively, and approximately 92% and 91% of the Company’s total revenues for these segments for the three and nine months ended December 31, 2021,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52"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15% of its total revenues for both the three and nine months ended December 31, 2022, and approximately 19% and 18% of its total revenues for the three and nine months ended December 31, 2021,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8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December 31, 2022 and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759"/>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right"/>
              <w:ind w:right="777"/>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r>
      <w:tr>
        <w:trPr>
          <w:trHeight w:val="189"/>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223"/>
        </w:trPr>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accounts receivable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92,600</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Collections in excess of revenues and deferred revenues</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115,509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131,623</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revenues, long-term portion</w:t>
            </w:r>
          </w:p>
        </w:tc>
        <w:tc>
          <w:tcPr>
            <w:tcW w:w="2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87,343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88,983</w:t>
            </w:r>
          </w:p>
        </w:tc>
        <w:tc>
          <w:tcPr>
            <w:tcW w:w="10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Unbilled accounts receivable increased by $7.2 million during the nine months ended December 31, 2022, primarily driven by revenue recognized in the Company’s commercial networks segment in excess of billings.</w:t>
      </w:r>
    </w:p>
    <w:p>
      <w:pPr>
        <w:spacing w:after="0" w:line="143"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Collections in excess of revenues and deferred revenues decreased by $16.1 million during the nine months ended December 31, 2022, primarily driven by revenue recognized in excess of advances on goods or services received in the Company’s commercial networks and satellite services segments.</w:t>
      </w:r>
    </w:p>
    <w:p>
      <w:pPr>
        <w:spacing w:after="0" w:line="149"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During the three and nine months ended December 31, 2022, the Company recognized revenue of $10.7 million and $108.4 million, respectively, that was previously included in the Company’s collections in excess of revenues and deferred revenues at March 31, 2022. During the three and nine months ended December 31, 2021, the Company recognized revenue of $39.7 million and $148.9 million, respectively, that was previously included in the Company’s collections in excess of revenues and deferred revenues at March 31,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59"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4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$44.0 million and $116.1 million of interest expense for the three and nine months ended December 31, 2022, respectively, and $25.8 million and $74.2 million for the three and nine months ended December 31, 2021, respectively.</w:t>
      </w:r>
    </w:p>
    <w:p>
      <w:pPr>
        <w:spacing w:after="0" w:line="13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owns four satellites in service — three over North America (ViaSat-2, ViaSat-1 and WildBlue-1) and the KA-SAT satellite over Europe, Middle East, and Africa (EMEA). In addition, the Company has lifetime leases of Ka-band capacity on two satellites. The Company is also planning to launch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2022 were $385.4 million and $211.3 million, respectively. The total cost and accumulated depreciation of CPE units included in property, equipment and satellites, net, as of March 31, 2022 were $395.5 million and $210.6 million, respectively.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less than one year to four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180" w:firstLine="8"/>
        <w:spacing w:after="0" w:line="238"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10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services are accounted for in accordance with ASC 606. The Company is also a lessor for certain insignificant communications equipment.</w:t>
      </w:r>
    </w:p>
    <w:p>
      <w:pPr>
        <w:spacing w:after="0"/>
        <w:rPr>
          <w:sz w:val="20"/>
          <w:szCs w:val="20"/>
          <w:color w:val="auto"/>
        </w:rPr>
      </w:pPr>
      <w:r>
        <w:rPr>
          <w:rFonts w:ascii="Arial" w:cs="Arial" w:eastAsia="Arial" w:hAnsi="Arial"/>
          <w:sz w:val="18"/>
          <w:szCs w:val="18"/>
          <w:color w:val="auto"/>
        </w:rPr>
        <w:t>These leases meet the criteria for operating lease classification. Lease income associated with these leases is not 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7"/>
          <w:szCs w:val="17"/>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$3.6 million and $3.5 million were included in other assets as of December 31, 2022 and March 31, 2022, respectively.</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capitalized costs of $76.9 million and $64.1 million related to acquiring and obtaining orbital slots and other licenses included in other assets as of December 31, 2022 and March 31, 2022, respectively. Accumulated amortization related to these assets was $6.4 million and $5.4 million as of December 31, 2022 and March 31, 2022, respectively. Amortization expense related to these assets was an insignificant amount and $1.1 million for the three and nine months ended December 31, 2022, respectively, and an insignificant amount for both the three and nine months ended December 31, 2021. If a patent, orbital slot or other license is rejected, abandoned or otherwise invalidated, the unamortized cost is expensed in that period. During the three and nine months ended December 31, 2022 and 2021, the Company did not write off any significant costs due to abandonment or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both the nine months ended December 31, 2022 and 2021,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other long-term assets in the condensed consolidated balance sheets in accordance with the authoritative guidance for imputation of interest (ASC 835-30). Debt issuance costs related to the Company’s $700.0 million senior secured term loan facility (the Term Loan Facility), 5.625% Senior Notes due 2025 (the 2025 Notes), the Company’s 5.625% Senior Secured Notes due 2027 (the 2027 Notes), the Company’s 6.500% Senior Notes due 2028 (the 2028 Notes and, together with the 2025 Notes and the 2027 Notes, the Notes) and the Ex-Im Credit Facility are recorded as a direct deduction from the carrying amount of the related debt, consistent with debt discounts, in accordance with the authoritative guidance for imputation of interest (ASC 835-30).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$220.4 million and $217.2 million related to software developed for resale were included in other assets as of December 31, 2022 and March 31, 2022, respectively. The Company capitalized $15.7 million and $40.3 million of costs related to software developed for resale for the three and nine months ended December 31, 2022, respectively. The Company capitalized $8.7 million and $29.6 million of costs related to software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developed for resale for the three and nine months ended December 31, 2021, respectively. Amortization expense for capitalized software development costs was $14.2 million and $37.1 million for the three and nine months ended December 31, 2022, respectively, and $14.1 million and $42.3 million for the three and nine months ended December 31, 2021,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$7.0 million and $5.8 million as of December 31, 2022 and March 31, 2022,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2022 and March 31, 2022, no such amounts were accrued related to the aforementioned provisions.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8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51"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On August 15, 2022, TrellisWare, a majority-owned subsidiary of the Company, completed the repurchase of its common stock from participating stockholders for a total purchase price of approximately $30.0 million. The Company did not elect to participate in the share repurchase, and accordingly, the Company's ownership percentage of TrellisWare increased to slightly over 60% as a result of the share repurchase.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effect of the change in the Company's percentage ownership interest in TrellisWare on the</w:t>
      </w:r>
    </w:p>
    <w:p>
      <w:pPr>
        <w:spacing w:after="0"/>
        <w:rPr>
          <w:sz w:val="20"/>
          <w:szCs w:val="20"/>
          <w:color w:val="auto"/>
        </w:rPr>
      </w:pPr>
      <w:r>
        <w:rPr>
          <w:rFonts w:ascii="Arial" w:cs="Arial" w:eastAsia="Arial" w:hAnsi="Arial"/>
          <w:sz w:val="18"/>
          <w:szCs w:val="18"/>
          <w:color w:val="auto"/>
        </w:rPr>
        <w:t>Company's equity for the three and nine months ended December 31, 2022 and 2021:</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Viasat, Inc.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to noncontrolling interest</w:t>
      </w:r>
    </w:p>
    <w:p>
      <w:pPr>
        <w:spacing w:after="0" w:line="36"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Change from net income (loss) attributable to Viasat, Inc. and transfers from (to) noncontrolling interest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r>
      <w:tr>
        <w:trPr>
          <w:trHeight w:val="183"/>
        </w:trPr>
        <w:tc>
          <w:tcPr>
            <w:tcW w:w="15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225"/>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2"/>
        </w:trPr>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(42,228 )</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(6,613 )</w:t>
            </w: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(112,032 )</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13,646</w:t>
            </w:r>
          </w:p>
        </w:tc>
      </w:tr>
      <w:tr>
        <w:trPr>
          <w:trHeight w:val="229"/>
        </w:trPr>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(11,783 )</w:t>
            </w: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385"/>
        </w:trPr>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(42,228 )</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(6,613 )</w:t>
            </w: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(123,815 )</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13,646</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-582295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-273685</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4560" w:space="180"/>
            <w:col w:w="6460"/>
          </w:cols>
          <w:pgMar w:left="320" w:top="118" w:right="379" w:bottom="1440" w:gutter="0" w:footer="0" w:header="0"/>
          <w:type w:val="continuous"/>
        </w:sect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and March 31, 2022, the Company had no shares of common stock held in treasury.</w:t>
      </w:r>
    </w:p>
    <w:p>
      <w:pPr>
        <w:spacing w:after="0" w:line="158"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7"/>
          <w:szCs w:val="17"/>
          <w:color w:val="auto"/>
        </w:rPr>
        <w:t>During the three months ended December 31, 2022 and 2021, the Company issued 1,236,257 and 1,091,363 shares of common stock, respectively, based on the vesting terms of certain restricted stock unit agreements. During the nine months ended December 31,</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2022 and 2021, the Company issued 1,324,658 and 1,220,370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December 31, 2022 and 2021, the Company repurchased 448,373 and 393,891 shares of common stock, respectively, at cost and with a total value of $15.1 million and $20.4 million, respectively. During the nine months ended December 31, 2022 and 2021, the Company repurchased 470,070 and 427,229 shares of common stock, respectively, at cost and with a total value of $15.9 million and $22.2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recognized $20.4 million and $62.5 million of stock-based compensation expense for the three and nine months ended December 31, 2022, respectively. The Company recognized $21.0 million and $63.3 million of stock-based compensation expense for the three and nine months ended December 31, 2021,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700" w:firstLine="509"/>
        <w:spacing w:after="0" w:line="24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August 2020, the Financial Accounting Standards Board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Company adopted the new guidance in the first quarter of fiscal year 2023 and the guidance did not have a material impact on the Company’s consolidated financial statements and disclosures.</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October 2021, the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new standard will become effective for the Company beginning in fiscal year 2024,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November 2021, the FASB issued ASU 2021-10, Government Assistance (ASC 832): Disclosures by Business Entities about Government Assistance. ASU 2021-10 requires annual disclosures when an entity accounts for a transaction with a government by applying a grant or contribution accounting model by analogy to other accounting guidance. The new standard is effective for annual periods beginning after December 15, 2021. The Company will adopt this guidance effective fiscal year-end 2023. The Company is currently evaluating the impact of this standard on its annual disclosures.</w:t>
      </w:r>
    </w:p>
    <w:p>
      <w:pPr>
        <w:spacing w:after="0" w:line="14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March 2022, the FASB issued ASU 2022-01, Derivatives and Hedging (ASC 815): Targeted Improvements to Accounting for Hedging Activities. ASU 2022-01 made targeted improvements to the optional hedge accounting model with the objective of improving hedge accounting to better portray the economic results of an entity’s risk management activities in its financial statements. The new standard will become effective for the Company beginning in fiscal year 2024. The Company is currently evaluating the impact of this standard on its consolidated financial statements and disclosures.</w:t>
      </w:r>
    </w:p>
    <w:p>
      <w:pPr>
        <w:spacing w:after="0" w:line="14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new standard will become effective for the Company beginning in fiscal year 2024. The Company is currently evaluating the impact of this standard on its consolidated financial statements and disclosures.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Company beginning in fiscal year 2025. The Company is currently evaluating the impact of this standard on its consolidated financial statements and disclosures.</w:t>
      </w:r>
    </w:p>
    <w:p>
      <w:pPr>
        <w:spacing w:after="0" w:line="148"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Septem</w:t>
      </w:r>
      <w:r>
        <w:rPr>
          <w:rFonts w:ascii="Arial" w:cs="Arial" w:eastAsia="Arial" w:hAnsi="Arial"/>
          <w:sz w:val="18"/>
          <w:szCs w:val="18"/>
          <w:color w:val="1D1C1D"/>
        </w:rPr>
        <w:t>ber 2022, the FASB issued ASU 2022-04, Liabilities – Supplier Finance Programs (Subtopic 405-50): Disclosure of Supplier</w:t>
      </w:r>
      <w:r>
        <w:rPr>
          <w:rFonts w:ascii="Arial" w:cs="Arial" w:eastAsia="Arial" w:hAnsi="Arial"/>
          <w:sz w:val="18"/>
          <w:szCs w:val="18"/>
          <w:color w:val="auto"/>
        </w:rPr>
        <w:t xml:space="preserve"> </w:t>
      </w:r>
      <w:r>
        <w:rPr>
          <w:rFonts w:ascii="Arial" w:cs="Arial" w:eastAsia="Arial" w:hAnsi="Arial"/>
          <w:sz w:val="18"/>
          <w:szCs w:val="18"/>
          <w:color w:val="1D1C1D"/>
        </w:rPr>
        <w:t>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w:t>
      </w:r>
      <w:r>
        <w:rPr>
          <w:rFonts w:ascii="Arial" w:cs="Arial" w:eastAsia="Arial" w:hAnsi="Arial"/>
          <w:sz w:val="18"/>
          <w:szCs w:val="18"/>
          <w:color w:val="000000"/>
        </w:rPr>
        <w:t>e interim perio</w:t>
      </w:r>
      <w:r>
        <w:rPr>
          <w:rFonts w:ascii="Arial" w:cs="Arial" w:eastAsia="Arial" w:hAnsi="Arial"/>
          <w:sz w:val="18"/>
          <w:szCs w:val="18"/>
          <w:color w:val="1D1C1D"/>
        </w:rPr>
        <w:t>d. The new standard will become effective for the Company beginning in fiscal year 2024, except for the amendment on rollfoward information, which will become effective in fiscal year 2025. The Company is currently evaluating the impact of this standard on its consolidated financial statements and disclosures.</w:t>
      </w:r>
    </w:p>
    <w:p>
      <w:pPr>
        <w:spacing w:after="0" w:line="15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1D1C1D"/>
        </w:rPr>
        <w:t>In December 2022, the FASB issued ASU 2022-06, Reference Rate Reform (ASC 848): Deferral of the Sunset Date of Topic 848. ASU 2022-06 extends the period of time entities can utilize the reference rate reform relief guidance under ASU 2020-04 from December 31, 2022 to December 31, 2024. ASU 2020-04, Reference Rate Reform (ASC 848): Facilitation of the Effects of Reference Rate Reform on Financial Reporting provided temporary optional guidance to ease the potential accounting burden associated with the transition away from reference rates (such as the London Interbank Offered Rate). ASU 2022-06 was effective upon issuance. The Company adopted the guidance upon issuance with no impact to the Company's consolidated financial statements and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As of</w:t>
            </w:r>
          </w:p>
        </w:tc>
        <w:tc>
          <w:tcPr>
            <w:tcW w:w="220" w:type="dxa"/>
            <w:vAlign w:val="bottom"/>
          </w:tcPr>
          <w:p>
            <w:pPr>
              <w:spacing w:after="0"/>
              <w:rPr>
                <w:sz w:val="10"/>
                <w:szCs w:val="1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As of</w:t>
            </w:r>
          </w:p>
        </w:tc>
      </w:tr>
      <w:tr>
        <w:trPr>
          <w:trHeight w:val="146"/>
        </w:trPr>
        <w:tc>
          <w:tcPr>
            <w:tcW w:w="8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December 31, 2022</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w w:val="97"/>
              </w:rPr>
              <w:t>March 31, 2022</w:t>
            </w:r>
          </w:p>
        </w:tc>
        <w:tc>
          <w:tcPr>
            <w:tcW w:w="100" w:type="dxa"/>
            <w:vAlign w:val="bottom"/>
          </w:tcPr>
          <w:p>
            <w:pPr>
              <w:spacing w:after="0"/>
              <w:rPr>
                <w:sz w:val="12"/>
                <w:szCs w:val="12"/>
                <w:color w:val="auto"/>
              </w:rPr>
            </w:pPr>
          </w:p>
        </w:tc>
      </w:tr>
      <w:tr>
        <w:trPr>
          <w:trHeight w:val="143"/>
        </w:trPr>
        <w:tc>
          <w:tcPr>
            <w:tcW w:w="8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Accounts receivable, net:</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Billed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290,733</w:t>
            </w:r>
          </w:p>
        </w:tc>
        <w:tc>
          <w:tcPr>
            <w:tcW w:w="1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233,948</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Unbilled</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92,600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85,383</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16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(14,506 )</w:t>
            </w:r>
          </w:p>
        </w:tc>
        <w:tc>
          <w:tcPr>
            <w:tcW w:w="2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(7,159 )</w:t>
            </w:r>
          </w:p>
        </w:tc>
      </w:tr>
      <w:tr>
        <w:trPr>
          <w:trHeight w:val="195"/>
        </w:trPr>
        <w:tc>
          <w:tcPr>
            <w:tcW w:w="8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368,827</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312,172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420" w:type="dxa"/>
            <w:vAlign w:val="bottom"/>
          </w:tcPr>
          <w:p>
            <w:pPr>
              <w:ind w:left="20"/>
              <w:spacing w:after="0"/>
              <w:rPr>
                <w:sz w:val="20"/>
                <w:szCs w:val="20"/>
                <w:color w:val="auto"/>
              </w:rPr>
            </w:pPr>
            <w:r>
              <w:rPr>
                <w:rFonts w:ascii="Arial" w:cs="Arial" w:eastAsia="Arial" w:hAnsi="Arial"/>
                <w:sz w:val="12"/>
                <w:szCs w:val="12"/>
                <w:color w:val="auto"/>
              </w:rPr>
              <w:t>Inventories: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Raw materials</w:t>
            </w: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83,939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62,520</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23,285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21,702</w:t>
            </w:r>
          </w:p>
        </w:tc>
        <w:tc>
          <w:tcPr>
            <w:tcW w:w="100" w:type="dxa"/>
            <w:vAlign w:val="bottom"/>
          </w:tcPr>
          <w:p>
            <w:pPr>
              <w:spacing w:after="0"/>
              <w:rPr>
                <w:sz w:val="13"/>
                <w:szCs w:val="13"/>
                <w:color w:val="auto"/>
              </w:rPr>
            </w:pPr>
          </w:p>
        </w:tc>
      </w:tr>
      <w:tr>
        <w:trPr>
          <w:trHeight w:val="162"/>
        </w:trPr>
        <w:tc>
          <w:tcPr>
            <w:tcW w:w="8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Finished goods</w:t>
            </w: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153,662</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113,642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420" w:type="dxa"/>
            <w:vAlign w:val="bottom"/>
          </w:tcPr>
          <w:p>
            <w:pPr>
              <w:spacing w:after="0"/>
              <w:rPr>
                <w:sz w:val="13"/>
                <w:szCs w:val="13"/>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260,886</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197,864</w:t>
            </w:r>
          </w:p>
        </w:tc>
        <w:tc>
          <w:tcPr>
            <w:tcW w:w="100" w:type="dxa"/>
            <w:vAlign w:val="bottom"/>
          </w:tcPr>
          <w:p>
            <w:pPr>
              <w:spacing w:after="0"/>
              <w:rPr>
                <w:sz w:val="13"/>
                <w:szCs w:val="13"/>
                <w:color w:val="auto"/>
              </w:rPr>
            </w:pP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8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Prepaid expenses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97,544</w:t>
            </w:r>
          </w:p>
        </w:tc>
        <w:tc>
          <w:tcPr>
            <w:tcW w:w="1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102,433</w:t>
            </w:r>
          </w:p>
        </w:tc>
        <w:tc>
          <w:tcPr>
            <w:tcW w:w="100" w:type="dxa"/>
            <w:vAlign w:val="bottom"/>
          </w:tcPr>
          <w:p>
            <w:pPr>
              <w:spacing w:after="0"/>
              <w:rPr>
                <w:sz w:val="13"/>
                <w:szCs w:val="13"/>
                <w:color w:val="auto"/>
              </w:rPr>
            </w:pPr>
          </w:p>
        </w:tc>
      </w:tr>
      <w:tr>
        <w:trPr>
          <w:trHeight w:val="162"/>
        </w:trPr>
        <w:tc>
          <w:tcPr>
            <w:tcW w:w="8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59,388</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38,953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420" w:type="dxa"/>
            <w:vAlign w:val="bottom"/>
          </w:tcPr>
          <w:p>
            <w:pPr>
              <w:spacing w:after="0"/>
              <w:rPr>
                <w:sz w:val="13"/>
                <w:szCs w:val="13"/>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156,932</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141,386</w:t>
            </w:r>
          </w:p>
        </w:tc>
        <w:tc>
          <w:tcPr>
            <w:tcW w:w="100" w:type="dxa"/>
            <w:vAlign w:val="bottom"/>
          </w:tcPr>
          <w:p>
            <w:pPr>
              <w:spacing w:after="0"/>
              <w:rPr>
                <w:sz w:val="13"/>
                <w:szCs w:val="13"/>
                <w:color w:val="auto"/>
              </w:rPr>
            </w:pP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8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Property, equipment and satellites, net:</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Equipment and software (estimated useful life of 3-7 years)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1,823,501</w:t>
            </w:r>
          </w:p>
        </w:tc>
        <w:tc>
          <w:tcPr>
            <w:tcW w:w="1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1,676,736</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CPE leased equipment (estimated useful life of 4-5 years)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385,356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395,539</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Furniture and fixtures (estimated useful life of 7 years)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59,219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57,847</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Leasehold improvements (estimated useful life of 2-17 years)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151,816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149,982</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Buildings (estimated useful life of 12-38 years)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12,461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12,440</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Land</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3,849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3,944</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Construction in progress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635,567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381,679</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Satellites (estimated useful life of 7-17 years)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1,054,983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1,059,182</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175,712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173,480</w:t>
            </w:r>
          </w:p>
        </w:tc>
        <w:tc>
          <w:tcPr>
            <w:tcW w:w="100" w:type="dxa"/>
            <w:vAlign w:val="bottom"/>
          </w:tcPr>
          <w:p>
            <w:pPr>
              <w:spacing w:after="0"/>
              <w:rPr>
                <w:sz w:val="13"/>
                <w:szCs w:val="13"/>
                <w:color w:val="auto"/>
              </w:rPr>
            </w:pPr>
          </w:p>
        </w:tc>
      </w:tr>
      <w:tr>
        <w:trPr>
          <w:trHeight w:val="162"/>
        </w:trPr>
        <w:tc>
          <w:tcPr>
            <w:tcW w:w="8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Satellites under construction</w:t>
            </w: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2,144,102</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1,808,474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6,446,566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5,719,303</w:t>
            </w:r>
          </w:p>
        </w:tc>
        <w:tc>
          <w:tcPr>
            <w:tcW w:w="100" w:type="dxa"/>
            <w:vAlign w:val="bottom"/>
          </w:tcPr>
          <w:p>
            <w:pPr>
              <w:spacing w:after="0"/>
              <w:rPr>
                <w:sz w:val="13"/>
                <w:szCs w:val="13"/>
                <w:color w:val="auto"/>
              </w:rPr>
            </w:pPr>
          </w:p>
        </w:tc>
      </w:tr>
      <w:tr>
        <w:trPr>
          <w:trHeight w:val="162"/>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(2,248,433 )</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(2,014,312 )</w:t>
            </w:r>
          </w:p>
        </w:tc>
      </w:tr>
      <w:tr>
        <w:trPr>
          <w:trHeight w:val="155"/>
        </w:trPr>
        <w:tc>
          <w:tcPr>
            <w:tcW w:w="8420" w:type="dxa"/>
            <w:vAlign w:val="bottom"/>
            <w:tcBorders>
              <w:top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4,198,133</w:t>
            </w: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3,704,991</w:t>
            </w:r>
          </w:p>
        </w:tc>
        <w:tc>
          <w:tcPr>
            <w:tcW w:w="100" w:type="dxa"/>
            <w:vAlign w:val="bottom"/>
            <w:tcBorders>
              <w:top w:val="single" w:sz="8" w:color="CFF0FC"/>
            </w:tcBorders>
          </w:tcPr>
          <w:p>
            <w:pPr>
              <w:spacing w:after="0"/>
              <w:rPr>
                <w:sz w:val="13"/>
                <w:szCs w:val="13"/>
                <w:color w:val="auto"/>
              </w:rPr>
            </w:pP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8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Other acquired intangible assets, net:</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Technology (weighted average useful life of 7 years)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149,810</w:t>
            </w:r>
          </w:p>
        </w:tc>
        <w:tc>
          <w:tcPr>
            <w:tcW w:w="1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154,624</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Contracts and customer relationships (weighted average useful life of 10 years)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161,901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164,635</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8,600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Trade name (weighted average useful life of 7 years)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32,126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32,463</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Other (weighted average useful life of 11 years)</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21,671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22,263</w:t>
            </w:r>
          </w:p>
        </w:tc>
        <w:tc>
          <w:tcPr>
            <w:tcW w:w="100" w:type="dxa"/>
            <w:vAlign w:val="bottom"/>
          </w:tcPr>
          <w:p>
            <w:pPr>
              <w:spacing w:after="0"/>
              <w:rPr>
                <w:sz w:val="13"/>
                <w:szCs w:val="13"/>
                <w:color w:val="auto"/>
              </w:rPr>
            </w:pPr>
          </w:p>
        </w:tc>
      </w:tr>
      <w:tr>
        <w:trPr>
          <w:trHeight w:val="159"/>
        </w:trPr>
        <w:tc>
          <w:tcPr>
            <w:tcW w:w="8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374,108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382,585</w:t>
            </w:r>
          </w:p>
        </w:tc>
        <w:tc>
          <w:tcPr>
            <w:tcW w:w="100" w:type="dxa"/>
            <w:vAlign w:val="bottom"/>
            <w:shd w:val="clear" w:color="auto" w:fill="CFF0FC"/>
          </w:tcPr>
          <w:p>
            <w:pPr>
              <w:spacing w:after="0"/>
              <w:rPr>
                <w:sz w:val="13"/>
                <w:szCs w:val="13"/>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Less: accumulated amortization</w:t>
            </w:r>
          </w:p>
        </w:tc>
        <w:tc>
          <w:tcPr>
            <w:tcW w:w="16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2"/>
                <w:szCs w:val="12"/>
                <w:color w:val="auto"/>
              </w:rPr>
              <w:t>(166,934 )</w:t>
            </w:r>
          </w:p>
        </w:tc>
        <w:tc>
          <w:tcPr>
            <w:tcW w:w="2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(146,542 )</w:t>
            </w:r>
          </w:p>
        </w:tc>
      </w:tr>
      <w:tr>
        <w:trPr>
          <w:trHeight w:val="195"/>
        </w:trPr>
        <w:tc>
          <w:tcPr>
            <w:tcW w:w="8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207,174</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236,043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42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income taxes</w:t>
            </w: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230,295</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304,642</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Capitalized software costs, net</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220,417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217,159</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Patents, orbital slots and other licenses, net</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74,060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62,200</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142,975</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115,279</w:t>
            </w:r>
          </w:p>
        </w:tc>
        <w:tc>
          <w:tcPr>
            <w:tcW w:w="100" w:type="dxa"/>
            <w:vAlign w:val="bottom"/>
          </w:tcPr>
          <w:p>
            <w:pPr>
              <w:spacing w:after="0"/>
              <w:rPr>
                <w:sz w:val="13"/>
                <w:szCs w:val="13"/>
                <w:color w:val="auto"/>
              </w:rPr>
            </w:pPr>
          </w:p>
        </w:tc>
      </w:tr>
      <w:tr>
        <w:trPr>
          <w:trHeight w:val="196"/>
        </w:trPr>
        <w:tc>
          <w:tcPr>
            <w:tcW w:w="8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667,747</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699,280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8420" w:type="dxa"/>
            <w:vAlign w:val="bottom"/>
          </w:tcPr>
          <w:p>
            <w:pPr>
              <w:ind w:left="20"/>
              <w:spacing w:after="0"/>
              <w:rPr>
                <w:sz w:val="20"/>
                <w:szCs w:val="20"/>
                <w:color w:val="auto"/>
              </w:rPr>
            </w:pPr>
            <w:r>
              <w:rPr>
                <w:rFonts w:ascii="Arial" w:cs="Arial" w:eastAsia="Arial" w:hAnsi="Arial"/>
                <w:sz w:val="12"/>
                <w:szCs w:val="12"/>
                <w:color w:val="auto"/>
              </w:rPr>
              <w:t>Accrued and other liabilities: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Collections in excess of revenues and deferred revenues</w:t>
            </w: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115,509</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131,623</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Accrued employee compensation</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77,633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108,456</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Accrued vacation</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41,444</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48,097</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Warranty reserve, current portion</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2,952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2,804</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Operating lease liabilities</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51,627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49,988</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156,568</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141,596</w:t>
            </w:r>
          </w:p>
        </w:tc>
        <w:tc>
          <w:tcPr>
            <w:tcW w:w="100" w:type="dxa"/>
            <w:vAlign w:val="bottom"/>
          </w:tcPr>
          <w:p>
            <w:pPr>
              <w:spacing w:after="0"/>
              <w:rPr>
                <w:sz w:val="13"/>
                <w:szCs w:val="13"/>
                <w:color w:val="auto"/>
              </w:rPr>
            </w:pPr>
          </w:p>
        </w:tc>
      </w:tr>
      <w:tr>
        <w:trPr>
          <w:trHeight w:val="195"/>
        </w:trPr>
        <w:tc>
          <w:tcPr>
            <w:tcW w:w="84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445,733</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482,564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42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revenues, long-term portion</w:t>
            </w: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87,343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88,983</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Warranty reserve, long-term portion</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2,463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2,548</w:t>
            </w:r>
          </w:p>
        </w:tc>
        <w:tc>
          <w:tcPr>
            <w:tcW w:w="100" w:type="dxa"/>
            <w:vAlign w:val="bottom"/>
          </w:tcPr>
          <w:p>
            <w:pPr>
              <w:spacing w:after="0"/>
              <w:rPr>
                <w:sz w:val="13"/>
                <w:szCs w:val="13"/>
                <w:color w:val="auto"/>
              </w:rPr>
            </w:pPr>
          </w:p>
        </w:tc>
      </w:tr>
      <w:tr>
        <w:trPr>
          <w:trHeight w:val="165"/>
        </w:trPr>
        <w:tc>
          <w:tcPr>
            <w:tcW w:w="84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 performance incentive obligations, long-term portion</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15,696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18,651</w:t>
            </w:r>
          </w:p>
        </w:tc>
        <w:tc>
          <w:tcPr>
            <w:tcW w:w="100" w:type="dxa"/>
            <w:vAlign w:val="bottom"/>
            <w:shd w:val="clear" w:color="auto" w:fill="CFF0FC"/>
          </w:tcPr>
          <w:p>
            <w:pPr>
              <w:spacing w:after="0"/>
              <w:rPr>
                <w:sz w:val="14"/>
                <w:szCs w:val="14"/>
                <w:color w:val="auto"/>
              </w:rPr>
            </w:pPr>
          </w:p>
        </w:tc>
      </w:tr>
      <w:tr>
        <w:trPr>
          <w:trHeight w:val="159"/>
        </w:trPr>
        <w:tc>
          <w:tcPr>
            <w:tcW w:w="842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14,216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16,869</w:t>
            </w:r>
          </w:p>
        </w:tc>
        <w:tc>
          <w:tcPr>
            <w:tcW w:w="100" w:type="dxa"/>
            <w:vAlign w:val="bottom"/>
          </w:tcPr>
          <w:p>
            <w:pPr>
              <w:spacing w:after="0"/>
              <w:rPr>
                <w:sz w:val="13"/>
                <w:szCs w:val="13"/>
                <w:color w:val="auto"/>
              </w:rPr>
            </w:pPr>
          </w:p>
        </w:tc>
      </w:tr>
      <w:tr>
        <w:trPr>
          <w:trHeight w:val="162"/>
        </w:trPr>
        <w:tc>
          <w:tcPr>
            <w:tcW w:w="8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28,577</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26,105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420" w:type="dxa"/>
            <w:vAlign w:val="bottom"/>
          </w:tcPr>
          <w:p>
            <w:pPr>
              <w:spacing w:after="0"/>
              <w:rPr>
                <w:sz w:val="13"/>
                <w:szCs w:val="13"/>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148,295</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153,156</w:t>
            </w:r>
          </w:p>
        </w:tc>
        <w:tc>
          <w:tcPr>
            <w:tcW w:w="100" w:type="dxa"/>
            <w:vAlign w:val="bottom"/>
          </w:tcPr>
          <w:p>
            <w:pPr>
              <w:spacing w:after="0"/>
              <w:rPr>
                <w:sz w:val="13"/>
                <w:szCs w:val="13"/>
                <w:color w:val="auto"/>
              </w:rPr>
            </w:pP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-5734050</wp:posOffset>
            </wp:positionV>
            <wp:extent cx="90043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0430" cy="1289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-5297170</wp:posOffset>
            </wp:positionV>
            <wp:extent cx="6858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-5297170</wp:posOffset>
            </wp:positionV>
            <wp:extent cx="6858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-4851400</wp:posOffset>
            </wp:positionV>
            <wp:extent cx="6858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-3582670</wp:posOffset>
            </wp:positionV>
            <wp:extent cx="68580" cy="111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111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-3368040</wp:posOffset>
            </wp:positionV>
            <wp:extent cx="6858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-2287905</wp:posOffset>
            </wp:positionV>
            <wp:extent cx="90043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0430" cy="1289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-1636395</wp:posOffset>
            </wp:positionV>
            <wp:extent cx="90043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0430" cy="1289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-779780</wp:posOffset>
            </wp:positionV>
            <wp:extent cx="90043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0430" cy="1289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-136525</wp:posOffset>
            </wp:positionV>
            <wp:extent cx="6858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7" w:lineRule="exact"/>
        <w:rPr>
          <w:sz w:val="20"/>
          <w:szCs w:val="20"/>
          <w:color w:val="auto"/>
        </w:rPr>
      </w:pPr>
    </w:p>
    <w:p>
      <w:pPr>
        <w:ind w:left="920" w:hanging="40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120" w:right="160" w:hanging="603"/>
        <w:spacing w:after="0" w:line="246"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had $5.1 million and $5.0 million in cash equivalents (Level 1) and no liabilities measured at fair value on a recurring basis as of December 31, 2022 and March 31, 2022, respectively.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09"/>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EBI on April 30, 2021 (see Note 5 —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information), part of the purchase price consideration will not be determined until two years after the closing date, when the Company may pay or receive up to €20.0 million, or approximately $21.2 million, in cash. The consideration to be paid in the future is contingent based on certain outcomes as defined in the acquisition agreement. Each reporting period, the Company estimates the fair value of the contingent consideration based on unobservable inputs and probability weightings using standard valuation techniques (Level 3). The fair value amount is currently recorded in other current assets on the condensed consolidated balance sheets and any change to fair value is recorded in the Company’s condensed consolidated statements of operations each reporting period. As of December 31, 2022 and March 31, 2022, and for the three-month and nine-month periods ended December 31, 2022 and 2021, the Company’s fair value estimate, and change in fair value of the contingent consideration were immaterial.</w:t>
      </w:r>
    </w:p>
    <w:p>
      <w:pPr>
        <w:spacing w:after="0" w:line="137"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Term Loan Facility, Revolving Credit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Ex-Im Credit Facility (collectively,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Term Loan Facility, the Ex-Im Credit Facility, the 2025 Notes, the 2027 Notes and the 2028 Notes is reported at amortized cost. However, for disclosure purposes, the Company is required to measure the fair value of outstanding debt on a recurring basis. The fair value of the Company’s long-term debt related to the Term Loan Facility and the Revolving Credit Facility approximates its carrying amount due to its variable interest rate, which approximates a market interest rate. As of December 31, 2022 and March 31, 2022, the fair value of the Company’s long-term debt related to the Ex-Im Credit Facility was determined based on a discounted cash flow analysis using observable market interest rates for instruments with similar terms (Level 2) and was approximately $56.7 million and $78.0 million, respectively. As of December 31, 2022 and March 31, 2022, the estimated fair value of the Company’s outstanding long-term debt related to each series of Notes was determined based on actual or estimated bids and offers for such series of Notes in an over-the-counter market (Level 2) and was $652.8 million and $682.5 million, respectively, for the 2025 Notes, $550.5 million and $588.8 million, respectively, for the 2027 Notes, and $305.0 million and $382.7 million, respectively, for the 2028 Notes.</w:t>
      </w:r>
    </w:p>
    <w:p>
      <w:pPr>
        <w:spacing w:after="0" w:line="134" w:lineRule="exact"/>
        <w:rPr>
          <w:sz w:val="20"/>
          <w:szCs w:val="20"/>
          <w:color w:val="auto"/>
        </w:rPr>
      </w:pPr>
    </w:p>
    <w:p>
      <w:pPr>
        <w:jc w:val="both"/>
        <w:ind w:right="320" w:firstLine="509"/>
        <w:spacing w:after="0" w:line="250"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service, including interest, through fiscal year 2028, subject to the continued satisfactory performance of the applicable satellites.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2022 and March 31, 2022, the Company’s estimated satellite performance incentive obligations relating to certain satellites in service, including accrued interest, were $21.3 million and $23.7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On October 1, 2022, the Company entered into an Asset Purchase Agreement to sell certain assets and assign certain liabilities comprising the Link-16 TDL Business (part of the Company's government systems segment) to L3Harris in exchange for approximately $1.96 billion in cash (subject to certain adjustments), on and subject to the terms and conditions set forth therein. In accordance with ASC 205-20, the Company determined that the Link-16 TDL Business met held-for sale and discontinued operations accounting criteria at the end of the second quarter of fiscal year 2023. Accordingly, the Company classified the results of the Link-16 TDL Business as discontinued operations in its condensed consolidated statements of operations for all periods presented. Additionally, the related assets and liabilities associated with the Link-16 TDL Business are classified as held for sale and discontinued operations in the condensed consolidated balance sheets for all periods presented.</w:t>
      </w:r>
    </w:p>
    <w:p>
      <w:pPr>
        <w:spacing w:after="0" w:line="154"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On January 3, 2023, subsequent to quarter end, the Company completed the Link-16 TDL Sale for cash proceeds of approximately $1.9 billion, net of estimated transaction costs and estimated working capital and other customary adjustments. The Company anticipates recognizing a gain from the sale of the Link-16 TDL Business in the fourth quarter of fiscal year 2023 ranging from $1.5 billion to $1.6 billion net of a preliminary estimate of costs to sell and a preliminary estimate of the fair value of future services to be provided between the Company and L3Harris in connection with the Link-16 TDL Sale (as described below).</w:t>
      </w:r>
    </w:p>
    <w:p>
      <w:pPr>
        <w:spacing w:after="0" w:line="14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Link-16 TDL Sale substantially reduced both debt and net leverage, and allows closer alignment in investment synergies between the Company's government systems segment and its other business segments.</w:t>
      </w:r>
    </w:p>
    <w:p>
      <w:pPr>
        <w:spacing w:after="0" w:line="143"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 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w:t>
      </w:r>
    </w:p>
    <w:p>
      <w:pPr>
        <w:spacing w:after="0" w:line="148"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following table presents key components of assets and liabilities that are classified as discontinued operations on the condensed consolidated balance sheets as of December 31, 2022 and March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513"/>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3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80"/>
              <w:spacing w:after="0"/>
              <w:rPr>
                <w:sz w:val="20"/>
                <w:szCs w:val="20"/>
                <w:color w:val="auto"/>
              </w:rPr>
            </w:pPr>
            <w:r>
              <w:rPr>
                <w:rFonts w:ascii="Arial" w:cs="Arial" w:eastAsia="Arial" w:hAnsi="Arial"/>
                <w:sz w:val="18"/>
                <w:szCs w:val="18"/>
                <w:color w:val="auto"/>
              </w:rPr>
              <w:t>Property, equipment, and satellites, net</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3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3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21,107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and other liabilities</w:t>
            </w:r>
          </w:p>
        </w:tc>
        <w:tc>
          <w:tcPr>
            <w:tcW w:w="3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Non-current operating lease liabilities</w:t>
            </w:r>
          </w:p>
        </w:tc>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liabilities</w:t>
            </w:r>
          </w:p>
        </w:tc>
        <w:tc>
          <w:tcPr>
            <w:tcW w:w="3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64,114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520" w:type="dxa"/>
            <w:vAlign w:val="bottom"/>
            <w:vMerge w:val="restart"/>
          </w:tcPr>
          <w:p>
            <w:pPr>
              <w:jc w:val="right"/>
              <w:ind w:right="233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620" w:type="dxa"/>
            <w:vAlign w:val="bottom"/>
            <w:tcBorders>
              <w:bottom w:val="single" w:sz="8" w:color="9A9A9A"/>
            </w:tcBorders>
          </w:tcPr>
          <w:p>
            <w:pPr>
              <w:spacing w:after="0"/>
              <w:rPr>
                <w:sz w:val="6"/>
                <w:szCs w:val="6"/>
                <w:color w:val="auto"/>
              </w:rPr>
            </w:pPr>
          </w:p>
        </w:tc>
        <w:tc>
          <w:tcPr>
            <w:tcW w:w="35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-1576705</wp:posOffset>
            </wp:positionV>
            <wp:extent cx="6858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-650875</wp:posOffset>
            </wp:positionV>
            <wp:extent cx="6858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jc w:val="both"/>
        <w:ind w:right="340" w:firstLine="509"/>
        <w:spacing w:after="0"/>
        <w:rPr>
          <w:sz w:val="20"/>
          <w:szCs w:val="20"/>
          <w:color w:val="auto"/>
        </w:rPr>
      </w:pPr>
      <w:r>
        <w:rPr>
          <w:rFonts w:ascii="Arial" w:cs="Arial" w:eastAsia="Arial" w:hAnsi="Arial"/>
          <w:sz w:val="18"/>
          <w:szCs w:val="18"/>
          <w:color w:val="auto"/>
        </w:rPr>
        <w:t>The operating results of the discontinued operations only reflect revenues and expenses that are directly attributable to the Link-16 TDL Business that will be eliminated from continuing operations. The following table presents key components of “Net income (loss) from discontinued operations, net of tax” for the three and nine months ended December 31,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5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508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62,650</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94,450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247,069</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275,499</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revenues</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41,995</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157,355</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167,311</w:t>
            </w: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24,062</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Pr>
          <w:p>
            <w:pPr>
              <w:spacing w:after="0"/>
              <w:rPr>
                <w:sz w:val="19"/>
                <w:szCs w:val="19"/>
                <w:color w:val="auto"/>
              </w:rPr>
            </w:pPr>
          </w:p>
        </w:tc>
      </w:tr>
      <w:tr>
        <w:trPr>
          <w:trHeight w:val="20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from discontinued operations before income</w:t>
            </w: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13,777</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65,652</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93,618</w:t>
            </w:r>
          </w:p>
        </w:tc>
        <w:tc>
          <w:tcPr>
            <w:tcW w:w="100" w:type="dxa"/>
            <w:vAlign w:val="bottom"/>
            <w:shd w:val="clear" w:color="auto" w:fill="CFF0FC"/>
          </w:tcPr>
          <w:p>
            <w:pPr>
              <w:spacing w:after="0"/>
              <w:rPr>
                <w:sz w:val="18"/>
                <w:szCs w:val="18"/>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(9,444 )</w:t>
            </w:r>
          </w:p>
        </w:tc>
        <w:tc>
          <w:tcPr>
            <w:tcW w:w="7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(6,805 )</w:t>
            </w: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(21,607 )</w:t>
            </w:r>
          </w:p>
        </w:tc>
        <w:tc>
          <w:tcPr>
            <w:tcW w:w="7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(18,497 )</w:t>
            </w:r>
          </w:p>
        </w:tc>
      </w:tr>
      <w:tr>
        <w:trPr>
          <w:trHeight w:val="263"/>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from discontinued operations, net of tax</w:t>
            </w:r>
          </w:p>
        </w:tc>
        <w:tc>
          <w:tcPr>
            <w:tcW w:w="46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26,453</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44,045</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cash flows related to discontinued operations have not been segregated and are included in the condensed consolidated statements of cash flows. The following table presents key cash flow and non-cash information related to discontinued operations for the nine months ended December 31,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23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r>
      <w:tr>
        <w:trPr>
          <w:trHeight w:val="223"/>
        </w:trPr>
        <w:tc>
          <w:tcPr>
            <w:tcW w:w="7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4"/>
          </w:tcPr>
          <w:p>
            <w:pPr>
              <w:jc w:val="right"/>
              <w:ind w:right="14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5,909</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7,675</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Transaction</w:t>
      </w:r>
    </w:p>
    <w:p>
      <w:pPr>
        <w:spacing w:after="0" w:line="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November 8, 2021, the Company entered into a Share Purchase Agreement with the Sellers to combine Viasat with Inmarsat. Pursuant to the Share Purchase Agreement, the Company will purchase all of the issued and outstanding shares of Inmarsat from the Sellers upon the terms and subject to the conditions set forth therein. The total consideration payable by the Company under the Share Purchase Agreement consists of $850.0 million in cash, subject to adjustments (including a reduction of $299.3 million as a result of the dividend paid by Inmarsat in April 2022), and approximately 46.36 million unregistered shares of the Company’s common stock.</w:t>
      </w:r>
    </w:p>
    <w:p>
      <w:pPr>
        <w:spacing w:after="0" w:line="148"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Company's stockholders approved the issuance of shares in the transaction and an amendment to the Company’s certificate of incorporation to increase the number of shares of common stock authorized for issuance at a special meeting held on June 21, 2022.</w:t>
      </w:r>
    </w:p>
    <w:p>
      <w:pPr>
        <w:spacing w:after="0" w:line="143"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The Share Purchase Agreement contains certain termination rights for both the Company and certain of the Sellers and further provides that, upon termination of the Share Purchase Agreement under certain circumstances, the Company may be obligated to pay a termination fee of up to $200.0 million or to reimburse certain out-of-pocket expenses of certain Sellers up to $40.0 million.</w:t>
      </w:r>
    </w:p>
    <w:p>
      <w:pPr>
        <w:spacing w:after="0" w:line="151"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Company has obtained financing commitments for an additional $1.6 billion of new debt facilities in connection with the Inmarsat Transaction (which may be secured and/or unsecured). The Company also plans to assume $2.1 billion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 principal amount of Inmarsat senior secured bonds and the outstanding indebtedness under Inmarsat’s $2.4 billion senior secured credit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 Broadband Infrastructure Sàrl</w:t>
      </w:r>
    </w:p>
    <w:p>
      <w:pPr>
        <w:spacing w:after="0" w:line="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April 30, 2021, the Company acquired the remaining 51% interest in EBI, a broadband services provider, from Eutelsat. By completing the acquisition, the Company gained 100% ownership and control of EBI and the KA-SAT satellite over EMEA and related ground infrastructure. Goodwill recognized in the transaction was recorded within the Company's satellite services segment. The goodwill recognized was not deductible for U.S. and foreign income tax purposes.</w:t>
      </w:r>
    </w:p>
    <w:p>
      <w:pPr>
        <w:spacing w:after="0" w:line="15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Prior to the acquisition date, the Company owned a 49% interest in EBI and accounted for the investment using the equity method of accounting. The acquisition of the remaining equity interest in EBI was accounted for as a step acquisition in accordance with ASC 805. Accordingly, the Company allocated the purchase price of the acquired company to the net tangible assets and intangible assets acquired based upon their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 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condensed consolidated statements of operations and comprehensive income (loss) in the first quarter of fiscal year 2022.</w:t>
      </w:r>
    </w:p>
    <w:p>
      <w:pPr>
        <w:spacing w:after="0" w:line="15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purchase price of $327.4 million was primarily comprised of $167.0 million of cash, net of what is currently estimated to be an immaterial amount of estimated purchase price consideration to be settled among the parties over the 24 months (up to plus or minus €20.0 million, or approximately $21.2 million, see Note 3 — Fair Value Measurements for more information) from the closing date (which after consideration of approximately $121.7 million of EBI’s cash on hand, resulted in a net cash outlay of approximately $51.0 million) and the fair value of previously held equity method investment of approximately $160.4 million.</w:t>
      </w:r>
    </w:p>
    <w:p>
      <w:pPr>
        <w:spacing w:after="0" w:line="148"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154,207</w:t>
            </w:r>
          </w:p>
        </w:tc>
        <w:tc>
          <w:tcPr>
            <w:tcW w:w="10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4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109,028</w:t>
            </w:r>
          </w:p>
        </w:tc>
        <w:tc>
          <w:tcPr>
            <w:tcW w:w="10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r>
      <w:tr>
        <w:trPr>
          <w:trHeight w:val="223"/>
        </w:trPr>
        <w:tc>
          <w:tcPr>
            <w:tcW w:w="7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6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(5,914 )</w:t>
            </w: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327,352</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41" w:lineRule="exact"/>
        <w:rPr>
          <w:sz w:val="20"/>
          <w:szCs w:val="20"/>
          <w:color w:val="auto"/>
        </w:rPr>
      </w:pPr>
    </w:p>
    <w:p>
      <w:pPr>
        <w:jc w:val="both"/>
        <w:ind w:right="56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30"/>
        </w:trPr>
        <w:tc>
          <w:tcPr>
            <w:tcW w:w="5180" w:type="dxa"/>
            <w:vAlign w:val="bottom"/>
          </w:tcPr>
          <w:p>
            <w:pPr>
              <w:spacing w:after="0"/>
              <w:rPr>
                <w:sz w:val="19"/>
                <w:szCs w:val="19"/>
                <w:color w:val="auto"/>
              </w:rPr>
            </w:pPr>
          </w:p>
        </w:tc>
        <w:tc>
          <w:tcPr>
            <w:tcW w:w="170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9"/>
                <w:szCs w:val="19"/>
                <w:color w:val="auto"/>
              </w:rPr>
            </w:pPr>
          </w:p>
        </w:tc>
      </w:tr>
      <w:tr>
        <w:trPr>
          <w:trHeight w:val="214"/>
        </w:trPr>
        <w:tc>
          <w:tcPr>
            <w:tcW w:w="51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700" w:type="dxa"/>
            <w:vAlign w:val="bottom"/>
            <w:shd w:val="clear" w:color="auto" w:fill="CFF0FC"/>
          </w:tcPr>
          <w:p>
            <w:pPr>
              <w:jc w:val="right"/>
              <w:ind w:right="149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7,851</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Borders>
              <w:bottom w:val="single" w:sz="8" w:color="auto"/>
            </w:tcBorders>
          </w:tcPr>
          <w:p>
            <w:pPr>
              <w:jc w:val="right"/>
              <w:ind w:right="14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-179070</wp:posOffset>
            </wp:positionV>
            <wp:extent cx="6858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1"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At the closing of the acquisition, EBI became a wholly owned subsidiary of the Company and EBI’s operations have been included in the Company’s condensed consolidated financial statements in the Company’s satellite services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segment (with an insignificant amount included in the Company's commercial networks segment) commencing on the acquisition date.</w:t>
      </w:r>
    </w:p>
    <w:p>
      <w:pPr>
        <w:spacing w:after="0" w:line="158"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As EBI’s results of operations are not material to the Company’s consolidated results of operations, pro forma results of operations for this acquisition have not been presented.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RigNet, Inc.</w:t>
      </w:r>
    </w:p>
    <w:p>
      <w:pPr>
        <w:spacing w:after="0" w:line="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Goodwill recognized in the transaction was recorded within the Company's satellite services segment. The goodwill recognized was not deductible for U.S. and foreign income tax purposes.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no merger-related transaction costs during the three and nine months ended December 31, 2022, respectively, and an insignificant amount and approximately $7.2 million, respectively, for the three and nine months ended December 31, 2021, included in selling, general and administrative expenses.</w:t>
      </w:r>
    </w:p>
    <w:p>
      <w:pPr>
        <w:spacing w:after="0" w:line="14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is as follows: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88,166</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5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63,191</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shd w:val="clear" w:color="auto" w:fill="CFF0FC"/>
          </w:tcPr>
          <w:p>
            <w:pPr>
              <w:spacing w:after="0"/>
              <w:rPr>
                <w:sz w:val="19"/>
                <w:szCs w:val="19"/>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tcPr>
          <w:p>
            <w:pPr>
              <w:spacing w:after="0"/>
              <w:rPr>
                <w:sz w:val="19"/>
                <w:szCs w:val="19"/>
                <w:color w:val="auto"/>
              </w:rPr>
            </w:pPr>
          </w:p>
        </w:tc>
      </w:tr>
      <w:tr>
        <w:trPr>
          <w:trHeight w:val="223"/>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386,247</w:t>
            </w:r>
          </w:p>
        </w:tc>
        <w:tc>
          <w:tcPr>
            <w:tcW w:w="100" w:type="dxa"/>
            <w:vAlign w:val="bottom"/>
            <w:shd w:val="clear" w:color="auto" w:fill="CFF0FC"/>
          </w:tcPr>
          <w:p>
            <w:pPr>
              <w:spacing w:after="0"/>
              <w:rPr>
                <w:sz w:val="19"/>
                <w:szCs w:val="19"/>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9"/>
                <w:szCs w:val="19"/>
                <w:color w:val="auto"/>
              </w:rPr>
            </w:pP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(66,006 )</w:t>
            </w: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80" w:type="dxa"/>
            <w:vAlign w:val="bottom"/>
            <w:shd w:val="clear" w:color="auto" w:fill="CFF0FC"/>
          </w:tcPr>
          <w:p>
            <w:pPr>
              <w:spacing w:after="0"/>
              <w:rPr>
                <w:sz w:val="19"/>
                <w:szCs w:val="19"/>
                <w:color w:val="auto"/>
              </w:rPr>
            </w:pPr>
          </w:p>
        </w:tc>
        <w:tc>
          <w:tcPr>
            <w:tcW w:w="2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(31,433 )</w:t>
            </w:r>
          </w:p>
        </w:tc>
      </w:tr>
      <w:tr>
        <w:trPr>
          <w:trHeight w:val="20"/>
        </w:trPr>
        <w:tc>
          <w:tcPr>
            <w:tcW w:w="69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90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(97,439 )</w:t>
            </w:r>
          </w:p>
        </w:tc>
      </w:tr>
      <w:tr>
        <w:trPr>
          <w:trHeight w:val="230"/>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auto"/>
            </w:tcBorders>
            <w:shd w:val="clear" w:color="auto" w:fill="CFF0FC"/>
          </w:tcPr>
          <w:p>
            <w:pPr>
              <w:spacing w:after="0"/>
              <w:rPr>
                <w:sz w:val="19"/>
                <w:szCs w:val="19"/>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41" w:lineRule="exact"/>
        <w:rPr>
          <w:sz w:val="20"/>
          <w:szCs w:val="20"/>
          <w:color w:val="auto"/>
        </w:rPr>
      </w:pPr>
    </w:p>
    <w:p>
      <w:pPr>
        <w:jc w:val="both"/>
        <w:ind w:right="520" w:firstLine="509"/>
        <w:spacing w:after="0" w:line="246"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r>
      <w:tr>
        <w:trPr>
          <w:trHeight w:val="230"/>
        </w:trPr>
        <w:tc>
          <w:tcPr>
            <w:tcW w:w="5180" w:type="dxa"/>
            <w:vAlign w:val="bottom"/>
          </w:tcPr>
          <w:p>
            <w:pPr>
              <w:spacing w:after="0"/>
              <w:rPr>
                <w:sz w:val="19"/>
                <w:szCs w:val="19"/>
                <w:color w:val="auto"/>
              </w:rPr>
            </w:pPr>
          </w:p>
        </w:tc>
        <w:tc>
          <w:tcPr>
            <w:tcW w:w="166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Average Useful Life</w:t>
            </w:r>
          </w:p>
        </w:tc>
        <w:tc>
          <w:tcPr>
            <w:tcW w:w="100" w:type="dxa"/>
            <w:vAlign w:val="bottom"/>
          </w:tcPr>
          <w:p>
            <w:pPr>
              <w:spacing w:after="0"/>
              <w:rPr>
                <w:sz w:val="19"/>
                <w:szCs w:val="19"/>
                <w:color w:val="auto"/>
              </w:rPr>
            </w:pPr>
          </w:p>
        </w:tc>
      </w:tr>
      <w:tr>
        <w:trPr>
          <w:trHeight w:val="215"/>
        </w:trPr>
        <w:tc>
          <w:tcPr>
            <w:tcW w:w="51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660" w:type="dxa"/>
            <w:vAlign w:val="bottom"/>
            <w:shd w:val="clear" w:color="auto" w:fill="CFF0FC"/>
          </w:tcPr>
          <w:p>
            <w:pPr>
              <w:jc w:val="right"/>
              <w:ind w:right="145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85,440</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101,920</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identifiable intangible assets</w:t>
            </w:r>
          </w:p>
        </w:tc>
        <w:tc>
          <w:tcPr>
            <w:tcW w:w="1660" w:type="dxa"/>
            <w:vAlign w:val="bottom"/>
            <w:tcBorders>
              <w:bottom w:val="single" w:sz="8" w:color="auto"/>
            </w:tcBorders>
            <w:shd w:val="clear" w:color="auto" w:fill="CFF0FC"/>
          </w:tcPr>
          <w:p>
            <w:pPr>
              <w:jc w:val="right"/>
              <w:ind w:right="14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221,540</w:t>
            </w:r>
          </w:p>
        </w:tc>
        <w:tc>
          <w:tcPr>
            <w:tcW w:w="2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Management determined the fair value of acquired customer relationships intangible asset by applying the multi-period excess earnings method, which involved the use of significant estimates and assumptions related to forecasted revenue growth rate, gross margin, contributory asset charges, customer attrition rate and discount rate. In connection with the acquisition, the Company assumed a contingent liability associated with a RigNet predecessor subsidiary of approximately $13.8 million, which represented the maximum amount payable under the terms of the agreement. As of December 31, 2022, no amount remains payable as the maximum amount payable was paid during the first and second quarters of fiscal year 2022.</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condensed consolidated financial statements include the operating results of RigNet from the date of acquisition. Since the acquisition date, the Company recorded approximately $52.2 million and $131.4 million in revenue for the three and nine months ended December 31, 2021, respectively, and $7.0 million and $23.2 million of net losses for the three and nine months ended December 31, 2021, respectively, with respect to the RigNet business primarily in the Company’s satellite services segment (with a portion included in its commercial networks segment) in the condensed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fiscal year 2021,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three-month and nine-month periods ended December 31, 2021 include the business combination accounting effects primarily related to the amortization and depreciation changes from acquired intangible and tangible assets, acquisition-related transaction costs and related tax effects.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2160" w:type="dxa"/>
            <w:vAlign w:val="bottom"/>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215"/>
        </w:trPr>
        <w:tc>
          <w:tcPr>
            <w:tcW w:w="5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8"/>
                <w:szCs w:val="18"/>
                <w:color w:val="auto"/>
              </w:rPr>
            </w:pPr>
          </w:p>
        </w:tc>
      </w:tr>
      <w:tr>
        <w:trPr>
          <w:trHeight w:val="223"/>
        </w:trPr>
        <w:tc>
          <w:tcPr>
            <w:tcW w:w="5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719,717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2,097,548</w:t>
            </w:r>
          </w:p>
        </w:tc>
        <w:tc>
          <w:tcPr>
            <w:tcW w:w="100" w:type="dxa"/>
            <w:vAlign w:val="bottom"/>
            <w:shd w:val="clear" w:color="auto" w:fill="CFF0FC"/>
          </w:tcPr>
          <w:p>
            <w:pPr>
              <w:spacing w:after="0"/>
              <w:rPr>
                <w:sz w:val="19"/>
                <w:szCs w:val="19"/>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8"/>
                <w:szCs w:val="18"/>
                <w:color w:val="auto"/>
              </w:rPr>
              <w:t>Net income (loss) attributable</w:t>
            </w:r>
          </w:p>
        </w:tc>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520" w:type="dxa"/>
            <w:vAlign w:val="bottom"/>
          </w:tcPr>
          <w:p>
            <w:pPr>
              <w:ind w:left="180"/>
              <w:spacing w:after="0"/>
              <w:rPr>
                <w:sz w:val="20"/>
                <w:szCs w:val="20"/>
                <w:color w:val="auto"/>
              </w:rPr>
            </w:pPr>
            <w:r>
              <w:rPr>
                <w:rFonts w:ascii="Arial" w:cs="Arial" w:eastAsia="Arial" w:hAnsi="Arial"/>
                <w:sz w:val="18"/>
                <w:szCs w:val="18"/>
                <w:color w:val="auto"/>
              </w:rPr>
              <w:t>to Viasat, Inc.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(6,613 )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9,222</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Shares Used In Computing Diluted Net Income (Loss) Per Share</w:t>
      </w:r>
    </w:p>
    <w:p>
      <w:pPr>
        <w:spacing w:after="0" w:line="9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nine months ended December 31, 2022 and for the three and nine months ended December 31, 2021, as the Company incurred a net loss from continuing operations (excluding income (loss) from continuing operations attributable to the noncontrolling interest) for such periods and inclusion of potentially dilutive weighted average shares of common stock would be antidilutive.</w:t>
      </w:r>
    </w:p>
    <w:p>
      <w:pPr>
        <w:spacing w:after="0" w:line="151"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Potentially dilutive weighted average shares excluded from the calculation for the three months ended December 31, 2022 and 2021 consisted of 439,578 shares and 820,948 shares, respectively, related to stock options (other than TSR performance stock options), no shares and 83,961 shares, respectively, related to TSR performance stock options, 2,543,157 shares and 1,842,847 shares, respectively, related to restricted stock units and 750,549 shares and 463,354 shares, respectively, related to certain terms of the Viasat 401(k) Profit Sharing Plan and Employee Stock Purchase Plan.</w:t>
      </w:r>
    </w:p>
    <w:p>
      <w:pPr>
        <w:spacing w:after="0" w:line="148" w:lineRule="exact"/>
        <w:rPr>
          <w:sz w:val="20"/>
          <w:szCs w:val="20"/>
          <w:color w:val="auto"/>
        </w:rPr>
      </w:pPr>
    </w:p>
    <w:p>
      <w:pPr>
        <w:ind w:right="280" w:firstLine="509"/>
        <w:spacing w:after="0" w:line="238" w:lineRule="auto"/>
        <w:rPr>
          <w:sz w:val="20"/>
          <w:szCs w:val="20"/>
          <w:color w:val="auto"/>
        </w:rPr>
      </w:pPr>
      <w:r>
        <w:rPr>
          <w:rFonts w:ascii="Arial" w:cs="Arial" w:eastAsia="Arial" w:hAnsi="Arial"/>
          <w:sz w:val="18"/>
          <w:szCs w:val="18"/>
          <w:color w:val="auto"/>
        </w:rPr>
        <w:t>Potentially dilutive weighted average shares excluded from the calculation for the nine months ended December 31, 2022 and 2021 consisted of 565,751 shares and 925,913 shares, respectively, related to stock options (other than TSR performance stock options), no shares and 33,844 shares, respectively, related to TSR performance stock options, 2,661,902 shares and 1,952,843 shares, respectively, related to restricted stock units and 654,091 shares and 433,134 shares, respectively, related to certain terms of the Viasat 401(k) Profit Sharing Plan and Employee Stock 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During the nine months ended December 31, 2022, the decrease in the Company’s goodwill relating to its continuing operations primarily related to a foreign currency translation effect recorded within all three of the Company's segments. As of December 31, 2022 and March 31, 2022, approximately $21.2 million and $21.4 million of goodwill in the government systems segment was reclassified to discontinued operations, respectively. See Note 4 — Discontinued Operations— for more information on discontinued operations. During the nine months ended December 31, 2021, the increase in the Company’s goodwill related to the acquisitions of the remaining 51% interest in EBI and of RigNet on April 30, 2021 (see Note 5 – Acquisitions for more information) and an insignificant effect of foreign currency translation recorded within all three of the Company’s segments.</w:t>
      </w:r>
    </w:p>
    <w:p>
      <w:pPr>
        <w:spacing w:after="0" w:line="149" w:lineRule="exact"/>
        <w:rPr>
          <w:sz w:val="20"/>
          <w:szCs w:val="20"/>
          <w:color w:val="auto"/>
        </w:rPr>
      </w:pPr>
    </w:p>
    <w:p>
      <w:pPr>
        <w:ind w:right="540" w:firstLine="509"/>
        <w:spacing w:after="0" w:line="246"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intangible assets was $7.4 million and $7.5 million for the three months ended December 31, 2022 and 2021, respectively, and $22.3 million and $20.9 million for the nine months ended December 31, 2022 and 2021,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December 31, 2022 and March 31, 2022:</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r>
      <w:tr>
        <w:trPr>
          <w:trHeight w:val="189"/>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2027 Notes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Term Loan Facility</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696,500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Ex-Im Credit Facility</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58,957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78,609</w:t>
            </w:r>
          </w:p>
        </w:tc>
        <w:tc>
          <w:tcPr>
            <w:tcW w:w="80" w:type="dxa"/>
            <w:vAlign w:val="bottom"/>
          </w:tcPr>
          <w:p>
            <w:pPr>
              <w:spacing w:after="0"/>
              <w:rPr>
                <w:sz w:val="19"/>
                <w:szCs w:val="19"/>
                <w:color w:val="auto"/>
              </w:rPr>
            </w:pPr>
          </w:p>
        </w:tc>
      </w:tr>
      <w:tr>
        <w:trPr>
          <w:trHeight w:val="229"/>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obligations (see Note 1)</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42,305</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2,972,762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2,524,361</w:t>
            </w: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(32,487 )</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(38,234 )</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41,261</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34,911</w:t>
            </w:r>
          </w:p>
        </w:tc>
        <w:tc>
          <w:tcPr>
            <w:tcW w:w="80" w:type="dxa"/>
            <w:vAlign w:val="bottom"/>
          </w:tcPr>
          <w:p>
            <w:pPr>
              <w:spacing w:after="0"/>
              <w:rPr>
                <w:sz w:val="19"/>
                <w:szCs w:val="19"/>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2,899,014</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2,451,216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-625475</wp:posOffset>
            </wp:positionV>
            <wp:extent cx="6032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-625475</wp:posOffset>
            </wp:positionV>
            <wp:extent cx="5143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85" w:lineRule="exact"/>
        <w:rPr>
          <w:sz w:val="20"/>
          <w:szCs w:val="20"/>
          <w:color w:val="auto"/>
        </w:rPr>
      </w:pPr>
    </w:p>
    <w:p>
      <w:pPr>
        <w:ind w:right="20" w:firstLine="509"/>
        <w:spacing w:after="0" w:line="274" w:lineRule="auto"/>
        <w:rPr>
          <w:sz w:val="20"/>
          <w:szCs w:val="20"/>
          <w:color w:val="auto"/>
        </w:rPr>
      </w:pPr>
      <w:r>
        <w:rPr>
          <w:rFonts w:ascii="Arial" w:cs="Arial" w:eastAsia="Arial" w:hAnsi="Arial"/>
          <w:sz w:val="17"/>
          <w:szCs w:val="17"/>
          <w:color w:val="auto"/>
        </w:rPr>
        <w:t>In March 2022, the Company entered into a $700.0 million Term Loan Facility, which was fully drawn at closing and matures on March 4, 2029. At December 31, 2022, the Company had $696.5 million in principal amount of outstanding borrowings under the Term Loan Facility.</w:t>
      </w:r>
    </w:p>
    <w:p>
      <w:pPr>
        <w:spacing w:after="0" w:line="121"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Borrowings under the Term Loan Facility are required to be repaid in quarterly installments of $1.75 million each, which commenced on September 30, 2022, followed by a final installment of $654.5 million at maturity. Borrowings under the Term Loan Facility bear interest, at the Company’s option, at either (1) a base rate equal to the greater of the administrative agent’s prime rate as announced 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 4.50%. As of December 31, 2022, the effective interest rate on the Company’s outstanding borrowings under the Term Loan Facility was</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9.47%. The Term Loan Facility is required to be guaranteed by certain significant domestic subsidiaries of the Company (as defined in the Term Loan Facility) and secured by substantially all of the Company’s and any such subsidiaries’ assets. As of December 31, 2022, none of the Company’s subsidiaries guaranteed the Term Loan Facility.</w:t>
      </w:r>
    </w:p>
    <w:p>
      <w:pPr>
        <w:spacing w:after="0" w:line="149" w:lineRule="exact"/>
        <w:rPr>
          <w:sz w:val="20"/>
          <w:szCs w:val="20"/>
          <w:color w:val="auto"/>
        </w:rPr>
      </w:pPr>
    </w:p>
    <w:p>
      <w:pPr>
        <w:jc w:val="both"/>
        <w:ind w:right="260" w:firstLine="509"/>
        <w:spacing w:after="0"/>
        <w:rPr>
          <w:sz w:val="20"/>
          <w:szCs w:val="20"/>
          <w:color w:val="auto"/>
        </w:rPr>
      </w:pPr>
      <w:r>
        <w:rPr>
          <w:rFonts w:ascii="Arial" w:cs="Arial" w:eastAsia="Arial" w:hAnsi="Arial"/>
          <w:sz w:val="18"/>
          <w:szCs w:val="18"/>
          <w:color w:val="auto"/>
        </w:rPr>
        <w:t>The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Term Loan Facility as of December 31, 2022.</w:t>
      </w:r>
    </w:p>
    <w:p>
      <w:pPr>
        <w:spacing w:after="0" w:line="14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Borrowings under the Term Loan Facility are recorded as current portion of long-term debt and as other long-term debt, net of unamortized discount and debt issuance costs, in the Company’s condensed consolidated financial statements. The Term Loan Facility was issued with an original issue discount of 2.00%, or $14.0 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of December 31, 2022, the Revolving Credit Facility provided a $700.0 million revolving line of credit (including up to $150.0 million of letters of credit), with a maturity date of January 18, 2024. At December 31, 2022, the Company had $475.0 million in principal amount of outstanding borrowings under the Revolving Credit Facility and $68.2 million outstanding under standby letters of credit, leaving borrowing availability under the Revolving Credit Facility as of December 31, 2022 of $156.8 million. Subsequent to quarter end, the Company used a portion of the proceeds from the Link-16 TDL Sale to repay all then-outstanding borrowings under the Revolving Credit Facility.</w:t>
      </w:r>
    </w:p>
    <w:p>
      <w:pPr>
        <w:spacing w:after="0" w:line="148"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December 31, 2022, the weighted average effective interest rate on the Company’s outstanding borrowings under the Revolving Credit Facility was 6.33%.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2022, none of the Company’s subsidiaries guaranteed the Revolving Credit Facility.</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December 31,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December 31, 2022, the Company had $59.0 million in principal amount of outstanding borrowings under the Ex-Im Credit Facility.</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2022.</w:t>
      </w:r>
    </w:p>
    <w:p>
      <w:pPr>
        <w:spacing w:after="0" w:line="15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In August 2022, the Company amended the Ex-Im Credit Facility to provide additional covenant flexibility. Certain of the amendments will become effective at and are conditional upon the closing of the Inmarsat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December 31, 2022,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380" w:firstLine="509"/>
        <w:spacing w:after="0" w:line="238"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Prior to July 15, 2023, the Company may redeem up to 40% of the 2028 Notes at a redemption price of 106.500% of the principal amount thereof, plus accrued and unpaid interest, if any, thereon to the redemption date, from the net cash proceeds of specified equity 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50"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jc w:val="both"/>
        <w:ind w:right="260" w:firstLine="509"/>
        <w:spacing w:after="0"/>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both"/>
        <w:ind w:right="20" w:firstLine="8"/>
        <w:spacing w:after="0"/>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December 31, 2022, none of the Company’s subsidiaries guaranteed the 2027 Notes. The 2027 Notes are secured, equally and ratably with the Revolving Credit Facility and any future parity lien debt, by liens on substantially all of the Company’s assets.</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49"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49" w:lineRule="exact"/>
        <w:rPr>
          <w:sz w:val="20"/>
          <w:szCs w:val="20"/>
          <w:color w:val="auto"/>
        </w:rPr>
      </w:pPr>
    </w:p>
    <w:p>
      <w:pPr>
        <w:jc w:val="both"/>
        <w:ind w:right="14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December 31, 2022,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2025 Notes may be redeemed, in whole or in part, at any time at a redemption price of 100%, plus accrued and unpaid interest, if any, thereon to the redemption date.</w:t>
      </w:r>
    </w:p>
    <w:p>
      <w:pPr>
        <w:spacing w:after="0" w:line="143" w:lineRule="exact"/>
        <w:rPr>
          <w:sz w:val="20"/>
          <w:szCs w:val="20"/>
          <w:color w:val="auto"/>
        </w:rPr>
      </w:pPr>
    </w:p>
    <w:p>
      <w:pPr>
        <w:jc w:val="both"/>
        <w:ind w:right="160" w:firstLine="509"/>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Warranty</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2022 and 2021:</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8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60"/>
              <w:spacing w:after="0"/>
              <w:rPr>
                <w:sz w:val="20"/>
                <w:szCs w:val="20"/>
                <w:color w:val="auto"/>
              </w:rPr>
            </w:pPr>
            <w:r>
              <w:rPr>
                <w:rFonts w:ascii="Arial" w:cs="Arial" w:eastAsia="Arial" w:hAnsi="Arial"/>
                <w:sz w:val="18"/>
                <w:szCs w:val="18"/>
                <w:color w:val="auto"/>
              </w:rPr>
              <w:t>Change in liability for warranties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tcPr>
          <w:p>
            <w:pPr>
              <w:ind w:left="420"/>
              <w:spacing w:after="0"/>
              <w:rPr>
                <w:sz w:val="20"/>
                <w:szCs w:val="20"/>
                <w:color w:val="auto"/>
              </w:rPr>
            </w:pPr>
            <w:r>
              <w:rPr>
                <w:rFonts w:ascii="Arial" w:cs="Arial" w:eastAsia="Arial" w:hAnsi="Arial"/>
                <w:sz w:val="18"/>
                <w:szCs w:val="18"/>
                <w:color w:val="auto"/>
              </w:rPr>
              <w:t>issued in period</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 made (in cash or in kind)</w:t>
            </w:r>
          </w:p>
        </w:tc>
        <w:tc>
          <w:tcPr>
            <w:tcW w:w="16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(1,870 )</w:t>
            </w:r>
          </w:p>
        </w:tc>
        <w:tc>
          <w:tcPr>
            <w:tcW w:w="16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(4,072 )</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during the period</w:t>
            </w:r>
          </w:p>
        </w:tc>
        <w:tc>
          <w:tcPr>
            <w:tcW w:w="160" w:type="dxa"/>
            <w:vAlign w:val="bottom"/>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1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-179070</wp:posOffset>
            </wp:positionV>
            <wp:extent cx="51435"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8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See Note 12 – Commitments to the consolidated financial statements included in the Company’s Annual Report on Form 10-K for the year ended March 31, 2022 for information regarding the Company’s future minimum payments under its satellite construction contracts and other satellite-related purchase commitments.</w:t>
      </w:r>
    </w:p>
    <w:p>
      <w:pPr>
        <w:spacing w:after="0" w:line="14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 by the DCAA has not been concluded for fiscal year 2021. As of December 31, 2022, the DCAA had completed its incurred cost audit for fiscal years 2004, 2016, 2019 and 2020 and approved the Company’s incurred costs for those fiscal years, as well as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both December 31, 2022 and March 31, 2022, the Company had $12.1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85"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Ordinarily, under GAAP, the Company calculates its provision for income taxes at the end of each interim reporting period on the basis of an estimated annual effective tax rate adjusted for tax items that are discrete to each period.</w:t>
      </w:r>
    </w:p>
    <w:p>
      <w:pPr>
        <w:spacing w:after="0" w:line="143"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evaluating the Company's ability to realize the deferred tax asset for California Research and Development (R&amp;D) tax credits, the Company considered all available positive and negative evidence, including operating results and forecasted ranges of future taxable income, and determined it is more likely than not that a majority of its California R&amp;D tax credits will not be realized due to reduced taxable income apportioned to California in connection with the Link-16 TDL Sale. As a result, during the second quarter of fiscal year 2023, the Company recorded a valuation allowance of $69.0 million. The Company will continue to monitor its business strategies, weighing positive and negative evidence in assessing its realization of this asset in the future. In the event there is a need to release the valuation allowance, a tax benefit will be recorded.</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the three and nine months ended December 31, 2022, the Company recorded an income tax provision of $5.2 million and $59.0 million, respectively, resulting in effective tax rates of negative 13% and negative 63%, respectively. The effective tax rates for such periods differed from the U.S. statutory rate primarily due to the expense for tax deficiencies upon settlement of stock-based compensation during the periods and, in the nine months ended December 31, 2022, due to the establishment of a valuation allowance on the deferred tax asset for California R&amp;D tax credits that was partially offset by the benefit of federal R&amp;D tax credits.</w:t>
      </w:r>
    </w:p>
    <w:p>
      <w:pPr>
        <w:spacing w:after="0" w:line="148"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For the three and nine months ended December 31, 2021, the Company recorded an income tax benefit of $3.3 million and $22.0 million, respectively, resulting in effective tax rates of 10% and 28%, respectively. The effective tax rates for such periods differed from the U.S. statutory rate primarily due to the benefit of federal R&amp;D tax credits, partially offset by the expense for tax deficiencies upon settlement of stock-based compensation during the periods, and in the nine months ended December 31, 2021, due to the reversal of a deferred tax liability recorded for EBI's outside basis difference upon assertion made during the first quarter of fiscal year 2022 to indefinitely reinvest future earnings.</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51"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For the three and nine months ended December 31, 2022, the Company’s gross unrecognized tax benefits increased by $1.0 million and $9.7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million, respectively, including interest and penalties of an insignificant amount, which were included as a component of the provision for income taxes. In the next 12 months it is reasonably possible that the amount of unrecognized tax benefits will not change significantly.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Prepaid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50"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As described in Note 1 — Basis of Presentation and Note 4 — Discontinued Operations, on October 1, 2022, the Company entered into an Asset Purchase Agreement to sell certain assets and assign certain liabilities comprising the Link-16 TDL Business to L3Harris.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Therefore, the discontinued operations have been excluded from segment results for all periods presented. Further, in accordance with the authoritative guidance for segment reporting (ASC 280-10), if the discontinued operation is part of a reportable segment but not the entire reportable segment, the restatement should include a reasonable reallocation of costs previously allocated to a discontinued operation to the remaining operating segments. Therefore, certain corporate and other indirect costs previously allocated to the Link-16 TDL Business have been allocated across all three segments for the periods presented. On January 3, 2023, subsequent to quarter end, the Company completed the Link-16 TDL Sale. See Note 4 — Discontinued Operations for additional information.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2022 and 2021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8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302,412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309,711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915,059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915,059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52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460,034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52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79,657</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232,766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Elimination of intersegment revenues</w:t>
            </w:r>
          </w:p>
        </w:tc>
        <w:tc>
          <w:tcPr>
            <w:tcW w:w="12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651,444</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625,267</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1,890,059</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1,810,432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profits (losses):</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(8,421 )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11,459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(13,142 )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(40,266 )</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(51,687 )</w:t>
            </w: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(90,442 )</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(147,800 )</w:t>
            </w: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Elimination of intersegment operating</w:t>
            </w:r>
          </w:p>
        </w:tc>
        <w:tc>
          <w:tcPr>
            <w:tcW w:w="120" w:type="dxa"/>
            <w:vAlign w:val="bottom"/>
            <w:shd w:val="clear" w:color="auto" w:fill="CFF0FC"/>
          </w:tcPr>
          <w:p>
            <w:pPr>
              <w:spacing w:after="0"/>
              <w:rPr>
                <w:sz w:val="18"/>
                <w:szCs w:val="18"/>
                <w:color w:val="auto"/>
              </w:rPr>
            </w:pPr>
          </w:p>
        </w:tc>
        <w:tc>
          <w:tcPr>
            <w:tcW w:w="17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7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420"/>
              <w:spacing w:after="0" w:line="203" w:lineRule="exact"/>
              <w:rPr>
                <w:sz w:val="20"/>
                <w:szCs w:val="20"/>
                <w:color w:val="auto"/>
              </w:rPr>
            </w:pPr>
            <w:r>
              <w:rPr>
                <w:rFonts w:ascii="Arial" w:cs="Arial" w:eastAsia="Arial" w:hAnsi="Arial"/>
                <w:sz w:val="18"/>
                <w:szCs w:val="18"/>
                <w:color w:val="auto"/>
              </w:rPr>
              <w:t>profits (loss)</w:t>
            </w:r>
          </w:p>
        </w:tc>
        <w:tc>
          <w:tcPr>
            <w:tcW w:w="120" w:type="dxa"/>
            <w:vAlign w:val="bottom"/>
            <w:shd w:val="clear" w:color="auto" w:fill="CFF0FC"/>
          </w:tcPr>
          <w:p>
            <w:pPr>
              <w:spacing w:after="0"/>
              <w:rPr>
                <w:sz w:val="17"/>
                <w:szCs w:val="17"/>
                <w:color w:val="auto"/>
              </w:rPr>
            </w:pPr>
          </w:p>
        </w:tc>
        <w:tc>
          <w:tcPr>
            <w:tcW w:w="17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Segment operating profit (loss) before corporate</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and amortization of acquired intangible</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(23,878 )</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(21,200 )</w:t>
            </w:r>
          </w:p>
        </w:tc>
        <w:tc>
          <w:tcPr>
            <w:tcW w:w="1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(60,929 )</w:t>
            </w: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(43,642 )</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80"/>
              <w:spacing w:after="0"/>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8"/>
                <w:szCs w:val="18"/>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(7,433 )</w:t>
            </w:r>
          </w:p>
        </w:tc>
        <w:tc>
          <w:tcPr>
            <w:tcW w:w="140" w:type="dxa"/>
            <w:vAlign w:val="bottom"/>
          </w:tcPr>
          <w:p>
            <w:pPr>
              <w:spacing w:after="0"/>
              <w:rPr>
                <w:sz w:val="18"/>
                <w:szCs w:val="18"/>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(7,531 )</w:t>
            </w:r>
          </w:p>
        </w:tc>
        <w:tc>
          <w:tcPr>
            <w:tcW w:w="120" w:type="dxa"/>
            <w:vAlign w:val="bottom"/>
          </w:tcPr>
          <w:p>
            <w:pPr>
              <w:spacing w:after="0"/>
              <w:rPr>
                <w:sz w:val="18"/>
                <w:szCs w:val="18"/>
                <w:color w:val="auto"/>
              </w:rPr>
            </w:pPr>
          </w:p>
        </w:tc>
        <w:tc>
          <w:tcPr>
            <w:tcW w:w="1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(22,335 )</w:t>
            </w:r>
          </w:p>
        </w:tc>
        <w:tc>
          <w:tcPr>
            <w:tcW w:w="120" w:type="dxa"/>
            <w:vAlign w:val="bottom"/>
          </w:tcPr>
          <w:p>
            <w:pPr>
              <w:spacing w:after="0"/>
              <w:rPr>
                <w:sz w:val="18"/>
                <w:szCs w:val="18"/>
                <w:color w:val="auto"/>
              </w:rPr>
            </w:pPr>
          </w:p>
        </w:tc>
        <w:tc>
          <w:tcPr>
            <w:tcW w:w="1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(20,859 )</w:t>
            </w:r>
          </w:p>
        </w:tc>
        <w:tc>
          <w:tcPr>
            <w:tcW w:w="0" w:type="dxa"/>
            <w:vAlign w:val="bottom"/>
          </w:tcPr>
          <w:p>
            <w:pPr>
              <w:spacing w:after="0"/>
              <w:rPr>
                <w:sz w:val="1"/>
                <w:szCs w:val="1"/>
                <w:color w:val="auto"/>
              </w:rPr>
            </w:pPr>
          </w:p>
        </w:tc>
      </w:tr>
      <w:tr>
        <w:trPr>
          <w:trHeight w:val="203"/>
        </w:trPr>
        <w:tc>
          <w:tcPr>
            <w:tcW w:w="4120" w:type="dxa"/>
            <w:vAlign w:val="bottom"/>
          </w:tcPr>
          <w:p>
            <w:pPr>
              <w:ind w:left="420"/>
              <w:spacing w:after="0" w:line="203"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(31,311 )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(28,731 )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(83,264 )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(64,501 )</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-2022475</wp:posOffset>
            </wp:positionV>
            <wp:extent cx="351472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147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-1002665</wp:posOffset>
            </wp:positionV>
            <wp:extent cx="76835"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-1002665</wp:posOffset>
            </wp:positionV>
            <wp:extent cx="68580" cy="411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-1002665</wp:posOffset>
            </wp:positionV>
            <wp:extent cx="68580" cy="411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411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4114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2022 and March 31, 2022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3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3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421,343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444,976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3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202,941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279,576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segment assets</w:t>
            </w:r>
          </w:p>
        </w:tc>
        <w:tc>
          <w:tcPr>
            <w:tcW w:w="3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914,558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tcPr>
          <w:p>
            <w:pPr>
              <w:ind w:left="260"/>
              <w:spacing w:after="0"/>
              <w:rPr>
                <w:sz w:val="20"/>
                <w:szCs w:val="20"/>
                <w:color w:val="auto"/>
              </w:rPr>
            </w:pPr>
            <w:r>
              <w:rPr>
                <w:rFonts w:ascii="Arial" w:cs="Arial" w:eastAsia="Arial" w:hAnsi="Arial"/>
                <w:sz w:val="18"/>
                <w:szCs w:val="18"/>
                <w:color w:val="auto"/>
              </w:rPr>
              <w:t>Corporate assets</w:t>
            </w: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5,516,193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5,199,686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Assets of discontinued operations</w:t>
            </w:r>
          </w:p>
        </w:tc>
        <w:tc>
          <w:tcPr>
            <w:tcW w:w="3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283,404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275,102</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3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6,801,924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6,389,346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20" w:type="dxa"/>
            <w:vAlign w:val="bottom"/>
            <w:vMerge w:val="restart"/>
          </w:tcPr>
          <w:p>
            <w:pPr>
              <w:jc w:val="right"/>
              <w:ind w:right="2130"/>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-668020</wp:posOffset>
            </wp:positionV>
            <wp:extent cx="6858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December 31, 2022 and March 31, 2022 were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4"/>
          </w:tcPr>
          <w:p>
            <w:pPr>
              <w:jc w:val="right"/>
              <w:ind w:right="598"/>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078"/>
              <w:spacing w:after="0"/>
              <w:rPr>
                <w:sz w:val="20"/>
                <w:szCs w:val="20"/>
                <w:color w:val="auto"/>
              </w:rPr>
            </w:pPr>
            <w:r>
              <w:rPr>
                <w:rFonts w:ascii="Arial" w:cs="Arial" w:eastAsia="Arial" w:hAnsi="Arial"/>
                <w:sz w:val="14"/>
                <w:szCs w:val="14"/>
                <w:b w:val="1"/>
                <w:bCs w:val="1"/>
                <w:color w:val="auto"/>
              </w:rPr>
              <w:t>Assets, Net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Goodwill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499"/>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18"/>
              <w:spacing w:after="0" w:line="156"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498"/>
              <w:spacing w:after="0" w:line="156" w:lineRule="exact"/>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96"/>
              <w:spacing w:after="0" w:line="156"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3"/>
                <w:szCs w:val="13"/>
                <w:color w:val="auto"/>
              </w:rPr>
            </w:pPr>
          </w:p>
        </w:tc>
      </w:tr>
      <w:tr>
        <w:trPr>
          <w:trHeight w:val="189"/>
        </w:trPr>
        <w:tc>
          <w:tcPr>
            <w:tcW w:w="3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183"/>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4"/>
          </w:tcPr>
          <w:p>
            <w:pPr>
              <w:jc w:val="right"/>
              <w:ind w:right="105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205,776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233,740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79,947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81,972</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44,056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44,050</w:t>
            </w:r>
          </w:p>
        </w:tc>
        <w:tc>
          <w:tcPr>
            <w:tcW w:w="100" w:type="dxa"/>
            <w:vAlign w:val="bottom"/>
          </w:tcPr>
          <w:p>
            <w:pPr>
              <w:spacing w:after="0"/>
              <w:rPr>
                <w:sz w:val="19"/>
                <w:szCs w:val="19"/>
                <w:color w:val="auto"/>
              </w:rPr>
            </w:pPr>
          </w:p>
        </w:tc>
      </w:tr>
      <w:tr>
        <w:trPr>
          <w:trHeight w:val="230"/>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207,174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236,043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166,293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168,710</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-179070</wp:posOffset>
            </wp:positionV>
            <wp:extent cx="6858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-179070</wp:posOffset>
            </wp:positionV>
            <wp:extent cx="6858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-179070</wp:posOffset>
            </wp:positionV>
            <wp:extent cx="6032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82"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Amortization of acquired intangible assets by segment for the three and nine months ended December 31, 2022 and 2021 was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5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5"/>
                <w:szCs w:val="15"/>
                <w:color w:val="auto"/>
              </w:rPr>
            </w:pPr>
          </w:p>
        </w:tc>
        <w:tc>
          <w:tcPr>
            <w:tcW w:w="14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500" w:type="dxa"/>
            <w:vAlign w:val="bottom"/>
            <w:shd w:val="clear" w:color="auto" w:fill="CFF0FC"/>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w:t>
            </w:r>
          </w:p>
        </w:tc>
        <w:tc>
          <w:tcPr>
            <w:tcW w:w="1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w:t>
            </w:r>
          </w:p>
        </w:tc>
        <w:tc>
          <w:tcPr>
            <w:tcW w:w="80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21,458</w:t>
            </w:r>
          </w:p>
        </w:tc>
        <w:tc>
          <w:tcPr>
            <w:tcW w:w="92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Commercial networks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5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Total amortization of acquired</w:t>
            </w:r>
          </w:p>
        </w:tc>
        <w:tc>
          <w:tcPr>
            <w:tcW w:w="500" w:type="dxa"/>
            <w:vAlign w:val="bottom"/>
            <w:vMerge w:val="restart"/>
          </w:tcPr>
          <w:p>
            <w:pPr>
              <w:jc w:val="right"/>
              <w:ind w:right="296"/>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7,433</w:t>
            </w:r>
          </w:p>
        </w:tc>
        <w:tc>
          <w:tcPr>
            <w:tcW w:w="1000" w:type="dxa"/>
            <w:vAlign w:val="bottom"/>
            <w:gridSpan w:val="2"/>
            <w:vMerge w:val="restart"/>
          </w:tcPr>
          <w:p>
            <w:pPr>
              <w:jc w:val="right"/>
              <w:ind w:right="628"/>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7,531</w:t>
            </w:r>
          </w:p>
        </w:tc>
        <w:tc>
          <w:tcPr>
            <w:tcW w:w="800" w:type="dxa"/>
            <w:vAlign w:val="bottom"/>
            <w:gridSpan w:val="2"/>
            <w:vMerge w:val="restart"/>
          </w:tcPr>
          <w:p>
            <w:pPr>
              <w:jc w:val="right"/>
              <w:ind w:right="448"/>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22,335</w:t>
            </w:r>
          </w:p>
        </w:tc>
        <w:tc>
          <w:tcPr>
            <w:tcW w:w="920" w:type="dxa"/>
            <w:vAlign w:val="bottom"/>
            <w:gridSpan w:val="2"/>
            <w:vMerge w:val="restart"/>
          </w:tcPr>
          <w:p>
            <w:pPr>
              <w:jc w:val="right"/>
              <w:ind w:right="548"/>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160"/>
              <w:spacing w:after="0" w:line="176" w:lineRule="exact"/>
              <w:rPr>
                <w:sz w:val="20"/>
                <w:szCs w:val="20"/>
                <w:color w:val="auto"/>
              </w:rPr>
            </w:pPr>
            <w:r>
              <w:rPr>
                <w:rFonts w:ascii="Arial" w:cs="Arial" w:eastAsia="Arial" w:hAnsi="Arial"/>
                <w:sz w:val="18"/>
                <w:szCs w:val="18"/>
                <w:color w:val="auto"/>
              </w:rPr>
              <w:t>intangible assets</w:t>
            </w:r>
          </w:p>
        </w:tc>
        <w:tc>
          <w:tcPr>
            <w:tcW w:w="5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-281940</wp:posOffset>
            </wp:positionV>
            <wp:extent cx="68580" cy="282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-281940</wp:posOffset>
            </wp:positionV>
            <wp:extent cx="60325" cy="2825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28257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-281940</wp:posOffset>
            </wp:positionV>
            <wp:extent cx="60325" cy="282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28257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2825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28257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nine months ended December 31, 2022 and 2021 were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9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189"/>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60" w:type="dxa"/>
            <w:vAlign w:val="bottom"/>
            <w:gridSpan w:val="4"/>
          </w:tcPr>
          <w:p>
            <w:pPr>
              <w:jc w:val="right"/>
              <w:ind w:right="139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542,702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1,590,535</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108,742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299,524</w:t>
            </w:r>
          </w:p>
        </w:tc>
        <w:tc>
          <w:tcPr>
            <w:tcW w:w="100" w:type="dxa"/>
            <w:vAlign w:val="bottom"/>
          </w:tcPr>
          <w:p>
            <w:pPr>
              <w:spacing w:after="0"/>
              <w:rPr>
                <w:sz w:val="19"/>
                <w:szCs w:val="19"/>
                <w:color w:val="auto"/>
              </w:rPr>
            </w:pPr>
          </w:p>
        </w:tc>
      </w:tr>
      <w:tr>
        <w:trPr>
          <w:trHeight w:val="26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651,444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1,890,059</w:t>
            </w:r>
          </w:p>
        </w:tc>
        <w:tc>
          <w:tcPr>
            <w:tcW w:w="100" w:type="dxa"/>
            <w:vAlign w:val="bottom"/>
            <w:shd w:val="clear" w:color="auto" w:fill="CFF0FC"/>
          </w:tcPr>
          <w:p>
            <w:pPr>
              <w:spacing w:after="0"/>
              <w:rPr>
                <w:sz w:val="22"/>
                <w:szCs w:val="22"/>
                <w:color w:val="auto"/>
              </w:rPr>
            </w:pPr>
          </w:p>
        </w:tc>
      </w:tr>
      <w:tr>
        <w:trPr>
          <w:trHeight w:val="413"/>
        </w:trPr>
        <w:tc>
          <w:tcPr>
            <w:tcW w:w="60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top w:val="single" w:sz="8" w:color="CFF0FC"/>
            </w:tcBorders>
          </w:tcPr>
          <w:p>
            <w:pPr>
              <w:spacing w:after="0"/>
              <w:rPr>
                <w:sz w:val="24"/>
                <w:szCs w:val="24"/>
                <w:color w:val="auto"/>
              </w:rPr>
            </w:pPr>
          </w:p>
        </w:tc>
      </w:tr>
      <w:tr>
        <w:trPr>
          <w:trHeight w:val="189"/>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60" w:type="dxa"/>
            <w:vAlign w:val="bottom"/>
            <w:gridSpan w:val="4"/>
          </w:tcPr>
          <w:p>
            <w:pPr>
              <w:jc w:val="right"/>
              <w:ind w:right="139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527,755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1,531,176</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279,256</w:t>
            </w:r>
          </w:p>
        </w:tc>
        <w:tc>
          <w:tcPr>
            <w:tcW w:w="100" w:type="dxa"/>
            <w:vAlign w:val="bottom"/>
          </w:tcPr>
          <w:p>
            <w:pPr>
              <w:spacing w:after="0"/>
              <w:rPr>
                <w:sz w:val="19"/>
                <w:szCs w:val="19"/>
                <w:color w:val="auto"/>
              </w:rPr>
            </w:pPr>
          </w:p>
        </w:tc>
      </w:tr>
      <w:tr>
        <w:trPr>
          <w:trHeight w:val="26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625,267</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1,810,432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-1019810</wp:posOffset>
            </wp:positionV>
            <wp:extent cx="1380490" cy="548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80490" cy="54864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36" w:name="page37"/>
    <w:bookmarkEnd w:id="36"/>
    <w:p>
      <w:pPr>
        <w:ind w:right="298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proposed Inmarsat Transaction (as defined below) and any statements regarding the expected timing, benefits, synergies, growth opportunities and other financial and operating benefits thereof; the closing of the Inmarsat Transaction and timing or satisfaction of regulatory and other closing conditions; our anticipated operations, financial position, liquidity, performance, prospects or growth and scale opportunities following the closing of the Inmarsat Transaction or the Link-16 TDL Sale (as defined below);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Inmarsat Transaction, including the failure to obtain, or delays in obtaining, required regulatory approvals or clearances; the risk that any such approval may result in the imposition of conditions that could adversely affect us or the expected benefits of the Inmarsat Transaction; the failure to satisfy any of the closing conditions to the Inmarsat Transaction on a timely basis or at all; any adverse impact on our business as a result of uncertainty surrounding the Inmarsat Transaction or on the business of Inmarsat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Viasat to pay a termination fee; the risk that Viasat’s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our ability to retain and hire key personnel and maintain relationships with our customers, suppliers and others with whom we do business; our ability to successfully integrate Inmarsat operations, technologies and employees; the ability to realize anticipated benefits and synergies of the Inmarsat Transaction and our other acquisitions, including the expectation of enhancements to Viasat’s products and services, greater revenue or growth opportunities, operating efficiencies and cost savings; the ability to ensure continued performance and market growth of our business following the closing of the Inmarsat Transaction; our ability to realize the anticipated benefits of the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7" w:name="page38"/>
    <w:bookmarkEnd w:id="37"/>
    <w:p>
      <w:pPr>
        <w:ind w:right="60"/>
        <w:spacing w:after="0" w:line="236" w:lineRule="auto"/>
        <w:rPr>
          <w:sz w:val="20"/>
          <w:szCs w:val="20"/>
          <w:color w:val="auto"/>
        </w:rPr>
      </w:pPr>
      <w:r>
        <w:rPr>
          <w:rFonts w:ascii="Arial" w:cs="Arial" w:eastAsia="Arial" w:hAnsi="Arial"/>
          <w:sz w:val="18"/>
          <w:szCs w:val="18"/>
          <w:color w:val="auto"/>
        </w:rPr>
        <w:t>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2022,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 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Link-16 TDL Business</w:t>
      </w:r>
    </w:p>
    <w:p>
      <w:pPr>
        <w:spacing w:after="0" w:line="85" w:lineRule="exact"/>
        <w:rPr>
          <w:sz w:val="20"/>
          <w:szCs w:val="20"/>
          <w:color w:val="auto"/>
        </w:rPr>
      </w:pPr>
    </w:p>
    <w:p>
      <w:pPr>
        <w:ind w:right="20" w:firstLine="509"/>
        <w:spacing w:after="0" w:line="248" w:lineRule="auto"/>
        <w:rPr>
          <w:sz w:val="20"/>
          <w:szCs w:val="20"/>
          <w:color w:val="auto"/>
        </w:rPr>
      </w:pPr>
      <w:r>
        <w:rPr>
          <w:rFonts w:ascii="Arial" w:cs="Arial" w:eastAsia="Arial" w:hAnsi="Arial"/>
          <w:sz w:val="17"/>
          <w:szCs w:val="17"/>
          <w:color w:val="auto"/>
        </w:rPr>
        <w:t>On October 1, 2022, we entered into an Asset Purchase Agreement to sell certain assets and assign certain liabilities comprising our Link-16 Tactical Data Links business (the Link-16 TDL Business), part of our government systems segment, to L3Harris Technologies, Inc., in exchange for approximately $1.96 billion in cash (subject to certain adjustments), on and subject to the terms and conditions set forth therein (the Link-16 TDL Sale). In accordance with authoritative guidance for discontinued operations (Accounting Standards Codification (ASC)</w:t>
      </w:r>
    </w:p>
    <w:p>
      <w:pPr>
        <w:spacing w:after="0" w:line="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205-20), we determined that the Link-16 TDL Business met held-for-sale and discontinued operations accounting criteria at the end of the second quarter of fiscal year 2023. Accordingly, we classified the results of the Link-16 TDL Business as discontinued operations in our condensed consolidated statements of operations for all periods presented. Additionally, the related assets and liabilities associated with the discontinued operations are classified as held for sale and discontinued operations in the condensed consolidated balance sheets for all periods presented. The cash flows related to discontinued operations have not been segregated and are included in the condensed consolidated statements of cash flows. Unless otherwise noted, discussion throughout this Quarterly Report on Form 10 -Q relates to continuing operations only and excludes the Link-16 TDL Business. On January 3, 2023, subsequent to quarter end, we completed the Link-16 TDL Sale. See Note 4 — Discontinued Operations to our condensed consolidated financial statements for additional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On November 8, 2021, we entered into a Share Purchase Agreement (the Purchase Agreement) to combine with Connect Topco Limited, a private company limited by shares and incorporated in Guernsey (Inmarsat), with the shareholders of Inmarsat and certain management and employees who hold options and shares of a subsidiary of Inmarsat whose options and shares will be exchanged for shares of Inmarsat prior to closing (collectively, the Sellers). Pursuant to the Purchase Agreement, we will purchase all of the issued and outstanding shares of Inmarsat from the Sellers upon the terms and subject to the conditions set forth therein (the Inmarsat Transaction). The total consideration payable by us under the Purchase Agreement consists of $850.0 million in cash, subject to adjustments (such as the dividend paid by Inmarsat in April 2022, see below), and approximately 46.36 million unregistered shares of our common stock. On April 6, 2022, Inmarsat paid a dividend of $299.3 million to the Sellers, resulting in a $299.3 million reduction in the cash consideration payable by us at the closing of the Inmarsat Transaction. Our board of directors has unanimously approved the Purchase Agreement and the proposed Inmarsat Transaction. Our stockholders approved the issuance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8" w:name="page39"/>
    <w:bookmarkEnd w:id="38"/>
    <w:p>
      <w:pPr>
        <w:spacing w:after="0" w:line="246" w:lineRule="auto"/>
        <w:rPr>
          <w:sz w:val="20"/>
          <w:szCs w:val="20"/>
          <w:color w:val="auto"/>
        </w:rPr>
      </w:pPr>
      <w:r>
        <w:rPr>
          <w:rFonts w:ascii="Arial" w:cs="Arial" w:eastAsia="Arial" w:hAnsi="Arial"/>
          <w:sz w:val="18"/>
          <w:szCs w:val="18"/>
          <w:color w:val="auto"/>
        </w:rPr>
        <w:t>shares in the transaction and an amendment to the Company's certificate of incorporation to increase the number of shares of common stock authorized for issuance at a special meeting held on June 21, 2022.</w:t>
      </w:r>
    </w:p>
    <w:p>
      <w:pPr>
        <w:spacing w:after="0" w:line="14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closing of the Inmarsat Transaction is subject to customary closing conditions, including receipt of regulatory approvals and clearances. The Purchase Agreement contains certain termination rights for both us and certain of the Sellers and further provides that, upon termination of the Purchase Agreement under certain circumstances, we may be obligated to pay a termination fee of up to $200.0 million or to reimburse certain out-of-pocket expenses of certain Sellers up to $40.0 million.</w:t>
      </w:r>
    </w:p>
    <w:p>
      <w:pPr>
        <w:spacing w:after="0" w:line="151"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We also plan to assume $2.1 billion in principal amount of Inmarsat senior secured bonds and the outstanding indebtedness under Inmarsat’s $2.4 billion senior secured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5" w:lineRule="exact"/>
        <w:rPr>
          <w:sz w:val="20"/>
          <w:szCs w:val="20"/>
          <w:color w:val="auto"/>
        </w:rPr>
      </w:pPr>
    </w:p>
    <w:p>
      <w:pPr>
        <w:jc w:val="both"/>
        <w:ind w:right="60" w:firstLine="509"/>
        <w:spacing w:after="0" w:line="238" w:lineRule="auto"/>
        <w:rPr>
          <w:sz w:val="20"/>
          <w:szCs w:val="20"/>
          <w:color w:val="auto"/>
        </w:rPr>
      </w:pPr>
      <w:r>
        <w:rPr>
          <w:rFonts w:ascii="Arial" w:cs="Arial" w:eastAsia="Arial" w:hAnsi="Arial"/>
          <w:sz w:val="18"/>
          <w:szCs w:val="18"/>
          <w:color w:val="auto"/>
        </w:rPr>
        <w:t>On April 30, 2021, we completed our acquisition of the remaining 51% interest in Euro Broadband Infrastructure Sàrl (EBI), a satellite broadband internet service provider in Europe, Middle East and Africa (EMEA), from Eutelsat. We paid approximately $167.0 million in cash, net of what is currently estimated to be an immaterial amount of estimated purchase price consideration (net of approximately $121.7 million of EBI's cash on hand, resulting in a cash outlay of approximately $51.0 million).</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On April 30, 2021, we completed our acquisition of RigNet, Inc.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spacing w:after="0" w:line="151" w:lineRule="exact"/>
        <w:rPr>
          <w:sz w:val="20"/>
          <w:szCs w:val="20"/>
          <w:color w:val="auto"/>
        </w:rPr>
      </w:pPr>
    </w:p>
    <w:p>
      <w:pPr>
        <w:ind w:right="540" w:firstLine="509"/>
        <w:spacing w:after="0" w:line="246" w:lineRule="auto"/>
        <w:rPr>
          <w:sz w:val="20"/>
          <w:szCs w:val="20"/>
          <w:color w:val="auto"/>
        </w:rPr>
      </w:pPr>
      <w:r>
        <w:rPr>
          <w:rFonts w:ascii="Arial" w:cs="Arial" w:eastAsia="Arial" w:hAnsi="Arial"/>
          <w:sz w:val="18"/>
          <w:szCs w:val="18"/>
          <w:color w:val="auto"/>
        </w:rPr>
        <w:t>The assets and results of operations of EBI and RigNet are primarily included in our satellite services segment, with insignificant amounts included in our commercial networks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5"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Although the COVID-19 pandemic continued to impact our financial results for the three and nine months ended December 31, 2022 (mostly due to the resulting disruption to regional and local supply chains, as well as its impact on overall supply and demand, global air travel, consumer confidence, discretionary spending levels and levels of economic activity), the impact was not material to our financial position, results of operations or cash flows in such periods. We continue to expect our diversified businesses to provide resiliency in fiscal year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85"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Our satellite services segment uses our proprietary technology platform to provide satellite-based high -speed broadband services around the globe for use in commercial applications. Our proprietary Ka-band satellites are at the core of our technology platform. The primary services offered by our satellite services segment are comprised of:</w:t>
      </w:r>
    </w:p>
    <w:p>
      <w:pPr>
        <w:spacing w:after="0" w:line="95" w:lineRule="exact"/>
        <w:rPr>
          <w:sz w:val="20"/>
          <w:szCs w:val="20"/>
          <w:color w:val="auto"/>
        </w:rPr>
      </w:pPr>
    </w:p>
    <w:p>
      <w:pPr>
        <w:ind w:left="1020" w:right="20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Voice over Internet Protocol services, primarily in the United States as well as in various countries in Europe and Latin America.</w:t>
      </w:r>
    </w:p>
    <w:p>
      <w:pPr>
        <w:spacing w:after="0" w:line="94" w:lineRule="exact"/>
        <w:rPr>
          <w:rFonts w:ascii="Arial" w:cs="Arial" w:eastAsia="Arial" w:hAnsi="Arial"/>
          <w:sz w:val="18"/>
          <w:szCs w:val="18"/>
          <w:color w:val="auto"/>
        </w:rPr>
      </w:pPr>
    </w:p>
    <w:p>
      <w:pPr>
        <w:ind w:left="1020" w:right="40" w:hanging="503"/>
        <w:spacing w:after="0" w:line="23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wireless in-flight entertainment and aviation software services. As of December 31, 2022, we had our IFC systems installed and in service on approximately 2,140 commercial aircraft, of which approximately 30 were inactive at quarter end (mostly due to impacts of the COVID-19 pandemic). We anticipate that approximately 1,260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94" w:lineRule="exact"/>
        <w:rPr>
          <w:rFonts w:ascii="Arial" w:cs="Arial" w:eastAsia="Arial" w:hAnsi="Arial"/>
          <w:sz w:val="18"/>
          <w:szCs w:val="18"/>
          <w:color w:val="auto"/>
        </w:rPr>
      </w:pPr>
    </w:p>
    <w:p>
      <w:pPr>
        <w:ind w:left="1020" w:right="100" w:hanging="503"/>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Prepaid Internet services, which offer innovative, affordable, satellite-based connectivity in communities that have little or no access to the internet. The services help foster digital inclusion by enabling millions of people to connect to affordable high-quality internet services via a centralized community hotspot connected to the internet via satellite. We provide Prepaid Internet services in multiple regions in Mexico and Brazil and are trialing services in advance of full service launch in various other countries in South America and Central America.</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39" w:name="page40"/>
    <w:bookmarkEnd w:id="39"/>
    <w:p>
      <w:pPr>
        <w:ind w:left="1020" w:right="200" w:hanging="503"/>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96" w:lineRule="exact"/>
        <w:rPr>
          <w:rFonts w:ascii="Arial" w:cs="Arial" w:eastAsia="Arial" w:hAnsi="Arial"/>
          <w:sz w:val="18"/>
          <w:szCs w:val="18"/>
          <w:color w:val="auto"/>
        </w:rPr>
      </w:pPr>
    </w:p>
    <w:p>
      <w:pPr>
        <w:ind w:left="1020" w:right="70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Energy services, which include ultra-secure solutions spanning global IP connectivity, bandwidth-optimized over-the-top applications, industrial Internet-of-Things big data enablement and industry-leading machine learning analytics.</w:t>
      </w:r>
    </w:p>
    <w:p>
      <w:pPr>
        <w:spacing w:after="0" w:line="14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assets and results of operations of our recent acquisitions, EBI and RigNet, are primarily included in our satellite services segment (with insignificant amounts included in our commercial networks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medium earth orbit and low earth orbit. The primary products, systems, solutions and services offered by our commercial networks segment are comprised of:</w:t>
      </w:r>
    </w:p>
    <w:p>
      <w:pPr>
        <w:spacing w:after="0" w:line="9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7" w:lineRule="exact"/>
        <w:rPr>
          <w:rFonts w:ascii="Arial" w:cs="Arial" w:eastAsia="Arial" w:hAnsi="Arial"/>
          <w:sz w:val="18"/>
          <w:szCs w:val="18"/>
          <w:color w:val="auto"/>
        </w:rPr>
      </w:pPr>
    </w:p>
    <w:p>
      <w:pPr>
        <w:ind w:left="1020" w:right="70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88"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88" w:lineRule="exact"/>
        <w:rPr>
          <w:rFonts w:ascii="Arial" w:cs="Arial" w:eastAsia="Arial" w:hAnsi="Arial"/>
          <w:sz w:val="18"/>
          <w:szCs w:val="18"/>
          <w:color w:val="auto"/>
        </w:rPr>
      </w:pPr>
    </w:p>
    <w:p>
      <w:pPr>
        <w:ind w:left="1020" w:right="76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88"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offers a broad array of products and services, including:</w:t>
      </w:r>
    </w:p>
    <w:p>
      <w:pPr>
        <w:spacing w:after="0" w:line="104" w:lineRule="exact"/>
        <w:rPr>
          <w:sz w:val="20"/>
          <w:szCs w:val="20"/>
          <w:color w:val="auto"/>
        </w:rPr>
      </w:pPr>
    </w:p>
    <w:p>
      <w:pPr>
        <w:jc w:val="both"/>
        <w:ind w:left="1020" w:right="10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missions.</w:t>
      </w:r>
    </w:p>
    <w:p>
      <w:pPr>
        <w:spacing w:after="0" w:line="94" w:lineRule="exact"/>
        <w:rPr>
          <w:rFonts w:ascii="Arial" w:cs="Arial" w:eastAsia="Arial" w:hAnsi="Arial"/>
          <w:sz w:val="18"/>
          <w:szCs w:val="18"/>
          <w:color w:val="auto"/>
        </w:rPr>
      </w:pPr>
    </w:p>
    <w:p>
      <w:pPr>
        <w:ind w:left="1020" w:right="6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and fixed applications.</w:t>
      </w:r>
    </w:p>
    <w:p>
      <w:pPr>
        <w:spacing w:after="0" w:line="94" w:lineRule="exact"/>
        <w:rPr>
          <w:rFonts w:ascii="Arial" w:cs="Arial" w:eastAsia="Arial" w:hAnsi="Arial"/>
          <w:sz w:val="18"/>
          <w:szCs w:val="18"/>
          <w:color w:val="auto"/>
        </w:rPr>
      </w:pPr>
    </w:p>
    <w:p>
      <w:pPr>
        <w:ind w:left="1020" w:right="220" w:hanging="503"/>
        <w:spacing w:after="0" w:line="22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High Assurance Internet Protocol Encryption (HAIPE</w:t>
      </w:r>
      <w:r>
        <w:rPr>
          <w:rFonts w:ascii="Arial" w:cs="Arial" w:eastAsia="Arial" w:hAnsi="Arial"/>
          <w:sz w:val="24"/>
          <w:szCs w:val="24"/>
          <w:color w:val="auto"/>
          <w:vertAlign w:val="superscript"/>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151" w:lineRule="exact"/>
        <w:rPr>
          <w:sz w:val="20"/>
          <w:szCs w:val="20"/>
          <w:color w:val="auto"/>
        </w:rPr>
      </w:pPr>
    </w:p>
    <w:p>
      <w:pPr>
        <w:jc w:val="both"/>
        <w:ind w:right="340" w:firstLine="509"/>
        <w:spacing w:after="0"/>
        <w:rPr>
          <w:sz w:val="20"/>
          <w:szCs w:val="20"/>
          <w:color w:val="auto"/>
        </w:rPr>
      </w:pPr>
      <w:r>
        <w:rPr>
          <w:rFonts w:ascii="Arial" w:cs="Arial" w:eastAsia="Arial" w:hAnsi="Arial"/>
          <w:sz w:val="18"/>
          <w:szCs w:val="18"/>
          <w:color w:val="auto"/>
        </w:rPr>
        <w:t>Prior to the closing of the Link-16 TDL Sale, our government systems segment also included our Link-16 TDL Business, which on January 3, 2023 was sold to L3Harris Technologies, Inc. See Note 4 — Discontinued Operations to our condensed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85"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For a summary of factors and trends affecting our results of operations, see Part II, Item 7, "Factors and Trends Affecting our Results of Operations" in our Annual Report on Form 10-K for the year ended March 31, 2022.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and energy services (acquired through the RigNet acquisition).</w:t>
      </w:r>
    </w:p>
    <w:p>
      <w:pPr>
        <w:spacing w:after="0" w:line="14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p>
    <w:p>
      <w:pPr>
        <w:spacing w:after="0" w:line="151"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spacing w:after="0" w:line="148"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49" w:lineRule="exact"/>
        <w:rPr>
          <w:sz w:val="20"/>
          <w:szCs w:val="20"/>
          <w:color w:val="auto"/>
        </w:rPr>
      </w:pPr>
    </w:p>
    <w:p>
      <w:pPr>
        <w:ind w:right="180" w:firstLine="509"/>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the authoritative guidance for leases (ASC 842). As discussed in Note 1 – Basis of Presentation – Leases to our condensed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2" w:lineRule="exact"/>
        <w:rPr>
          <w:sz w:val="20"/>
          <w:szCs w:val="20"/>
          <w:color w:val="auto"/>
        </w:rPr>
      </w:pPr>
    </w:p>
    <w:p>
      <w:pPr>
        <w:jc w:val="both"/>
        <w:ind w:right="580" w:firstLine="509"/>
        <w:spacing w:after="0"/>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1" w:name="page42"/>
    <w:bookmarkEnd w:id="41"/>
    <w:p>
      <w:pPr>
        <w:ind w:right="20"/>
        <w:spacing w:after="0" w:line="238" w:lineRule="auto"/>
        <w:rPr>
          <w:sz w:val="20"/>
          <w:szCs w:val="20"/>
          <w:color w:val="auto"/>
        </w:rPr>
      </w:pPr>
      <w:r>
        <w:rPr>
          <w:rFonts w:ascii="Arial" w:cs="Arial" w:eastAsia="Arial" w:hAnsi="Arial"/>
          <w:sz w:val="18"/>
          <w:szCs w:val="18"/>
          <w:color w:val="auto"/>
        </w:rPr>
        <w:t>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8"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5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2022 would change our income (loss) before income taxes by an insignificant amount.</w:t>
      </w:r>
    </w:p>
    <w:p>
      <w:pPr>
        <w:spacing w:after="0" w:line="14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2" w:name="page43"/>
    <w:bookmarkEnd w:id="42"/>
    <w:p>
      <w:pPr>
        <w:ind w:right="20"/>
        <w:spacing w:after="0" w:line="246" w:lineRule="auto"/>
        <w:rPr>
          <w:sz w:val="20"/>
          <w:szCs w:val="20"/>
          <w:color w:val="auto"/>
        </w:rPr>
      </w:pPr>
      <w:r>
        <w:rPr>
          <w:rFonts w:ascii="Arial" w:cs="Arial" w:eastAsia="Arial" w:hAnsi="Arial"/>
          <w:sz w:val="18"/>
          <w:szCs w:val="18"/>
          <w:color w:val="auto"/>
        </w:rPr>
        <w:t>between when we transfer a promised good or service to a customer and when the customer pays for that good or service will be one year or less.</w:t>
      </w:r>
    </w:p>
    <w:p>
      <w:pPr>
        <w:spacing w:after="0" w:line="14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Property, equipment and satellites, net includes our owned and leased satellites and the associated earth stations and networking equipment, as well as the customer premise equipment units which are leased to subscribers under a retail leasing program as part of our satellite services segment.</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satellite co-location rights,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2022 and 2021.</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44" w:name="page45"/>
    <w:bookmarkEnd w:id="44"/>
    <w:p>
      <w:pPr>
        <w:ind w:right="340"/>
        <w:spacing w:after="0" w:line="246" w:lineRule="auto"/>
        <w:rPr>
          <w:sz w:val="20"/>
          <w:szCs w:val="20"/>
          <w:color w:val="auto"/>
        </w:rPr>
      </w:pPr>
      <w:r>
        <w:rPr>
          <w:rFonts w:ascii="Arial" w:cs="Arial" w:eastAsia="Arial" w:hAnsi="Arial"/>
          <w:sz w:val="18"/>
          <w:szCs w:val="18"/>
          <w:color w:val="auto"/>
        </w:rPr>
        <w:t>companies’ total enterprise value metrics, and (6) additional factors such as management turnover, changes in regulation and changes in litigation matters.</w:t>
      </w:r>
    </w:p>
    <w:p>
      <w:pPr>
        <w:spacing w:after="0" w:line="14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Based on our qualitative assessment performed during the fourth quarter of fiscal year 2022, we concluded that it was more likely than not that the estimated fair value of our reporting units exceeded their carrying value as of March 31, 2022, and therefore, determined it was not necessary to perform a quantitative goodwill impairment 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$78.1 million at March 31, 2022 to $147.7 million at December 31, 2022.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following table presents, as a percentage of total revenues, income statement data of our continuing operations for the periods indicated:</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gridSpan w:val="2"/>
          </w:tcPr>
          <w:p>
            <w:pPr>
              <w:spacing w:after="0"/>
              <w:rPr>
                <w:sz w:val="16"/>
                <w:szCs w:val="16"/>
                <w:color w:val="auto"/>
              </w:rPr>
            </w:pPr>
          </w:p>
        </w:tc>
      </w:tr>
      <w:tr>
        <w:trPr>
          <w:trHeight w:val="156"/>
        </w:trPr>
        <w:tc>
          <w:tcPr>
            <w:tcW w:w="4820" w:type="dxa"/>
            <w:vAlign w:val="bottom"/>
          </w:tcPr>
          <w:p>
            <w:pPr>
              <w:spacing w:after="0"/>
              <w:rPr>
                <w:sz w:val="13"/>
                <w:szCs w:val="13"/>
                <w:color w:val="auto"/>
              </w:rPr>
            </w:pPr>
          </w:p>
        </w:tc>
        <w:tc>
          <w:tcPr>
            <w:tcW w:w="142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jc w:val="right"/>
              <w:ind w:right="26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4820" w:type="dxa"/>
            <w:vAlign w:val="bottom"/>
          </w:tcPr>
          <w:p>
            <w:pPr>
              <w:spacing w:after="0"/>
              <w:rPr>
                <w:sz w:val="16"/>
                <w:szCs w:val="16"/>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revenues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Cost of service revenues</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Independent research and development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(1 )</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Income (loss) from continuing operations before income</w:t>
            </w: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taxes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8"/>
                <w:szCs w:val="18"/>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 from continuing</w:t>
            </w: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discontinued operations, net of tax</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-2605405</wp:posOffset>
            </wp:positionV>
            <wp:extent cx="641223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-1293495</wp:posOffset>
            </wp:positionV>
            <wp:extent cx="6858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-1293495</wp:posOffset>
            </wp:positionV>
            <wp:extent cx="6032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5969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-1293495</wp:posOffset>
            </wp:positionV>
            <wp:extent cx="60325"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-993775</wp:posOffset>
            </wp:positionV>
            <wp:extent cx="68580" cy="2825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-993775</wp:posOffset>
            </wp:positionV>
            <wp:extent cx="60325" cy="282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28257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59690" cy="282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282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282575"/>
                    </a:xfrm>
                    <a:prstGeom prst="rect">
                      <a:avLst/>
                    </a:prstGeom>
                    <a:noFill/>
                  </pic:spPr>
                </pic:pic>
              </a:graphicData>
            </a:graphic>
          </wp:anchor>
        </w:drawing>
      </w:r>
    </w:p>
    <w:p>
      <w:pPr>
        <w:spacing w:after="0" w:line="227" w:lineRule="exact"/>
        <w:rPr>
          <w:sz w:val="20"/>
          <w:szCs w:val="20"/>
          <w:color w:val="auto"/>
        </w:rPr>
      </w:pPr>
    </w:p>
    <w:p>
      <w:pPr>
        <w:ind w:right="3980"/>
        <w:spacing w:after="0" w:line="365" w:lineRule="auto"/>
        <w:rPr>
          <w:sz w:val="20"/>
          <w:szCs w:val="20"/>
          <w:color w:val="auto"/>
        </w:rPr>
      </w:pPr>
      <w:r>
        <w:rPr>
          <w:rFonts w:ascii="Arial" w:cs="Arial" w:eastAsia="Arial" w:hAnsi="Arial"/>
          <w:sz w:val="18"/>
          <w:szCs w:val="18"/>
          <w:b w:val="1"/>
          <w:bCs w:val="1"/>
          <w:color w:val="auto"/>
        </w:rPr>
        <w:t xml:space="preserve">Three Months Ended December 31, 2022 vs. Three Months Ended December 31, 2021 </w:t>
      </w:r>
      <w:r>
        <w:rPr>
          <w:rFonts w:ascii="Arial" w:cs="Arial" w:eastAsia="Arial" w:hAnsi="Arial"/>
          <w:sz w:val="18"/>
          <w:szCs w:val="18"/>
          <w:i w:val="1"/>
          <w:iCs w:val="1"/>
          <w:color w:val="auto"/>
        </w:rPr>
        <w:t>Revenues</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jc w:val="both"/>
        <w:ind w:right="40" w:firstLine="509"/>
        <w:spacing w:after="0" w:line="238" w:lineRule="auto"/>
        <w:rPr>
          <w:sz w:val="20"/>
          <w:szCs w:val="20"/>
          <w:color w:val="auto"/>
        </w:rPr>
      </w:pPr>
      <w:r>
        <w:rPr>
          <w:rFonts w:ascii="Arial" w:cs="Arial" w:eastAsia="Arial" w:hAnsi="Arial"/>
          <w:sz w:val="18"/>
          <w:szCs w:val="18"/>
          <w:color w:val="auto"/>
        </w:rPr>
        <w:t>Our total revenues increased by $26.2 million as a result of a $22.6 million increase in product revenues and a $3.6 million increase in service revenues. The product revenue increase was driven by a $24.1 million increase in our commercial networks segment, partially offset by a $1.5 million decrease in our government systems segment. The service revenue increase was driven by increases of $7.4 million in our government systems segment and $3.4 million in our commercial networks segment, partially offset by a $7.3 million decrease in our satellite 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760" w:type="dxa"/>
            <w:vAlign w:val="bottom"/>
            <w:gridSpan w:val="2"/>
          </w:tcPr>
          <w:p>
            <w:pPr>
              <w:jc w:val="center"/>
              <w:ind w:right="6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580" w:type="dxa"/>
            <w:vAlign w:val="bottom"/>
          </w:tcPr>
          <w:p>
            <w:pPr>
              <w:spacing w:after="0"/>
              <w:rPr>
                <w:sz w:val="16"/>
                <w:szCs w:val="16"/>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product revenues</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11 %</w:t>
            </w:r>
          </w:p>
        </w:tc>
      </w:tr>
      <w:tr>
        <w:trPr>
          <w:trHeight w:val="230"/>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7 %</w:t>
            </w:r>
          </w:p>
        </w:tc>
      </w:tr>
      <w:tr>
        <w:trPr>
          <w:trHeight w:val="223"/>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cost of revenues</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9 %</w:t>
            </w:r>
          </w:p>
        </w:tc>
      </w:tr>
      <w:tr>
        <w:trPr>
          <w:trHeight w:val="648"/>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-933450</wp:posOffset>
            </wp:positionV>
            <wp:extent cx="6412230" cy="145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6" w:name="page47"/>
    <w:bookmarkEnd w:id="46"/>
    <w:p>
      <w:pPr>
        <w:ind w:firstLine="509"/>
        <w:spacing w:after="0" w:line="236" w:lineRule="auto"/>
        <w:rPr>
          <w:sz w:val="20"/>
          <w:szCs w:val="20"/>
          <w:color w:val="auto"/>
        </w:rPr>
      </w:pPr>
      <w:r>
        <w:rPr>
          <w:rFonts w:ascii="Arial" w:cs="Arial" w:eastAsia="Arial" w:hAnsi="Arial"/>
          <w:sz w:val="18"/>
          <w:szCs w:val="18"/>
          <w:color w:val="auto"/>
        </w:rPr>
        <w:t>Cost of revenues increased by $38.8 million due to an increase of $ 20.1 million in cost of product revenues and an increase of $18.7 million in cost of service revenues. The cost of product revenues increase was primarily due to increased product revenues, mainly from our commercial networks segment, causing an $18.5 million increase in cost of product revenues on a constant margin basis. The cost of service revenue increase was mainly driven by lower margins, primarily from our satellite services segment driven by a decline in U.S. fixed broadband revenue due to fewer residential subscribers as we manage our bandwidth capacity in support of our growing mobility service ahead of the ViaSat-3 Americas launch. Once commercial service on ViaSat-3 Americas commences and as services using the new satellite scale, as in our past similar satellite launch cycles, we expect the margins from our satellite services segment to improve (see Liquidity and Capital Resources - Satellite-related activities for further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2"/>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$ 3.0 million decrease in selling, general and administrative (SG&amp;A) expenses was primarily due to a decrease in support costs of $3.6 million, primarily in our government systems and satellite services segments.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2"/>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right="440" w:firstLine="509"/>
        <w:spacing w:after="0"/>
        <w:rPr>
          <w:sz w:val="20"/>
          <w:szCs w:val="20"/>
          <w:color w:val="auto"/>
        </w:rPr>
      </w:pPr>
      <w:r>
        <w:rPr>
          <w:rFonts w:ascii="Arial" w:cs="Arial" w:eastAsia="Arial" w:hAnsi="Arial"/>
          <w:sz w:val="18"/>
          <w:szCs w:val="18"/>
          <w:color w:val="auto"/>
        </w:rPr>
        <w:t>The $ 6.9 million decrease in independent research and development (IR&amp;D) expenses was primarily the result of a $7.8 million decrease in our commercial networks segment (primarily related to next-generation satellite payload technologies), partially offset by an insignificant increase in our government systems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w:t>
      </w:r>
    </w:p>
    <w:p>
      <w:pPr>
        <w:spacing w:after="0"/>
        <w:rPr>
          <w:sz w:val="20"/>
          <w:szCs w:val="20"/>
          <w:color w:val="auto"/>
        </w:rPr>
      </w:pPr>
      <w:r>
        <w:rPr>
          <w:rFonts w:ascii="Arial" w:cs="Arial" w:eastAsia="Arial" w:hAnsi="Arial"/>
          <w:sz w:val="18"/>
          <w:szCs w:val="18"/>
          <w:color w:val="auto"/>
        </w:rPr>
        <w:t>The amortization of acquired intangible assets in the third quarter of fiscal year 2023 was relatively flat compared to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for the three months ended December 31, 2022 was relatively flat compared to the prior year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The $3.3 million increase in interest expense for the three months ended December 31, 2022 compared to the prior year period was primarily the result of an increase in interest expense related to our senior secured term loan facility (the Term Loan Facility), which was entered into during the fourth quarter of fiscal year 2022, partially offset by an increase in the amount of interest capitalized during the third quarter of fiscal year 2023 compared to the prior year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Income taxes</w:t>
      </w:r>
    </w:p>
    <w:p>
      <w:pPr>
        <w:spacing w:after="0" w:line="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For the three months ended December 31, 2022, we recorded an income tax provision of $5.2 million, resulting in an effective tax rate of negative 13%. The effective tax rate for the period differed from the U.S statutory rate due primarily to the expense for tax deficiencies upon settlement of stock-based compensation during the period. For the three months ended December 31, 2021, we recorded an income tax benefit of $3.3 million, resulting in an effective tax rate of 10%. The effective tax rate for the period differed from the U.S. statutory rate primarily due to the benefit of federal R&amp;D tax credits, partially offset by the expense for tax deficiencies upon settlement of stock-based compensation during the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2022 vs. Three Months Ended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80"/>
              <w:spacing w:after="0"/>
              <w:rPr>
                <w:sz w:val="20"/>
                <w:szCs w:val="20"/>
                <w:color w:val="auto"/>
              </w:rPr>
            </w:pPr>
            <w:r>
              <w:rPr>
                <w:rFonts w:ascii="Arial" w:cs="Arial" w:eastAsia="Arial" w:hAnsi="Arial"/>
                <w:sz w:val="18"/>
                <w:szCs w:val="18"/>
                <w:color w:val="auto"/>
              </w:rPr>
              <w:t>— %</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(7.3 )</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w w:val="92"/>
              </w:rPr>
              <w:t>(2 )%</w:t>
            </w:r>
          </w:p>
        </w:tc>
      </w:tr>
      <w:tr>
        <w:trPr>
          <w:trHeight w:val="20"/>
        </w:trPr>
        <w:tc>
          <w:tcPr>
            <w:tcW w:w="49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302.4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(7.3 )</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w w:val="92"/>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jc w:val="both"/>
        <w:ind w:right="60" w:firstLine="509"/>
        <w:spacing w:after="0" w:line="238" w:lineRule="auto"/>
        <w:rPr>
          <w:sz w:val="20"/>
          <w:szCs w:val="20"/>
          <w:color w:val="auto"/>
        </w:rPr>
      </w:pPr>
      <w:r>
        <w:rPr>
          <w:rFonts w:ascii="Arial" w:cs="Arial" w:eastAsia="Arial" w:hAnsi="Arial"/>
          <w:sz w:val="18"/>
          <w:szCs w:val="18"/>
          <w:color w:val="auto"/>
        </w:rPr>
        <w:t>The decrease of $7.3 million in our satellite services segment revenues for the three months ended December 31, 2022 compared to the prior year period was primarily due to a decline in U.S. fixed broadband revenue due to fewer residential subscribers as we manage our bandwidth capacity in support of our growing mobility services ahead of the ViaSat-3 Americas launch, partially offset by an increase in our in-flight services business. Our in-flight services business service revenue increased as the number of commercial aircraft receiving our in-flight services through our IFC systems and passenger air traffic both continued to increase.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Dollar</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right="440"/>
              <w:spacing w:after="0" w:line="156" w:lineRule="exact"/>
              <w:rPr>
                <w:sz w:val="20"/>
                <w:szCs w:val="20"/>
                <w:color w:val="auto"/>
              </w:rPr>
            </w:pPr>
            <w:r>
              <w:rPr>
                <w:rFonts w:ascii="Arial" w:cs="Arial" w:eastAsia="Arial" w:hAnsi="Arial"/>
                <w:sz w:val="14"/>
                <w:szCs w:val="14"/>
                <w:b w:val="1"/>
                <w:bCs w:val="1"/>
                <w:color w:val="auto"/>
              </w:rPr>
              <w:t>December 31,</w:t>
            </w:r>
          </w:p>
        </w:tc>
        <w:tc>
          <w:tcPr>
            <w:tcW w:w="106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11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(8.4 ) $</w:t>
            </w: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(19.9 )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(173 )%</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-290830</wp:posOffset>
            </wp:positionV>
            <wp:extent cx="641223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change in our satellite services segment operating profit to an operating loss was driven primarily by lower earnings contributions of $22.4 million, mainly due to lower contribution from our fixed broadband services business driven by a decline in U.S. fixed broadband revenue due to fewer residential subscribers as we manage our bandwidth capacity in support of our growing mobility service ahead of the ViaSat-3 Americas launch. Once commercial service on ViaSat-3 Americas commences and as services using the new satellite scale, as in our past similar satellite launch cycles, we expect the margins from our satellite services segment to improve (see Liquidity and Capital Resources - Satellite-related activities for further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Our commercial networks segment revenues increased by $27.5 million, due to a $24.1 million increase in product revenues and a $3.4 million increase in service revenues. The increase in product revenues was primarily due to an increase of $25.5 million in mobile broadband satellite communication systems products, related to higher IFC terminal shipments. The increase in service revenues was primarily driven by an increase in mobile broadband satellite communication systems services.</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6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Segment operating profit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(40.3 ) $</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(51.7 ) $  11.4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c>
          <w:tcPr>
            <w:tcW w:w="2020" w:type="dxa"/>
            <w:vAlign w:val="bottom"/>
            <w:gridSpan w:val="3"/>
          </w:tcPr>
          <w:p>
            <w:pPr>
              <w:jc w:val="right"/>
              <w:ind w:right="488"/>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-290830</wp:posOffset>
            </wp:positionV>
            <wp:extent cx="641223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decrease in our commercial networks segment operating loss was primarily driven by higher earnings contributions of $4.6 million, due to an increase in revenues, as discussed above. Additionally, the decrease in our commercial networks segment operating loss was further driven by a decrease of $7.8 million in IR&amp;D expenses (primarily related to next-generation satellite payload technologies). The decrease in commercial networks segment operating loss was partially offset by higher SG&amp;A costs of $1.0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government systems segment revenues increased by $ 5.9 million due to a $7.4 million increase in service revenues, partially offset by a $ 1.5 million decrease in product revenues. The service revenue increase was primarily due to a $7.6 million increase in government satellite communication systems services. Our government systems segment continued to show some impacts from the COVID-19 pandemic, due to continuing certification delays and supply chain component shortages, but government systems segment awards remained strong through the end of the third quarter of fiscal year 2023. As noted above, all government systems segment results reported herein exclude the Link-16 TDL Business, which are reported as discontinued operations in our condensed consolidated statements of operations for all periods presented.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Increas</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11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(Decre</w:t>
            </w: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Increase</w:t>
            </w:r>
          </w:p>
        </w:tc>
      </w:tr>
      <w:tr>
        <w:trPr>
          <w:trHeight w:val="18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ase)</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24.8  $</w:t>
            </w: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rPr>
              <w:t>$  5.8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14 %</w:t>
            </w:r>
          </w:p>
        </w:tc>
        <w:tc>
          <w:tcPr>
            <w:tcW w:w="1860" w:type="dxa"/>
            <w:vAlign w:val="bottom"/>
            <w:gridSpan w:val="3"/>
          </w:tcPr>
          <w:p>
            <w:pPr>
              <w:jc w:val="right"/>
              <w:ind w:right="428"/>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-290830</wp:posOffset>
            </wp:positionV>
            <wp:extent cx="641223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$ 5.8 million increase in our government systems segment operating profit was primarily driven by higher earnings contributions of $5.2 million, primarily due to increased revenues and improved margins in our government satellite communication systems services.</w:t>
      </w:r>
    </w:p>
    <w:p>
      <w:pPr>
        <w:spacing w:after="0" w:line="215" w:lineRule="exact"/>
        <w:rPr>
          <w:sz w:val="20"/>
          <w:szCs w:val="20"/>
          <w:color w:val="auto"/>
        </w:rPr>
      </w:pPr>
    </w:p>
    <w:p>
      <w:pPr>
        <w:ind w:right="4180"/>
        <w:spacing w:after="0" w:line="350" w:lineRule="auto"/>
        <w:rPr>
          <w:sz w:val="20"/>
          <w:szCs w:val="20"/>
          <w:color w:val="auto"/>
        </w:rPr>
      </w:pPr>
      <w:r>
        <w:rPr>
          <w:rFonts w:ascii="Arial" w:cs="Arial" w:eastAsia="Arial" w:hAnsi="Arial"/>
          <w:sz w:val="18"/>
          <w:szCs w:val="18"/>
          <w:b w:val="1"/>
          <w:bCs w:val="1"/>
          <w:color w:val="auto"/>
        </w:rPr>
        <w:t xml:space="preserve">Nine Months Ended December 31, 2022 vs. Nine Months Ended December 31, 2021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5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740" w:type="dxa"/>
            <w:vAlign w:val="bottom"/>
            <w:gridSpan w:val="2"/>
          </w:tcPr>
          <w:p>
            <w:pPr>
              <w:jc w:val="center"/>
              <w:ind w:right="6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580" w:type="dxa"/>
            <w:vAlign w:val="bottom"/>
          </w:tcPr>
          <w:p>
            <w:pPr>
              <w:spacing w:after="0"/>
              <w:rPr>
                <w:sz w:val="16"/>
                <w:szCs w:val="16"/>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Product revenues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4 %</w:t>
            </w:r>
          </w:p>
        </w:tc>
      </w:tr>
      <w:tr>
        <w:trPr>
          <w:trHeight w:val="230"/>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Service revenues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5 %</w:t>
            </w:r>
          </w:p>
        </w:tc>
      </w:tr>
      <w:tr>
        <w:trPr>
          <w:trHeight w:val="223"/>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79.6</w:t>
            </w:r>
          </w:p>
        </w:tc>
        <w:tc>
          <w:tcPr>
            <w:tcW w:w="1920" w:type="dxa"/>
            <w:vAlign w:val="bottom"/>
            <w:gridSpan w:val="3"/>
          </w:tcPr>
          <w:p>
            <w:pPr>
              <w:jc w:val="right"/>
              <w:ind w:right="480"/>
              <w:spacing w:after="0"/>
              <w:rPr>
                <w:sz w:val="20"/>
                <w:szCs w:val="20"/>
                <w:color w:val="auto"/>
              </w:rPr>
            </w:pPr>
            <w:r>
              <w:rPr>
                <w:rFonts w:ascii="Arial" w:cs="Arial" w:eastAsia="Arial" w:hAnsi="Arial"/>
                <w:sz w:val="18"/>
                <w:szCs w:val="18"/>
                <w:color w:val="auto"/>
              </w:rPr>
              <w:t>4 %</w:t>
            </w:r>
          </w:p>
        </w:tc>
      </w:tr>
      <w:tr>
        <w:trPr>
          <w:trHeight w:val="648"/>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49</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-933450</wp:posOffset>
            </wp:positionV>
            <wp:extent cx="641223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49" w:name="page50"/>
    <w:bookmarkEnd w:id="49"/>
    <w:p>
      <w:pPr>
        <w:ind w:right="60" w:firstLine="509"/>
        <w:spacing w:after="0" w:line="236" w:lineRule="auto"/>
        <w:rPr>
          <w:sz w:val="20"/>
          <w:szCs w:val="20"/>
          <w:color w:val="auto"/>
        </w:rPr>
      </w:pPr>
      <w:r>
        <w:rPr>
          <w:rFonts w:ascii="Arial" w:cs="Arial" w:eastAsia="Arial" w:hAnsi="Arial"/>
          <w:sz w:val="18"/>
          <w:szCs w:val="18"/>
          <w:color w:val="auto"/>
        </w:rPr>
        <w:t>Our total revenues grew by $79.6 million as a result of a $55.2 million increase in service revenues and a $24.4 million increase in product revenues. The service revenue increase was due to increases of $31.1 million in our satellite services segment, $14.2 million in our government systems segment, and $9.9 million in our commercial networks segment. The increase in product revenues was driven primarily by a $ 57.0 million increase in our commercial networks segment, primarily the result of the Cisco Systems, Inc. (Cisco) settlement. Cisco, which previously acquired Acacia Communications, Inc. (Acacia), paid us $62.2 million during the second quarter of fiscal year 2023 in order to fully satisfy the July 2019 judgment previously entered against Acacia (the Cisco Settlement), of which we recorded $55.8 million as product revenue in our commercial networks segment (see Note 1 — Basis of Presentation to our condensed consolidated financial statements for more information), partially offset by a $32.6 million decrease in our government systems segment.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5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Cost of revenues increased by $67.5 million due to an increase of $74.1 million in cost of service revenues, partially offset by a $6.7 million decrease in cost of product revenues. A portion of the cost of service revenue increase was due to lower margins, primarily from our satellite services segment driven by a decline in U.S. fixed broadband revenue due to fewer residential subscribers as we manage our bandwidth capacity in support of our growing mobility service ahead of the ViaSat-3 Americas launch. Once commercial service on ViaSat-3 Americas commences and as services using the new satellite scale, as in our past similar satellite launch cycles, we expect the margins from our satellite services segment to improve (see Liquidity and Capital Resources - Satellite-related activities for further information). The increase in cost of service revenues was further driven by increased service revenues, also mainly from our satellite services segment primarily attributable to an increase in our in-flight services business, causing a $35.5 million increase in cost of service revenues on a constant margin basis. The decrease in cost of product revenues was primarily driven by lower product revenues from our government systems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24"/>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2"/>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4"/>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The $42.4 million increase in SG&amp;A expenses reflected an increase in support costs of $33.8 million, driven by an increase in acquisition-related expenses of $13.5 million (mainly related to the Inmarsat Transaction) and increases in other support costs reflected across all three segments. The increase in SG&amp;A expenses was also driven by higher selling costs of $5.3 million, reflected primarily in our commercial networks and government systems segments, and higher bid and proposal costs of $3.3 million, mainly in our commercial networks segment.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2"/>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4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The $13.0 million decrease in IR&amp;D expenses was mainly the result of a decrease of $14.0 million in IR&amp;D efforts in our commercial networks segment (primarily related to next-generation satellite payload technologies), slightly offset by an insignificant increase in our government systems segment.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81"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$1.5 million increase in amortization of acquired intangible assets in the first nine months of fiscal year 2023 compared to the prior year period was primarily related to the amortization of new intangibles acquired as a result of recent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$6.9 million increase in interest income for the nine months ended December 31, 2022 compared to the prior year period was primarily the result of the Cisco Settlement described above, of which we recorded $6.4 million as interest income. Please refer to Note 1 — Basis of Presentation to our condensed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$1.5 million increase in interest expense in the nine months ended December 31, 2022 compared to the prior year period was primarily due to an increase in interest expense related to our Term Loan Facility, which was entered into during the fourth quarter of fiscal year 2022, partially offset by an increase in the amount of interest capitalized during the first nine months of fiscal year 2023 compared to the prior year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8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For the nine months ended December 31, 2022, we recorded an income tax provision of $59.0 million, resulting in an effective tax rate of negative 63%. The effective tax rate for the period differed from the U.S. statutory rate due primarily to the establishment of a valuation allowance on the deferred tax asset for California R&amp;D tax credits that was partially offset by the benefit of federal R&amp;D tax credits, and the expense for tax deficiencies upon settlement of stock-based compensation during the period. For the nine months ended December 31, 2021, we recorded an income tax benefit of $22.0 million, resulting in an effective tax rate of 28%. The effective tax rate for the period differed from the U.S. statutory rate due primarily to the benefit of federal R&amp;D tax credits, the reversal of a deferred tax liability recorded for EBI's outside basis difference upon assertion made during the first quarter of fiscal year 2022 to indefinitely reinvest future earnings and the expense for tax deficiencies upon settlement of stock-based compensation during the period.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31, 2022 vs. Nine Months Ended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satellite services segment revenues increased by $31.1 million for the nine months ended December 31, 2022 compared to the prior year period due to an increase in service revenues. The increase in service revenues was primarily attributable to an increase in our in-flight services business. The increase in in-flight service revenue was driven primarily by an increase in the number of commercial aircraft receiving our in-flight services through our IFC systems, an increase in passenger air traffic and the continued return to service of aircraft that were previously inactive as a result of the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Dollar</w:t>
            </w: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right="440"/>
              <w:spacing w:after="0" w:line="156"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center"/>
              <w:ind w:right="30"/>
              <w:spacing w:after="0" w:line="156"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1600" w:type="dxa"/>
            <w:vAlign w:val="bottom"/>
            <w:gridSpan w:val="2"/>
          </w:tcPr>
          <w:p>
            <w:pPr>
              <w:jc w:val="center"/>
              <w:ind w:right="6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580" w:type="dxa"/>
            <w:vAlign w:val="bottom"/>
          </w:tcPr>
          <w:p>
            <w:pPr>
              <w:spacing w:after="0"/>
              <w:rPr>
                <w:sz w:val="16"/>
                <w:szCs w:val="16"/>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Segment operating profit (loss)</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(13.1 ) $</w:t>
            </w:r>
          </w:p>
        </w:tc>
        <w:tc>
          <w:tcPr>
            <w:tcW w:w="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(48.9 )</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(137 )%</w:t>
            </w: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c>
          <w:tcPr>
            <w:tcW w:w="6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-779780</wp:posOffset>
            </wp:positionV>
            <wp:extent cx="641223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1" w:name="page52"/>
    <w:bookmarkEnd w:id="51"/>
    <w:p>
      <w:pPr>
        <w:ind w:right="20" w:firstLine="509"/>
        <w:spacing w:after="0" w:line="238" w:lineRule="auto"/>
        <w:rPr>
          <w:sz w:val="20"/>
          <w:szCs w:val="20"/>
          <w:color w:val="auto"/>
        </w:rPr>
      </w:pPr>
      <w:r>
        <w:rPr>
          <w:rFonts w:ascii="Arial" w:cs="Arial" w:eastAsia="Arial" w:hAnsi="Arial"/>
          <w:sz w:val="18"/>
          <w:szCs w:val="18"/>
          <w:color w:val="auto"/>
        </w:rPr>
        <w:t>The change in our satellite services segment operating profit to an operating loss was primarily driven by lower earnings contributions of $29.4 million, primarily from our fixed broadband services business. The increase in our satellite services segment operating loss was further driven by higher SG&amp;A costs of $19.2 million (partially attributable to acquisition expenses related to the Inmarsat Transaction) as well as growing expenses associated with activating more of the ViaSat-3 ground network and international activities and increased expenses as a result of supply chain shortages.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8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commercial networks segment revenues increased by $67.0 million, due to a $57.0 million increase in product revenues and a</w:t>
      </w:r>
    </w:p>
    <w:p>
      <w:pPr>
        <w:spacing w:after="0" w:line="234" w:lineRule="auto"/>
        <w:rPr>
          <w:sz w:val="20"/>
          <w:szCs w:val="20"/>
          <w:color w:val="auto"/>
        </w:rPr>
      </w:pPr>
      <w:r>
        <w:rPr>
          <w:rFonts w:ascii="Arial" w:cs="Arial" w:eastAsia="Arial" w:hAnsi="Arial"/>
          <w:sz w:val="18"/>
          <w:szCs w:val="18"/>
          <w:color w:val="auto"/>
        </w:rPr>
        <w:t>$9.9 million increase in service revenues. The increase in product revenues was primarily the result of the Cisco Settlement described above,</w:t>
      </w:r>
    </w:p>
    <w:p>
      <w:pPr>
        <w:spacing w:after="0" w:line="235" w:lineRule="auto"/>
        <w:rPr>
          <w:sz w:val="20"/>
          <w:szCs w:val="20"/>
          <w:color w:val="auto"/>
        </w:rPr>
      </w:pPr>
      <w:r>
        <w:rPr>
          <w:rFonts w:ascii="Arial" w:cs="Arial" w:eastAsia="Arial" w:hAnsi="Arial"/>
          <w:sz w:val="18"/>
          <w:szCs w:val="18"/>
          <w:color w:val="auto"/>
        </w:rPr>
        <w:t>of which we recorded $55.8 million as product revenue in our commercial networks segment. Please refer to Note 1 — Basis of Presentation</w:t>
      </w:r>
    </w:p>
    <w:p>
      <w:pPr>
        <w:spacing w:after="0" w:line="235" w:lineRule="auto"/>
        <w:rPr>
          <w:sz w:val="20"/>
          <w:szCs w:val="20"/>
          <w:color w:val="auto"/>
        </w:rPr>
      </w:pPr>
      <w:r>
        <w:rPr>
          <w:rFonts w:ascii="Arial" w:cs="Arial" w:eastAsia="Arial" w:hAnsi="Arial"/>
          <w:sz w:val="18"/>
          <w:szCs w:val="18"/>
          <w:color w:val="auto"/>
        </w:rPr>
        <w:t>to our condensed consolidated financial statements for more information. The increase in service revenues was primarily driven by an</w:t>
      </w:r>
    </w:p>
    <w:p>
      <w:pPr>
        <w:spacing w:after="0"/>
        <w:rPr>
          <w:sz w:val="20"/>
          <w:szCs w:val="20"/>
          <w:color w:val="auto"/>
        </w:rPr>
      </w:pPr>
      <w:r>
        <w:rPr>
          <w:rFonts w:ascii="Arial" w:cs="Arial" w:eastAsia="Arial" w:hAnsi="Arial"/>
          <w:sz w:val="18"/>
          <w:szCs w:val="18"/>
          <w:color w:val="auto"/>
        </w:rPr>
        <w:t>increase in mobile broadband satellite communication systems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Segment operating profit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(90.4 ) $</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(147.8 ) $  57.4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(20 )%</w:t>
            </w:r>
          </w:p>
        </w:tc>
        <w:tc>
          <w:tcPr>
            <w:tcW w:w="2020" w:type="dxa"/>
            <w:vAlign w:val="bottom"/>
            <w:gridSpan w:val="3"/>
          </w:tcPr>
          <w:p>
            <w:pPr>
              <w:jc w:val="right"/>
              <w:ind w:right="488"/>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-290830</wp:posOffset>
            </wp:positionV>
            <wp:extent cx="641223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8" w:lineRule="exact"/>
        <w:rPr>
          <w:sz w:val="20"/>
          <w:szCs w:val="20"/>
          <w:color w:val="auto"/>
        </w:rPr>
      </w:pPr>
    </w:p>
    <w:p>
      <w:pPr>
        <w:ind w:right="220" w:firstLine="509"/>
        <w:spacing w:after="0" w:line="257" w:lineRule="auto"/>
        <w:rPr>
          <w:sz w:val="20"/>
          <w:szCs w:val="20"/>
          <w:color w:val="auto"/>
        </w:rPr>
      </w:pPr>
      <w:r>
        <w:rPr>
          <w:rFonts w:ascii="Arial" w:cs="Arial" w:eastAsia="Arial" w:hAnsi="Arial"/>
          <w:sz w:val="17"/>
          <w:szCs w:val="17"/>
          <w:color w:val="auto"/>
        </w:rPr>
        <w:t>The $57.4 million reduction in our commercial networks operating loss was driven primarily by higher earnings contributions of $ 54.1 million, primarily due to higher revenues as described above. The reduction in operating loss was also due to a $14.0 million decrease in IR&amp;D expenses (primarily related to next-generation satellite payload technologies). The decrease in operating loss was partially offset by higher SG&amp;A costs of $10.7 million, which includes legal and other expenses related to the Cisco Settlement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Dollar</w:t>
            </w:r>
          </w:p>
        </w:tc>
        <w:tc>
          <w:tcPr>
            <w:tcW w:w="18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7"/>
              <w:spacing w:after="0" w:line="156"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1840" w:type="dxa"/>
            <w:vAlign w:val="bottom"/>
            <w:gridSpan w:val="2"/>
          </w:tcPr>
          <w:p>
            <w:pPr>
              <w:jc w:val="center"/>
              <w:ind w:right="6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89"/>
        </w:trPr>
        <w:tc>
          <w:tcPr>
            <w:tcW w:w="580" w:type="dxa"/>
            <w:vAlign w:val="bottom"/>
          </w:tcPr>
          <w:p>
            <w:pPr>
              <w:spacing w:after="0"/>
              <w:rPr>
                <w:sz w:val="16"/>
                <w:szCs w:val="16"/>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(32.6 )</w:t>
            </w: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(10 )%</w:t>
            </w:r>
          </w:p>
        </w:tc>
      </w:tr>
      <w:tr>
        <w:trPr>
          <w:trHeight w:val="229"/>
        </w:trPr>
        <w:tc>
          <w:tcPr>
            <w:tcW w:w="5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6 %</w:t>
            </w:r>
          </w:p>
        </w:tc>
      </w:tr>
      <w:tr>
        <w:trPr>
          <w:trHeight w:val="223"/>
        </w:trPr>
        <w:tc>
          <w:tcPr>
            <w:tcW w:w="5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(18.4 )</w:t>
            </w: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(3 )%</w:t>
            </w:r>
          </w:p>
        </w:tc>
      </w:tr>
      <w:tr>
        <w:trPr>
          <w:trHeight w:val="648"/>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-933450</wp:posOffset>
            </wp:positionV>
            <wp:extent cx="6412230"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ind w:firstLine="509"/>
        <w:spacing w:after="0" w:line="236" w:lineRule="auto"/>
        <w:rPr>
          <w:sz w:val="20"/>
          <w:szCs w:val="20"/>
          <w:color w:val="auto"/>
        </w:rPr>
      </w:pPr>
      <w:r>
        <w:rPr>
          <w:rFonts w:ascii="Arial" w:cs="Arial" w:eastAsia="Arial" w:hAnsi="Arial"/>
          <w:sz w:val="18"/>
          <w:szCs w:val="18"/>
          <w:color w:val="auto"/>
        </w:rPr>
        <w:t>Our government systems segment revenues decreased by $18.4 million due to a $32.6 million decrease in product revenues, partially offset by a $ 14.2 million increase in service revenues. The product revenue decrease was primarily driven by a $31.7 million decrease in government satellite communication systems products. Our government systems segment continued to show some impacts from the COVID-19 pandemic, due to continuing certification delays and supply chain component shortages, but government systems segment awards remained strong in the first nine months of the fiscal year. The service revenue increase was primarily due to a $19.4 million increase in government satellite communication systems services, partially offset by a $7.7 million decrease in government mobile broadband services. As noted above, all government systems segment results reported herein exclude the Link-16 TDL Business, which are reported as discontinued operations in our condensed consolidated statements of operations for all periods presented.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4"/>
            <w:vMerge w:val="restart"/>
          </w:tcPr>
          <w:p>
            <w:pPr>
              <w:jc w:val="right"/>
              <w:ind w:right="59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w:t>
            </w: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Dollar</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56"/>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21"/>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79"/>
              <w:spacing w:after="0" w:line="15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Segment operating profit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19"/>
                <w:szCs w:val="19"/>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8 %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-290830</wp:posOffset>
            </wp:positionV>
            <wp:extent cx="6412230"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6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$25.8 million decrease in our government systems segment operating profit was driven by lower earnings contributions of $12.5 million, primarily due to a decrease in product revenues described above. The decrease in operating profit was also driven by a $12.5 million increase in SG&amp;A costs (partially related to acquisition expenses related to the Inmarsat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As reflected in the table below, our overall firm and funded backlog (including discontinued operations) increased during the first nine months of fiscal year 2023.</w:t>
      </w:r>
    </w:p>
    <w:p>
      <w:pPr>
        <w:spacing w:after="0" w:line="171"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7"/>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r>
      <w:tr>
        <w:trPr>
          <w:trHeight w:val="189"/>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60" w:type="dxa"/>
            <w:vAlign w:val="bottom"/>
          </w:tcPr>
          <w:p>
            <w:pPr>
              <w:spacing w:after="0"/>
              <w:rPr>
                <w:sz w:val="16"/>
                <w:szCs w:val="16"/>
                <w:color w:val="auto"/>
              </w:rPr>
            </w:pPr>
          </w:p>
        </w:tc>
      </w:tr>
      <w:tr>
        <w:trPr>
          <w:trHeight w:val="155"/>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422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Firm backlog (including discontinued</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427.5</w:t>
            </w:r>
          </w:p>
        </w:tc>
        <w:tc>
          <w:tcPr>
            <w:tcW w:w="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554.5</w:t>
            </w:r>
          </w:p>
        </w:tc>
        <w:tc>
          <w:tcPr>
            <w:tcW w:w="6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w:t>
            </w:r>
          </w:p>
        </w:tc>
        <w:tc>
          <w:tcPr>
            <w:tcW w:w="6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60" w:type="dxa"/>
            <w:vAlign w:val="bottom"/>
          </w:tcPr>
          <w:p>
            <w:pPr>
              <w:spacing w:after="0"/>
              <w:rPr>
                <w:sz w:val="19"/>
                <w:szCs w:val="19"/>
                <w:color w:val="auto"/>
              </w:rPr>
            </w:pPr>
          </w:p>
        </w:tc>
      </w:tr>
      <w:tr>
        <w:trPr>
          <w:trHeight w:val="26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2,228.4</w:t>
            </w: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2,032.7</w:t>
            </w:r>
          </w:p>
        </w:tc>
        <w:tc>
          <w:tcPr>
            <w:tcW w:w="60" w:type="dxa"/>
            <w:vAlign w:val="bottom"/>
            <w:shd w:val="clear" w:color="auto" w:fill="CFF0FC"/>
          </w:tcPr>
          <w:p>
            <w:pPr>
              <w:spacing w:after="0"/>
              <w:rPr>
                <w:sz w:val="22"/>
                <w:szCs w:val="22"/>
                <w:color w:val="auto"/>
              </w:rPr>
            </w:pPr>
          </w:p>
        </w:tc>
      </w:tr>
      <w:tr>
        <w:trPr>
          <w:trHeight w:val="174"/>
        </w:trPr>
        <w:tc>
          <w:tcPr>
            <w:tcW w:w="4220" w:type="dxa"/>
            <w:vAlign w:val="bottom"/>
            <w:tcBorders>
              <w:top w:val="single" w:sz="8" w:color="CFF0FC"/>
            </w:tcBorders>
          </w:tcPr>
          <w:p>
            <w:pPr>
              <w:spacing w:after="0" w:line="174" w:lineRule="exact"/>
              <w:rPr>
                <w:sz w:val="20"/>
                <w:szCs w:val="20"/>
                <w:color w:val="auto"/>
              </w:rPr>
            </w:pPr>
            <w:r>
              <w:rPr>
                <w:rFonts w:ascii="Arial" w:cs="Arial" w:eastAsia="Arial" w:hAnsi="Arial"/>
                <w:sz w:val="18"/>
                <w:szCs w:val="18"/>
                <w:b w:val="1"/>
                <w:bCs w:val="1"/>
                <w:color w:val="auto"/>
              </w:rPr>
              <w:t>Funded backlog (including discontinued</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r>
      <w:tr>
        <w:trPr>
          <w:trHeight w:val="239"/>
        </w:trPr>
        <w:tc>
          <w:tcPr>
            <w:tcW w:w="422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w:t>
            </w: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554.5</w:t>
            </w:r>
          </w:p>
        </w:tc>
        <w:tc>
          <w:tcPr>
            <w:tcW w:w="6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583.1</w:t>
            </w:r>
          </w:p>
        </w:tc>
        <w:tc>
          <w:tcPr>
            <w:tcW w:w="60" w:type="dxa"/>
            <w:vAlign w:val="bottom"/>
          </w:tcPr>
          <w:p>
            <w:pPr>
              <w:spacing w:after="0"/>
              <w:rPr>
                <w:sz w:val="19"/>
                <w:szCs w:val="19"/>
                <w:color w:val="auto"/>
              </w:rPr>
            </w:pPr>
          </w:p>
        </w:tc>
      </w:tr>
      <w:tr>
        <w:trPr>
          <w:trHeight w:val="230"/>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964.1</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2,043.6</w:t>
            </w:r>
          </w:p>
        </w:tc>
        <w:tc>
          <w:tcPr>
            <w:tcW w:w="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1,941.0</w:t>
            </w:r>
          </w:p>
        </w:tc>
        <w:tc>
          <w:tcPr>
            <w:tcW w:w="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-916305</wp:posOffset>
            </wp:positionV>
            <wp:extent cx="779780" cy="3003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9780" cy="3003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-179070</wp:posOffset>
            </wp:positionV>
            <wp:extent cx="4318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-179070</wp:posOffset>
            </wp:positionV>
            <wp:extent cx="3429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14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firm backlog does not include contract options. As of December 31, 2022, of the $2.2 billion in firm backlog (including approximately $568.9 million attributable to discontinued operations), a little over half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December 31, 2022, our IFC systems were installed and in service on approximately 2,140 commercial aircraft, of which approximately 30 were inactive at quarter end (mostly due to impacts of the COVID-19 pandemic). While domestic airline traffic continued to increase during fiscal year 2023 (with increased planes in service and higher passenger volumes), global airline traffic has not yet recovered to pre-pandemic levels. We expect to continue to see some negative impacts on revenues and operating cash flows from our IFC businesses in fiscal year 2023 and potentially beyond but for the effects to continue to lessen over time with increases in passenger air traffic and the return to service of additional currently inactive aircraft. We anticipate that approximately 1,260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3" w:name="page54"/>
    <w:bookmarkEnd w:id="53"/>
    <w:p>
      <w:pPr>
        <w:ind w:right="360" w:firstLine="509"/>
        <w:spacing w:after="0" w:line="261" w:lineRule="auto"/>
        <w:rPr>
          <w:sz w:val="20"/>
          <w:szCs w:val="20"/>
          <w:color w:val="auto"/>
        </w:rPr>
      </w:pPr>
      <w:r>
        <w:rPr>
          <w:rFonts w:ascii="Arial" w:cs="Arial" w:eastAsia="Arial" w:hAnsi="Arial"/>
          <w:sz w:val="17"/>
          <w:szCs w:val="17"/>
          <w:color w:val="auto"/>
        </w:rPr>
        <w:t>Our total new awards (including discontinued operations, but excluding future revenue under recurring consumer commitment arrangements) were approximately $617.1 million and $2.5 billion for the three and nine months ended December 31, 2022, respectively, compared to approximately $568.9 million and $2.0 billion for the three and nine months ended December 31, 2021, respectively.</w:t>
      </w:r>
    </w:p>
    <w:p>
      <w:pPr>
        <w:spacing w:after="0" w:line="13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Subsequent to quarter end, we used a portion of the proceeds from the Link-16 TDL Sale to repay all then-outstanding borrowings under our Revolving Credit Facility. In addition, we expect the remaining portion of the net cash proceeds from the Link-16 TDL Sale to be used to support our operations and provide additional liquidity given the current conditions of credit markets and the 2025 Notes maturity. At December 31, 2022, we had $182.1 million in cash and cash equivalents, $401.0 million in working capital, and $475.0 million in principal amount of outstanding borrowings and borrowing availability of $156.8 million under our Revolving Credit Facility. At March 31, 2022, we had $310.5 million in cash and cash equivalents, $389.1 million in working capital, and no outstanding borrowings and borrowing availability of $637.0 million under our Revolving Credit Facility. We invest our cash in excess of current operating requirements in short-term, highly liquid bank money market accounts.</w:t>
      </w:r>
    </w:p>
    <w:p>
      <w:pPr>
        <w:spacing w:after="0" w:line="153"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We have obtained financing commitments for an additional $1.6 billion of new debt facilities in connection with the Inmarsat Transaction (which may be secured and/or unsecured). We also plan to assume $2.1 billion in principal amount of Inmarsat senior secured bonds and the outstanding indebtedness under Inmarsat’s $2.4 billion senior secured credit facilities.</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and our future capital requirements will depend upon many factors, including the timing and amount of cash required to consummate the Inmarsat Transaction (including the cash portion of the purchase price, transaction-related costs and integration-related costs, see the discussion above under "Inmarsat Acquisition"), cash required for our satellite projects and any future broadband satellite projects we may engage in, expansion of our IR&amp;D and marketing efforts, and the nature and timing of orders. In particular:</w:t>
      </w:r>
    </w:p>
    <w:p>
      <w:pPr>
        <w:spacing w:after="0" w:line="94" w:lineRule="exact"/>
        <w:rPr>
          <w:sz w:val="20"/>
          <w:szCs w:val="20"/>
          <w:color w:val="auto"/>
        </w:rPr>
      </w:pPr>
    </w:p>
    <w:p>
      <w:pPr>
        <w:ind w:left="1020" w:right="320" w:hanging="503"/>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w:t>
      </w:r>
    </w:p>
    <w:p>
      <w:pPr>
        <w:spacing w:after="0" w:line="96" w:lineRule="exact"/>
        <w:rPr>
          <w:rFonts w:ascii="Arial" w:cs="Arial" w:eastAsia="Arial" w:hAnsi="Arial"/>
          <w:sz w:val="18"/>
          <w:szCs w:val="18"/>
          <w:color w:val="auto"/>
        </w:rPr>
      </w:pPr>
    </w:p>
    <w:p>
      <w:pPr>
        <w:ind w:left="1020" w:right="60" w:hanging="503"/>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spacing w:after="0" w:line="96"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ind w:right="140" w:firstLine="509"/>
        <w:spacing w:after="0" w:line="238"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 Although a significant portion of transaction-related costs relating to the Inmarsat Transaction is contingent upon the closing of the Inmarsat Transaction occurring, some have been and will be incurred regardless of whether the Inmarsat Transaction is consummated.</w:t>
      </w:r>
    </w:p>
    <w:p>
      <w:pPr>
        <w:spacing w:after="0" w:line="15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warrants and rights, which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Although we can give no assurances concerning our future liquidity, we believe that we have adequate sources of funding to meet our anticipated operating requirements for the next 12 months, as well as to fund the consummation of the Inmarsat Transaction, which include, but are not limited to, cash on hand, borrowing capacity, cash expected to be provided by operating activities and financing commitments obtained in connection with the Inmarsat Transaction.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Cash provided by operating activities for the first nine months of fiscal year 2023 was $317.6 million compared to $386.4 million in the prior year period. This $68.8 million decrease was driven by our operating results (net income (loss) adjusted for depreciation, amortization and other non-cash charges) which resulted in $37.2 million of lower cash provided by operating activities year-over-year, and a $ 31.6 million year-over-year increase in cash used to fund net operating assets. The increase in cash used to fund net operating assets during the first nine months of fiscal year 2023 when compared to the prior year period was primarily due to a higher increase in cash used for IFC terminal inventory in our commercial networks segment in expectation of related revenue ramp up over the remainder of fiscal year 2023 and the first part of fiscal year 2024 for commercial airline customers.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Cash used in investing activities for the first nine months of fiscal year 2023 was $850.7 million compared to $850.9 million in the prior year period. This insignificant decrease in cash used in investing activities year-over-year reflects $138.7 million in cash used for the RigNet and EBI acquisitions in the first quarter of fiscal year 2022, partially offset by an increase of $ 99.1 million in capital expenditures used for property and other general purpose equipment, an increase of $25.6 million in cash used for the construction of earth stations and network operation systems, and an increase of $15.7 million in cash used for capital software development year-over-year. Cash used in investing activities related to our discontinued operations was slightly higher year-over-year related to an insignificant increase in capital expenditures used for property and other general purpose equipment.</w:t>
      </w:r>
    </w:p>
    <w:p>
      <w:pPr>
        <w:spacing w:after="0" w:line="14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Cash provided by financing activities for the first nine months of fiscal year 2023 was $406.0 million compared to $338.3 million for the prior year period. This $67.7 million increase in cash provided by financing activities year-over-year was mainly due to an increase in proceeds from debt borrowings of $100.0 million, partially offset by a payment of $30.0 million by our majority-owned subsidiary, TrellisWare Technologies, Inc., to repurchase shares of its common stock from its stockholders in the second quarter of fiscal year 2023 (see Note 1 — Basis of Presentation – Noncontrolling interest to our condensed consolidated financial statements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5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12 — Commitments to our consolidated financial statements included in our Annual Report on Form 10-K for the year ended March 31, 2022 for information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5" w:name="page56"/>
    <w:bookmarkEnd w:id="55"/>
    <w:p>
      <w:pPr>
        <w:ind w:right="260"/>
        <w:spacing w:after="0"/>
        <w:rPr>
          <w:sz w:val="20"/>
          <w:szCs w:val="20"/>
          <w:color w:val="auto"/>
        </w:rPr>
      </w:pPr>
      <w:r>
        <w:rPr>
          <w:rFonts w:ascii="Arial" w:cs="Arial" w:eastAsia="Arial" w:hAnsi="Arial"/>
          <w:sz w:val="18"/>
          <w:szCs w:val="18"/>
          <w:color w:val="auto"/>
        </w:rPr>
        <w:t>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49"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 In addition, we may experience bandwidth supply constraints in the lead-up to the commencement of commercial service on new satellites.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8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As of December 31, 2022, the aggregate principal amount of our total outstanding indebtedness was $ 3.0 billion, which was comprised of $700.0 million in principal amount of 2025 Notes, $600.0 million in principal amount of 2027 Notes, $400.0 million in principal amount of 2028 Notes (together with the 2025 Notes and 2027 Notes, the Notes), $696.5 million in principal amount of outstanding borrowings under our Term Loan Facility, $475.0 million in principal amount of outstanding borrowings under our $700.0 million Revolving Credit Facility, $59.0 million in principal amount of outstanding borrowings under our direct loan facility with the Export-Import Bank of the United States (the Ex-Im Credit Facility) and $42.3 million of finance lease obligations. Subsequent to quarter end, we used a portion of the proceeds from the Link-16 TDL Sale to repay all then-outstanding borrowings under our Revolving Credit Facility. For information regarding our Term Loan Facility, Revolving Credit Facility and Ex-Im Facility (collectively, the Credit Facilities) and Notes, refer to Note 8 – Senior Notes and Other Long-Term Debt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85"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For a discussion of our capital expenditures and IR&amp;D investments, see Part II, Item 7, “Liquidity and Capital Resources – Capital Expenditures and IR&amp;D Investments” in our Annual Report on Form 10-K for the year ended March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5"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(including in respect of our discontinued operations) at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leases (1)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81,699</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Senior Notes and Other Long-Term Debt (2)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232,337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3,578,785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 commitments including satellite-related</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1,497,577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1,039,848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tcBorders>
              <w:bottom w:val="single" w:sz="8" w:color="CFF0FC"/>
            </w:tcBorders>
            <w:gridSpan w:val="2"/>
            <w:shd w:val="clear" w:color="auto" w:fill="CFF0FC"/>
          </w:tcPr>
          <w:p>
            <w:pPr>
              <w:ind w:left="180"/>
              <w:spacing w:after="0" w:line="203" w:lineRule="exact"/>
              <w:rPr>
                <w:sz w:val="20"/>
                <w:szCs w:val="20"/>
                <w:color w:val="auto"/>
              </w:rPr>
            </w:pPr>
            <w:r>
              <w:rPr>
                <w:rFonts w:ascii="Arial" w:cs="Arial" w:eastAsia="Arial" w:hAnsi="Arial"/>
                <w:sz w:val="18"/>
                <w:szCs w:val="18"/>
                <w:color w:val="auto"/>
              </w:rPr>
              <w:t>agreements</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vMerge w:val="continue"/>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1,811,613</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5,003,516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500" w:type="dxa"/>
            <w:vAlign w:val="bottom"/>
            <w:tcBorders>
              <w:bottom w:val="single" w:sz="8" w:color="auto"/>
            </w:tcBorders>
          </w:tcPr>
          <w:p>
            <w:pPr>
              <w:spacing w:after="0"/>
              <w:rPr>
                <w:sz w:val="6"/>
                <w:szCs w:val="6"/>
                <w:color w:val="auto"/>
              </w:rPr>
            </w:pPr>
          </w:p>
        </w:tc>
        <w:tc>
          <w:tcPr>
            <w:tcW w:w="5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-248285</wp:posOffset>
            </wp:positionV>
            <wp:extent cx="77470"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1803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are inclusive of the operating leases for facilities which are attributable to discontinued operations.</w:t>
      </w:r>
    </w:p>
    <w:p>
      <w:pPr>
        <w:ind w:left="520" w:right="20" w:hanging="512"/>
        <w:spacing w:after="0" w:line="23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December 31, 2022 until the applicable maturity date. Subsequent to quarter end, we used a portion of the proceeds from the Link-16 TDL Sale to repay all then-outstanding borrowings under our Revolving Credit Facility.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6" w:name="page57"/>
    <w:bookmarkEnd w:id="56"/>
    <w:p>
      <w:pPr>
        <w:ind w:right="160" w:firstLine="509"/>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condensed consolidated balance sheets included $148.3 million and $153.2 million of “other liabilities” as of December 31, 2022 and March 31, 2022, respectively, which primarily consisted of the long-term portion of deferred revenues, the long-term portion of our satellite performance incentive obligations relating to the ViaSat-1 and ViaSat-2 satellites, deferred income taxes and our long-term warranty obligations. With the exception of the long-term portion of our satellite performance incentive obligations relating to the ViaSat-1 and ViaSat-2 satellites (which is included under “Purchase commitments including satellite-related agreements”), these remaining liabilities have been excluded from the above table as the timing and/or the amount of any cash payment is uncertain. See Note 12 — Commitments to our consolidated financial statements included in our Annual Report on Form 10-K for the year ended March 31, 2022 for additional information regarding satellite performance incentive obligations relating to the ViaSat-1 and ViaSat-2 satellites. See Note 9 — Product Warranty to our condensed consolidated financial statements for a discussion of our product warranties. Also excluded from the above table are amounts payable to the Sellers under the Purchase Agreement in the Inmarsat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jc w:val="both"/>
        <w:ind w:right="280" w:firstLine="509"/>
        <w:spacing w:after="0"/>
        <w:rPr>
          <w:sz w:val="20"/>
          <w:szCs w:val="20"/>
          <w:color w:val="auto"/>
        </w:rPr>
      </w:pPr>
      <w:r>
        <w:rPr>
          <w:rFonts w:ascii="Arial" w:cs="Arial" w:eastAsia="Arial" w:hAnsi="Arial"/>
          <w:sz w:val="18"/>
          <w:szCs w:val="18"/>
          <w:color w:val="auto"/>
        </w:rPr>
        <w:t>We had no material off-balance sheet arrangements at December 31, 2022 as defined in Regulation S-K Item 303(b) other than as discussed under “Contractual Obligations” above or disclosed in the notes to our condensed consolidated financial statements included in this report or in our Annual Report on Form 10-K for the year ended March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620" w:firstLine="509"/>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7" w:name="page58"/>
    <w:bookmarkEnd w:id="57"/>
    <w:p>
      <w:pPr>
        <w:ind w:right="5520"/>
        <w:spacing w:after="0" w:line="325"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1"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As of December 31, 2022, we held no short-term investments.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Term Loan Facility and Revolving Credit Facility, cash equivalents, short-term investments and short-term obligations.</w:t>
      </w:r>
    </w:p>
    <w:p>
      <w:pPr>
        <w:spacing w:after="0" w:line="14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maximize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both the three and nine months ended December 31, 2022 and 2021.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primary interest rate under the Term Loan Facility is the SOFR rate plus 4.50%. As of December 31, 2022, the effective interest rate on our outstanding borrowings under the Term Loan Facility was 9.47%. Our primary interest rate under the Revolving Credit Facility is the Eurodollar rate plus an applicable margin that is based on our total leverage ratio. As of December 31, 2022, the weighted average effective interest rate on our outstanding borrowings under the Revolving Credit Facility was 6.33%. Accordingly, assuming both the outstanding balances under the Term Loan Facility and the Revolving Credit Facility remained constant over a year, a 50 basis point increase in the interest rates would increase interest incurred, prior to effects of capitalized interest, by approximately $5.9 million over a 12-month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8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and $1.6 million for the three and nine months ended December 31, 2022, respectively, and by an insignificant amount for both the three and nine months ended December 31, 2021.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and March 31, 2022, we had no foreign currency forward contracts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5"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2022, the end of the period covered by this report. Based upon the foregoing, our Chief Executive Officer and Chief Financial Officer concluded that our disclosure controls and procedures were effective at a reasonable assurance level as of December 31, 2022.</w:t>
      </w:r>
    </w:p>
    <w:p>
      <w:pPr>
        <w:spacing w:after="0" w:line="151"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5"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2022, which factors could materially affect our business, financial condition, liquidity or future results. The risks described in our reports on Forms 10-K and 10 -Q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8"/>
          </w:tcPr>
          <w:p>
            <w:pPr>
              <w:spacing w:after="0"/>
              <w:rPr>
                <w:rFonts w:ascii="Arial" w:cs="Arial" w:eastAsia="Arial" w:hAnsi="Arial"/>
                <w:sz w:val="18"/>
                <w:szCs w:val="18"/>
                <w:color w:val="0000FF"/>
              </w:rPr>
            </w:pPr>
            <w:hyperlink r:id="rId289">
              <w:r>
                <w:rPr>
                  <w:rFonts w:ascii="Arial" w:cs="Arial" w:eastAsia="Arial" w:hAnsi="Arial"/>
                  <w:sz w:val="18"/>
                  <w:szCs w:val="18"/>
                  <w:color w:val="0000FF"/>
                </w:rPr>
                <w:t>Asset Purchase Agreement, dated as of October 1,</w:t>
              </w:r>
            </w:hyperlink>
          </w:p>
        </w:tc>
        <w:tc>
          <w:tcPr>
            <w:tcW w:w="2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000-21767</w:t>
            </w: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40" w:type="dxa"/>
            <w:vAlign w:val="bottom"/>
          </w:tcPr>
          <w:p>
            <w:pPr>
              <w:jc w:val="right"/>
              <w:ind w:right="99"/>
              <w:spacing w:after="0"/>
              <w:rPr>
                <w:sz w:val="20"/>
                <w:szCs w:val="20"/>
                <w:color w:val="auto"/>
              </w:rPr>
            </w:pPr>
            <w:r>
              <w:rPr>
                <w:rFonts w:ascii="Arial" w:cs="Arial" w:eastAsia="Arial" w:hAnsi="Arial"/>
                <w:sz w:val="18"/>
                <w:szCs w:val="18"/>
                <w:color w:val="auto"/>
              </w:rPr>
              <w:t>10/03/2022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bottom w:val="single" w:sz="8" w:color="0000FF"/>
            </w:tcBorders>
            <w:gridSpan w:val="4"/>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2022, by and between Viasat, Inc. and L3Harris</w:t>
              </w:r>
            </w:hyperlink>
          </w:p>
        </w:tc>
        <w:tc>
          <w:tcPr>
            <w:tcW w:w="50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gridSpan w:val="10"/>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Technologies, Inc.</w:t>
              </w:r>
            </w:hyperlink>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3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58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36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0" w:type="dxa"/>
            <w:vAlign w:val="bottom"/>
            <w:tcBorders>
              <w:bottom w:val="single" w:sz="8" w:color="0000EE"/>
            </w:tcBorders>
          </w:tcPr>
          <w:p>
            <w:pPr>
              <w:spacing w:after="0"/>
              <w:rPr>
                <w:sz w:val="15"/>
                <w:szCs w:val="15"/>
                <w:color w:val="auto"/>
              </w:rPr>
            </w:pPr>
          </w:p>
        </w:tc>
        <w:tc>
          <w:tcPr>
            <w:tcW w:w="56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rPr>
              <w:t>Certifications Pursuant to 18 U.S.C. Section 1350, as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gridSpan w:val="10"/>
          </w:tcPr>
          <w:p>
            <w:pPr>
              <w:spacing w:after="0" w:line="182" w:lineRule="exact"/>
              <w:rPr>
                <w:sz w:val="20"/>
                <w:szCs w:val="20"/>
                <w:color w:val="auto"/>
              </w:rPr>
            </w:pPr>
            <w:r>
              <w:rPr>
                <w:rFonts w:ascii="Arial" w:cs="Arial" w:eastAsia="Arial" w:hAnsi="Arial"/>
                <w:sz w:val="18"/>
                <w:szCs w:val="18"/>
                <w:color w:val="0000FF"/>
              </w:rPr>
              <w:t>Adopted Pursuant to Section 906 of the Sarbanes-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Oxley Act of 2002</w:t>
            </w:r>
          </w:p>
        </w:tc>
        <w:tc>
          <w:tcPr>
            <w:tcW w:w="32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8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0"/>
          </w:tcPr>
          <w:p>
            <w:pPr>
              <w:spacing w:after="0" w:line="202" w:lineRule="exact"/>
              <w:rPr>
                <w:sz w:val="20"/>
                <w:szCs w:val="20"/>
                <w:color w:val="auto"/>
              </w:rPr>
            </w:pPr>
            <w:r>
              <w:rPr>
                <w:rFonts w:ascii="Arial" w:cs="Arial" w:eastAsia="Arial" w:hAnsi="Arial"/>
                <w:sz w:val="18"/>
                <w:szCs w:val="18"/>
                <w:color w:val="auto"/>
              </w:rPr>
              <w:t>document does not appear in the Interactive Data File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gridSpan w:val="10"/>
          </w:tcPr>
          <w:p>
            <w:pPr>
              <w:spacing w:after="0" w:line="202" w:lineRule="exact"/>
              <w:rPr>
                <w:sz w:val="20"/>
                <w:szCs w:val="20"/>
                <w:color w:val="auto"/>
              </w:rPr>
            </w:pPr>
            <w:r>
              <w:rPr>
                <w:rFonts w:ascii="Arial" w:cs="Arial" w:eastAsia="Arial" w:hAnsi="Arial"/>
                <w:sz w:val="18"/>
                <w:szCs w:val="18"/>
                <w:color w:val="auto"/>
              </w:rPr>
              <w:t>because its XBRL tags are embedded within the inline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XBRL document.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7"/>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Linkbase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7"/>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Linkbase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XBRL and contained in Exhibit 101)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Regulation S-K Item 601(b)(2) or 601(a)(5) (as applicable). Viasat agrees to furnish a supplemental copy of any omitted schedule to the SEC upon request; provided, however, that Viasat may request confidential treatment pursuant to Rule 24b-2 of the Securities Exchange Act of 1934 for any document so furnished.</w:t>
      </w:r>
    </w:p>
    <w:p>
      <w:pPr>
        <w:spacing w:after="0" w:line="68" w:lineRule="exact"/>
        <w:rPr>
          <w:sz w:val="20"/>
          <w:szCs w:val="20"/>
          <w:color w:val="auto"/>
        </w:rPr>
      </w:pPr>
    </w:p>
    <w:p>
      <w:pPr>
        <w:ind w:right="20" w:firstLine="8"/>
        <w:spacing w:after="0" w:line="238"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0" w:name="page61"/>
    <w:bookmarkEnd w:id="60"/>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VIASAT, INC.</w:t>
      </w:r>
    </w:p>
    <w:p>
      <w:pPr>
        <w:spacing w:after="0" w:line="25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February 8, 2023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06" w:right="739" w:bottom="1440" w:gutter="0" w:footer="0" w:header="0"/>
        </w:sectPr>
      </w:pPr>
    </w:p>
    <w:bookmarkStart w:id="61" w:name="page62"/>
    <w:bookmarkEnd w:id="61"/>
    <w:p>
      <w:pPr>
        <w:ind w:left="1020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4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18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00" w:hanging="503"/>
        <w:spacing w:after="0" w:line="246"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8, 2023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w:t>
      </w:r>
      <w:r>
        <w:rPr>
          <w:rFonts w:ascii="Arial" w:cs="Arial" w:eastAsia="Arial" w:hAnsi="Arial"/>
          <w:sz w:val="14"/>
          <w:szCs w:val="14"/>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2" w:name="page63"/>
    <w:bookmarkEnd w:id="62"/>
    <w:p>
      <w:pPr>
        <w:ind w:left="1020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right="4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60" w:hanging="50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180" w:hanging="50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24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20" w:right="180" w:hanging="50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00" w:hanging="503"/>
        <w:spacing w:after="0" w:line="246"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8, 2023</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Shawn Duffy</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ind w:left="10200"/>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4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2022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8, 2023</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20" w:right="4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2022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February 8, 2023</w:t>
      </w:r>
      <w:r>
        <w:rPr>
          <w:sz w:val="20"/>
          <w:szCs w:val="20"/>
          <w:color w:val="auto"/>
        </w:rPr>
        <w:tab/>
      </w: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Shawn Duffy</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289" Type="http://schemas.openxmlformats.org/officeDocument/2006/relationships/hyperlink" Target="https://www.sec.gov/Archives/edgar/data/797721/000119312522256649/d25666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2023-02-09T05:19:53Z</dcterms:created>
  <dcterms:modified xsi:type="dcterms:W3CDTF">2023-02-09T05:19:53Z</dcterms:modified>
</cp:coreProperties>
</file>