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sat-20260331.htm"/>
      <w:bookmarkStart w:id="1" w:name="ksvsat20260331"/>
      <w:bookmarkEnd w:id="0"/>
      <w:bookmarkEnd w:id="1"/>
      <w:r>
        <w:rPr/>
        <w:t> </w:t>
      </w:r>
    </w:p>
    <w:p>
      <w:pPr>
        <w:pStyle w:val="TextBody"/>
        <w:pBdr>
          <w:bottom w:val="double" w:sz="4" w:space="1" w:color="000000"/>
        </w:pBdr>
        <w:bidi w:val="0"/>
        <w:jc w:val="left"/>
        <w:rPr/>
      </w:pPr>
      <w:r>
        <w:rPr/>
        <w:t> </w:t>
      </w:r>
    </w:p>
    <w:p>
      <w:pPr>
        <w:pStyle w:val="TextBody"/>
        <w:bidi w:val="0"/>
        <w:spacing w:before="40" w:after="283"/>
        <w:jc w:val="center"/>
        <w:rPr>
          <w:rFonts w:ascii="Arial" w:hAnsi="Arial"/>
          <w:b/>
          <w:color w:val="000000"/>
          <w:sz w:val="30"/>
        </w:rPr>
      </w:pPr>
      <w:r>
        <w:rPr>
          <w:rFonts w:ascii="Arial" w:hAnsi="Arial"/>
          <w:b/>
          <w:color w:val="000000"/>
          <w:sz w:val="30"/>
        </w:rPr>
        <w:t>UNITED STATES</w:t>
      </w:r>
    </w:p>
    <w:p>
      <w:pPr>
        <w:pStyle w:val="TextBody"/>
        <w:bidi w:val="0"/>
        <w:jc w:val="center"/>
        <w:rPr>
          <w:rFonts w:ascii="Times New Roman" w:hAnsi="Times New Roman"/>
          <w:sz w:val="20"/>
        </w:rPr>
      </w:pPr>
      <w:r>
        <w:rPr>
          <w:rFonts w:ascii="Arial" w:hAnsi="Arial"/>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7"/>
        </w:rPr>
        <w:t>Washington, D.C. 20549</w:t>
      </w:r>
      <w:r>
        <w:rPr>
          <w:rFonts w:ascii="Times New Roman" w:hAnsi="Times New Roman"/>
          <w:color w:val="000000"/>
          <w:sz w:val="20"/>
        </w:rPr>
        <w:t xml:space="preserve"> </w:t>
      </w:r>
    </w:p>
    <w:p>
      <w:pPr>
        <w:pStyle w:val="TextBody"/>
        <w:bidi w:val="0"/>
        <w:spacing w:before="45" w:after="283"/>
        <w:jc w:val="center"/>
        <w:rPr>
          <w:rFonts w:ascii="Times New Roman" w:hAnsi="Times New Roman"/>
          <w:sz w:val="20"/>
        </w:rPr>
      </w:pPr>
      <w:r>
        <w:rPr>
          <w:rFonts w:ascii="Arial" w:hAnsi="Arial"/>
          <w:b/>
          <w:color w:val="000000"/>
          <w:sz w:val="30"/>
        </w:rPr>
        <w:t>Form 10-K</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b/>
          <w:color w:val="000000"/>
          <w:sz w:val="17"/>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Arial" w:hAnsi="Arial"/>
          <w:b/>
          <w:color w:val="000000"/>
          <w:sz w:val="17"/>
        </w:rPr>
        <w:t>ANNUAL REPORT PURSUANT TO SECTION 13 OR 15(d) OF THE SECURITIES EXCHANGE ACT OF 1934</w:t>
      </w:r>
      <w:r>
        <w:rPr>
          <w:rFonts w:ascii="Times New Roman" w:hAnsi="Times New Roman"/>
          <w:color w:val="000000"/>
          <w:sz w:val="20"/>
        </w:rPr>
        <w:t xml:space="preserve"> </w:t>
      </w:r>
    </w:p>
    <w:p>
      <w:pPr>
        <w:pStyle w:val="TextBody"/>
        <w:bidi w:val="0"/>
        <w:spacing w:before="45" w:after="283"/>
        <w:jc w:val="center"/>
        <w:rPr>
          <w:rFonts w:ascii="Times New Roman" w:hAnsi="Times New Roman"/>
          <w:sz w:val="20"/>
        </w:rPr>
      </w:pPr>
      <w:r>
        <w:rPr>
          <w:rFonts w:ascii="Arial" w:hAnsi="Arial"/>
          <w:b/>
          <w:color w:val="000000"/>
          <w:sz w:val="17"/>
        </w:rPr>
        <w:t>For the fiscal year ended March 31, 2026</w:t>
      </w:r>
      <w:r>
        <w:rPr>
          <w:rFonts w:ascii="Times New Roman" w:hAnsi="Times New Roman"/>
          <w:color w:val="000000"/>
          <w:sz w:val="20"/>
        </w:rPr>
        <w:t xml:space="preserve"> </w:t>
      </w:r>
    </w:p>
    <w:p>
      <w:pPr>
        <w:pStyle w:val="TextBody"/>
        <w:bidi w:val="0"/>
        <w:spacing w:before="45" w:after="283"/>
        <w:jc w:val="center"/>
        <w:rPr>
          <w:rFonts w:ascii="Times New Roman" w:hAnsi="Times New Roman"/>
          <w:sz w:val="20"/>
        </w:rPr>
      </w:pPr>
      <w:r>
        <w:rPr>
          <w:rFonts w:ascii="Arial" w:hAnsi="Arial"/>
          <w:b/>
          <w:color w:val="000000"/>
          <w:sz w:val="17"/>
        </w:rPr>
        <w:t>or</w:t>
      </w:r>
      <w:r>
        <w:rPr>
          <w:rFonts w:ascii="Times New Roman" w:hAnsi="Times New Roman"/>
          <w:color w:val="000000"/>
          <w:sz w:val="20"/>
        </w:rPr>
        <w:t xml:space="preserve"> </w:t>
      </w:r>
    </w:p>
    <w:p>
      <w:pPr>
        <w:pStyle w:val="TextBody"/>
        <w:bidi w:val="0"/>
        <w:spacing w:before="45" w:after="283"/>
        <w:jc w:val="left"/>
        <w:rPr/>
      </w:pPr>
      <w:r>
        <w:rPr>
          <w:color w:val="000000"/>
        </w:rPr>
        <w:t xml:space="preserve">☐ </w:t>
      </w:r>
      <w:r>
        <w:rPr>
          <w:rFonts w:ascii="Arial" w:hAnsi="Arial"/>
          <w:b/>
          <w:color w:val="000000"/>
          <w:sz w:val="17"/>
        </w:rPr>
        <w:t>TRANSITION REPORT PURSUANT TO SECTION 13 OR 15(d) OF THE SECURITIES EXCHANGE ACT OF 1934</w:t>
      </w:r>
    </w:p>
    <w:p>
      <w:pPr>
        <w:pStyle w:val="TextBody"/>
        <w:bidi w:val="0"/>
        <w:spacing w:before="45" w:after="283"/>
        <w:jc w:val="center"/>
        <w:rPr>
          <w:rFonts w:ascii="Times New Roman" w:hAnsi="Times New Roman"/>
          <w:sz w:val="20"/>
        </w:rPr>
      </w:pPr>
      <w:r>
        <w:rPr>
          <w:rFonts w:ascii="Arial" w:hAnsi="Arial"/>
          <w:b/>
          <w:color w:val="000000"/>
          <w:sz w:val="17"/>
        </w:rPr>
        <w:t>For the transition period from to .</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7"/>
        </w:rPr>
        <w:t>Commission file number (000-21767)</w:t>
      </w:r>
      <w:r>
        <w:rPr>
          <w:rFonts w:ascii="Times New Roman" w:hAnsi="Times New Roman"/>
          <w:color w:val="000000"/>
          <w:sz w:val="20"/>
        </w:rPr>
        <w:t xml:space="preserve"> </w:t>
      </w:r>
    </w:p>
    <w:p>
      <w:pPr>
        <w:pStyle w:val="TextBody"/>
        <w:bidi w:val="0"/>
        <w:spacing w:before="45" w:after="283"/>
        <w:jc w:val="center"/>
        <w:rPr/>
      </w:pPr>
      <w:r>
        <w:rPr/>
        <w:drawing>
          <wp:inline distT="0" distB="0" distL="0" distR="0">
            <wp:extent cx="1133475" cy="561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3475" cy="561975"/>
                    </a:xfrm>
                    <a:prstGeom prst="rect">
                      <a:avLst/>
                    </a:prstGeom>
                  </pic:spPr>
                </pic:pic>
              </a:graphicData>
            </a:graphic>
          </wp:inline>
        </w:drawing>
      </w:r>
    </w:p>
    <w:p>
      <w:pPr>
        <w:pStyle w:val="TextBody"/>
        <w:bidi w:val="0"/>
        <w:spacing w:before="45" w:after="283"/>
        <w:jc w:val="center"/>
        <w:rPr>
          <w:rFonts w:ascii="Times New Roman" w:hAnsi="Times New Roman"/>
          <w:sz w:val="20"/>
        </w:rPr>
      </w:pPr>
      <w:r>
        <w:rPr>
          <w:rFonts w:ascii="Arial" w:hAnsi="Arial"/>
          <w:b/>
          <w:color w:val="000000"/>
          <w:sz w:val="4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7"/>
        </w:rPr>
        <w:t>(Exact name of registrant as specified in its charter)</w:t>
      </w:r>
      <w:r>
        <w:rPr>
          <w:rFonts w:ascii="Times New Roman" w:hAnsi="Times New Roman"/>
          <w:color w:val="000000"/>
          <w:sz w:val="20"/>
        </w:rPr>
        <w:t xml:space="preserve"> </w:t>
      </w:r>
    </w:p>
    <w:tbl>
      <w:tblPr>
        <w:tblW w:w="3853" w:type="dxa"/>
        <w:jc w:val="left"/>
        <w:tblInd w:w="0" w:type="dxa"/>
        <w:tblLayout w:type="fixed"/>
        <w:tblCellMar>
          <w:top w:w="28" w:type="dxa"/>
          <w:left w:w="28" w:type="dxa"/>
          <w:bottom w:w="28" w:type="dxa"/>
          <w:right w:w="28" w:type="dxa"/>
        </w:tblCellMar>
      </w:tblPr>
      <w:tblGrid>
        <w:gridCol w:w="2281"/>
        <w:gridCol w:w="146"/>
        <w:gridCol w:w="142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33-0174996</w:t>
            </w:r>
          </w:p>
        </w:tc>
      </w:tr>
      <w:tr>
        <w:trPr/>
        <w:tc>
          <w:tcPr>
            <w:tcW w:w="2281"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(State or other jurisdiction of</w:t>
            </w:r>
          </w:p>
          <w:p>
            <w:pPr>
              <w:pStyle w:val="TableContents"/>
              <w:bidi w:val="0"/>
              <w:spacing w:before="0" w:after="283"/>
              <w:jc w:val="center"/>
              <w:rPr>
                <w:rFonts w:ascii="Arial" w:hAnsi="Arial"/>
                <w:b/>
                <w:color w:val="000000"/>
                <w:sz w:val="15"/>
              </w:rPr>
            </w:pPr>
            <w:r>
              <w:rPr>
                <w:rFonts w:ascii="Arial" w:hAnsi="Arial"/>
                <w:b/>
                <w:color w:val="000000"/>
                <w:sz w:val="15"/>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2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(I.R.S. Employer</w:t>
            </w:r>
          </w:p>
          <w:p>
            <w:pPr>
              <w:pStyle w:val="TableContents"/>
              <w:bidi w:val="0"/>
              <w:spacing w:before="0" w:after="283"/>
              <w:jc w:val="center"/>
              <w:rPr>
                <w:rFonts w:ascii="Arial" w:hAnsi="Arial"/>
                <w:b/>
                <w:color w:val="000000"/>
                <w:sz w:val="15"/>
              </w:rPr>
            </w:pPr>
            <w:r>
              <w:rPr>
                <w:rFonts w:ascii="Arial" w:hAnsi="Arial"/>
                <w:b/>
                <w:color w:val="000000"/>
                <w:sz w:val="15"/>
              </w:rPr>
              <w:t>Identification No.)</w:t>
            </w:r>
          </w:p>
        </w:tc>
      </w:tr>
    </w:tbl>
    <w:p>
      <w:pPr>
        <w:pStyle w:val="TextBody"/>
        <w:bidi w:val="0"/>
        <w:spacing w:before="45" w:after="283"/>
        <w:jc w:val="center"/>
        <w:rPr>
          <w:rFonts w:ascii="Times New Roman" w:hAnsi="Times New Roman"/>
          <w:sz w:val="20"/>
        </w:rPr>
      </w:pPr>
      <w:r>
        <w:rPr>
          <w:rFonts w:ascii="Arial" w:hAnsi="Arial"/>
          <w:b/>
          <w:color w:val="000000"/>
          <w:sz w:val="17"/>
        </w:rPr>
        <w:t>6155 El Camino Real</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7"/>
        </w:rPr>
        <w:t>Carlsbad, California</w:t>
      </w:r>
      <w:r>
        <w:rPr>
          <w:rFonts w:ascii="Times New Roman" w:hAnsi="Times New Roman"/>
          <w:color w:val="000000"/>
          <w:sz w:val="20"/>
        </w:rPr>
        <w:t xml:space="preserve"> </w:t>
      </w:r>
      <w:r>
        <w:rPr>
          <w:rFonts w:ascii="Arial" w:hAnsi="Arial"/>
          <w:b/>
          <w:color w:val="000000"/>
          <w:sz w:val="17"/>
        </w:rPr>
        <w:t>92009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7"/>
        </w:rPr>
        <w:t>(760) 476-2200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5"/>
        </w:rPr>
        <w:t>(Address of principal executive offices and telephone number)</w:t>
      </w:r>
      <w:r>
        <w:rPr>
          <w:rFonts w:ascii="Times New Roman" w:hAnsi="Times New Roman"/>
          <w:color w:val="000000"/>
          <w:sz w:val="20"/>
        </w:rPr>
        <w:t xml:space="preserve"> </w:t>
      </w:r>
    </w:p>
    <w:p>
      <w:pPr>
        <w:pStyle w:val="TextBody"/>
        <w:bidi w:val="0"/>
        <w:spacing w:before="45" w:after="283"/>
        <w:jc w:val="center"/>
        <w:rPr>
          <w:rFonts w:ascii="Times New Roman" w:hAnsi="Times New Roman"/>
          <w:sz w:val="20"/>
        </w:rPr>
      </w:pPr>
      <w:r>
        <w:rPr>
          <w:rFonts w:ascii="Arial" w:hAnsi="Arial"/>
          <w:b/>
          <w:color w:val="000000"/>
          <w:sz w:val="17"/>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8800" w:type="dxa"/>
        <w:jc w:val="left"/>
        <w:tblInd w:w="0" w:type="dxa"/>
        <w:tblLayout w:type="fixed"/>
        <w:tblCellMar>
          <w:top w:w="28" w:type="dxa"/>
          <w:left w:w="28" w:type="dxa"/>
          <w:bottom w:w="28" w:type="dxa"/>
          <w:right w:w="28" w:type="dxa"/>
        </w:tblCellMar>
      </w:tblPr>
      <w:tblGrid>
        <w:gridCol w:w="3571"/>
        <w:gridCol w:w="146"/>
        <w:gridCol w:w="1351"/>
        <w:gridCol w:w="146"/>
        <w:gridCol w:w="358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5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VSAT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58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The Nasdaq Stock Market LLC</w:t>
            </w:r>
          </w:p>
        </w:tc>
      </w:tr>
    </w:tbl>
    <w:p>
      <w:pPr>
        <w:pStyle w:val="TextBody"/>
        <w:bidi w:val="0"/>
        <w:spacing w:before="45" w:after="283"/>
        <w:jc w:val="left"/>
        <w:rPr/>
      </w:pPr>
      <w:r>
        <w:rPr/>
        <w:t> </w:t>
      </w:r>
    </w:p>
    <w:p>
      <w:pPr>
        <w:pStyle w:val="TextBody"/>
        <w:bidi w:val="0"/>
        <w:spacing w:before="40" w:after="283"/>
        <w:jc w:val="center"/>
        <w:rPr>
          <w:rFonts w:ascii="Times New Roman" w:hAnsi="Times New Roman"/>
          <w:sz w:val="20"/>
        </w:rPr>
      </w:pPr>
      <w:r>
        <w:rPr>
          <w:rFonts w:ascii="Arial" w:hAnsi="Arial"/>
          <w:b/>
          <w:color w:val="000000"/>
          <w:sz w:val="17"/>
        </w:rPr>
        <w:t>Securities registered pursuant to Section 12(g) of the Act: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7"/>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17"/>
        </w:rPr>
        <w:t xml:space="preserve">Indicate by check mark if the registrant is a well-known seasoned issuer, as defined in Rule 405 of the Securities Act of 1933. </w:t>
      </w:r>
      <w:r>
        <w:rPr>
          <w:rFonts w:ascii="Times New Roman" w:hAnsi="Times New Roman"/>
          <w:color w:val="000000"/>
          <w:sz w:val="20"/>
        </w:rPr>
        <w:t xml:space="preserve">☒ </w:t>
      </w:r>
      <w:r>
        <w:rPr>
          <w:rFonts w:ascii="Arial" w:hAnsi="Arial"/>
          <w:color w:val="000000"/>
          <w:sz w:val="17"/>
        </w:rPr>
        <w:t>Yes</w:t>
      </w:r>
      <w:r>
        <w:rPr>
          <w:rFonts w:ascii="Times New Roman" w:hAnsi="Times New Roman"/>
          <w:color w:val="000000"/>
          <w:sz w:val="20"/>
        </w:rPr>
        <w:t xml:space="preserve"> ☐ </w:t>
      </w:r>
      <w:r>
        <w:rPr>
          <w:rFonts w:ascii="Arial" w:hAnsi="Arial"/>
          <w:color w:val="000000"/>
          <w:sz w:val="17"/>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17"/>
        </w:rPr>
        <w:t xml:space="preserve">Indicate by check mark if the registrant is not required to file reports pursuant to Section 13 or 15(d) of the Securities Exchange Act of 1934. </w:t>
      </w:r>
      <w:r>
        <w:rPr>
          <w:rFonts w:ascii="Times New Roman" w:hAnsi="Times New Roman"/>
          <w:color w:val="000000"/>
          <w:sz w:val="20"/>
        </w:rPr>
        <w:t xml:space="preserve">☐ </w:t>
      </w:r>
      <w:r>
        <w:rPr>
          <w:rFonts w:ascii="Arial" w:hAnsi="Arial"/>
          <w:color w:val="000000"/>
          <w:sz w:val="17"/>
        </w:rPr>
        <w:t xml:space="preserve">Yes </w:t>
      </w:r>
      <w:r>
        <w:rPr>
          <w:rFonts w:ascii="Times New Roman" w:hAnsi="Times New Roman"/>
          <w:color w:val="000000"/>
          <w:sz w:val="20"/>
        </w:rPr>
        <w:t xml:space="preserve">☒ </w:t>
      </w:r>
      <w:r>
        <w:rPr>
          <w:rFonts w:ascii="Arial" w:hAnsi="Arial"/>
          <w:color w:val="000000"/>
          <w:sz w:val="17"/>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 </w:t>
      </w:r>
      <w:r>
        <w:rPr>
          <w:rFonts w:ascii="Arial" w:hAnsi="Arial"/>
          <w:color w:val="000000"/>
          <w:sz w:val="17"/>
        </w:rPr>
        <w:t>Yes</w:t>
      </w:r>
      <w:r>
        <w:rPr>
          <w:rFonts w:ascii="Times New Roman" w:hAnsi="Times New Roman"/>
          <w:color w:val="000000"/>
          <w:sz w:val="20"/>
        </w:rPr>
        <w:t xml:space="preserve"> ☐ </w:t>
      </w:r>
      <w:r>
        <w:rPr>
          <w:rFonts w:ascii="Arial" w:hAnsi="Arial"/>
          <w:color w:val="000000"/>
          <w:sz w:val="17"/>
        </w:rPr>
        <w:t>No</w:t>
      </w:r>
    </w:p>
    <w:p>
      <w:pPr>
        <w:pStyle w:val="TextBody"/>
        <w:bidi w:val="0"/>
        <w:spacing w:before="40" w:after="283"/>
        <w:jc w:val="left"/>
        <w:rPr>
          <w:rFonts w:ascii="Times New Roman" w:hAnsi="Times New Roman"/>
          <w:sz w:val="20"/>
        </w:rPr>
      </w:pPr>
      <w:r>
        <w:rPr>
          <w:rFonts w:ascii="Arial" w:hAnsi="Arial"/>
          <w:color w:val="000000"/>
          <w:sz w:val="17"/>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hAnsi="Times New Roman"/>
          <w:color w:val="000000"/>
          <w:sz w:val="20"/>
        </w:rPr>
        <w:t xml:space="preserve">☒ </w:t>
      </w:r>
      <w:r>
        <w:rPr>
          <w:rFonts w:ascii="Arial" w:hAnsi="Arial"/>
          <w:color w:val="000000"/>
          <w:sz w:val="17"/>
        </w:rPr>
        <w:t>Yes</w:t>
      </w:r>
      <w:r>
        <w:rPr>
          <w:rFonts w:ascii="Times New Roman" w:hAnsi="Times New Roman"/>
          <w:color w:val="000000"/>
          <w:sz w:val="20"/>
        </w:rPr>
        <w:t xml:space="preserve"> ☐ </w:t>
      </w:r>
      <w:r>
        <w:rPr>
          <w:rFonts w:ascii="Arial" w:hAnsi="Arial"/>
          <w:color w:val="000000"/>
          <w:sz w:val="17"/>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620" w:type="dxa"/>
        <w:jc w:val="left"/>
        <w:tblInd w:w="0" w:type="dxa"/>
        <w:tblLayout w:type="fixed"/>
        <w:tblCellMar>
          <w:top w:w="28" w:type="dxa"/>
          <w:left w:w="28" w:type="dxa"/>
          <w:bottom w:w="28" w:type="dxa"/>
          <w:right w:w="28" w:type="dxa"/>
        </w:tblCellMar>
      </w:tblPr>
      <w:tblGrid>
        <w:gridCol w:w="1741"/>
        <w:gridCol w:w="316"/>
        <w:gridCol w:w="146"/>
        <w:gridCol w:w="2056"/>
        <w:gridCol w:w="361"/>
      </w:tblGrid>
      <w:tr>
        <w:trPr/>
        <w:tc>
          <w:tcPr>
            <w:tcW w:w="17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6" w:after="283"/>
        <w:jc w:val="left"/>
        <w:rPr>
          <w:rFonts w:ascii="Times New Roman" w:hAnsi="Times New Roman"/>
          <w:sz w:val="20"/>
        </w:rPr>
      </w:pPr>
      <w:r>
        <w:rPr>
          <w:rFonts w:ascii="Arial" w:hAnsi="Arial"/>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17"/>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Arial" w:hAnsi="Arial"/>
          <w:color w:val="000000"/>
          <w:sz w:val="17"/>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Arial" w:hAnsi="Arial"/>
          <w:color w:val="000000"/>
          <w:sz w:val="17"/>
        </w:rPr>
        <w:t xml:space="preserve">Indicate by check mark whether the registrant is a shell company (as defined in Rule 12b-2 of the Exchange Act). </w:t>
      </w:r>
      <w:r>
        <w:rPr>
          <w:rFonts w:ascii="Times New Roman" w:hAnsi="Times New Roman"/>
          <w:color w:val="000000"/>
          <w:sz w:val="20"/>
        </w:rPr>
        <w:t xml:space="preserve">☐ </w:t>
      </w:r>
      <w:r>
        <w:rPr>
          <w:rFonts w:ascii="Arial" w:hAnsi="Arial"/>
          <w:color w:val="000000"/>
          <w:sz w:val="17"/>
        </w:rPr>
        <w:t xml:space="preserve">Yes </w:t>
      </w:r>
      <w:r>
        <w:rPr>
          <w:rFonts w:ascii="Times New Roman" w:hAnsi="Times New Roman"/>
          <w:color w:val="000000"/>
          <w:sz w:val="20"/>
        </w:rPr>
        <w:t xml:space="preserve">☒ </w:t>
      </w:r>
      <w:r>
        <w:rPr>
          <w:rFonts w:ascii="Arial" w:hAnsi="Arial"/>
          <w:color w:val="000000"/>
          <w:sz w:val="17"/>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17"/>
        </w:rPr>
        <w:t>The aggregate market value of the common stock held by non-affiliates of the registrant as of September 30, 2025</w:t>
      </w:r>
      <w:r>
        <w:rPr>
          <w:rFonts w:ascii="Times New Roman" w:hAnsi="Times New Roman"/>
          <w:color w:val="000000"/>
          <w:sz w:val="20"/>
        </w:rPr>
        <w:t xml:space="preserve"> </w:t>
      </w:r>
      <w:r>
        <w:rPr>
          <w:rFonts w:ascii="Arial" w:hAnsi="Arial"/>
          <w:color w:val="000000"/>
          <w:sz w:val="17"/>
        </w:rPr>
        <w:t>was approximately $3,893,760,718</w:t>
      </w:r>
      <w:r>
        <w:rPr>
          <w:rFonts w:ascii="Times New Roman" w:hAnsi="Times New Roman"/>
          <w:color w:val="000000"/>
          <w:sz w:val="20"/>
        </w:rPr>
        <w:t xml:space="preserve"> </w:t>
      </w:r>
      <w:r>
        <w:rPr>
          <w:rFonts w:ascii="Arial" w:hAnsi="Arial"/>
          <w:color w:val="000000"/>
          <w:sz w:val="17"/>
        </w:rPr>
        <w:t>(based on the closing price on that date for shares of the registrant’s common stock as reported by the Nasdaq Global Select Market).</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Arial" w:hAnsi="Arial"/>
          <w:color w:val="000000"/>
          <w:sz w:val="17"/>
        </w:rPr>
        <w:t>The number of shares outstanding of the registrant’s common stock, $0.0001 par value, as of May 8, 2026</w:t>
      </w:r>
      <w:r>
        <w:rPr>
          <w:rFonts w:ascii="Times New Roman" w:hAnsi="Times New Roman"/>
          <w:color w:val="000000"/>
          <w:sz w:val="20"/>
        </w:rPr>
        <w:t xml:space="preserve"> </w:t>
      </w:r>
      <w:r>
        <w:rPr>
          <w:rFonts w:ascii="Arial" w:hAnsi="Arial"/>
          <w:color w:val="000000"/>
          <w:sz w:val="17"/>
        </w:rPr>
        <w:t>was 136,568,953.</w:t>
      </w:r>
      <w:r>
        <w:rPr>
          <w:rFonts w:ascii="Times New Roman" w:hAnsi="Times New Roman"/>
          <w:color w:val="000000"/>
          <w:sz w:val="20"/>
        </w:rPr>
        <w:t xml:space="preserve"> </w:t>
      </w:r>
    </w:p>
    <w:p>
      <w:pPr>
        <w:pStyle w:val="TextBody"/>
        <w:bidi w:val="0"/>
        <w:spacing w:before="40" w:after="283"/>
        <w:jc w:val="center"/>
        <w:rPr>
          <w:rFonts w:ascii="Arial" w:hAnsi="Arial"/>
          <w:b/>
          <w:color w:val="000000"/>
          <w:sz w:val="17"/>
        </w:rPr>
      </w:pPr>
      <w:r>
        <w:rPr>
          <w:rFonts w:ascii="Arial" w:hAnsi="Arial"/>
          <w:b/>
          <w:color w:val="000000"/>
          <w:sz w:val="17"/>
        </w:rPr>
        <w:t>DOCUMENTS INCORPORATED BY REFERENCE</w:t>
      </w:r>
    </w:p>
    <w:p>
      <w:pPr>
        <w:pStyle w:val="TextBody"/>
        <w:bidi w:val="0"/>
        <w:spacing w:before="40" w:after="283"/>
        <w:jc w:val="left"/>
        <w:rPr>
          <w:rFonts w:ascii="Times New Roman" w:hAnsi="Times New Roman"/>
          <w:sz w:val="20"/>
        </w:rPr>
      </w:pPr>
      <w:r>
        <w:rPr>
          <w:rFonts w:ascii="Arial" w:hAnsi="Arial"/>
          <w:color w:val="000000"/>
          <w:sz w:val="17"/>
        </w:rPr>
        <w:t>Portions of the registrant’s definitive Proxy Statement to be filed with the Securities and Exchange Commission pursuant to Regulation 14A in connection with its 2026 Annual Meeting of Stockholders are incorporated by reference into Part III of this Form 10-K where indicated. Such Proxy Statement will be filed with the Securities and Exchange Commission not later than 120 days after the registrant’s fiscal year ended March 31, 2026.</w:t>
      </w:r>
      <w:r>
        <w:rPr>
          <w:rFonts w:ascii="Times New Roman" w:hAnsi="Times New Roman"/>
          <w:color w:val="000000"/>
          <w:sz w:val="20"/>
        </w:rPr>
        <w:t xml:space="preserve"> </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97"/>
        <w:gridCol w:w="391"/>
        <w:gridCol w:w="8329"/>
        <w:gridCol w:w="146"/>
        <w:gridCol w:w="542"/>
      </w:tblGrid>
      <w:tr>
        <w:trPr/>
        <w:tc>
          <w:tcPr>
            <w:tcW w:w="7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29"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Arial" w:hAnsi="Arial"/>
                  <w:b/>
                  <w:color w:val="0000FF"/>
                  <w:sz w:val="20"/>
                  <w:u w:val="single"/>
                </w:rPr>
                <w:t>PART 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Arial" w:hAnsi="Arial"/>
                  <w:color w:val="0000FF"/>
                  <w:sz w:val="20"/>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1B.</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Arial" w:hAnsi="Arial"/>
                  <w:color w:val="0000FF"/>
                  <w:sz w:val="20"/>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1C.</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Arial" w:hAnsi="Arial"/>
                  <w:color w:val="0000FF"/>
                  <w:sz w:val="20"/>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Arial" w:hAnsi="Arial"/>
                  <w:color w:val="0000FF"/>
                  <w:sz w:val="20"/>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Arial" w:hAnsi="Arial"/>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29" w:type="dxa"/>
            <w:tcBorders/>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Arial" w:hAnsi="Arial"/>
                  <w:b/>
                  <w:color w:val="0000FF"/>
                  <w:sz w:val="20"/>
                  <w:u w:val="single"/>
                </w:rPr>
                <w:t>PART 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item_5_market_for_registrants_common_equ">
              <w:r>
                <w:rPr>
                  <w:rStyle w:val="InternetLink"/>
                  <w:rFonts w:ascii="Arial" w:hAnsi="Arial"/>
                  <w:color w:val="0000FF"/>
                  <w:sz w:val="20"/>
                  <w:u w:val="single"/>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Arial" w:hAnsi="Arial"/>
                  <w:color w:val="0000FF"/>
                  <w:sz w:val="20"/>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7.</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Arial" w:hAnsi="Arial"/>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7A.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Arial" w:hAnsi="Arial"/>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8.</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Arial" w:hAnsi="Arial"/>
                  <w:color w:val="0000FF"/>
                  <w:sz w:val="20"/>
                  <w:u w:val="single"/>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Arial" w:hAnsi="Arial"/>
                  <w:color w:val="0000FF"/>
                  <w:sz w:val="20"/>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Arial" w:hAnsi="Arial"/>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9B.</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Arial" w:hAnsi="Arial"/>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9C.</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Arial" w:hAnsi="Arial"/>
                  <w:color w:val="0000FF"/>
                  <w:sz w:val="20"/>
                  <w:u w:val="single"/>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29" w:type="dxa"/>
            <w:tcBorders/>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Arial" w:hAnsi="Arial"/>
                  <w:b/>
                  <w:color w:val="0000FF"/>
                  <w:sz w:val="20"/>
                  <w:u w:val="single"/>
                </w:rPr>
                <w:t>PART III</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10.</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Arial" w:hAnsi="Arial"/>
                  <w:color w:val="0000FF"/>
                  <w:sz w:val="20"/>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Arial" w:hAnsi="Arial"/>
                  <w:color w:val="0000FF"/>
                  <w:sz w:val="20"/>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Arial" w:hAnsi="Arial"/>
                  <w:color w:val="0000FF"/>
                  <w:sz w:val="20"/>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Arial" w:hAnsi="Arial"/>
                  <w:color w:val="0000FF"/>
                  <w:sz w:val="20"/>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Arial" w:hAnsi="Arial"/>
                  <w:color w:val="0000FF"/>
                  <w:sz w:val="20"/>
                  <w:u w:val="single"/>
                </w:rPr>
                <w:t>Principal Accounting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797"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29" w:type="dxa"/>
            <w:tcBorders/>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Arial" w:hAnsi="Arial"/>
                  <w:b/>
                  <w:color w:val="0000FF"/>
                  <w:sz w:val="20"/>
                  <w:u w:val="single"/>
                </w:rPr>
                <w:t>PART IV</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Arial" w:hAnsi="Arial"/>
                  <w:color w:val="0000FF"/>
                  <w:sz w:val="20"/>
                  <w:u w:val="single"/>
                </w:rPr>
                <w:t>Exhibits,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r>
      <w:tr>
        <w:trPr/>
        <w:tc>
          <w:tcPr>
            <w:tcW w:w="7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9"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Arial" w:hAnsi="Arial"/>
                  <w:color w:val="0000FF"/>
                  <w:sz w:val="20"/>
                  <w:u w:val="single"/>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w:t>
            </w:r>
          </w:p>
        </w:tc>
      </w:tr>
      <w:tr>
        <w:trPr/>
        <w:tc>
          <w:tcPr>
            <w:tcW w:w="9517"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Arial" w:hAnsi="Arial"/>
          <w:b/>
          <w:color w:val="000000"/>
          <w:sz w:val="20"/>
        </w:rPr>
        <w:t>PART</w:t>
      </w:r>
      <w:r>
        <w:rPr>
          <w:rFonts w:ascii="Times New Roman" w:hAnsi="Times New Roman"/>
          <w:color w:val="000000"/>
          <w:sz w:val="20"/>
        </w:rPr>
        <w:t xml:space="preserve"> </w:t>
      </w:r>
      <w:r>
        <w:rPr>
          <w:rFonts w:ascii="Arial" w:hAnsi="Arial"/>
          <w:b/>
          <w:color w:val="000000"/>
          <w:sz w:val="20"/>
        </w:rPr>
        <w:t>I</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color w:val="000000"/>
          <w:sz w:val="20"/>
        </w:rPr>
        <w:t>FORWARD-LOOKING STATEMENTS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trends in our business or key markets; growth opportunities; the ability to successfully compete in our target markets and durability or strengthening of competitive advantages; the construction, completion, testing, launch, commencement of commercial service, expected performance and benefits of satellites and satellite payloads (including satellites planned or under construction) and the timing thereof; the expected capacity, coverage, service speeds and other features of our satellites, and the cost, economics and benefits associated therewith; anticipated subscriber growth; introduction and integration of multi-orbit capabilities; future economic conditions; the development, customer acceptance and anticipated performance of our technologies, products or services; plans, objectives and strategies for future operations; ability to drive capital efficiency and improved resource utilization; the number of additional aircraft or vessels anticipated to be put into service with our connectivity systems; expected revenue from the Ligado settlement;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launch of services on new satellites; increasing levels of competition in our target markets; our ability to successfully implement our business plan on our anticipated timeline or at all; our ability to successfully develop, introduce and sell new technologies, products and services; audits by the U.S. Government; changes in the global business environment and economic conditions (including U.S. Government shutdowns);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any dispute with Ligado regarding the terms of the Ligado settlement; our dependence on a limited number of key employees; and other factors identified under the heading “Risk Factors” in Part 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3" w:name="item_1_business"/>
      <w:bookmarkEnd w:id="3"/>
      <w:r>
        <w:rPr>
          <w:rFonts w:ascii="Arial" w:hAnsi="Arial"/>
          <w:b/>
          <w:color w:val="000000"/>
          <w:sz w:val="20"/>
        </w:rPr>
        <w:t>ITEM 1.</w:t>
      </w:r>
      <w:r>
        <w:rPr>
          <w:rFonts w:ascii="Times New Roman" w:hAnsi="Times New Roman"/>
          <w:color w:val="000000"/>
          <w:sz w:val="20"/>
        </w:rPr>
        <w:t xml:space="preserve"> </w:t>
      </w:r>
      <w:r>
        <w:rPr>
          <w:rFonts w:ascii="Arial" w:hAnsi="Arial"/>
          <w:b/>
          <w:i/>
          <w:color w:val="000000"/>
          <w:sz w:val="20"/>
        </w:rPr>
        <w:t>BUSINESS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Corporate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hAnsi="Arial"/>
          <w:i/>
          <w:color w:val="000000"/>
          <w:sz w:val="20"/>
        </w:rPr>
        <w:t xml:space="preserve">www.viasat.com. </w:t>
      </w:r>
      <w:r>
        <w:rPr>
          <w:rFonts w:ascii="Arial" w:hAnsi="Arial"/>
          <w:color w:val="000000"/>
          <w:sz w:val="20"/>
        </w:rPr>
        <w:t>The information on our website does not constitute part of this report.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b/>
          <w:color w:val="000000"/>
          <w:sz w:val="20"/>
        </w:rPr>
        <w:t>Company Overview</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two reportable segments: communication services and defense and advanced technologies.</w:t>
      </w:r>
    </w:p>
    <w:p>
      <w:pPr>
        <w:pStyle w:val="TextBody"/>
        <w:bidi w:val="0"/>
        <w:spacing w:before="270" w:after="283"/>
        <w:jc w:val="left"/>
        <w:rPr>
          <w:rFonts w:ascii="Arial" w:hAnsi="Arial"/>
          <w:b/>
          <w:color w:val="000000"/>
          <w:sz w:val="20"/>
        </w:rPr>
      </w:pPr>
      <w:r>
        <w:rPr>
          <w:rFonts w:ascii="Arial" w:hAnsi="Arial"/>
          <w:b/>
          <w:color w:val="000000"/>
          <w:sz w:val="20"/>
        </w:rPr>
        <w:t>Inmarsat Acquisition</w:t>
      </w:r>
    </w:p>
    <w:p>
      <w:pPr>
        <w:pStyle w:val="TextBody"/>
        <w:bidi w:val="0"/>
        <w:spacing w:before="90" w:after="283"/>
        <w:jc w:val="left"/>
        <w:rPr>
          <w:rFonts w:ascii="Arial" w:hAnsi="Arial"/>
          <w:color w:val="000000"/>
          <w:sz w:val="20"/>
        </w:rPr>
      </w:pPr>
      <w:r>
        <w:rPr>
          <w:rFonts w:ascii="Arial" w:hAnsi="Arial"/>
          <w:color w:val="000000"/>
          <w:sz w:val="20"/>
        </w:rPr>
        <w:t>On May 30, 2023, we completed the acquisition of Connect Topco Limited, a private company limited by shares and incorporated in Guernsey (Inmarsat Holdings and, together with its subsidiaries, Inmarsat), in exchange for approximately $550.7 million in cash and 46.36 million shares of our common stock (the Inmarsat Acquisition). The assets and results of operations of Inmarsat are included in our communication services segment for the period following the closing of the Inmarsat Acquisition on May 30, 2023.</w:t>
      </w:r>
    </w:p>
    <w:p>
      <w:pPr>
        <w:pStyle w:val="TextBody"/>
        <w:bidi w:val="0"/>
        <w:spacing w:before="270" w:after="283"/>
        <w:jc w:val="left"/>
        <w:rPr>
          <w:rFonts w:ascii="Arial" w:hAnsi="Arial"/>
          <w:b/>
          <w:color w:val="000000"/>
          <w:sz w:val="20"/>
        </w:rPr>
      </w:pPr>
      <w:r>
        <w:rPr>
          <w:rFonts w:ascii="Arial" w:hAnsi="Arial"/>
          <w:b/>
          <w:color w:val="000000"/>
          <w:sz w:val="20"/>
        </w:rPr>
        <w:t>Segments</w:t>
      </w:r>
    </w:p>
    <w:p>
      <w:pPr>
        <w:pStyle w:val="TextBody"/>
        <w:bidi w:val="0"/>
        <w:spacing w:before="90" w:after="283"/>
        <w:jc w:val="left"/>
        <w:rPr>
          <w:rFonts w:ascii="Arial" w:hAnsi="Arial"/>
          <w:b/>
          <w:i/>
          <w:color w:val="000000"/>
          <w:sz w:val="20"/>
        </w:rPr>
      </w:pPr>
      <w:r>
        <w:rPr>
          <w:rFonts w:ascii="Arial" w:hAnsi="Arial"/>
          <w:b/>
          <w:i/>
          <w:color w:val="000000"/>
          <w:sz w:val="20"/>
        </w:rPr>
        <w:t>Communication Services</w:t>
      </w:r>
    </w:p>
    <w:p>
      <w:pPr>
        <w:pStyle w:val="TextBody"/>
        <w:bidi w:val="0"/>
        <w:spacing w:before="90" w:after="283"/>
        <w:jc w:val="left"/>
        <w:rPr>
          <w:rFonts w:ascii="Arial" w:hAnsi="Arial"/>
          <w:color w:val="000000"/>
          <w:sz w:val="20"/>
        </w:rPr>
      </w:pPr>
      <w:r>
        <w:rPr>
          <w:rFonts w:ascii="Arial" w:hAnsi="Arial"/>
          <w:color w:val="000000"/>
          <w:sz w:val="20"/>
        </w:rPr>
        <w:t>Our communication services segment provides a wide range of broadband and narrowband communications solutions across government and commercial mobility markets, as well as for residential and enterprise fixed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geostationary earth orbit (GEO), medium earth orbit (MEO) and low earth orbit (LEO).</w:t>
      </w:r>
    </w:p>
    <w:p>
      <w:pPr>
        <w:pStyle w:val="TextBody"/>
        <w:bidi w:val="0"/>
        <w:spacing w:before="90" w:after="283"/>
        <w:jc w:val="left"/>
        <w:rPr>
          <w:rFonts w:ascii="Arial" w:hAnsi="Arial"/>
          <w:color w:val="000000"/>
          <w:sz w:val="20"/>
        </w:rPr>
      </w:pPr>
      <w:r>
        <w:rPr>
          <w:rFonts w:ascii="Arial" w:hAnsi="Arial"/>
          <w:color w:val="000000"/>
          <w:sz w:val="20"/>
        </w:rPr>
        <w:t>As of March 31, 2026, our complementary fleet of 23 in service or operational satellites spanned the Ka-, L- and S- bands, with 13 Ka-band satellites, eight L-band satellites (three of which were contingency L-band satellites that were operational but not in commercial service), an S-band satellite that supported the European Aviation Network to provide IFC services to commercial airlines in Europe, and a hybrid Ka-/L-band satellite. Our second ViaSat-3 class satellite, ViaSat-3 F2, was launched into orbit in November 2025. Furthermore, as of March 31, 2026, we had eight additional GEO satellites under development or in preparation for launch: a high-capacity Ka-band GEO satellite (ViaSat-3 F3), three adaptive Ka-band GEO satellites (GX7, GX8 and GX9) and four Inmarsat-8 L-band GEO safety service satellites. Subsequent to fiscal year 2026, in April 2026, we launched the third ViaSat-3 class satellite, ViaSat-3 F3, into orbit with commercial service expected to commence by late summer 2026. Our extensive satellite fleet enables us to provide a wide array of high-quality broadband and narrowband services with near global coverage (including strong oceanic coverage) with greater redundancy and resiliency.</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following are the primary business lines in our communication services segment:</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Aviation, which includes industry-leading IFC services, narrowband safety operational data services and other complementary services and applications for commercial aircraft, business jets and unmanned aircraft. As of March 31, 2026, we had our IFC systems installed and in service on approximately 4,580 commercial aircraft (of which approximately 130 were inactive at quarter end, mostly due to standard aircraft maintenance) and approximately 2,100 business jets with Ka-band communication services. We anticipate that approximately 1,000 additional commercial aircraft will be put into service with our IFC systems under existing customer agreements with commercial airlines. However, due to the nature of commercial airline contracts and other factors such as increased competition and original equipment manufacturer (OEM) delays, there can be no assurance that anticipated IFC services will be activated on all such additional commercial aircraft.</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Intelligence Surveillance and Reconnaissance (ISR) services and L-band Advanced Communications Element (LACE) terminals.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 As of March 31, 2026, we provided Ka-band communication services to approximately 13,200 vessels.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Fixed services and other, which includes high-speed, high-quality, reliable fixed broadband internet services to businesses and residential users (primarily in the United States as well as in various countries in Europe and Latin America), enterprise connectivity solutions, Internet-of-Things (IoT) and other narrowband services (such as L-band managed services that enable real-time machine-to-machine (M2M) position or high-value asset tracking), and energy services. As of March 31, 2026, our U.S. fixed broadband business had approximately 130,000 subscribers with an average monthly revenue per user of $113.</w:t>
      </w:r>
    </w:p>
    <w:p>
      <w:pPr>
        <w:pStyle w:val="TextBody"/>
        <w:bidi w:val="0"/>
        <w:spacing w:before="180" w:after="283"/>
        <w:jc w:val="left"/>
        <w:rPr>
          <w:rFonts w:ascii="Arial" w:hAnsi="Arial"/>
          <w:color w:val="000000"/>
          <w:sz w:val="20"/>
        </w:rPr>
      </w:pPr>
      <w:r>
        <w:rPr>
          <w:rFonts w:ascii="Arial" w:hAnsi="Arial"/>
          <w:color w:val="000000"/>
          <w:sz w:val="20"/>
        </w:rPr>
        <w:t>We believe that growth in our communication services business will be driven in the coming years by the continued demand for global mobility services (such as our aviation and maritime services), reflecting expected continued increases in the number of aircraft and maritime vessels in service, passenger volumes, internet users, applications and connected devices and platforms worldwide, as well as expansion in government satcom services. Commercial global mobility services continue to represent a very large and fast-growing addressable market, and are at the core of our growth strategy in our communication services business. We expect that, as the number of aircraft, maritime vessels and passengers around the globe continue to grow, global mobility bandwidth demands will be able to be effectively and reliably met by our fleet of owned, leased and partner satellites.</w:t>
      </w:r>
    </w:p>
    <w:p>
      <w:pPr>
        <w:pStyle w:val="TextBody"/>
        <w:bidi w:val="0"/>
        <w:spacing w:before="270" w:after="283"/>
        <w:jc w:val="left"/>
        <w:rPr>
          <w:rFonts w:ascii="Arial" w:hAnsi="Arial"/>
          <w:b/>
          <w:i/>
          <w:color w:val="000000"/>
          <w:sz w:val="20"/>
        </w:rPr>
      </w:pPr>
      <w:r>
        <w:rPr>
          <w:rFonts w:ascii="Arial" w:hAnsi="Arial"/>
          <w:b/>
          <w:i/>
          <w:color w:val="000000"/>
          <w:sz w:val="20"/>
        </w:rPr>
        <w:t>Defense and Advanced Technologies</w:t>
      </w:r>
    </w:p>
    <w:p>
      <w:pPr>
        <w:pStyle w:val="TextBody"/>
        <w:bidi w:val="0"/>
        <w:spacing w:before="90" w:after="283"/>
        <w:jc w:val="left"/>
        <w:rPr>
          <w:rFonts w:ascii="Times New Roman" w:hAnsi="Times New Roman"/>
          <w:sz w:val="20"/>
        </w:rPr>
      </w:pPr>
      <w:r>
        <w:rPr>
          <w:rFonts w:ascii="Arial" w:hAnsi="Arial"/>
          <w:color w:val="000000"/>
          <w:sz w:val="20"/>
        </w:rPr>
        <w:t>Our defense and advanced technologies segment develops and offers a diverse array of resilient, vertically integrated solutions to government and commercial customers, leveraging our core technical competencies in encryption, cyber security, tactical gateways, modems and waveforms.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following are the primary business lines in our defense and advanced technologies segment:</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Information security and cyber defense, which comprises a variety of high-quality networking, cybersecurity and information assurance products and services that provide advanced, high-speed IP-based “Type 1” and High Assurance Internet Protocol Encryption (HAIPE®)-compliant encryption solutions that enable military and government users to communicate information securely, and that protect the integrity of data stored on computers and storage devices. Information security and cyber defense also includes our Move Out/Jump Off (MOJO) expeditionary tactical gateway family of products.</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Tactical networking, which provides resilient communications designed for on-the-move or on-the-pause operations in a multi-domain battlespace with friendly force tracking and narrowband solutions. Tactical networking includes the products and services offered by TrellisWare Technologies, Inc. (TrellisWare).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pStyle w:val="TextBody"/>
        <w:bidi w:val="0"/>
        <w:spacing w:before="180" w:after="283"/>
        <w:jc w:val="left"/>
        <w:rPr>
          <w:rFonts w:ascii="Arial" w:hAnsi="Arial"/>
          <w:color w:val="000000"/>
          <w:sz w:val="20"/>
        </w:rPr>
      </w:pPr>
      <w:r>
        <w:rPr>
          <w:rFonts w:ascii="Arial" w:hAnsi="Arial"/>
          <w:color w:val="000000"/>
          <w:sz w:val="20"/>
        </w:rPr>
        <w:t>We believe that growth in our defense and advanced technologies business will be driven in the coming years by increasing reliance on space-based assets for military operations, continued increases in demand for resilient communications in multi-domain operations, growing demand for digitization of military infrastructure and increased integration of commercial and defense technologies.</w:t>
      </w:r>
    </w:p>
    <w:p>
      <w:pPr>
        <w:pStyle w:val="TextBody"/>
        <w:bidi w:val="0"/>
        <w:spacing w:before="270" w:after="283"/>
        <w:jc w:val="left"/>
        <w:rPr>
          <w:rFonts w:ascii="Times New Roman" w:hAnsi="Times New Roman"/>
          <w:sz w:val="20"/>
        </w:rPr>
      </w:pPr>
      <w:r>
        <w:rPr>
          <w:rFonts w:ascii="Arial" w:hAnsi="Arial"/>
          <w:b/>
          <w:color w:val="000000"/>
          <w:sz w:val="20"/>
        </w:rPr>
        <w:t>Our Strengths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believe the following strengths position our business to capitalize on attractive growth opportunities in our business:</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 xml:space="preserve">Deep Satellite Fleet Spanning Multiple Frequency Bands. </w:t>
      </w:r>
      <w:r>
        <w:rPr>
          <w:rFonts w:ascii="Arial" w:hAnsi="Arial"/>
          <w:color w:val="000000"/>
          <w:sz w:val="20"/>
        </w:rPr>
        <w:t>Our multi-band satellite platform, with 23 in service or operational satellites as of March 31, 2026 enables us to provide customers with the services they need to cost-efficiently and reliably meet their connectivity needs, including at peak times in the most congested areas. Customers in our target markets demand high-quality, reliable connectivity services that can meet mission-critical needs at the busiest places and times, backed by robust and measurable service level agreements. Our deep and capital-efficient satellite fleet, with multiple GEO satellites providing near-global broadband and narrowband coverage (including strong oceanic coverage and polar reach), is ideally suited to meet these customer needs – and will be further enhanced by our eight additional GEO satellites under development or in preparation for launch as of March 31, 2026. Demand for bandwidth is highly geographically concentrated, with 90% of total bandwidth demand estimated to be concentrated in just 15% of the Earth’s surface. Our GEO satellites, with their wide “field of view” and ability to flexibly and dynamically allocate capacity to meet constantly fluctuating bandwidth demands within each satellite’s footprint, enable our satellite platform to reliably and efficiently meet the peak capacity needs of our customers at the busiest times in areas of high congestion, such as airports, ports, major population centers and key transit routes. In addition, the high capacity of our satellites enables us to provide Terabits of capacity at attractive prices. In contrast, a satellite fleet comprised exclusively of LEO satellites typically suffers from a surplus of capacity in low-demand areas, and unreliable or insufficient capacity at times and places of high demand, given each satellite’s very narrow field of view.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Importantly, we have continued to innovate advanced multi-orbit resource management techniques to reduce costs and expand geographic coverage to better serve the unique needs of each mobility and defense customer. In forming key partnerships with multiple geostationary orbit (GSO) and non-geostationary orbit (NGSO) operators, we are well-positioned to support delivery of Viasat’s next-generation services, improve resource utilization, and drive capital efficiency. In parallel, we are working to ensure equitable access to finite space resources and support regulatory certainty in order to enable multi-orbit solutions and related infrastructure to thrive in a shared and sustainable way.</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Broad Array of Complex, Complementary Service Offerings, Tailored to Customer Needs</w:t>
      </w:r>
      <w:r>
        <w:rPr>
          <w:rFonts w:ascii="Arial" w:hAnsi="Arial"/>
          <w:color w:val="000000"/>
          <w:sz w:val="20"/>
        </w:rPr>
        <w:t>. We offer a broad array of high-quality satellite-based broadband and narrowband services, combined with complementary software and encryption services with multiple applications. For example, in addition to IFC terminals and our award-winning IFC services, we offer aviation customers complementary service offerings such as wireless in-flight entertainment (W-IFE) and other digital services, encryption and monetization solutions and integrated cockpit and safety software services. Similarly, in addition to high-quality broadband connectivity services and terminals, we offer our maritime customers comprehensive software-defined managed services (such as critical safety communications capabilities, security, IoT integration and crew welfare solutions). Our ability to offer bundled complex and complementary services, products and solutions to our customers, tailored to individual customer needs and market opportunities and backed by contractual service level agreements, helps us to differentiate our offerings from our competitors and drive deeper customer engagement and “stickiness.”</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Innovation of Next-Generation Satellite and Space Technologies.</w:t>
      </w:r>
      <w:r>
        <w:rPr>
          <w:color w:val="000000"/>
        </w:rPr>
        <w:t xml:space="preserve"> </w:t>
      </w:r>
      <w:r>
        <w:rPr>
          <w:rFonts w:ascii="Arial" w:hAnsi="Arial"/>
          <w:color w:val="000000"/>
          <w:sz w:val="20"/>
        </w:rPr>
        <w:t xml:space="preserve">We have a long history of innovation in next-generation satellite and space technologies. Our first-generation, high-capacity Ka-band satellite, ViaSat-1, earned a Guinness World Records® title in 2013 as the highest-capacity communications satellite in the world at that time. Our second-generation ViaSat-2 satellite almost doubled the bandwidth capacity of ViaSat-1 and added expanded geographic reach, and in 2018 was selected as a winner in the ‘Space, Platforms’ category of Aviation Week’s 61st Annual Laureate Awards, honoring extraordinary achievements in the global aerospace arena. Our third-generation ViaSat-3 class satellites utilize a new satellite architecture with miniaturized electronics and more productive and efficient antenna designs. This new satellite design is expected to significantly expand the geographic coverage area and data capacity of each satellite and to further enhance our ability to flexibly and dynamically allocate capacity to match demand, resulting in greater speed, availability and cost-efficiency. We believe our history since inception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Vertically Integrated End-to-End Platform of Leading Technologies</w:t>
      </w:r>
      <w:r>
        <w:rPr>
          <w:rFonts w:ascii="Arial" w:hAnsi="Arial"/>
          <w:color w:val="000000"/>
          <w:sz w:val="20"/>
        </w:rPr>
        <w:t xml:space="preserve">. We believe our innovative ecosystem of satellites, ground infrastructure and user terminals creates significant synergies in our business and positions us to drive operational efficiencies and cost-effectively deliver a diverse portfolio of high-quality broadband and narrowband solutions and applications to enterprise, consumer, military and government users. Our product, system and service offerings are often linked through common underlying technologies, customer applications and market relationships. We believe that our comprehensive and predominately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Diversification of Business Model</w:t>
      </w:r>
      <w:r>
        <w:rPr>
          <w:rFonts w:ascii="Arial" w:hAnsi="Arial"/>
          <w:color w:val="000000"/>
          <w:sz w:val="20"/>
        </w:rPr>
        <w:t>. Our business is highly diversified across many different verticals. Our core business includes IFC systems and services for commercial, private and military aircraft around the globe, high-quality broadband and narrowband systems and services for maritime vessels and land mobile users, fixed broadband user terminals and services to consumers and enterprises, and a wide portfolio of broadband, narrowband and cybersecurity information assurance products and services for government and military users. This diversification in product and service offerings, customer base, geography and market segment helps to reduce our exposure to fluctuations in any of the individual markets we serve and to provide resilience in our business performance in times of economic or political disruption. For example, during fiscal year 2021, revenue impacts to our commercial aviation business in our communication services segment resulting from the global disruption in the airline industry caused by the COVID-19 pandemic were offset by strong demand in our fixed broadband services business and other parts of our business.</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Diverse Portfolio of Market-Leading Defense and Government Offerings.</w:t>
      </w:r>
      <w:r>
        <w:rPr>
          <w:color w:val="000000"/>
        </w:rPr>
        <w:t xml:space="preserve"> </w:t>
      </w:r>
      <w:r>
        <w:rPr>
          <w:rFonts w:ascii="Arial" w:hAnsi="Arial"/>
          <w:color w:val="000000"/>
          <w:sz w:val="20"/>
        </w:rPr>
        <w:t xml:space="preserve">We are a leading provider of innovative communications, cybersecurity and information assurance products and solutions to the U.S. Government and other military and government users around the world. These products and services enable the transmission of secure real-time digital information and communications between fixed and mobile command centers, intelligence, defense and homeland security platforms and individuals. Our portfolio of government and military offerings leverages our technological investments in our commercial business, and includes expeditionary tactical gateways, small satellite development, fixed and mobile satellite broadband systems and services, cybersecurity and information assurance products and services. Total new awards in our defense and advanced technologies segment (excluding awards relating to our Link-16 Tactical Data Links business sold to L3Harris in January 2023 (the Link-16 TDL Sale)) grew from approximately $0.6 billion in fiscal year 2018 to $1.6 billion in fiscal year 2026, despite an uneven defense spending environment, reflecting the high demand for our diverse portfolio of products and services for military and government users. Our expeditionary tactical gateways bridge the gap between air and ground forces by providing secure, reliable access to air and ground data transmitted over disparate networks for improved situational awareness capabilities and support communications. Our small satellite development work is market leading and is designed to enable a new tactical space layer for our government customers, enabling increasingly advanced precision operations and maneuvering. Our mobile satellite broadband offerings leverage our innovative satellite technologies and proprietary Ka-band satellite platforms, allowing us to provide high-speed, high-quality internet services to government and military personnel, aircraft, ships and land vehicles. Our secure networking products and services include a broad portfolio of advanced, high-speed, high-assurance encryption solutions that are capable of operating at speeds of up to 200 Gbps, as well as advanced cybersecurity products to detect and mitigate malicious network effects. In February 2021, we received enhanced cybersecurity accreditation from the DHS through their Enhanced Cybersecurity Services (ECS) program. As an accredited ECS provider, we receive DHS-provided sensitive and classified cybersecurity threat indicators and information to defend U.S.-based public and private computer networks, including state and local governments, against unauthorized access, denial, degradation, exploitation and data exfiltration.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Blue-Chip Customer Base</w:t>
      </w:r>
      <w:r>
        <w:rPr>
          <w:rFonts w:ascii="Arial" w:hAnsi="Arial"/>
          <w:color w:val="000000"/>
          <w:sz w:val="20"/>
        </w:rPr>
        <w:t xml:space="preserve">. Our blue-chip customer base includes customers such as the U.S. Government, leading aerospace and defense prime contractors, foreign governments, commercial airlines, civil agencies, satellite network integrators, large communications service providers and enterprises requiring complex communications and networking solutions and services. We believe that the credit strength of these key customers helps support more consistent financial performance. Moreover, our direct relationships with key customers such as commercial airlines and the DoD allow us to adapt our satellite designs and product and service offerings to better meet their desired outcomes.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Experienced Management Team and Diversified Board of Directors.</w:t>
      </w:r>
      <w:r>
        <w:rPr>
          <w:color w:val="000000"/>
        </w:rPr>
        <w:t xml:space="preserve"> </w:t>
      </w:r>
      <w:r>
        <w:rPr>
          <w:rFonts w:ascii="Arial" w:hAnsi="Arial"/>
          <w:color w:val="000000"/>
          <w:sz w:val="20"/>
        </w:rPr>
        <w:t xml:space="preserve">Our core management team is comprised of seasoned executives with significant leadership experience in satellite communications, defense, aerospace, global mobility and integration. For example, our Chairman of the Board and Chief Executive Officer, Mark Dankberg, has been with Viasat since its inception in 1986. Mr. Dankberg is considered to be a leading expert in the field of satellite, wireless and defense communications. In addition, in recent years we undertook a conscious effort to diversify our Board of Directors, bringing in a wide variety of skills and experience aligned with our long-term goals. Our Board of Directors is comprised of a diverse range of high-profile corporate leaders with extensive experience in globalization, communications, space operations, and technology and business integration. </w:t>
      </w:r>
    </w:p>
    <w:p>
      <w:pPr>
        <w:pStyle w:val="TextBody"/>
        <w:bidi w:val="0"/>
        <w:spacing w:before="270" w:after="283"/>
        <w:jc w:val="left"/>
        <w:rPr>
          <w:rFonts w:ascii="Times New Roman" w:hAnsi="Times New Roman"/>
          <w:sz w:val="20"/>
        </w:rPr>
      </w:pPr>
      <w:r>
        <w:rPr>
          <w:rFonts w:ascii="Arial" w:hAnsi="Arial"/>
          <w:b/>
          <w:color w:val="000000"/>
          <w:sz w:val="20"/>
        </w:rPr>
        <w:t>Our Strategy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Our business strategy is to be a leader in the market segments we choose to serve by relentlessly innovating technology and business models; and to maintain our leadership position in utilization and yield with cost-efficient, high-quality satellite-based communications products and services, focused on making connectivity accessible, available and secure for current and future customers worldwide in attractive growth markets. Our strategic purpose is to responsibly and efficiently serve our customers by matching their increasing demand for bandwidth in the right place, at the right time – even in the highest demand locations – with our high-capacity dynamic global satellite networks alongside hybrid multi-orbit, multi-band network service capabilities. By taking advantage of our fleet of owned, leased and partner satellites, and the dynamic beam-forming of our newest ones, we can derive and deliver substantially more value from already on-orbit resources. The principal elements of our strategy include: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color w:val="000000"/>
        </w:rPr>
      </w:pPr>
      <w:r>
        <w:rPr>
          <w:color w:val="000000"/>
        </w:rPr>
        <w:t>•</w:t>
      </w:r>
    </w:p>
    <w:p>
      <w:pPr>
        <w:pStyle w:val="TextBody"/>
        <w:bidi w:val="0"/>
        <w:spacing w:before="270" w:after="283"/>
        <w:jc w:val="left"/>
        <w:rPr>
          <w:rFonts w:ascii="Arial" w:hAnsi="Arial"/>
          <w:b/>
          <w:i/>
          <w:color w:val="000000"/>
          <w:sz w:val="20"/>
        </w:rPr>
      </w:pPr>
      <w:r>
        <w:rPr>
          <w:rFonts w:ascii="Arial" w:hAnsi="Arial"/>
          <w:b/>
          <w:i/>
          <w:color w:val="000000"/>
          <w:sz w:val="20"/>
        </w:rPr>
        <w:t>Drive Capital Efficiencies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Deliver the Most Productive Satellite Systems:</w:t>
      </w:r>
      <w:r>
        <w:rPr>
          <w:color w:val="000000"/>
        </w:rPr>
        <w:t xml:space="preserve"> </w:t>
      </w:r>
      <w:r>
        <w:rPr>
          <w:rFonts w:ascii="Arial" w:hAnsi="Arial"/>
          <w:color w:val="000000"/>
          <w:sz w:val="20"/>
        </w:rPr>
        <w:t xml:space="preserve">We are hyper-focused on maximizing the useful bandwidth per total lifetime capital cost of each satellite. We refer to this as “bandwidth productivity” and see this metric as a key factor in determining our return on satellite investment for each satellite we design, develop and build. However, it is our focus to drive productivity and returns at the fleet level that we believe will give us the greatest competitive advantage in serving our customers globally across a diversity of attractive markets.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Drive Efficiencies of Scale and Operations:</w:t>
      </w:r>
      <w:r>
        <w:rPr>
          <w:color w:val="000000"/>
        </w:rPr>
        <w:t xml:space="preserve"> </w:t>
      </w:r>
      <w:r>
        <w:rPr>
          <w:rFonts w:ascii="Arial" w:hAnsi="Arial"/>
          <w:color w:val="000000"/>
          <w:sz w:val="20"/>
        </w:rPr>
        <w:t xml:space="preserve">We intend to continue to drive efficiencies in our businesses through our vertical integration and other strategies and increasing scale as we move into new and adjacent geographic, product and service markets. We optimize our satellite systems through our development of an end-to-end platform of next-generation satellites, ground networking equipment and user terminals that enable the provision of a broad array of high-quality broadband and narrowband services. Our deep fleet of GEO satellites provide scale and operational efficiencies through their enhanced ability to efficiently and dynamically match supply and demand through the flexible allocation of capacity by service, time and geography within the satellite footprint, as well as through their near global geographic reach. </w:t>
      </w:r>
    </w:p>
    <w:p>
      <w:pPr>
        <w:pStyle w:val="TextBody"/>
        <w:bidi w:val="0"/>
        <w:spacing w:before="270" w:after="283"/>
        <w:jc w:val="left"/>
        <w:rPr>
          <w:color w:val="000000"/>
        </w:rPr>
      </w:pPr>
      <w:r>
        <w:rPr>
          <w:color w:val="000000"/>
        </w:rPr>
        <w:t>•</w:t>
      </w:r>
    </w:p>
    <w:p>
      <w:pPr>
        <w:pStyle w:val="TextBody"/>
        <w:bidi w:val="0"/>
        <w:spacing w:before="270" w:after="283"/>
        <w:jc w:val="left"/>
        <w:rPr>
          <w:rFonts w:ascii="Arial" w:hAnsi="Arial"/>
          <w:b/>
          <w:i/>
          <w:color w:val="000000"/>
          <w:sz w:val="20"/>
        </w:rPr>
      </w:pPr>
      <w:r>
        <w:rPr>
          <w:rFonts w:ascii="Arial" w:hAnsi="Arial"/>
          <w:b/>
          <w:i/>
          <w:color w:val="000000"/>
          <w:sz w:val="20"/>
        </w:rPr>
        <w:t>Focus on Relentless Execution</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Maintain Focus on Technology Leadership:</w:t>
      </w:r>
      <w:r>
        <w:rPr>
          <w:color w:val="000000"/>
        </w:rPr>
        <w:t xml:space="preserve"> </w:t>
      </w:r>
      <w:r>
        <w:rPr>
          <w:rFonts w:ascii="Arial" w:hAnsi="Arial"/>
          <w:color w:val="000000"/>
          <w:sz w:val="20"/>
        </w:rPr>
        <w:t xml:space="preserve">We continue to focus on strategic research and development (R&amp;D) to bring more efficient, effective and customer-centric high-quality broadband and narrowband communications to the global market. Our continued innovation in satellite system product development has been one of our hallmarks. We intend to maintain our leadership position in satellite systems, technologies and services, while continuing to expand our efforts in wireless communications, cloud networking and security, as well as new and emerging technologies such as direct-to-device and space-to-space communications. Our R&amp;D efforts are supported by a global employee base that includes approximately 3,400 engineers and a culture that deeply values and supports innovation.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 xml:space="preserve">Follow Our Path of Proven Performance: </w:t>
      </w:r>
      <w:r>
        <w:rPr>
          <w:rFonts w:ascii="Arial" w:hAnsi="Arial"/>
          <w:color w:val="000000"/>
          <w:sz w:val="20"/>
        </w:rPr>
        <w:t>We have an enviable track record for identifying and bringing to market impactful communications technologies in space systems. For example, ViaSat-1 was the highest capacity communications satellite at the time of its launch; ViaSat-2 almost doubled the capacity of ViaSat-1; and the ViaSat-3 F2 and ViaSat-3 F3 satellites are individually anticipated to have significantly greater data capacity and geographic coverage than our ViaSat-2 satellite and to enable us to deliver affordable connectivity across a large geographic footprint spanning nearly one-third of the globe with a design that has an enhanced ability to flexibly and dynamically allocate capacity to markets where bandwidth usage demands and returns are highest.</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Customer-Centricity Evolution:</w:t>
      </w:r>
      <w:r>
        <w:rPr>
          <w:color w:val="000000"/>
        </w:rPr>
        <w:t xml:space="preserve"> </w:t>
      </w:r>
      <w:r>
        <w:rPr>
          <w:rFonts w:ascii="Arial" w:hAnsi="Arial"/>
          <w:color w:val="000000"/>
          <w:sz w:val="20"/>
        </w:rPr>
        <w:t>We are focused on continuing to increase our customer interactions and have incorporated new technologies, tools and learnings from artificial intelligence and machine learning to enhanced customer intimacy techniques and customer advisory councils. Our satellite systems have been designed to serve the specific requirements of our customers in the mobility and government sectors. We strive to continue to improve our ongoing customer engagements through proactive response, deeper customer insights and enhanced customer exchanges. This is an ongoing effort that will continue to be an investment and nurture opportunity for us.</w:t>
      </w:r>
    </w:p>
    <w:p>
      <w:pPr>
        <w:pStyle w:val="TextBody"/>
        <w:bidi w:val="0"/>
        <w:spacing w:before="270" w:after="283"/>
        <w:jc w:val="left"/>
        <w:rPr>
          <w:color w:val="000000"/>
        </w:rPr>
      </w:pPr>
      <w:r>
        <w:rPr>
          <w:color w:val="000000"/>
        </w:rPr>
        <w:t>•</w:t>
      </w:r>
    </w:p>
    <w:p>
      <w:pPr>
        <w:pStyle w:val="TextBody"/>
        <w:bidi w:val="0"/>
        <w:spacing w:before="270" w:after="283"/>
        <w:jc w:val="left"/>
        <w:rPr>
          <w:rFonts w:ascii="Arial" w:hAnsi="Arial"/>
          <w:b/>
          <w:i/>
          <w:color w:val="000000"/>
          <w:sz w:val="20"/>
        </w:rPr>
      </w:pPr>
      <w:r>
        <w:rPr>
          <w:rFonts w:ascii="Arial" w:hAnsi="Arial"/>
          <w:b/>
          <w:i/>
          <w:color w:val="000000"/>
          <w:sz w:val="20"/>
        </w:rPr>
        <w:t>Continue to Expand into New Markets and Geographies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Enter and Disrupt New and Adjacent Markets through Technology Innovation:</w:t>
      </w:r>
      <w:r>
        <w:rPr>
          <w:color w:val="000000"/>
        </w:rPr>
        <w:t xml:space="preserve"> </w:t>
      </w:r>
      <w:r>
        <w:rPr>
          <w:rFonts w:ascii="Arial" w:hAnsi="Arial"/>
          <w:color w:val="000000"/>
          <w:sz w:val="20"/>
        </w:rPr>
        <w:t xml:space="preserve">We continue to create or address new and adjacent markets using our technological advancements to disrupt existing business models and drive shifts in target markets and user demand. For example, the technological innovations and power of our proprietary Ka-band satellite network enabled us to disrupt the IFC business model and successfully expand our broadband service offerings into the commercial air market. As the capacity of our satellite systems continues to increase as additional ViaSat-3 and GX satellites are brought into commercial service, we expect the addressable markets for our technologies, products and services to continue to expand. Higher capacity, more flexible satellites, and layers of GEO/highly-elliptical earth orbit satellites covering each region, will allow us to offer a broader array of cost-effective, reliable, high-quality broadband services that can be tailored to different geographic regions and bandwidth usage demands.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 xml:space="preserve">Think Beyond Current Customer Requirements to Open New Markets: </w:t>
      </w:r>
      <w:r>
        <w:rPr>
          <w:rFonts w:ascii="Arial" w:hAnsi="Arial"/>
          <w:color w:val="000000"/>
          <w:sz w:val="20"/>
        </w:rPr>
        <w:t>We actively seek to identify market or operational needs that are not currently served by existing communications and encryption products and services, with a view to developing unique or disruptive products and services and creating new addressable markets. In fact, a key component to the continued success of Viasat’s defense business is its expansive portfolio of non-developmental items (NDI), which are designed to rapidly deliver cutting-edge technology solutions well ahead of the traditional government procurement model. Our business model delivers advanced capabilities significantly faster, at lower lifecycle costs and with lower risk to the customer when compared to traditional defense acquisition programs and timelines.</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Target International Expansion.</w:t>
      </w:r>
      <w:r>
        <w:rPr>
          <w:color w:val="000000"/>
        </w:rPr>
        <w:t xml:space="preserve"> </w:t>
      </w:r>
      <w:r>
        <w:rPr>
          <w:rFonts w:ascii="Arial" w:hAnsi="Arial"/>
          <w:color w:val="000000"/>
          <w:sz w:val="20"/>
        </w:rPr>
        <w:t>We have placed tremendous effort in recent years on growing our operations, sales/distribution, customer/partner base and regulatory framework globally, including through the Inmarsat Acquisition, with the addition of Inmarsat's satellite fleet enabling us to provide high-quality broadband and narrowband services with near global coverage (including strong oceanic coverage and polar reach). We continue to believe that international markets provide attractive opportunities for the long-term growth of our business. As worldwide demand for broadband connectivity continues to grow, we expect that our comprehensive offering of next-generation broadband and narrowband satellites, advanced end-to-end communication systems and ground networking equipment and products, and their ability to enable a wide range of cost-effective, high-quality broadband and narrowband services, will be increasingly attractive internationally. Demand profile differs by geographic market, reflecting geographic, economic, political, regulatory and other factors. However, the flexibility, high bandwidth capacity and broad geographic coverage area of our multi-band satellite fleet allow us to tailor our service offerings for the opportunities and needs of different geographic markets.</w:t>
      </w:r>
    </w:p>
    <w:p>
      <w:pPr>
        <w:pStyle w:val="TextBody"/>
        <w:bidi w:val="0"/>
        <w:spacing w:before="270" w:after="283"/>
        <w:jc w:val="left"/>
        <w:rPr>
          <w:color w:val="000000"/>
        </w:rPr>
      </w:pPr>
      <w:r>
        <w:rPr>
          <w:color w:val="000000"/>
        </w:rPr>
        <w:t>•</w:t>
      </w:r>
    </w:p>
    <w:p>
      <w:pPr>
        <w:pStyle w:val="TextBody"/>
        <w:bidi w:val="0"/>
        <w:spacing w:before="270" w:after="283"/>
        <w:jc w:val="left"/>
        <w:rPr>
          <w:rFonts w:ascii="Arial" w:hAnsi="Arial"/>
          <w:b/>
          <w:i/>
          <w:color w:val="000000"/>
          <w:sz w:val="20"/>
        </w:rPr>
      </w:pPr>
      <w:r>
        <w:rPr>
          <w:rFonts w:ascii="Arial" w:hAnsi="Arial"/>
          <w:b/>
          <w:i/>
          <w:color w:val="000000"/>
          <w:sz w:val="20"/>
        </w:rPr>
        <w:t>Prioritize the End-User</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Recognize Connectivity is a Means to an End, not an End in Itself.</w:t>
      </w:r>
      <w:r>
        <w:rPr>
          <w:color w:val="000000"/>
        </w:rPr>
        <w:t xml:space="preserve"> </w:t>
      </w:r>
      <w:r>
        <w:rPr>
          <w:rFonts w:ascii="Arial" w:hAnsi="Arial"/>
          <w:color w:val="000000"/>
          <w:sz w:val="20"/>
        </w:rPr>
        <w:t>The value of a network is in the applications it enables. With this understanding, we have worked closely with leading edge and content providers (including companies such as Apple, Facebook, and DirecTV, among others) to enhance end-users’ experiences with their online and streaming media services over our network, helping them leverage the potential of making affordable broadband available in places where it has never been. We also work with U.S. Government agencies, major airlines and others on multiple continents to help ensure end-users have satisfying — and affordable — experiences on our network. Our expanded multi-band satellite fleet enables us to provide services with near global coverage (including strong oceanic coverage and polar reach) with greater redundancy and resiliency. In addition, we work with various international governments to help bring digital and social inclusion to their constituents through efficient satellite-enabled services such as our community internet services, which offer community hotspots, home broadband and mobile broadband in unserved and underserved areas using satellite-powered centralized terminals. By making broadband connectivity accessible to millions of people living in regions where traditional terrestrial and wireless internet services were either non-existent or cost prohibitive, we have been able to help generate positive socio-economic impacts — in education, e-commerce, finance, healthcare and more — at lower bandwidth costs.</w:t>
      </w:r>
    </w:p>
    <w:p>
      <w:pPr>
        <w:pStyle w:val="TextBody"/>
        <w:bidi w:val="0"/>
        <w:spacing w:before="270" w:after="283"/>
        <w:jc w:val="left"/>
        <w:rPr>
          <w:color w:val="000000"/>
        </w:rPr>
      </w:pPr>
      <w:r>
        <w:rPr>
          <w:color w:val="000000"/>
        </w:rPr>
        <w:t>•</w:t>
      </w:r>
    </w:p>
    <w:p>
      <w:pPr>
        <w:pStyle w:val="TextBody"/>
        <w:bidi w:val="0"/>
        <w:spacing w:before="270" w:after="283"/>
        <w:jc w:val="left"/>
        <w:rPr>
          <w:rFonts w:ascii="Arial" w:hAnsi="Arial"/>
          <w:b/>
          <w:i/>
          <w:color w:val="000000"/>
          <w:sz w:val="20"/>
        </w:rPr>
      </w:pPr>
      <w:r>
        <w:rPr>
          <w:rFonts w:ascii="Arial" w:hAnsi="Arial"/>
          <w:b/>
          <w:i/>
          <w:color w:val="000000"/>
          <w:sz w:val="20"/>
        </w:rPr>
        <w:t>Manage for the Long Term</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Pursue Growth Through Strategic Alliances, Partnering Arrangements and Relationships</w:t>
      </w:r>
      <w:r>
        <w:rPr>
          <w:rFonts w:ascii="Arial" w:hAnsi="Arial"/>
          <w:color w:val="000000"/>
          <w:sz w:val="20"/>
        </w:rPr>
        <w:t>. We actively seek strategic relationships and joint ventures with companies whose financial, marketing, operational or technological resources may accelerate the introduction of new technologies, service offerings and/or the penetration of new markets. For example, we have entered into strategic agreements with local partners in Brazil and Mexico to bring high-speed, affordable internet to unserved and underserved communities, which allows us to gain market insights and build brand awareness in those countries. We also regularly enter into teaming arrangements with other government contractors to more effectively capture complex government programs. We may continue to evaluate acquisitions of, or investments in, complementary companies, businesses, products or technologies to supplement our internal growth.</w:t>
      </w:r>
    </w:p>
    <w:p>
      <w:pPr>
        <w:pStyle w:val="TextBody"/>
        <w:bidi w:val="0"/>
        <w:spacing w:before="9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90" w:after="283"/>
        <w:jc w:val="left"/>
        <w:rPr/>
      </w:pPr>
      <w:r>
        <w:rPr>
          <w:rFonts w:ascii="Arial" w:hAnsi="Arial"/>
          <w:i/>
          <w:color w:val="000000"/>
          <w:sz w:val="20"/>
        </w:rPr>
        <w:t xml:space="preserve">Encourage Safe Sustainable Access to Space. </w:t>
      </w:r>
      <w:r>
        <w:rPr>
          <w:rFonts w:ascii="Arial" w:hAnsi="Arial"/>
          <w:color w:val="000000"/>
          <w:sz w:val="20"/>
        </w:rPr>
        <w:t>We strive to be a leader in bringing benefits of space technology to the world in a sustainable, responsible and inclusive way. We are focused on cooperating with a broad range of responsible nations and global partners to ensure safe, responsible and equitable access to space for all.</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b/>
          <w:color w:val="000000"/>
          <w:sz w:val="20"/>
        </w:rPr>
        <w:t>Our Customers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Our customer base is highly diversified. Customers of our communication services segment reflect the diversity in our service offerings and include commercial airlines, business jet owners and operators, maritime commercial shipping fleets, offshore service vessel operators, commercial fishing companies, residential customers, small and medium-sized businesses, enterprises and government and military users. The customers of our defense and advanced technologies segment include the DoD, the DHS, select other U.S. federal, state and local government agencies, foreign governments, allied armed forces, public safety first-responders, remote government employees, commercial and defense contractors, satellite network integrators, large communications service providers and enterprises requiring complex communications and networking solutions, as well as various defense contractors, North Atlantic Treaty Organization (NATO), the European Space Agency, and privately held companies, international organizations and non-government entities that support government businesses worldwide. We enter into government contracts either directly with U.S. or foreign governments, or indirectly through domestic or international partners or resellers, and act as both a prime contractor and subcontractor for the sale of equipment and services to government and defense users.</w:t>
      </w:r>
    </w:p>
    <w:p>
      <w:pPr>
        <w:pStyle w:val="TextBody"/>
        <w:bidi w:val="0"/>
        <w:spacing w:before="180" w:after="283"/>
        <w:jc w:val="left"/>
        <w:rPr>
          <w:rFonts w:ascii="Times New Roman" w:hAnsi="Times New Roman"/>
          <w:sz w:val="20"/>
        </w:rPr>
      </w:pPr>
      <w:r>
        <w:rPr>
          <w:rFonts w:ascii="Arial" w:hAnsi="Arial"/>
          <w:color w:val="000000"/>
          <w:sz w:val="20"/>
        </w:rPr>
        <w:t>Revenues from the U.S. Government as an individual customer comprised approximately 16%, 18% and 17% of total revenues for fiscal years 2026, 2025 and 2024, respectively. None of our other customers comprised 10% or more of total revenues in fiscal years 2026, 2025 or 2024.</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U.S. Government Contracts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mix of communication products, satellite services, engineering capabilities and technical expertise in specialized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We provide products and services under federal government contracts that usually require performance over a period of several months to multiple years. Long-term contracts may be impacted based on when the government appropriated funds are available and to what level, which may result in a delay, reduction or termination of these contracts.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which may include product R&amp;D, for a fixed price and, accordingly, realize the benefit or detriment to the extent that the actual cost of performing the work differs from the contract price. In fiscal year 2026, substantially all of our government revenues were generated from fixed-price contracts with the federal government or our prime contractors.</w:t>
      </w:r>
    </w:p>
    <w:p>
      <w:pPr>
        <w:pStyle w:val="TextBody"/>
        <w:bidi w:val="0"/>
        <w:spacing w:before="180" w:after="283"/>
        <w:jc w:val="left"/>
        <w:rPr>
          <w:rFonts w:ascii="Times New Roman" w:hAnsi="Times New Roman"/>
          <w:sz w:val="20"/>
        </w:rPr>
      </w:pPr>
      <w:r>
        <w:rPr>
          <w:rFonts w:ascii="Arial" w:hAnsi="Arial"/>
          <w:color w:val="000000"/>
          <w:sz w:val="20"/>
        </w:rPr>
        <w:t>Our allowable federal government contract costs and fees are subject to audit and review by the Defense Contract Management Agency (DCMA) and the Defense Contract Audit Agency (DCAA), as discussed below under “Regulatory Environment — Other Regulations.”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Our federal government contracts may be terminated, in whole or in part, at the convenience of the U.S. Government. If a termination for convenience occurs, the U.S. Government generally is obligated to pay for work completed or services rendered and/or the cost incurred by us under the contract, which may include a fee or allowance for profit. Contracts with prime contractors may have negotiated termination schedules that apply. When we participate as a subcontractor, we are at risk if the prime contractor does not perform its contract. Similarly, when we act as a prime contractor employing subcontractors, we are at risk if a subcontractor does not perform its subcontract.</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Our eligibility to perform under our federal government contracts requires us to maintain adequate security measures. We have implemented security procedures that we believe adequately satisfy the requirements of our federal government contracts.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Research and Development</w:t>
      </w:r>
    </w:p>
    <w:p>
      <w:pPr>
        <w:pStyle w:val="TextBody"/>
        <w:bidi w:val="0"/>
        <w:spacing w:before="90" w:after="283"/>
        <w:jc w:val="left"/>
        <w:rPr>
          <w:rFonts w:ascii="Times New Roman" w:hAnsi="Times New Roman"/>
          <w:sz w:val="20"/>
        </w:rPr>
      </w:pPr>
      <w:r>
        <w:rPr>
          <w:rFonts w:ascii="Arial" w:hAnsi="Arial"/>
          <w:color w:val="000000"/>
          <w:sz w:val="20"/>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and communications technologies, and new and enhanced products and services, is a significant factor in maintaining or improving our competitive position and our prospects for growth. Therefore, we continue to make significant investments in next-generation satellite technologies and communications product and services development.</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We conduct the majority of our R&amp;D activities in-house and have R&amp;D and engineering staff, which includes approximately 3,400 engineers worldwide. Our product development activities focus on products that we consider viable revenue opportunities to support both of our segments. We incurred $164.9 million, $142.4 million and $150.7 million during fiscal years 2026, 2025 and 2024, respectively, on independent research and development (IR&amp;D) expenses, which comprise R&amp;D not directly funded by a third party. Funded R&amp;D contains a profit component and is therefore not directly comparable to IR&amp;D. As a U.S. Government contractor, we may also recover a portion of our IR&amp;D expenses, consisting primarily of salaries and other personnel-related expenses, supplies and prototype materials related to R&amp;D programs.</w:t>
      </w:r>
    </w:p>
    <w:p>
      <w:pPr>
        <w:pStyle w:val="TextBody"/>
        <w:bidi w:val="0"/>
        <w:spacing w:before="270" w:after="283"/>
        <w:jc w:val="left"/>
        <w:rPr>
          <w:rFonts w:ascii="Times New Roman" w:hAnsi="Times New Roman"/>
          <w:sz w:val="20"/>
        </w:rPr>
      </w:pPr>
      <w:r>
        <w:rPr>
          <w:rFonts w:ascii="Arial" w:hAnsi="Arial"/>
          <w:b/>
          <w:color w:val="000000"/>
          <w:sz w:val="20"/>
        </w:rPr>
        <w:t>Intellectual Property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seek to establish and maintain our proprietary rights in our technology and products through a combination of patents, copyrights, trademarks, trade secrets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in any particular jurisdiction. Although we believe the protection afforded by our patents, copyrights, trademarks, trade secrets and contractual provisions has value, the rapidly changing technology environment in the industries we work in (including the internet,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Certain of our products and services include software or other intellectual property licensed from third parties. While it may be necessary in the future to seek or renew licenses relating to various aspects of our products and services,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b/>
          <w:color w:val="000000"/>
          <w:sz w:val="20"/>
        </w:rPr>
        <w:t>Sales and Marketing</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have a sales presence in various domestic and international locations, and we sell our products and services both directly and indirectly through partners, as described below:</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Communication Services Sales Organization.</w:t>
      </w:r>
      <w:r>
        <w:rPr>
          <w:color w:val="000000"/>
        </w:rPr>
        <w:t xml:space="preserve"> </w:t>
      </w:r>
      <w:r>
        <w:rPr>
          <w:rFonts w:ascii="Arial" w:hAnsi="Arial"/>
          <w:color w:val="000000"/>
          <w:sz w:val="20"/>
        </w:rPr>
        <w:t xml:space="preserve">Our communication services sales organization involves both direct and indirect channels and varies based on subscriber and service type. Our commercial aviation offerings are sold directly to airlines, and our business aviation offerings are sold through direct sales and business development personnel as well as through aviation-focused value-added resellers. Our maritime service offerings are sold through direct and indirect value-added reseller partners targeting a variety of maritime commercial prospects. In each case, our focus is to identify business opportunities and develop solutions for the unique needs of each customer segment. Our residential fixed broadband services are primarily sold directly to customers through our Viasat Internet website, sales call centers and active retail dealers, and we utilize extensive dealer networks across the United States, as well as in each country where residential fixed broadband services are offered, to sell such services. Our business internet offerings are sold through a mix of direct sales personnel who work with enterprises and a network of enterprise-focused master agents and wholesale distribution partners. Finally, our community internet services are sold through local distribution partnerships. In addition to our sales force, we maintain a highly-trained service staff to provide technical product and service support to our customers.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 xml:space="preserve">Defense and Advanced Technologies Sales Organization. </w:t>
      </w:r>
      <w:r>
        <w:rPr>
          <w:rFonts w:ascii="Arial" w:hAnsi="Arial"/>
          <w:color w:val="000000"/>
          <w:sz w:val="20"/>
        </w:rPr>
        <w:t xml:space="preserve">Our defense and advanced technologies sales organization consists of direct sales personnel who sell our standard products and services,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as well as sales managers and sales engineers, who act as the primary interface to establish account relationships and determine technical requirements for customer networks. The period of time from initial contact through the point of product sale is varied based on the products and services provided, and can take three years for more complex developments. Products in production can usually be delivered to a customer between 90 to 180 days from the point of product sale. </w:t>
      </w:r>
    </w:p>
    <w:p>
      <w:pPr>
        <w:pStyle w:val="TextBody"/>
        <w:bidi w:val="0"/>
        <w:spacing w:before="90" w:after="283"/>
        <w:jc w:val="left"/>
        <w:rPr>
          <w:color w:val="000000"/>
        </w:rPr>
      </w:pPr>
      <w:r>
        <w:rPr>
          <w:color w:val="000000"/>
        </w:rPr>
        <w:t>•</w:t>
      </w:r>
    </w:p>
    <w:p>
      <w:pPr>
        <w:pStyle w:val="TextBody"/>
        <w:bidi w:val="0"/>
        <w:spacing w:before="90" w:after="283"/>
        <w:jc w:val="left"/>
        <w:rPr/>
      </w:pPr>
      <w:r>
        <w:rPr>
          <w:rFonts w:ascii="Arial" w:hAnsi="Arial"/>
          <w:i/>
          <w:color w:val="000000"/>
          <w:sz w:val="20"/>
        </w:rPr>
        <w:t>Strategic Partners.</w:t>
      </w:r>
      <w:r>
        <w:rPr>
          <w:color w:val="000000"/>
        </w:rPr>
        <w:t xml:space="preserve"> </w:t>
      </w:r>
      <w:r>
        <w:rPr>
          <w:rFonts w:ascii="Arial" w:hAnsi="Arial"/>
          <w:color w:val="000000"/>
          <w:sz w:val="20"/>
        </w:rPr>
        <w:t xml:space="preserve">To augment our direct sales efforts, we seek to develop key strategic relationships to market and sell our products and services.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 </w:t>
      </w:r>
    </w:p>
    <w:p>
      <w:pPr>
        <w:pStyle w:val="TextBody"/>
        <w:bidi w:val="0"/>
        <w:spacing w:before="180" w:after="283"/>
        <w:jc w:val="left"/>
        <w:rPr>
          <w:rFonts w:ascii="Times New Roman" w:hAnsi="Times New Roman"/>
          <w:sz w:val="20"/>
        </w:rPr>
      </w:pPr>
      <w:r>
        <w:rPr>
          <w:rFonts w:ascii="Arial" w:hAnsi="Arial"/>
          <w:color w:val="000000"/>
          <w:sz w:val="20"/>
        </w:rPr>
        <w:t>Our marketing team works closely with our corporate and segment leadership, customer account executives, and business development, sales and operations organizations to increase the awareness and value of the Viasat brand through a mix of positive program performance, agile, results-oriented multichannel marketing campaigns that reflect new and evolving customer journeys, public relations, paid and owned media, live and virtual events, and conference speaking engagements that keep the market current on our services, products and features. Viasat products and services, both in the U.S. and internationally, are typically sold under one unified master global brand, using a single logo and visual identity system. Our marketing team also helps identify and size new and adjacent target markets for our products and services, evaluate our customer experience, create awareness of our company and our portfolio of offerings, and generate contacts and leads within these targeted markets.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Competition</w:t>
      </w:r>
    </w:p>
    <w:p>
      <w:pPr>
        <w:pStyle w:val="TextBody"/>
        <w:bidi w:val="0"/>
        <w:spacing w:before="90" w:after="283"/>
        <w:jc w:val="left"/>
        <w:rPr>
          <w:rFonts w:ascii="Times New Roman" w:hAnsi="Times New Roman"/>
          <w:sz w:val="20"/>
        </w:rPr>
      </w:pPr>
      <w:r>
        <w:rPr>
          <w:rFonts w:ascii="Arial" w:hAnsi="Arial"/>
          <w:color w:val="000000"/>
          <w:sz w:val="20"/>
        </w:rPr>
        <w:t>The markets in which we compete are highly competitive and competition is increasing. These markets are characterized by rapid change, converging technologies and a migration to solutions that offer higher capacity and speed and other superior advantages. These market factors 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To compete, we emphasize:</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high-quality, resilience, reliability, security and broad geographic availability of our service offerings;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deep understanding of our customers’ unique expectations and requirements and the factors and metrics that drive customer value in our target markets;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extensive insights as to how, where, and when customer demand will intersect with our capacity supply;</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our proven designs and network integration services for complex, customized network needs;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demonstrated performance in uniquely challenging environments;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increased bandwidth efficiency offered by our networks, products and services;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safety certified L-band network enabling robust safety services for aviation, government and maritime customers;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spectrum and market access;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advanced security and information assurance capabilities;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innovative and flexible features integrated into our products and services;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our network management experience;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our end-to-end network implementation capabilities;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distinct advantages of satellite data networks;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technical advantages and advanced features of our antenna systems as compared to our competitors’ offerings;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holistic suite of offerings, including our ability to offer bundled complex and complementary services, products and solutions; and</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overall cost-effectiveness of our communications systems, products and services.</w:t>
      </w:r>
    </w:p>
    <w:p>
      <w:pPr>
        <w:pStyle w:val="TextBody"/>
        <w:bidi w:val="0"/>
        <w:spacing w:before="180" w:after="283"/>
        <w:jc w:val="left"/>
        <w:rPr>
          <w:rFonts w:ascii="Times New Roman" w:hAnsi="Times New Roman"/>
          <w:sz w:val="20"/>
        </w:rPr>
      </w:pPr>
      <w:r>
        <w:rPr>
          <w:rFonts w:ascii="Arial" w:hAnsi="Arial"/>
          <w:color w:val="000000"/>
          <w:sz w:val="20"/>
        </w:rPr>
        <w:t>While we believe we compete successfully on each of these factors, we expect to continue to face intense competition in each of our markets.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In our communication service segment, our aviation service offerings compete against air-to-ground mobile services and other satellite-based services, such as the services offered by Amazon Leo, Anuvu, Gogo, Iridium, Panasonic Avionics Corporation, SES, SpaceX and Thales Group, among others. Our maritime service offerings compete against KVH, SES, SpaceX and Speedcast, among others. In our fixed broadband business, we compete with broadband service offerings from wireline and wireless telecommunications companies, including cable companies, fiber and DSL companies, satellite companies and fixed wireless companies. New entrants, some with significant financial resources and new emerging offerings (including terrestrial and space-based networks, such as LEO and MEO constellations) also compete with our satellite service offerings.</w:t>
      </w:r>
    </w:p>
    <w:p>
      <w:pPr>
        <w:pStyle w:val="TextBody"/>
        <w:bidi w:val="0"/>
        <w:spacing w:before="180" w:after="283"/>
        <w:jc w:val="left"/>
        <w:rPr>
          <w:rFonts w:ascii="Arial" w:hAnsi="Arial"/>
          <w:color w:val="000000"/>
          <w:sz w:val="20"/>
        </w:rPr>
      </w:pPr>
      <w:r>
        <w:rPr>
          <w:rFonts w:ascii="Arial" w:hAnsi="Arial"/>
          <w:color w:val="000000"/>
          <w:sz w:val="20"/>
        </w:rPr>
        <w:t>In our defense and advanced technology segment, we compete with numerous other providers of satellite and terrestrial communications systems, products and equipment, including: CPI Antenna Systems Division, Comtech, EchoStar (Hughes Network Systems), General Dynamics, Gilat, iDirect Technologies, L3Harris, Maxar, Newtec, Panasonic Avionics Corporation, Safran Aerosystems, SpaceX and Thales Group. In addition, some of our customers continuously evaluate whether to develop and manufacture their own products and could elect to compete with us at any time.</w:t>
      </w:r>
    </w:p>
    <w:p>
      <w:pPr>
        <w:pStyle w:val="TextBody"/>
        <w:bidi w:val="0"/>
        <w:spacing w:before="180" w:after="283"/>
        <w:jc w:val="left"/>
        <w:rPr>
          <w:rFonts w:ascii="Times New Roman" w:hAnsi="Times New Roman"/>
          <w:sz w:val="20"/>
        </w:rPr>
      </w:pPr>
      <w:r>
        <w:rPr>
          <w:rFonts w:ascii="Arial" w:hAnsi="Arial"/>
          <w:color w:val="000000"/>
          <w:sz w:val="20"/>
        </w:rPr>
        <w:t>The government businesses in both of our segments compete with government communications service providers and manufacturers of defense electronics products, systems or subsystems, such as BAE Systems, Collins Aerospace, EchoStar (Hughes Network Systems), Eutelsat, General Dynamics, Iridium, L3Harris, OneWeb, SES, SpaceX, Telesat and similar companies. We may also compete directly with the largest defense prime contractors, including Boeing, Lockheed Martin, Northrop Grumman and Raytheon Technologies Corporation. In many cases, we partner with our competitors, and therefore maintaining an open and cooperative relationship is important.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Many of our competitors have significant competitive advantages, including strong customer relationships, greater financial and management resources and access to technologies not available to us. Many of our competitors are also substantially larger than we are, may have greater brand recognition, substantial capital resources or more extensive engineering, manufacturing and marketing capabilities than we do, may have access to spectrum or technologies not available to us, or may be able to offer bundled service offerings that we are not able to replicate. As a result, these competitors may be able to adapt more quickly to changing technology or market conditions or may be able to devote greater resources to the development, promotion and sale of their products.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Manufacturing</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Contract manufacturers produce products for many different customers and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w:t>
      </w:r>
    </w:p>
    <w:p>
      <w:pPr>
        <w:pStyle w:val="TextBody"/>
        <w:bidi w:val="0"/>
        <w:spacing w:before="180" w:after="283"/>
        <w:jc w:val="left"/>
        <w:rPr>
          <w:rFonts w:ascii="Times New Roman" w:hAnsi="Times New Roman"/>
          <w:sz w:val="20"/>
        </w:rPr>
      </w:pPr>
      <w:r>
        <w:rPr>
          <w:rFonts w:ascii="Arial" w:hAnsi="Arial"/>
          <w:color w:val="000000"/>
          <w:sz w:val="20"/>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Our internal manufacturing capability is dependent on the availability of essential materials, parts and subassemblies from our suppliers and subcontractors. We use numerous sources for the wide array of raw materials required for our operations and our products, such as electronic components, printed circuit boards, metals and plastics. Although alternative sources generally exist for these raw materials, qualification of the sources could take a year or more.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Regulatory Environment</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are required to comply with the laws and regulations of, and often obtain approvals from, national and local authorities in connection with the services that we provide. In particular, we provide a number of services that rely on the use of radio-frequency (RF) spectrum, and the provision of such services is highly regulated. National authorities generally require that the satellites they authorize be operated in a manner consistent with the regulations and procedures of the International Telecommunication Union (ITU), a specialized agency of the United Nations, which require the coordination of the operation of satellite networks and systems in certain circumstances, and more generally are intended to avoid the occurrence of harmful interference among different users of RF spectrum.</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procurement laws and regulations.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i/>
          <w:color w:val="000000"/>
          <w:sz w:val="20"/>
        </w:rPr>
      </w:pPr>
      <w:r>
        <w:rPr>
          <w:rFonts w:ascii="Arial" w:hAnsi="Arial"/>
          <w:b/>
          <w:i/>
          <w:color w:val="000000"/>
          <w:sz w:val="20"/>
        </w:rPr>
        <w:t>Radio-frequency and Communications Regulation</w:t>
      </w:r>
    </w:p>
    <w:p>
      <w:pPr>
        <w:pStyle w:val="TextBody"/>
        <w:bidi w:val="0"/>
        <w:spacing w:before="90" w:after="283"/>
        <w:jc w:val="left"/>
        <w:rPr>
          <w:rFonts w:ascii="Arial" w:hAnsi="Arial"/>
          <w:b/>
          <w:i/>
          <w:color w:val="000000"/>
          <w:sz w:val="20"/>
        </w:rPr>
      </w:pPr>
      <w:r>
        <w:rPr>
          <w:rFonts w:ascii="Arial" w:hAnsi="Arial"/>
          <w:b/>
          <w:i/>
          <w:color w:val="000000"/>
          <w:sz w:val="20"/>
        </w:rPr>
        <w:t>International Telecommunication Union</w:t>
      </w:r>
    </w:p>
    <w:p>
      <w:pPr>
        <w:pStyle w:val="TextBody"/>
        <w:bidi w:val="0"/>
        <w:spacing w:before="90" w:after="283"/>
        <w:jc w:val="left"/>
        <w:rPr>
          <w:rFonts w:ascii="Arial" w:hAnsi="Arial"/>
          <w:color w:val="000000"/>
          <w:sz w:val="20"/>
        </w:rPr>
      </w:pPr>
      <w:r>
        <w:rPr>
          <w:rFonts w:ascii="Arial" w:hAnsi="Arial"/>
          <w:color w:val="000000"/>
          <w:sz w:val="20"/>
        </w:rPr>
        <w:t>The orbital location and frequencies for our satellites are subject to the ITU’s regulations, including its frequency registration and coordination procedures, and its various provisions on spectrum usage. Those procedures are specified in the ITU Radio Regulations and seek to facilitate shared international use of limited spectrum and orbital resources in a manner that avoids harmful interference. Among other things, the ITU Radio Regulations set forth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w:t>
      </w:r>
    </w:p>
    <w:p>
      <w:pPr>
        <w:pStyle w:val="TextBody"/>
        <w:bidi w:val="0"/>
        <w:spacing w:before="180" w:after="283"/>
        <w:jc w:val="left"/>
        <w:rPr>
          <w:rFonts w:ascii="Arial" w:hAnsi="Arial"/>
          <w:color w:val="000000"/>
          <w:sz w:val="20"/>
        </w:rPr>
      </w:pPr>
      <w:r>
        <w:rPr>
          <w:rFonts w:ascii="Arial" w:hAnsi="Arial"/>
          <w:color w:val="000000"/>
          <w:sz w:val="20"/>
        </w:rPr>
        <w:t>The ITU Radio Regulations provide allocations or designations for how spectrum can be used for various purposes, and whether such uses operate on a primary or secondary basis with respect to one another. Secondary uses may not cause harmful interference to primary uses and may not claim interference protection from primary uses.</w:t>
      </w:r>
    </w:p>
    <w:p>
      <w:pPr>
        <w:pStyle w:val="TextBody"/>
        <w:bidi w:val="0"/>
        <w:spacing w:before="180" w:after="283"/>
        <w:jc w:val="left"/>
        <w:rPr>
          <w:rFonts w:ascii="Arial" w:hAnsi="Arial"/>
          <w:color w:val="000000"/>
          <w:sz w:val="20"/>
        </w:rPr>
      </w:pPr>
      <w:r>
        <w:rPr>
          <w:rFonts w:ascii="Arial" w:hAnsi="Arial"/>
          <w:color w:val="000000"/>
          <w:sz w:val="20"/>
        </w:rPr>
        <w:t>On our behalf, various countries have made ITU filings, and may in the future make additional filings, for the frequency assignments at particular orbital locations that are used, or may in the future be used, by our current satellite networks and potential future satellite networks we may build or acquire. In the event that any international coordination process that is triggered by such an ITU filing is not successfully completed, or bringing into use deadlines or requirements are not satisfied, we may be compelled to accept more limited or suboptimal orbital and spectrum rights, to operate the applicable satellite(s) on a non-interference basis, or to cease operating such satellite(s) altogether. The orbital arc is becoming increasingly congested with respect to such ITU filings and the satellite networks operated under those filings.</w:t>
      </w:r>
    </w:p>
    <w:p>
      <w:pPr>
        <w:pStyle w:val="TextBody"/>
        <w:bidi w:val="0"/>
        <w:spacing w:before="180" w:after="283"/>
        <w:jc w:val="left"/>
        <w:rPr>
          <w:rFonts w:ascii="Times New Roman" w:hAnsi="Times New Roman"/>
          <w:sz w:val="20"/>
        </w:rPr>
      </w:pPr>
      <w:r>
        <w:rPr>
          <w:rFonts w:ascii="Arial" w:hAnsi="Arial"/>
          <w:color w:val="000000"/>
          <w:sz w:val="20"/>
        </w:rPr>
        <w:t>In addition, the ITU Radio Regulations are subject to change at periodic ITU World Radiocommunication Conferences (WRCs), and their application is determined by various governing bodies within the ITU. WRCs typically are convened approximately every four years, with the next one scheduled to occur at the end of calendar year 2027. The next WRC is expected to consider various changes to the ITU Radio Regulations that address the terms and conditions under which spectrum is used for satellite and terrestrial purposes, and future WRCs are likely to do the same.</w:t>
      </w:r>
      <w:r>
        <w:rPr>
          <w:rFonts w:ascii="Times New Roman" w:hAnsi="Times New Roman"/>
          <w:color w:val="000000"/>
          <w:sz w:val="20"/>
        </w:rPr>
        <w:t xml:space="preserve"> </w:t>
      </w:r>
    </w:p>
    <w:p>
      <w:pPr>
        <w:pStyle w:val="TextBody"/>
        <w:bidi w:val="0"/>
        <w:spacing w:before="270" w:after="283"/>
        <w:jc w:val="left"/>
        <w:rPr>
          <w:rFonts w:ascii="Arial" w:hAnsi="Arial"/>
          <w:b/>
          <w:i/>
          <w:color w:val="000000"/>
          <w:sz w:val="20"/>
        </w:rPr>
      </w:pPr>
      <w:r>
        <w:rPr>
          <w:rFonts w:ascii="Arial" w:hAnsi="Arial"/>
          <w:b/>
          <w:i/>
          <w:color w:val="000000"/>
          <w:sz w:val="20"/>
        </w:rPr>
        <w:t>Spectrum</w:t>
      </w:r>
    </w:p>
    <w:p>
      <w:pPr>
        <w:pStyle w:val="TextBody"/>
        <w:bidi w:val="0"/>
        <w:spacing w:before="90" w:after="283"/>
        <w:jc w:val="left"/>
        <w:rPr>
          <w:rFonts w:ascii="Arial" w:hAnsi="Arial"/>
          <w:color w:val="000000"/>
          <w:sz w:val="20"/>
        </w:rPr>
      </w:pPr>
      <w:r>
        <w:rPr>
          <w:rFonts w:ascii="Arial" w:hAnsi="Arial"/>
          <w:color w:val="000000"/>
          <w:sz w:val="20"/>
        </w:rPr>
        <w:t>The space stations and ground networks we use to provide our broadband, VoIP, and other services rely on access to spectrum within each country in which we do business. Use of such spectrum is authorized by regulatory authorities within each country (or a regional authority whose jurisdiction over spectrum rights encompasses that country), which determine the terms and conditions for access to and use of that spectrum in that particular country. The terms and conditions for access can and do vary by country, may differ from the ITU Radio Regulations, and may change over time. In particular, the growing demand for both satellite and terrestrial communications services is causing many countries to evaluate how spectrum is used within their borders, and to consider changes in the local terms and conditions for access to and use of spectrum. Those terms and conditions affect, among other things, the extent to which, and how, we must share spectrum with other spectrum users, including terrestrial and satellite users, and whether we must operate on a secondary basis in some cases. Most of the spectrum on which we rely is shared with other satellite networks, including those operating in different orbits that could cross our orbital location and result in interference conditions. In many countries, portions of the spectrum on which we rely also are shared with terrestrial wireless services.</w:t>
      </w:r>
    </w:p>
    <w:p>
      <w:pPr>
        <w:pStyle w:val="TextBody"/>
        <w:bidi w:val="0"/>
        <w:spacing w:before="180" w:after="283"/>
        <w:jc w:val="left"/>
        <w:rPr>
          <w:rFonts w:ascii="Arial" w:hAnsi="Arial"/>
          <w:color w:val="000000"/>
          <w:sz w:val="20"/>
        </w:rPr>
      </w:pPr>
      <w:r>
        <w:rPr>
          <w:rFonts w:ascii="Arial" w:hAnsi="Arial"/>
          <w:color w:val="000000"/>
          <w:sz w:val="20"/>
        </w:rPr>
        <w:t>If the deployment of new terrestrial or satellite networks results in harmful interference into our satellite operations, or if the implementation of those networks under newly adopted terms and conditions constrains or prohibits the types of spectrum uses for which we have planned in a manner that we do not anticipate, such developments could have a material adverse effect on our business, financial condition, and results of operations.</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i/>
          <w:color w:val="000000"/>
          <w:sz w:val="20"/>
        </w:rPr>
      </w:pPr>
      <w:r>
        <w:rPr>
          <w:rFonts w:ascii="Arial" w:hAnsi="Arial"/>
          <w:b/>
          <w:i/>
          <w:color w:val="000000"/>
          <w:sz w:val="20"/>
        </w:rPr>
        <w:t>Broadband Services</w:t>
      </w:r>
    </w:p>
    <w:p>
      <w:pPr>
        <w:pStyle w:val="TextBody"/>
        <w:bidi w:val="0"/>
        <w:spacing w:before="90" w:after="283"/>
        <w:jc w:val="left"/>
        <w:rPr>
          <w:rFonts w:ascii="Arial" w:hAnsi="Arial"/>
          <w:color w:val="000000"/>
          <w:sz w:val="20"/>
        </w:rPr>
      </w:pPr>
      <w:r>
        <w:rPr>
          <w:rFonts w:ascii="Arial" w:hAnsi="Arial"/>
          <w:color w:val="000000"/>
          <w:sz w:val="20"/>
        </w:rPr>
        <w:t>We provide high-speed broadband internet access, VoIP, and other services to customers in the United States, as well as in Europe and Latin America, and on aircraft and seagoing vessels travelling around the world. Our provision of these services is subject to a number of legal obligations, including requirements to obtain licenses, authorizations, and/or registrations to provide service in or to a given jurisdiction, implementation of certain network capabilities to assist law enforcement, and open internet requirements. Legislators and regulators often consider changes to existing statutes, rules, and requirements, or prescribe new ones, which could significantly impact the ability to comply, or the costs of complying with, these types of obligations, or that otherwise could materially and adversely affect our ability to provide service in a given jurisdiction.</w:t>
      </w:r>
    </w:p>
    <w:p>
      <w:pPr>
        <w:pStyle w:val="TextBody"/>
        <w:bidi w:val="0"/>
        <w:spacing w:before="270" w:after="283"/>
        <w:jc w:val="left"/>
        <w:rPr>
          <w:rFonts w:ascii="Arial" w:hAnsi="Arial"/>
          <w:b/>
          <w:i/>
          <w:color w:val="000000"/>
          <w:sz w:val="20"/>
        </w:rPr>
      </w:pPr>
      <w:r>
        <w:rPr>
          <w:rFonts w:ascii="Arial" w:hAnsi="Arial"/>
          <w:b/>
          <w:i/>
          <w:color w:val="000000"/>
          <w:sz w:val="20"/>
        </w:rPr>
        <w:t>US Regulation</w:t>
      </w:r>
    </w:p>
    <w:p>
      <w:pPr>
        <w:pStyle w:val="TextBody"/>
        <w:bidi w:val="0"/>
        <w:spacing w:before="90" w:after="283"/>
        <w:jc w:val="left"/>
        <w:rPr>
          <w:rFonts w:ascii="Times New Roman" w:hAnsi="Times New Roman"/>
          <w:sz w:val="20"/>
        </w:rPr>
      </w:pPr>
      <w:r>
        <w:rPr>
          <w:rFonts w:ascii="Arial" w:hAnsi="Arial"/>
          <w:color w:val="000000"/>
          <w:sz w:val="20"/>
        </w:rPr>
        <w:t>The commercial use of RF spectrum in the United States is subject to the jurisdiction of the Federal Communications Commission (FCC) under the Communications Act of 1934, as amended (Communications Act). The FCC is responsible for licensing the operation of satellite earth stations and spacecraft, regulating the technical and other aspects of the operation of these facilities, and regulating certain aspects of the provision of services to customers.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Earth Stations.</w:t>
      </w:r>
      <w:r>
        <w:rPr>
          <w:rFonts w:ascii="Times New Roman" w:hAnsi="Times New Roman"/>
          <w:color w:val="000000"/>
          <w:sz w:val="20"/>
        </w:rPr>
        <w:t xml:space="preserve"> </w:t>
      </w:r>
      <w:r>
        <w:rPr>
          <w:rFonts w:ascii="Arial" w:hAnsi="Arial"/>
          <w:color w:val="000000"/>
          <w:sz w:val="20"/>
        </w:rPr>
        <w:t>The Communications Act requires a license for the operation of transmitting satellite earth station facilities and certain receiving satellite earth station facilities in the United States. We currently hold licenses authorizing us to operate various earth stations within the United States, including, but not limited to, user terminals and facilities that aggregate traffic and interconnect with the internet backbone and network hubs. These licenses typically are granted for 15-year terms, and typically are renewed in the ordinary course. Material changes in earth station operations would require prior approval by the FCC. The operation of our earth stations is subject to various license conditions, as well as the technical and operational requirements of the FCC’s rules and regulations.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Space Stations.</w:t>
      </w:r>
      <w:r>
        <w:rPr>
          <w:rFonts w:ascii="Times New Roman" w:hAnsi="Times New Roman"/>
          <w:color w:val="000000"/>
          <w:sz w:val="20"/>
        </w:rPr>
        <w:t xml:space="preserve"> </w:t>
      </w:r>
      <w:r>
        <w:rPr>
          <w:rFonts w:ascii="Arial" w:hAnsi="Arial"/>
          <w:color w:val="000000"/>
          <w:sz w:val="20"/>
        </w:rPr>
        <w:t>In the United States, the FCC authorizes the launch and operation of commercial spacecraft, and also authorizes non-U.S.-licensed spacecraft to be used to serve the United States. The FCC has authorized the use of our satellites that provide coverage to the United States. The use of these spacecraft in our business is subject to various conditions in the underlying authorizations, as well as the technical and operational requirements of the FCC’s rules and regulations.</w:t>
      </w:r>
    </w:p>
    <w:p>
      <w:pPr>
        <w:pStyle w:val="TextBody"/>
        <w:bidi w:val="0"/>
        <w:spacing w:before="180" w:after="283"/>
        <w:jc w:val="left"/>
        <w:rPr>
          <w:rFonts w:ascii="Times New Roman" w:hAnsi="Times New Roman"/>
          <w:sz w:val="20"/>
        </w:rPr>
      </w:pPr>
      <w:r>
        <w:rPr>
          <w:rFonts w:ascii="Arial" w:hAnsi="Arial"/>
          <w:i/>
          <w:color w:val="000000"/>
          <w:sz w:val="20"/>
        </w:rPr>
        <w:t>Universal Service and Other Broadband Subsidies.</w:t>
      </w:r>
      <w:r>
        <w:rPr>
          <w:rFonts w:ascii="Times New Roman" w:hAnsi="Times New Roman"/>
          <w:color w:val="000000"/>
          <w:sz w:val="20"/>
        </w:rPr>
        <w:t xml:space="preserve"> </w:t>
      </w:r>
      <w:r>
        <w:rPr>
          <w:rFonts w:ascii="Arial" w:hAnsi="Arial"/>
          <w:color w:val="000000"/>
          <w:sz w:val="20"/>
        </w:rPr>
        <w:t>Certain of our services may constitute the provision of telecommunications to, from, or within the United States, and we are required to 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37.0%. Current FCC rules permit us to pass this universal service contribution through to our customers. The FCC has established universal service funding mechanisms to support the provision of voice and broadband services in certain high-cost areas of the United States. These supporting mechanisms include the Connect America Fund (CAF) and the Rural Digital Opportunity Fund (RDOF). In addition, under the Broadband Equity, Access, and Deployment (BEAD) program, funding for broadband service is being distributed by U.S. states and territories under the oversight and administration of the National Telecommunications and Information Administration (NTIA). Among other things, certain mechanisms provide, or will likely provide, support to terrestrial service providers under terms and conditions that are not available to satellite-based service providers. Support mechanisms could provide other service providers a competitive advantage in providing broadband services in supported areas, which could have a material adverse effect on our business, financial condition, and results of operations. Additionally, Viasat has been awarded $122.5 million in support under the CAF program to serve certain portions of the country, and must comply with federal and state obligations imposed in connection with such support. In June 2025, the U.S. Supreme Court upheld the FCC’s universal service fund program against challenges that it violated the non-delegation doctrine under Article I of the U.S. Constitution.</w:t>
      </w:r>
    </w:p>
    <w:p>
      <w:pPr>
        <w:pStyle w:val="TextBody"/>
        <w:bidi w:val="0"/>
        <w:spacing w:before="180" w:after="283"/>
        <w:jc w:val="left"/>
        <w:rPr>
          <w:rFonts w:ascii="Times New Roman" w:hAnsi="Times New Roman"/>
          <w:sz w:val="20"/>
        </w:rPr>
      </w:pPr>
      <w:r>
        <w:rPr>
          <w:rFonts w:ascii="Arial" w:hAnsi="Arial"/>
          <w:i/>
          <w:color w:val="000000"/>
          <w:sz w:val="20"/>
        </w:rPr>
        <w:t>CALEA.</w:t>
      </w:r>
      <w:r>
        <w:rPr>
          <w:rFonts w:ascii="Times New Roman" w:hAnsi="Times New Roman"/>
          <w:color w:val="000000"/>
          <w:sz w:val="20"/>
        </w:rPr>
        <w:t xml:space="preserve"> </w:t>
      </w:r>
      <w:r>
        <w:rPr>
          <w:rFonts w:ascii="Arial" w:hAnsi="Arial"/>
          <w:color w:val="000000"/>
          <w:sz w:val="20"/>
        </w:rPr>
        <w:t>We are obligated to comply with the requirements of the Communications Assistance for Law Enforcement Act (CALEA), which requires telecommunications providers and broadband internet access providers to ensure that law enforcement agencies are able to conduct lawfully authorized surveillance of users of their services.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i/>
          <w:color w:val="000000"/>
          <w:sz w:val="20"/>
        </w:rPr>
        <w:t>Net Neutrality.</w:t>
      </w:r>
      <w:r>
        <w:rPr>
          <w:rFonts w:ascii="Times New Roman" w:hAnsi="Times New Roman"/>
          <w:color w:val="000000"/>
          <w:sz w:val="20"/>
        </w:rPr>
        <w:t xml:space="preserve"> </w:t>
      </w:r>
      <w:r>
        <w:rPr>
          <w:rFonts w:ascii="Arial" w:hAnsi="Arial"/>
          <w:color w:val="000000"/>
          <w:sz w:val="20"/>
        </w:rPr>
        <w:t>Over the years, the FCC has considered measures intended to preserve the openness of the internet, a concept generally referred to as “net neutrality” or “open internet.” For instance, in 2015 and again in 2024, the FCC adopted rules that, among other things, prohibited all ISPs from: (i) blocking access to legal content, applications, services, or non-harmful devices (subject to an exception for “reasonable network management”); (ii) impairing or degrading lawful internet traffic on the basis of content, applications, services, or non-harmful devices (subject to the same exception); (iii) favoring some lawful internet traffic over other 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are obligated to make certain disclosures to consumers with respect to their network management policies. The FCC repealed the 2015 version of its net neutrality rules in 2018, and its 2024 rules were struck down by the Sixth Circuit, in a ruling that likely complicates efforts to reinstate such regulations going forward.</w:t>
      </w:r>
    </w:p>
    <w:p>
      <w:pPr>
        <w:pStyle w:val="TextBody"/>
        <w:bidi w:val="0"/>
        <w:spacing w:before="180" w:after="283"/>
        <w:jc w:val="left"/>
        <w:rPr>
          <w:rFonts w:ascii="Times New Roman" w:hAnsi="Times New Roman"/>
          <w:sz w:val="20"/>
        </w:rPr>
      </w:pPr>
      <w:r>
        <w:rPr>
          <w:rFonts w:ascii="Arial" w:hAnsi="Arial"/>
          <w:color w:val="000000"/>
          <w:sz w:val="20"/>
        </w:rPr>
        <w:t>In addition, legislative proposals that would impose net neutrality requirements have been considered in Congress, and some states have adopted versions of the net neutrality requirements. These efforts have also been challenged in courts on federal preemption and other grounds. We cannot predict the outcome of these federal and state regulatory and legislative efforts, or any resulting impact on ISPs.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Privacy and Data Security</w:t>
      </w:r>
      <w:r>
        <w:rPr>
          <w:rFonts w:ascii="Arial" w:hAnsi="Arial"/>
          <w:color w:val="000000"/>
          <w:sz w:val="20"/>
        </w:rPr>
        <w:t>. We are subject to federal and state laws concerning the privacy, security, and processing of personal information about consumers, as well as our employees and business contacts. Certain of these laws provide privacy protections for certain types of personal information related to our voice services (referred to by such laws as customer proprietary network information). The Federal Trade Commission also oversees consumer privacy and data security issues more broadly through its authority to take enforcement action for unfair or deceptive practices, and state consumer protection laws can prompt review of privacy practices by state attorneys general. In addition, certain states have adopted or modified consumer privacy and data security laws, regulations and other requirements, including the California Consumer Privacy Act (CCPA), which gives California residents, among other things, the right to receive certain disclosures regarding the collection, use, and disclosure of personal information, as well as rights to access, delete, correct, and restrict the sale and certain sharing of personal information collected about them by us. State laws similar to the CCPA continue to multiply and evolve, and as various states pass their own comprehensive privacy laws and create a patchwork of overlapping but different state laws, we and our business customers and partners could be exposed to additional regulatory complexities and obligations. All states also have enacted security breach notification laws requiring notice to consumers and government agencies upon disclosure of certain information to an unauthorized party resulting from a security breach. In addition, the SEC has issued enhanced requirements related to the reporting of material cybersecurity incidents, and the FCC likewise has issued data breach notification rules for providers of telecommunications services.</w:t>
      </w:r>
    </w:p>
    <w:p>
      <w:pPr>
        <w:pStyle w:val="TextBody"/>
        <w:bidi w:val="0"/>
        <w:spacing w:before="270" w:after="283"/>
        <w:jc w:val="left"/>
        <w:rPr>
          <w:rFonts w:ascii="Arial" w:hAnsi="Arial"/>
          <w:b/>
          <w:i/>
          <w:color w:val="000000"/>
          <w:sz w:val="20"/>
        </w:rPr>
      </w:pPr>
      <w:r>
        <w:rPr>
          <w:rFonts w:ascii="Arial" w:hAnsi="Arial"/>
          <w:b/>
          <w:i/>
          <w:color w:val="000000"/>
          <w:sz w:val="20"/>
        </w:rPr>
        <w:t>Foreign Regulation</w:t>
      </w:r>
    </w:p>
    <w:p>
      <w:pPr>
        <w:pStyle w:val="TextBody"/>
        <w:bidi w:val="0"/>
        <w:spacing w:before="90" w:after="283"/>
        <w:jc w:val="left"/>
        <w:rPr>
          <w:rFonts w:ascii="Times New Roman" w:hAnsi="Times New Roman"/>
          <w:sz w:val="20"/>
        </w:rPr>
      </w:pPr>
      <w:r>
        <w:rPr>
          <w:rFonts w:ascii="Arial" w:hAnsi="Arial"/>
          <w:color w:val="000000"/>
          <w:sz w:val="20"/>
        </w:rPr>
        <w:t>Our operation of spacecraft and ground network and our provision of services to customers outside of the United States are subject to legal requirements of the jurisdictions issuing the satellite authorizations and in which Viasat provides services. These include obtaining the market access, spectrum access and licenses, authorizations and/or registrations that are necessary to operate or provide service in or to a given jurisdiction, and in many cases licenses for the operation of transmitting satellite earth station facilities and certain receiving satellite earth station facilities. In particular, we must obtain authority to operate various earth stations outside the United States, including but not limited to user terminals and facilities that aggregate traffic and interconnect with the internet backbone and network hubs. This authority is subject to conditions and limitations that vary from jurisdiction to jurisdiction.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and various Inmarsat satellites operate, and ViaSat-3 F2 and ViaSat-3 F3 will operate, under the authority of the United Kingdom. ViaSat-3 F1 operates under the authority of the United Kingdom and the FCC.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maintaining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pStyle w:val="TextBody"/>
        <w:bidi w:val="0"/>
        <w:spacing w:before="180" w:after="283"/>
        <w:jc w:val="left"/>
        <w:rPr>
          <w:rFonts w:ascii="Arial" w:hAnsi="Arial"/>
          <w:color w:val="000000"/>
          <w:sz w:val="20"/>
        </w:rPr>
      </w:pPr>
      <w:r>
        <w:rPr>
          <w:rFonts w:ascii="Arial" w:hAnsi="Arial"/>
          <w:color w:val="000000"/>
          <w:sz w:val="20"/>
        </w:rPr>
        <w:t>We are also subject to certain other forms of foreign regulation in connection with our provision of communications services. In the area of data protection, encompassing both privacy, cybersecurity, and the processing of personal information, we are subject to existing, new, and evolving laws, regulations, and other requirements in the markets in which we operate. For instance, certain of our business units are subject to the European Union’s (EU) General Data Protection Regulation and the United Kingdom (UK) General Data Protection Regulation and Data Protection Act 2018 (collectively referred to as the GDPR), which imposes transparency, accountability, data security, cross-border data transfer, and other obligations on Viasat both as a data controller and a data processor of the personal data of individuals in the EU. Data protection laws and regulations can be subject to differing interpretations and may be inconsistent among jurisdictions. Certain foreign jurisdictions in which we operate also impose requirements related to network management practices, cooperation with local law enforcement agencies, and other matters. A smaller number of foreign jurisdictions in which we operate have adopted laws enabling the government to suspend ISP services in the country.</w:t>
      </w:r>
    </w:p>
    <w:p>
      <w:pPr>
        <w:pStyle w:val="TextBody"/>
        <w:bidi w:val="0"/>
        <w:spacing w:before="270" w:after="283"/>
        <w:jc w:val="left"/>
        <w:rPr>
          <w:rFonts w:ascii="Times New Roman" w:hAnsi="Times New Roman"/>
          <w:sz w:val="20"/>
        </w:rPr>
      </w:pPr>
      <w:r>
        <w:rPr>
          <w:rFonts w:ascii="Arial" w:hAnsi="Arial"/>
          <w:b/>
          <w:i/>
          <w:color w:val="000000"/>
          <w:sz w:val="20"/>
        </w:rPr>
        <w:t>Equipment Design, Manufacture, and Marketing</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Equipment Testing and Verification.</w:t>
      </w:r>
      <w:r>
        <w:rPr>
          <w:rFonts w:ascii="Times New Roman" w:hAnsi="Times New Roman"/>
          <w:color w:val="000000"/>
          <w:sz w:val="20"/>
        </w:rPr>
        <w:t xml:space="preserve"> </w:t>
      </w:r>
      <w:r>
        <w:rPr>
          <w:rFonts w:ascii="Arial" w:hAnsi="Arial"/>
          <w:color w:val="000000"/>
          <w:sz w:val="20"/>
        </w:rPr>
        <w:t>Certain equipment that we manufacture must comply with applicable technical requirements 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Other regulators perform similar functions around the world. These types of requirements typically provide for equipment to be tested either by the manufacturer or by a private testing organization to ensure compliance with the applicable technical requirements. In some cases, the regulator requires submission of an application, which must be approved by the regulator or a private testing organization accredited by the regulator.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Export Controls.</w:t>
      </w:r>
      <w:r>
        <w:rPr>
          <w:rFonts w:ascii="Times New Roman" w:hAnsi="Times New Roman"/>
          <w:color w:val="000000"/>
          <w:sz w:val="20"/>
        </w:rPr>
        <w:t xml:space="preserve"> </w:t>
      </w:r>
      <w:r>
        <w:rPr>
          <w:rFonts w:ascii="Arial" w:hAnsi="Arial"/>
          <w:color w:val="000000"/>
          <w:sz w:val="20"/>
        </w:rPr>
        <w:t>Due to the nature and sophistication of our communications products, we must comply with applicable U.S. Government and other agency regulations regarding the handling and export of certain of our products. This often requires extra or special handling of these products and could increase our costs. Failure to comply with these regulations could result in substantial harm to us, including fines, penalties and the forfeiture of future rights to sell or export these products.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i/>
          <w:color w:val="000000"/>
          <w:sz w:val="20"/>
        </w:rPr>
      </w:pPr>
      <w:r>
        <w:rPr>
          <w:rFonts w:ascii="Arial" w:hAnsi="Arial"/>
          <w:b/>
          <w:i/>
          <w:color w:val="000000"/>
          <w:sz w:val="20"/>
        </w:rPr>
        <w:t>Aviation-Related Regulation</w:t>
      </w:r>
    </w:p>
    <w:p>
      <w:pPr>
        <w:pStyle w:val="TextBody"/>
        <w:bidi w:val="0"/>
        <w:spacing w:before="90" w:after="283"/>
        <w:jc w:val="left"/>
        <w:rPr>
          <w:rFonts w:ascii="Times New Roman" w:hAnsi="Times New Roman"/>
          <w:sz w:val="20"/>
        </w:rPr>
      </w:pPr>
      <w:r>
        <w:rPr>
          <w:rFonts w:ascii="Arial" w:hAnsi="Arial"/>
          <w:i/>
          <w:color w:val="000000"/>
          <w:sz w:val="20"/>
        </w:rPr>
        <w:t>Aircraft Modification</w:t>
      </w:r>
      <w:r>
        <w:rPr>
          <w:rFonts w:ascii="Arial" w:hAnsi="Arial"/>
          <w:color w:val="000000"/>
          <w:sz w:val="20"/>
        </w:rPr>
        <w:t>. The Federal Aviation Administration (FAA) is responsible for the regulation and oversight of civil aviation within the United States. The FAA develops and enforces airworthiness standards and regulations that certify the industry’s ability to manufacture aircraft and aircraft components, perform modification and maintenance activities on aircraft, and repair equipment previously installed on aircraft. We interact with the FAA regarding aircraft modification through two main activities: (1) supporting Type Certificate (TC) activity with an aircraft OEM to obtain linefit installation certification of our IFC and W-IFE equipment and (2) obtaining a Supplemental Type Certificate (STC) to enable the retrofit installation of our IFC and W-IFE equipment. With respect to TC activity, the OEM is responsible for full certification and FAA regulatory compliance and we are responsible for providing certified equipment to the OEM. With respect to STC activity, we typically use Organization Designation Authorization (ODA) to support holding and maintaining our STCs to ensure FAA regulatory compliance. We also work with OEMs and airlines internationally who are not subject to the FAA's jurisdiction. In those situations, we adhere to the regulations and oversight of comparable foreign agencies in the applicable jurisdictions. Our commercial aviation business depends on our ability to interact with the FAA, comparable foreign agencies and ODAs, as well as certified engineering professionals, in order to access data and obtain authorizations and approvals.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Parts Manufacturing Approval</w:t>
      </w:r>
      <w:r>
        <w:rPr>
          <w:rFonts w:ascii="Arial" w:hAnsi="Arial"/>
          <w:color w:val="000000"/>
          <w:sz w:val="20"/>
        </w:rPr>
        <w:t>. We have a wide range of products supporting both commercial and business aviation customers. The FAA, under its Part Manufacturing Approval (PMA) program, provides authorization to entities like us and our vendors to manufacture and deliver IFC and W-IFE equipment. These approvals are provided through assigned FAA Manufacturing Inspection District Offices and are subject to strict rules and ongoing oversight. We have been able to obtain PMA on all of our current IFC and W-IFE product offerings due to multiple agreements with both major OEMs for linefit installations and ODAs for retrofit installations.</w:t>
      </w:r>
    </w:p>
    <w:p>
      <w:pPr>
        <w:pStyle w:val="TextBody"/>
        <w:bidi w:val="0"/>
        <w:spacing w:before="180" w:after="283"/>
        <w:jc w:val="left"/>
        <w:rPr>
          <w:rFonts w:ascii="Times New Roman" w:hAnsi="Times New Roman"/>
          <w:sz w:val="20"/>
        </w:rPr>
      </w:pPr>
      <w:r>
        <w:rPr>
          <w:rFonts w:ascii="Arial" w:hAnsi="Arial"/>
          <w:i/>
          <w:color w:val="000000"/>
          <w:sz w:val="20"/>
        </w:rPr>
        <w:t>FAA Part 145 Repair Stations</w:t>
      </w:r>
      <w:r>
        <w:rPr>
          <w:rFonts w:ascii="Arial" w:hAnsi="Arial"/>
          <w:color w:val="000000"/>
          <w:sz w:val="20"/>
        </w:rPr>
        <w:t>. The FAA has approved several of our locations as 14 CFR Part 145 repair stations, which enables us to provide ongoing support to customers with respect to our IFC and W-IFE systems. These repair stations support both line-replaceable unit (LRU) and line maintenance activities associated with our IFC and W-IFE products. These approvals are provided and overseen by FAA Flight Standards District Offices. We have also obtained European Aviation Safety Agency (EASA) approval for our repair stations dedicated to LRU repair and maintenance for our IFC and W-IFE products.</w:t>
      </w:r>
    </w:p>
    <w:p>
      <w:pPr>
        <w:pStyle w:val="TextBody"/>
        <w:bidi w:val="0"/>
        <w:spacing w:before="270" w:after="283"/>
        <w:jc w:val="left"/>
        <w:rPr>
          <w:rFonts w:ascii="Arial" w:hAnsi="Arial"/>
          <w:b/>
          <w:i/>
          <w:color w:val="000000"/>
          <w:sz w:val="20"/>
        </w:rPr>
      </w:pPr>
      <w:r>
        <w:rPr>
          <w:rFonts w:ascii="Arial" w:hAnsi="Arial"/>
          <w:b/>
          <w:i/>
          <w:color w:val="000000"/>
          <w:sz w:val="20"/>
        </w:rPr>
        <w:t>Environmental Regulations</w:t>
      </w:r>
    </w:p>
    <w:p>
      <w:pPr>
        <w:pStyle w:val="TextBody"/>
        <w:bidi w:val="0"/>
        <w:spacing w:before="90" w:after="283"/>
        <w:jc w:val="left"/>
        <w:rPr>
          <w:rFonts w:ascii="Times New Roman" w:hAnsi="Times New Roman"/>
          <w:sz w:val="20"/>
        </w:rPr>
      </w:pPr>
      <w:r>
        <w:rPr>
          <w:rFonts w:ascii="Arial" w:hAnsi="Arial"/>
          <w:color w:val="000000"/>
          <w:sz w:val="20"/>
        </w:rPr>
        <w:t>We are subject to a variety of U.S. and international regulations relating to the storage, discharge, handling, emission, generation, manufacture and disposal of toxic or other hazardous substances used to manufacture our products. In addition, we could be affected by future U.S. or international laws or regulations imposed in response to concerns over climate change, and we monitor developments in environmental and climate-related laws and regulations and their potential impact to our business and financial condition. The failure to comply with current or future laws or regulations could result in the imposition of substantial fines on us, suspension of production, alteration of our manufacturing processes or cessation of operations. To date, the current regulations have not had a material effect on our business, as we have neither incurred significant costs to maintain compliance nor to remedy past noncompliance, and we do not expect such regulations to have a material effect on our business in the current fiscal year.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b/>
          <w:i/>
          <w:color w:val="000000"/>
          <w:sz w:val="20"/>
        </w:rPr>
        <w:t>Other Regulations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pStyle w:val="TextBody"/>
        <w:bidi w:val="0"/>
        <w:spacing w:before="270" w:after="283"/>
        <w:jc w:val="left"/>
        <w:rPr>
          <w:rFonts w:ascii="Times New Roman" w:hAnsi="Times New Roman"/>
          <w:sz w:val="20"/>
        </w:rPr>
      </w:pPr>
      <w:r>
        <w:rPr>
          <w:rFonts w:ascii="Arial" w:hAnsi="Arial"/>
          <w:b/>
          <w:color w:val="000000"/>
          <w:sz w:val="20"/>
        </w:rPr>
        <w:t>Seasonality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In our communication services segment, we typically see increased demand for our IFC services from airline passengers during peak holiday and summer travel periods, and historically subscriber activity for our fixed broadband services has been influenced by seasonal effects related to traditional retail selling periods (with new sales activity generally anticipated to be higher in the second half of the calendar year). However, IFC service uptake, sales activity and churn can be strongly affected by other factors which may either offset or magnify any anticipated seasonal effects, including the grounding of aircraft, flight disruptions, availability of capacity, promotional and subscriber retention efforts, changes in our resellers, distributors and wholesalers, changes in the competitive landscape, economic conditions, and other factors affecting customer demand.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Results of our government business lines in both of our segments are impacted by various factors including the timing of contract awards (with the second quarter of our fiscal year, for example, typically receiving a greater number of government contract awards) and the timing and availability of U.S. Government funding, as well as the timing of product deliveries and customer acceptance.</w:t>
      </w:r>
    </w:p>
    <w:p>
      <w:pPr>
        <w:pStyle w:val="TextBody"/>
        <w:bidi w:val="0"/>
        <w:spacing w:before="270" w:after="283"/>
        <w:jc w:val="left"/>
        <w:rPr>
          <w:rFonts w:ascii="Times New Roman" w:hAnsi="Times New Roman"/>
          <w:sz w:val="20"/>
        </w:rPr>
      </w:pPr>
      <w:r>
        <w:rPr>
          <w:rFonts w:ascii="Arial" w:hAnsi="Arial"/>
          <w:b/>
          <w:color w:val="000000"/>
          <w:sz w:val="20"/>
        </w:rPr>
        <w:t>Availability of Public Reports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 xml:space="preserve">Through a link on the Investor Relations section of our website at </w:t>
      </w:r>
      <w:r>
        <w:rPr>
          <w:rFonts w:ascii="Arial" w:hAnsi="Arial"/>
          <w:i/>
          <w:color w:val="000000"/>
          <w:sz w:val="20"/>
        </w:rPr>
        <w:t xml:space="preserve">www.viasat.com, </w:t>
      </w:r>
      <w:r>
        <w:rPr>
          <w:rFonts w:ascii="Arial" w:hAnsi="Arial"/>
          <w:color w:val="000000"/>
          <w:sz w:val="20"/>
        </w:rPr>
        <w:t xml:space="preserve">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hAnsi="Arial"/>
          <w:i/>
          <w:color w:val="000000"/>
          <w:sz w:val="20"/>
        </w:rPr>
        <w:t>www.sec.gov</w:t>
      </w:r>
      <w:r>
        <w:rPr>
          <w:rFonts w:ascii="Arial" w:hAnsi="Arial"/>
          <w:color w:val="000000"/>
          <w:sz w:val="20"/>
        </w:rPr>
        <w:t>.</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We webcast our earnings calls and post the materials used in meetings with members of the investment community on the Investor Relations section of our website. Additionally, we provide notifications of news or announcements regarding our financial performance, including SEC filings, investor events, press and earnings releases and other supplemental information about our business on the Investor Relations section of our website. We also use the Investor Relations section of our website as a means of disclosing material non-public information and for complying with our disclosure obligations under Regulation FD. Accordingly, investors should monitor the Investor Relations section of our website, in addition to following our press releases, SEC filings and public conference calls and webcasts. Information relating to our corporate governance, including our certificate of incorporation, bylaws, corporate governance guidelines, board committee charters and guide to business conduct, is also included on the Investor Relations section of our website. The information contained on, or that may be accessed through, our website is neither incorporated by reference into nor made a part of this report.</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color w:val="000000"/>
          <w:sz w:val="20"/>
        </w:rPr>
      </w:pPr>
      <w:r>
        <w:rPr>
          <w:rFonts w:ascii="Arial" w:hAnsi="Arial"/>
          <w:b/>
          <w:color w:val="000000"/>
          <w:sz w:val="20"/>
        </w:rPr>
        <w:t>Human Capital</w:t>
      </w:r>
    </w:p>
    <w:p>
      <w:pPr>
        <w:pStyle w:val="TextBody"/>
        <w:bidi w:val="0"/>
        <w:spacing w:before="90" w:after="283"/>
        <w:jc w:val="left"/>
        <w:rPr>
          <w:rFonts w:ascii="Times New Roman" w:hAnsi="Times New Roman"/>
          <w:sz w:val="20"/>
        </w:rPr>
      </w:pPr>
      <w:r>
        <w:rPr>
          <w:rFonts w:ascii="Arial" w:hAnsi="Arial"/>
          <w:i/>
          <w:color w:val="000000"/>
          <w:sz w:val="20"/>
        </w:rPr>
        <w:t>Employees.</w:t>
      </w:r>
      <w:r>
        <w:rPr>
          <w:rFonts w:ascii="Times New Roman" w:hAnsi="Times New Roman"/>
          <w:color w:val="000000"/>
          <w:sz w:val="20"/>
        </w:rPr>
        <w:t xml:space="preserve"> </w:t>
      </w:r>
      <w:r>
        <w:rPr>
          <w:rFonts w:ascii="Arial" w:hAnsi="Arial"/>
          <w:color w:val="000000"/>
          <w:sz w:val="20"/>
        </w:rPr>
        <w:t>As of March 31, 2026, we employed approximately 7,000 individuals worldwide, with 66% of our workforce located in the United States. We consistently engage with our employees and generally consider the relationships with our employees to be positive, with a significant majority stating that they are proud to work at Viasat. Competition for technical personnel in our industry is intense. We believe our future success depends in part on our continued ability to attract, hire, engage and retain qualified personnel.</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Human Capital Resources.</w:t>
      </w:r>
      <w:r>
        <w:rPr>
          <w:rFonts w:ascii="Times New Roman" w:hAnsi="Times New Roman"/>
          <w:color w:val="000000"/>
          <w:sz w:val="20"/>
        </w:rPr>
        <w:t xml:space="preserve"> </w:t>
      </w:r>
      <w:r>
        <w:rPr>
          <w:rFonts w:ascii="Arial" w:hAnsi="Arial"/>
          <w:color w:val="000000"/>
          <w:sz w:val="20"/>
        </w:rPr>
        <w:t>Viasat has a long history of putting people first. We believe that one of the most important investments we make is in our people. Our mission to harness connectivity to create real-world impact depends on our ability to come together as one team. As a global team, we take pride in our culture of teamwork, trust and collaboration. We prioritize our employees’ health and well-being to ensure we are all able to do our best work. For example, we have a dedicated global environmental, health, and safety (EHS) team which reinforces the importance of our safety programs and encourages a culture of safe work practices in all of our locations. All employees are trained with our EHS Essentials course, with additional courses such as "Working with hazardous material" provided annually for relevant employees.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We provide a comprehensive benefits package to all of our employees, which includes for eligible employees medical, dental, vision care, disability insurance, life insurance benefits, flexible spending plan, a 401(k) savings plan, educational reimbursement program, employee assistance program, employee stock purchase plan, holidays and personal time off which includes vacation and sick days as needed.</w:t>
      </w:r>
    </w:p>
    <w:p>
      <w:pPr>
        <w:pStyle w:val="TextBody"/>
        <w:bidi w:val="0"/>
        <w:spacing w:before="180" w:after="283"/>
        <w:jc w:val="left"/>
        <w:rPr>
          <w:rFonts w:ascii="Arial" w:hAnsi="Arial"/>
          <w:color w:val="000000"/>
          <w:sz w:val="20"/>
        </w:rPr>
      </w:pPr>
      <w:r>
        <w:rPr>
          <w:rFonts w:ascii="Arial" w:hAnsi="Arial"/>
          <w:color w:val="000000"/>
          <w:sz w:val="20"/>
        </w:rPr>
        <w:t>Our key pillars of human capital management are ensuring the health and safety of our employees, developing talented people, and fostering inclusive and engaging communities. We believe that our long-term success is in large part dependent on our success across these dimensions, and we will continue to invest in and prioritize these areas in the future.</w:t>
      </w:r>
    </w:p>
    <w:p>
      <w:pPr>
        <w:pStyle w:val="TextBody"/>
        <w:bidi w:val="0"/>
        <w:spacing w:before="180" w:after="283"/>
        <w:jc w:val="left"/>
        <w:rPr>
          <w:rFonts w:ascii="Times New Roman" w:hAnsi="Times New Roman"/>
          <w:sz w:val="20"/>
        </w:rPr>
      </w:pPr>
      <w:r>
        <w:rPr>
          <w:rFonts w:ascii="Arial" w:hAnsi="Arial"/>
          <w:i/>
          <w:color w:val="000000"/>
          <w:sz w:val="20"/>
        </w:rPr>
        <w:t xml:space="preserve">Culture and Values. </w:t>
      </w:r>
      <w:r>
        <w:rPr>
          <w:rFonts w:ascii="Arial" w:hAnsi="Arial"/>
          <w:color w:val="000000"/>
          <w:sz w:val="20"/>
        </w:rPr>
        <w:t>The broad range of perspectives of our employees is one of our most treasured assets. We view inclusion and belonging as a competitive advantage that drives innovation and success, and are dedicated to creating a welcoming workplace where everyone has the opportunity to thrive. These principles are embedded in everything we do, from how we approach talent to our overall business strategy. We understand that an authentic commitment to these principles starts with recruitment and talent development practices. In fiscal year 2022, we began applying hiring attribute lenses to recruitment practices to enable a more effective assessment of candidates to the talent needs of Viasat. To date, we have ten active employee resource groups designed to build meaningful connections among employees around shared experiences, cultures and interests.</w:t>
      </w:r>
    </w:p>
    <w:p>
      <w:pPr>
        <w:pStyle w:val="TextBody"/>
        <w:bidi w:val="0"/>
        <w:spacing w:before="270" w:after="283"/>
        <w:jc w:val="left"/>
        <w:rPr>
          <w:rFonts w:ascii="Times New Roman" w:hAnsi="Times New Roman"/>
          <w:sz w:val="20"/>
        </w:rPr>
      </w:pPr>
      <w:r>
        <w:rPr>
          <w:rFonts w:ascii="Arial" w:hAnsi="Arial"/>
          <w:b/>
          <w:color w:val="000000"/>
          <w:sz w:val="20"/>
        </w:rPr>
        <w:t>Executive Officers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Set forth below is information concerning our executive officers and their ages:</w:t>
      </w:r>
      <w:r>
        <w:rPr>
          <w:rFonts w:ascii="Times New Roman" w:hAnsi="Times New Roman"/>
          <w:color w:val="000000"/>
          <w:sz w:val="20"/>
        </w:rPr>
        <w:t xml:space="preserve"> </w:t>
      </w:r>
    </w:p>
    <w:tbl>
      <w:tblPr>
        <w:tblW w:w="9657" w:type="dxa"/>
        <w:jc w:val="left"/>
        <w:tblInd w:w="0" w:type="dxa"/>
        <w:tblLayout w:type="fixed"/>
        <w:tblCellMar>
          <w:top w:w="28" w:type="dxa"/>
          <w:left w:w="28" w:type="dxa"/>
          <w:bottom w:w="28" w:type="dxa"/>
          <w:right w:w="28" w:type="dxa"/>
        </w:tblCellMar>
      </w:tblPr>
      <w:tblGrid>
        <w:gridCol w:w="2326"/>
        <w:gridCol w:w="146"/>
        <w:gridCol w:w="667"/>
        <w:gridCol w:w="497"/>
        <w:gridCol w:w="602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602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Age</w:t>
            </w:r>
          </w:p>
        </w:tc>
        <w:tc>
          <w:tcPr>
            <w:tcW w:w="49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2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Arial" w:hAnsi="Arial"/>
                <w:b/>
                <w:color w:val="000000"/>
                <w:sz w:val="20"/>
              </w:rPr>
            </w:pPr>
            <w:r>
              <w:rPr>
                <w:rFonts w:ascii="Arial" w:hAnsi="Arial"/>
                <w:b/>
                <w:color w:val="000000"/>
                <w:sz w:val="20"/>
              </w:rPr>
              <w:t>Position</w:t>
            </w:r>
          </w:p>
        </w:tc>
      </w:tr>
      <w:tr>
        <w:trPr/>
        <w:tc>
          <w:tcPr>
            <w:tcW w:w="23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Mark Dankberg</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ind w:left="0" w:right="0" w:firstLine="351"/>
              <w:jc w:val="center"/>
              <w:rPr>
                <w:rFonts w:ascii="Arial" w:hAnsi="Arial"/>
                <w:color w:val="000000"/>
                <w:sz w:val="20"/>
              </w:rPr>
            </w:pPr>
            <w:r>
              <w:rPr>
                <w:rFonts w:ascii="Arial" w:hAnsi="Arial"/>
                <w:color w:val="000000"/>
                <w:sz w:val="20"/>
              </w:rPr>
              <w:t>71</w:t>
            </w:r>
          </w:p>
        </w:tc>
        <w:tc>
          <w:tcPr>
            <w:tcW w:w="49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60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Chairman of the Board and Chief Executive Officer</w:t>
            </w:r>
          </w:p>
        </w:tc>
      </w:tr>
      <w:tr>
        <w:trPr/>
        <w:tc>
          <w:tcPr>
            <w:tcW w:w="23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Robert Blair</w:t>
            </w:r>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ind w:left="0" w:right="0" w:firstLine="351"/>
              <w:jc w:val="center"/>
              <w:rPr>
                <w:rFonts w:ascii="Arial" w:hAnsi="Arial"/>
                <w:color w:val="000000"/>
                <w:sz w:val="20"/>
              </w:rPr>
            </w:pPr>
            <w:r>
              <w:rPr>
                <w:rFonts w:ascii="Arial" w:hAnsi="Arial"/>
                <w:color w:val="000000"/>
                <w:sz w:val="20"/>
              </w:rPr>
              <w:t>52</w:t>
            </w:r>
          </w:p>
        </w:tc>
        <w:tc>
          <w:tcPr>
            <w:tcW w:w="49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60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Senior Vice President, General Counsel and Secretary</w:t>
            </w:r>
          </w:p>
        </w:tc>
      </w:tr>
      <w:tr>
        <w:trPr/>
        <w:tc>
          <w:tcPr>
            <w:tcW w:w="23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Girish Chandran</w:t>
            </w:r>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ind w:left="0" w:right="0" w:firstLine="351"/>
              <w:jc w:val="center"/>
              <w:rPr>
                <w:rFonts w:ascii="Arial" w:hAnsi="Arial"/>
                <w:color w:val="000000"/>
                <w:sz w:val="20"/>
              </w:rPr>
            </w:pPr>
            <w:r>
              <w:rPr>
                <w:rFonts w:ascii="Arial" w:hAnsi="Arial"/>
                <w:color w:val="000000"/>
                <w:sz w:val="20"/>
              </w:rPr>
              <w:t>61</w:t>
            </w:r>
          </w:p>
        </w:tc>
        <w:tc>
          <w:tcPr>
            <w:tcW w:w="49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60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Chief Technology Officer and Senior Vice President, Engineering</w:t>
            </w:r>
          </w:p>
        </w:tc>
      </w:tr>
      <w:tr>
        <w:trPr/>
        <w:tc>
          <w:tcPr>
            <w:tcW w:w="23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ind w:left="0" w:right="0" w:firstLine="351"/>
              <w:jc w:val="center"/>
              <w:rPr>
                <w:rFonts w:ascii="Arial" w:hAnsi="Arial"/>
                <w:color w:val="000000"/>
                <w:sz w:val="20"/>
              </w:rPr>
            </w:pPr>
            <w:r>
              <w:rPr>
                <w:rFonts w:ascii="Arial" w:hAnsi="Arial"/>
                <w:color w:val="000000"/>
                <w:sz w:val="20"/>
              </w:rPr>
              <w:t>54</w:t>
            </w:r>
          </w:p>
        </w:tc>
        <w:tc>
          <w:tcPr>
            <w:tcW w:w="497" w:type="dxa"/>
            <w:tcBorders/>
            <w:tcMar>
              <w:top w:w="0" w:type="dxa"/>
              <w:left w:w="0" w:type="dxa"/>
              <w:bottom w:w="0" w:type="dxa"/>
              <w:right w:w="0" w:type="dxa"/>
            </w:tcMar>
            <w:vAlign w:val="center"/>
          </w:tcPr>
          <w:p>
            <w:pPr>
              <w:pStyle w:val="TableContents"/>
              <w:bidi w:val="0"/>
              <w:spacing w:before="0" w:after="283"/>
              <w:ind w:left="0" w:right="0" w:firstLine="351"/>
              <w:jc w:val="left"/>
              <w:rPr/>
            </w:pPr>
            <w:r>
              <w:rPr/>
              <w:t> </w:t>
            </w:r>
          </w:p>
        </w:tc>
        <w:tc>
          <w:tcPr>
            <w:tcW w:w="60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Senior Vice President and Chief Financial Officer</w:t>
            </w:r>
          </w:p>
        </w:tc>
      </w:tr>
      <w:tr>
        <w:trPr/>
        <w:tc>
          <w:tcPr>
            <w:tcW w:w="23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Lisa Curran</w:t>
            </w:r>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ind w:left="0" w:right="0" w:firstLine="351"/>
              <w:jc w:val="center"/>
              <w:rPr>
                <w:rFonts w:ascii="Arial" w:hAnsi="Arial"/>
                <w:color w:val="000000"/>
                <w:sz w:val="20"/>
              </w:rPr>
            </w:pPr>
            <w:r>
              <w:rPr>
                <w:rFonts w:ascii="Arial" w:hAnsi="Arial"/>
                <w:color w:val="000000"/>
                <w:sz w:val="20"/>
              </w:rPr>
              <w:t>55</w:t>
            </w:r>
          </w:p>
        </w:tc>
        <w:tc>
          <w:tcPr>
            <w:tcW w:w="497" w:type="dxa"/>
            <w:tcBorders/>
            <w:tcMar>
              <w:top w:w="0" w:type="dxa"/>
              <w:left w:w="0" w:type="dxa"/>
              <w:bottom w:w="0" w:type="dxa"/>
              <w:right w:w="0" w:type="dxa"/>
            </w:tcMar>
            <w:vAlign w:val="center"/>
          </w:tcPr>
          <w:p>
            <w:pPr>
              <w:pStyle w:val="TableContents"/>
              <w:bidi w:val="0"/>
              <w:spacing w:before="0" w:after="283"/>
              <w:ind w:left="0" w:right="0" w:firstLine="351"/>
              <w:jc w:val="left"/>
              <w:rPr/>
            </w:pPr>
            <w:r>
              <w:rPr/>
              <w:t> </w:t>
            </w:r>
          </w:p>
        </w:tc>
        <w:tc>
          <w:tcPr>
            <w:tcW w:w="60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Chief Enterprise and Strategy Officer</w:t>
            </w:r>
          </w:p>
        </w:tc>
      </w:tr>
      <w:tr>
        <w:trPr/>
        <w:tc>
          <w:tcPr>
            <w:tcW w:w="23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Camellia E. FitzGerald</w:t>
            </w:r>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ind w:left="0" w:right="0" w:firstLine="351"/>
              <w:jc w:val="center"/>
              <w:rPr>
                <w:rFonts w:ascii="Arial" w:hAnsi="Arial"/>
                <w:color w:val="000000"/>
                <w:sz w:val="20"/>
              </w:rPr>
            </w:pPr>
            <w:r>
              <w:rPr>
                <w:rFonts w:ascii="Arial" w:hAnsi="Arial"/>
                <w:color w:val="000000"/>
                <w:sz w:val="20"/>
              </w:rPr>
              <w:t>49</w:t>
            </w:r>
          </w:p>
        </w:tc>
        <w:tc>
          <w:tcPr>
            <w:tcW w:w="497" w:type="dxa"/>
            <w:tcBorders/>
            <w:tcMar>
              <w:top w:w="0" w:type="dxa"/>
              <w:left w:w="0" w:type="dxa"/>
              <w:bottom w:w="0" w:type="dxa"/>
              <w:right w:w="0" w:type="dxa"/>
            </w:tcMar>
            <w:vAlign w:val="center"/>
          </w:tcPr>
          <w:p>
            <w:pPr>
              <w:pStyle w:val="TableContents"/>
              <w:bidi w:val="0"/>
              <w:spacing w:before="0" w:after="283"/>
              <w:ind w:left="0" w:right="0" w:firstLine="351"/>
              <w:jc w:val="left"/>
              <w:rPr/>
            </w:pPr>
            <w:r>
              <w:rPr/>
              <w:t> </w:t>
            </w:r>
          </w:p>
        </w:tc>
        <w:tc>
          <w:tcPr>
            <w:tcW w:w="60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Chief Accounting Officer</w:t>
            </w:r>
          </w:p>
        </w:tc>
      </w:tr>
      <w:tr>
        <w:trPr/>
        <w:tc>
          <w:tcPr>
            <w:tcW w:w="23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Craig Miller</w:t>
            </w:r>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ind w:left="0" w:right="0" w:firstLine="351"/>
              <w:jc w:val="center"/>
              <w:rPr>
                <w:rFonts w:ascii="Arial" w:hAnsi="Arial"/>
                <w:color w:val="000000"/>
                <w:sz w:val="20"/>
              </w:rPr>
            </w:pPr>
            <w:r>
              <w:rPr>
                <w:rFonts w:ascii="Arial" w:hAnsi="Arial"/>
                <w:color w:val="000000"/>
                <w:sz w:val="20"/>
              </w:rPr>
              <w:t>54</w:t>
            </w:r>
          </w:p>
        </w:tc>
        <w:tc>
          <w:tcPr>
            <w:tcW w:w="49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60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Senior Vice President and President, Government</w:t>
            </w:r>
          </w:p>
        </w:tc>
      </w:tr>
      <w:tr>
        <w:trPr/>
        <w:tc>
          <w:tcPr>
            <w:tcW w:w="23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Ben Palmer</w:t>
            </w:r>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667" w:type="dxa"/>
            <w:tcBorders/>
            <w:tcMar>
              <w:top w:w="0" w:type="dxa"/>
              <w:left w:w="0" w:type="dxa"/>
              <w:bottom w:w="0" w:type="dxa"/>
              <w:right w:w="0" w:type="dxa"/>
            </w:tcMar>
            <w:vAlign w:val="center"/>
          </w:tcPr>
          <w:p>
            <w:pPr>
              <w:pStyle w:val="TableContents"/>
              <w:bidi w:val="0"/>
              <w:spacing w:before="0" w:after="283"/>
              <w:ind w:left="0" w:right="0" w:firstLine="351"/>
              <w:jc w:val="center"/>
              <w:rPr>
                <w:rFonts w:ascii="Arial" w:hAnsi="Arial"/>
                <w:color w:val="000000"/>
                <w:sz w:val="20"/>
              </w:rPr>
            </w:pPr>
            <w:r>
              <w:rPr>
                <w:rFonts w:ascii="Arial" w:hAnsi="Arial"/>
                <w:color w:val="000000"/>
                <w:sz w:val="20"/>
              </w:rPr>
              <w:t>54</w:t>
            </w:r>
          </w:p>
        </w:tc>
        <w:tc>
          <w:tcPr>
            <w:tcW w:w="497"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602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President, Commercial</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Mark Dankberg</w:t>
      </w:r>
      <w:r>
        <w:rPr>
          <w:rFonts w:ascii="Times New Roman" w:hAnsi="Times New Roman"/>
          <w:color w:val="000000"/>
          <w:sz w:val="20"/>
        </w:rPr>
        <w:t xml:space="preserve"> </w:t>
      </w:r>
      <w:r>
        <w:rPr>
          <w:rFonts w:ascii="Arial" w:hAnsi="Arial"/>
          <w:color w:val="000000"/>
          <w:sz w:val="20"/>
        </w:rPr>
        <w:t>is a founder of Viasat and has served as Chairman of the Board and Chief Executive Officer since its inception in May 1986, except for the period from November 2020 to June 2022 when he served as Executive Chairman. Mr. Dankberg provides Viasat with significant operational, business and technological expertise in the satellite and communications industry, and intimate knowledge of the issues facing our management. Mr. Dankberg also has significant expertise and perspective as a former member of the boards of directors of companies in various industries, including communications.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i/>
          <w:color w:val="000000"/>
          <w:sz w:val="20"/>
        </w:rPr>
        <w:t xml:space="preserve">Robert Blair </w:t>
      </w:r>
      <w:r>
        <w:rPr>
          <w:rFonts w:ascii="Arial" w:hAnsi="Arial"/>
          <w:color w:val="000000"/>
          <w:sz w:val="20"/>
        </w:rPr>
        <w:t>joined Viasat in May 2008 as Assistant General Counsel. In April 2009, Mr. Blair was appointed Associate General Counsel and in 2014 was appointed Vice President and Deputy General Counsel. Mr. Blair served as Vice President, General Counsel and Secretary beginning in May 2017 and assumed his current position as Senior Vice President, General Counsel and Secretary in December 2021. In addition, Mr. Blair has served as a director of the San Diego Regional Economic Development Corporation since 2015. Prior to joining Viasat, Mr. Blair was an associate at the law firm of Latham &amp; Watkins LLP. Mr. Blair holds a J.D. degree from Stanford University and A.B. degrees in Broadcast Journalism and Policy Studies from Syracuse University.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Girish Chandran</w:t>
      </w:r>
      <w:r>
        <w:rPr>
          <w:rFonts w:ascii="Times New Roman" w:hAnsi="Times New Roman"/>
          <w:color w:val="000000"/>
          <w:sz w:val="20"/>
        </w:rPr>
        <w:t xml:space="preserve"> </w:t>
      </w:r>
      <w:r>
        <w:rPr>
          <w:rFonts w:ascii="Arial" w:hAnsi="Arial"/>
          <w:color w:val="000000"/>
          <w:sz w:val="20"/>
        </w:rPr>
        <w:t>joined Viasat in October 2007 as a Principal Engineer. In September 2013, Mr. Chandran was appointed Chief Technology Officer — Commercial Networks. In May 2017, he assumed the role of Chief Technical Officer and in January 2025, he assumed his current position of Chief Technology Officer and Senior Vice President, Engineering. Mr. Chandran has extensive experience building multimedia networks. Prior to joining Viasat, from 2001 to 2007, Mr. Chandran served as Vice President of Engineering at Newtec America Inc., a satellite communications equipment provider. From 1995 to 2001, he held several roles, including Vice President of Systems Engineering, at Tiernan Communications Inc. (acquired by Radyne Comstream Inc.), a provider of video compression and transmission solutions. Mr. Chandran earned a Ph.D. degree in Electrical Engineering from the University of California, San Diego, an M.S. degree in Electrical Communication Engineering from the Indian Institute of Science and a BSc. degree in Physics from the University of Kerala.</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 xml:space="preserve">Garrett Chase </w:t>
      </w:r>
      <w:r>
        <w:rPr>
          <w:rFonts w:ascii="Arial" w:hAnsi="Arial"/>
          <w:color w:val="000000"/>
          <w:sz w:val="20"/>
        </w:rPr>
        <w:t>joined Viasat in August 2024 as our Senior Vice President and Chief Financial Officer. Prior to joining Viasat, Mr. Chase worked for more than 12 years in various roles with Delta Air Lines, most recently as Senior Vice President of Operational Finance and a member of the Delta Leadership Committee, a group of top executives reporting directly to the Chief Executive Officer. Mr. Chase also served as Delta’s Interim Co-Chief Financial Officer between November 2020 and July 2021, and as Delta’s Chief Strategy Officer between May 2018 and September 2020. Prior to joining Delta Air Lines, Mr. Chase was an Institutional Investor ranked analyst and Managing Director in equity research at Barclays Capital and Lehman Brothers in New York, having followed the airline and transportation industries for 12 years. Mr. Chase earned an M.B.A. degree from The Tuck School of Business at Dartmouth College and a B.A. degree in Economics from Union College.</w:t>
      </w:r>
    </w:p>
    <w:p>
      <w:pPr>
        <w:pStyle w:val="TextBody"/>
        <w:bidi w:val="0"/>
        <w:spacing w:before="180" w:after="283"/>
        <w:jc w:val="left"/>
        <w:rPr>
          <w:rFonts w:ascii="Times New Roman" w:hAnsi="Times New Roman"/>
          <w:sz w:val="20"/>
        </w:rPr>
      </w:pPr>
      <w:r>
        <w:rPr>
          <w:rFonts w:ascii="Arial" w:hAnsi="Arial"/>
          <w:i/>
          <w:color w:val="000000"/>
          <w:sz w:val="20"/>
        </w:rPr>
        <w:t xml:space="preserve">Lisa Curran </w:t>
      </w:r>
      <w:r>
        <w:rPr>
          <w:rFonts w:ascii="Arial" w:hAnsi="Arial"/>
          <w:color w:val="000000"/>
          <w:sz w:val="20"/>
        </w:rPr>
        <w:t>joined Viasat in February 2024 as Vice President, Investor Relations. In March 2025, she was appointed Senior Vice President, Strategic Finance and Investor Relations and in April 2026 she assumed her current role as Chief Enterprise and Strategy Officer. Before joining Viasat, Ms. Curran held senior roles at DuPont de Nemours, Inc., a chemical and materials company, Ecolab Inc., a safety and sustainability company, Danaher Corporation, a science and technology company, Fortive Corporation, an industrial technology company and, most recently, Vontier Corporation, a mobility technology company, serving as Vice President, Investor Relations from January 2020 to October 2022. Ms. Curran subsequently served as a consultant to Vontier prior to joining Viasat. Ms. Curran holds a B.S. degree in Grain Science (Engineering) from Kansas State University and is an alumna of the Program for Leadership Development at Harvard Business School.</w:t>
      </w:r>
    </w:p>
    <w:p>
      <w:pPr>
        <w:pStyle w:val="TextBody"/>
        <w:bidi w:val="0"/>
        <w:spacing w:before="180" w:after="283"/>
        <w:jc w:val="left"/>
        <w:rPr>
          <w:rFonts w:ascii="Times New Roman" w:hAnsi="Times New Roman"/>
          <w:sz w:val="20"/>
        </w:rPr>
      </w:pPr>
      <w:r>
        <w:rPr>
          <w:rFonts w:ascii="Arial" w:hAnsi="Arial"/>
          <w:i/>
          <w:color w:val="000000"/>
          <w:sz w:val="20"/>
        </w:rPr>
        <w:t xml:space="preserve">Camellia E. FitzGerald </w:t>
      </w:r>
      <w:r>
        <w:rPr>
          <w:rFonts w:ascii="Arial" w:hAnsi="Arial"/>
          <w:color w:val="000000"/>
          <w:sz w:val="20"/>
        </w:rPr>
        <w:t>joined Viasat in 2014 as Vice President – Corporate Accounting and Finance. In January 2026, Ms. FitzGerald assumed her current role of Chief Accounting Officer. Previously, she worked as Senior Director — Finance and Accounting at Samsung Electronics America, a consumer electronics company, from 2009 to 2014, and as Assistant Controller at CryoCor, Inc., a medical technology company, from 2005 to 2008. She also served as a Senior Associate at PricewaterhouseCoopers from 2001 to 2005. Ms. FitzGerald is a Certified Public Accountant in California and earned a B.S. degree in Accounting from San Diego State University.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 xml:space="preserve">Craig Miller </w:t>
      </w:r>
      <w:r>
        <w:rPr>
          <w:rFonts w:ascii="Arial" w:hAnsi="Arial"/>
          <w:color w:val="000000"/>
          <w:sz w:val="20"/>
        </w:rPr>
        <w:t>joined Viasat in 1995 and has held numerous technology, business and strategic leadership roles. In January 2015, Mr. Miller was appointed Chief Technology Officer — Government Systems. In May 2021, he was appointed President, Government Systems, in August 2023, was appointed President — Global Space Networks and in January 2025, was appointed Senior Vice President, Strategic Initiatives. In June 2025, Mr. Miller assumed his current position of Senior Vice President and President, Government. Mr. Miller holds a B.S. degree in Electrical Engineering from the University of Arizona.</w:t>
      </w:r>
    </w:p>
    <w:p>
      <w:pPr>
        <w:pStyle w:val="TextBody"/>
        <w:bidi w:val="0"/>
        <w:spacing w:before="180" w:after="283"/>
        <w:jc w:val="left"/>
        <w:rPr>
          <w:rFonts w:ascii="Times New Roman" w:hAnsi="Times New Roman"/>
          <w:sz w:val="20"/>
        </w:rPr>
      </w:pPr>
      <w:r>
        <w:rPr>
          <w:rFonts w:ascii="Arial" w:hAnsi="Arial"/>
          <w:i/>
          <w:color w:val="000000"/>
          <w:sz w:val="20"/>
        </w:rPr>
        <w:t xml:space="preserve">Ben Palmer </w:t>
      </w:r>
      <w:r>
        <w:rPr>
          <w:rFonts w:ascii="Arial" w:hAnsi="Arial"/>
          <w:color w:val="000000"/>
          <w:sz w:val="20"/>
        </w:rPr>
        <w:t>has served as President, Commercial since November 2025. Mr. Palmer previously served as the President of Viasat Maritime since August 2023, and as the President of Inmarsat Maritime since November 2021. Mr. Palmer previously held various roles at Northrop Grumman, including Group Managing Director, Mission Systems Europe, from February 2019 to November 2021 and European Strategy and Business Development Director from May 2014 to February 2019. Prior to Northrop Grumman, he also held leadership positions at AlixPartners, a consulting firm, and BAE Systems, an aerospace and defense company. Mr. Palmer holds a B.A. degree from the University of Oxford and an MS degree from the London Business School.</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4" w:name="item_1a_risk_factors"/>
      <w:bookmarkEnd w:id="4"/>
      <w:r>
        <w:rPr>
          <w:rFonts w:ascii="Arial" w:hAnsi="Arial"/>
          <w:b/>
          <w:color w:val="000000"/>
          <w:sz w:val="20"/>
        </w:rPr>
        <w:t>ITEM 1A.</w:t>
      </w:r>
      <w:r>
        <w:rPr>
          <w:rFonts w:ascii="Times New Roman" w:hAnsi="Times New Roman"/>
          <w:color w:val="000000"/>
          <w:sz w:val="20"/>
        </w:rPr>
        <w:t xml:space="preserve"> </w:t>
      </w:r>
      <w:r>
        <w:rPr>
          <w:rFonts w:ascii="Arial" w:hAnsi="Arial"/>
          <w:b/>
          <w:i/>
          <w:color w:val="000000"/>
          <w:sz w:val="20"/>
        </w:rPr>
        <w:t>RISK FACTORS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Risks Related to Our Satellites and Business</w:t>
      </w:r>
    </w:p>
    <w:p>
      <w:pPr>
        <w:pStyle w:val="TextBody"/>
        <w:bidi w:val="0"/>
        <w:spacing w:before="90" w:after="283"/>
        <w:jc w:val="left"/>
        <w:rPr>
          <w:rFonts w:ascii="Times New Roman" w:hAnsi="Times New Roman"/>
          <w:sz w:val="20"/>
        </w:rPr>
      </w:pPr>
      <w:r>
        <w:rPr>
          <w:rFonts w:ascii="Arial" w:hAnsi="Arial"/>
          <w:b/>
          <w:i/>
          <w:color w:val="000000"/>
          <w:sz w:val="20"/>
        </w:rPr>
        <w:t>Our Operating Results Are Difficult to Predict</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Our operating results have varied significantly from quarter to quarter in the past and may continue to do so in the future. See “Management’s Discussion and Analysis of Financial Condition and Results of Operations — Factors and Trends Affecting our Results of Operations” in Part II, Item 7 of this report for a discussion of various factors that may cause our quarter-to-quarter operating results to be unpredictable. Any of these or other factors discussed elsewhere in this report could have a material adverse effect on our business, financial condition and results of operations that could adversely affect our stock price.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Satellite Failures, Degradations in Satellite Performance or Shortened Satellite Useful Life Could Affect Our Business, Financial Condition and Results of Operations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Satellites utilize highly complex technology, operate in the harsh environment of space and are subject to significant operational risks while in orbit. These risks include malfunctions (commonly referred to as anomalies), such as malfunctions in the deployment of subsystems or components, interference from electrostatic storms, and collisions with meteoroids or other space debris. Anomalies can occur as a result of various factors, including satellite manufacturer error, problems with the power or control sub-system of a satellite or general failures caused by the harsh space environment. Our satellites have experienced various anomalies in the past and we will likely experience anomalies in the future on the satellites we own or use. Any single anomaly or other operational failure or degradation could have a material adverse effect on our business, financial condition and results of operations. Anomalies may also cause temporary outage of service or reduce the expected useful life of a satellite, resulting in a need for replacement or backup capacity, which may not be available on reasonable economic terms, a reasonable schedule or at all. In addition, anomalies or satellite failures or degradations may cause a reduction of the revenues generated by the applicable satellite or the recognition of an impairment loss, and could lead to claims from third parties for damages. Each satellite has a finite useful life, which may be shorter than its mission life. A number of factors affect the useful life of a satellite, including the quality of design and construction, durability of component parts and back-up units, the ability to continue to maintain proper orbit and control over the satellite’s functions, the efficiency of the launch vehicle used, consumption of on-board fuel, degradation and durability of solar panels, the actual space environment experienced and the occurrence of anomalies or other in-orbit risks affecting the satellite. Finally, anomalies may adversely affect our ability to insure our satellites at commercially reasonable premiums or terms, if at all. While some anomalies are covered by insurance policies, others may not be covered or may be subject to large deductibles. Although our satellites have redundant or backup systems and components these are subject to risk of failure similar to those experienced by the primary systems and components. Moreover, in third-party satellites which we use to provide services we may not have control over the presence and implementation of redundant or backup systems and components. The occurrence of a failure of any of these redundant or backup systems and components could materially impair the useful life, capacity, coverage or operational capabilities of the satellite.</w:t>
      </w:r>
    </w:p>
    <w:p>
      <w:pPr>
        <w:pStyle w:val="TextBody"/>
        <w:bidi w:val="0"/>
        <w:spacing w:before="180" w:after="283"/>
        <w:jc w:val="left"/>
        <w:rPr>
          <w:rFonts w:ascii="Times New Roman" w:hAnsi="Times New Roman"/>
          <w:sz w:val="20"/>
        </w:rPr>
      </w:pPr>
      <w:r>
        <w:rPr>
          <w:rFonts w:ascii="Arial" w:hAnsi="Arial"/>
          <w:b/>
          <w:i/>
          <w:color w:val="000000"/>
          <w:sz w:val="20"/>
        </w:rPr>
        <w:t>New or Proposed Satellites Are Subject to Significant Risks Related to Construction, Launch and Orbit Raising that Could Limit Our Ability to Utilize these Satellites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Satellite construction and launch are subject to significant risks, including construction delays, manufacturer error, cost overruns, regulatory conditions or delays, unavailability of launch opportunities, launch failure, damage or destruction during launch and improper orbital placement, any of which could result in significant additional cost or materially impair the useful life, capacity, coverage or operational capabilities of the satellite. The technologies in our satellite designs are also very complex, and there can be no assurance that the technologies will work as we expect or that we will realize any or all of their anticipated benefits. We have in the past identified construction-related issues in our satellites that reduced their output capabilities. Satellite construction and launch activities may be delayed by a number of factors, many of which may be outside of our control and a number of our satellite launches have in the past been delayed by factors such as civil unrest, supply chain disruptions and adverse weather events. If satellite construction schedules are not met or other events prevent satellite launch on schedule, a launch opportunity may not be available at the time the satellite is ready to be launched. In addition, delays in construction or launch could impact our ability to meet milestone conditions in our satellite authorizations and/or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Arial" w:hAnsi="Arial"/>
          <w:color w:val="000000"/>
          <w:sz w:val="20"/>
        </w:rPr>
      </w:pPr>
      <w:r>
        <w:rPr>
          <w:rFonts w:ascii="Arial" w:hAnsi="Arial"/>
          <w:color w:val="000000"/>
          <w:sz w:val="20"/>
        </w:rPr>
        <w:t>maintain the rights we may enjoy under various ITU filings. A launch failure may result in significant delays because of the need both to construct a replacement satellite and to obtain other launch opportunities. Launch vehicles may also underperform, in which case the satellite may still be able to be placed into service by using its onboard propulsion systems to reach the desired orbital location, but this would cause a reduction in its useful life. Moreover, even if launch is successful, there can be no assurance that the satellite will successfully reach its geostationary orbital slot and pass in-orbit testing prior to transfer of control of the satellite to us. We have in the past experienced issues during orbital placement and testing of our satellites, and there can be no assurance that the anticipated benefits of our satellite pipeline will be realized. The failure to implement our satellite deployment plan on schedule could have a material adverse effect on our business, financial condition and results of operations.</w:t>
      </w:r>
    </w:p>
    <w:p>
      <w:pPr>
        <w:pStyle w:val="TextBody"/>
        <w:bidi w:val="0"/>
        <w:spacing w:before="180" w:after="283"/>
        <w:jc w:val="left"/>
        <w:rPr>
          <w:rFonts w:ascii="Times New Roman" w:hAnsi="Times New Roman"/>
          <w:sz w:val="20"/>
        </w:rPr>
      </w:pPr>
      <w:r>
        <w:rPr>
          <w:rFonts w:ascii="Arial" w:hAnsi="Arial"/>
          <w:b/>
          <w:i/>
          <w:color w:val="000000"/>
          <w:sz w:val="20"/>
        </w:rPr>
        <w:t>Potential Satellite Losses May Not Be Fully Covered By Insurance, or at All</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may not be able to obtain or renew pre-launch, launch or in-orbit insurance for our satellites on reasonable economic terms or at all. A failure to obtain or renew our satellite insurance may also result in a default under our debt instruments. In addition, the occurrence of anomalies on other satellites, or failures of a satellite using similar components or failures of a similar launch vehicle to any launch vehicle we intend to use, may materially adversely affect our ability to insure our satellites at commercially reasonable premiums or terms, if at all.</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policies covering our insured satellites will not cover the full cost of constructing and launching or replacing a satellite nor fully cover our losses in the event of a satellite failure or significant degradation. Moreover, such policies do not cover lost profits, business interruptions, fixed operating expenses, loss of business or similar losses, including contractual payments that we may be required to make under our agreements with our customers for interruptions or degradations in service. Our insurance contains customary exclusions, material change and other conditions that could limit recovery under those policies, and may contain exclusions for past satellite anomalies. Further, any insurance proceeds may not be received on a timely basis in order to launch a replacement satellite or take other remedial measures. In addition, the policies are subject to limitations involving uninsured losses, large satellite performance deductibles and policy limits.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The Markets in Which We Compete Are Highly Competitive and Our Competitors May Have Greater Resources than Us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We face substantial competition in each of our segments. See “Business–Competition” in Part I, Item 1 of this report for a discussion of the competitive environment in each of our segments. Many of our competitors are larger and have significant competitive advantages, including more extensive engineering or marketing capabilities, strong customer relationships, greater financial and management resources and access to technologies not available to us. As a result, these competitors may be able to adapt more quickly to changing technology or market conditions or may be able to devote greater resources to the development, promotion and sale of their products. Additionally, we may be subject to competitive disadvantages to the extent that our competitors are able to secure business or advantageous regulatory treatment through connections with or influence over government officials. Our ability to compete in each of our segments may also be adversely affected by limits on our capital resources and our ability to invest in maintaining and expanding our market share.</w:t>
      </w:r>
    </w:p>
    <w:p>
      <w:pPr>
        <w:pStyle w:val="TextBody"/>
        <w:bidi w:val="0"/>
        <w:spacing w:before="180" w:after="283"/>
        <w:jc w:val="left"/>
        <w:rPr>
          <w:rFonts w:ascii="Arial" w:hAnsi="Arial"/>
          <w:b/>
          <w:i/>
          <w:color w:val="000000"/>
          <w:sz w:val="20"/>
        </w:rPr>
      </w:pPr>
      <w:r>
        <w:rPr>
          <w:rFonts w:ascii="Arial" w:hAnsi="Arial"/>
          <w:b/>
          <w:i/>
          <w:color w:val="000000"/>
          <w:sz w:val="20"/>
        </w:rPr>
        <w:t>Our Success Depends on the Investment in, and Development and Market Acceptance of, New Broadband Technologies and Advanced Communications and Secure Networking Systems, Products and Services</w:t>
      </w:r>
    </w:p>
    <w:p>
      <w:pPr>
        <w:pStyle w:val="TextBody"/>
        <w:bidi w:val="0"/>
        <w:spacing w:before="90" w:after="283"/>
        <w:jc w:val="left"/>
        <w:rPr>
          <w:rFonts w:ascii="Times New Roman" w:hAnsi="Times New Roman"/>
          <w:sz w:val="20"/>
        </w:rPr>
      </w:pPr>
      <w:r>
        <w:rPr>
          <w:rFonts w:ascii="Arial" w:hAnsi="Arial"/>
          <w:color w:val="000000"/>
          <w:sz w:val="20"/>
        </w:rPr>
        <w:t>Broadband, advanced communications and secure networking markets are subject to rapid technological change, frequent new and enhanced product and service introductions, product obsolescence and changes in user requirements. For example, the traditional GEO satellite communications industry is experiencing significant disruption from customers' increasing adoption of LEO services, including Starlink, as well as increased reliance on other forms of data transmission, including Wi-Fi and cellular data services. Our ability to compete successfully in our target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numerous factors, including our ability to: continue to develop market-leading satellite technologies (including high-capacity Ka-band satellites and associated ground networks); continue to increase satellite capacity, bandwidth cost-efficiencies and service quality; develop and introduce competitive products, services and technologies with innovative features that differentiate our offerings from those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Arial" w:hAnsi="Arial"/>
          <w:color w:val="000000"/>
          <w:sz w:val="20"/>
        </w:rPr>
        <w:t>of our competitors; successfully integrate our complex technologies and system architectures; and implement manufacturing and assembly processes and cost reduction efforts.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We cannot assure you that our new technology, product or service offerings will be successful or that any of our offerings will achieve market acceptance. Many of these risks are amplified in new and emerging markets where we do not currently operate or have limited operations. The time from conception through satellite launch for a new satellite design may be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which could increase costs and divert our attention and resources from other projects. We cannot be sure that our efforts and expenditures will ultimately lead to the timely development of new offerings and technologies. In addition, defects may be found in our products after we begin deliveries that could degrade service quality, or result in the delay or loss of market acceptance. If we are unable to design, manufacture, integrate and market profitable new products and services for existing or emerging markets, it could materially harm our business, financial condition and results of operations, and impair the value of our common stock.</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In addition, we believe that significant investments in next-generation broadband satellites and associated infrastructure will continue to be required as demand for broadband services and satellite systems with higher capacity and higher speed continues to grow. The development of these capital-intensive next-generation systems may require us to undertake debt financing and/or the issuance of additional equity, which could expose us to increased risks and impair the value of our common stock.</w:t>
      </w:r>
    </w:p>
    <w:p>
      <w:pPr>
        <w:pStyle w:val="TextBody"/>
        <w:bidi w:val="0"/>
        <w:spacing w:before="180" w:after="283"/>
        <w:jc w:val="left"/>
        <w:rPr>
          <w:rFonts w:ascii="Times New Roman" w:hAnsi="Times New Roman"/>
          <w:sz w:val="20"/>
        </w:rPr>
      </w:pPr>
      <w:r>
        <w:rPr>
          <w:rFonts w:ascii="Arial" w:hAnsi="Arial"/>
          <w:b/>
          <w:i/>
          <w:color w:val="000000"/>
          <w:sz w:val="20"/>
        </w:rPr>
        <w:t>The Global Business Environment and Economic Conditions Could Negatively Affect Our Business, Financial Condition and Results of Operations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Our business and operating results are affected by the global business environment and economic conditions, including changes in tariffs, interest rates, consumer credit conditions, consumer debt levels, consumer confidence, rates of inflation, unemployment rates, energy costs, geopolitical issues and other macro-economic factors. For example, high unemployment levels or energy costs may impact our residential customers in our communication services segment by reducing consumers’ discretionary income, and affecting their ability to subscribe for fixed broadband services. Our business and operating results similarly depend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and difficulty obtaining financing or insolvency. Existing or potential customers may reduce or postpone spending in response to tighter credit, reduced consumer demand, negative financial news or declines in income or asset values, which could have a material negative effect on the demand for our products and services. In addition, supply chain and labor market challenges and inflationary pressures have negatively affected and may in the future continue to negatively affect our performance as well as the performance of our suppliers and customers. Moreover, natural disasters (including those resulting from climate change), political instability, international trade policies, civil unrest, terrorist activity, acts of war, and public health issues could disrupt supplies and raise prices globally which, in turn, may have adverse effects on the world and U.S. economies. Any of these factors could result in reduced demand for, and pricing pressure on, our products and services, which could reduce our revenues and adversely affect our business, financial condition and results of operations.</w:t>
      </w:r>
    </w:p>
    <w:p>
      <w:pPr>
        <w:pStyle w:val="TextBody"/>
        <w:bidi w:val="0"/>
        <w:spacing w:before="90" w:after="283"/>
        <w:jc w:val="left"/>
        <w:rPr>
          <w:rFonts w:ascii="Arial" w:hAnsi="Arial"/>
          <w:color w:val="000000"/>
          <w:sz w:val="20"/>
        </w:rPr>
      </w:pPr>
      <w:r>
        <w:rPr>
          <w:rFonts w:ascii="Arial" w:hAnsi="Arial"/>
          <w:color w:val="000000"/>
          <w:sz w:val="20"/>
        </w:rPr>
        <w:t>In addition, uncertainty or volatility in U.S. credit and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 There remains significant geopolitical tensions across the world which have impacts on the global business environment which in turn can have an impact on our own business performance.</w:t>
      </w:r>
    </w:p>
    <w:p>
      <w:pPr>
        <w:pStyle w:val="TextBody"/>
        <w:bidi w:val="0"/>
        <w:spacing w:before="180" w:after="283"/>
        <w:jc w:val="left"/>
        <w:rPr>
          <w:rFonts w:ascii="Arial" w:hAnsi="Arial"/>
          <w:b/>
          <w:i/>
          <w:color w:val="000000"/>
          <w:sz w:val="20"/>
        </w:rPr>
      </w:pPr>
      <w:r>
        <w:rPr>
          <w:rFonts w:ascii="Arial" w:hAnsi="Arial"/>
          <w:b/>
          <w:i/>
          <w:color w:val="000000"/>
          <w:sz w:val="20"/>
        </w:rPr>
        <w:t>Acquisitions, Joint Ventures and Other Strategic Alliances May Have an Adverse Effect on Our Business; We May Fail to Realize the Anticipated Benefits of Such Transactions</w:t>
      </w:r>
    </w:p>
    <w:p>
      <w:pPr>
        <w:pStyle w:val="TextBody"/>
        <w:bidi w:val="0"/>
        <w:spacing w:before="90" w:after="283"/>
        <w:jc w:val="left"/>
        <w:rPr>
          <w:rFonts w:ascii="Times New Roman" w:hAnsi="Times New Roman"/>
          <w:sz w:val="20"/>
        </w:rPr>
      </w:pPr>
      <w:r>
        <w:rPr>
          <w:rFonts w:ascii="Arial" w:hAnsi="Arial"/>
          <w:color w:val="000000"/>
          <w:sz w:val="20"/>
        </w:rPr>
        <w:t>In order to position ourselves to take advantage of growth opportunities, from time to time we make strategic acquisitions and enter into joint ventures and other strategic alliances that involve significant risks and uncertainties, such as the Inmarsat Acquisition completed in fiscal year 2024. Risks and uncertainties relating to these transactions and any other acquisitions, joint ventures and other strategic alliances we may undertake include: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difficulty in combining, integrating and managing newly acquired businesses or any businesses of a joint venture or strategic alliance in an efficient and effective manner;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challenges in achieving expected objectives, cost savings, synergies and other benefits;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risk of diverting resources and the attention of senior management from the operations of our business;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additional demands on management related to integration efforts or increased size and scope of our business, including challenges of coordinating geographically dispersed organizations and addressing differences in corporate cultures or management philosophies;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difficulties in the assimilation and retention of key employees and in maintaining relationships with present and potential customers, distributors and suppliers;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lack of unilateral control over a joint venture or strategic alliance and the risk that joint venture or strategic partners have business goals and interests that are not aligned with ours;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costs and expenses associated with any undisclosed or contingent liabilities of an acquired business;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delays, difficulties or unexpected costs in the integration, assimilation, implementation or modification of platforms, systems, functions, technologies, infrastructure, and product and service offerings, or in the harmonization of standards, controls (including internal accounting controls), procedures and policies;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risk that funding requirements may be significantly greater than anticipated;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risks of entering markets in which we have less experience; and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risks of disputes concerning indemnities and other obligations that could result in substantial costs. </w:t>
      </w:r>
    </w:p>
    <w:p>
      <w:pPr>
        <w:pStyle w:val="TextBody"/>
        <w:bidi w:val="0"/>
        <w:spacing w:before="180" w:after="283"/>
        <w:jc w:val="left"/>
        <w:rPr>
          <w:rFonts w:ascii="Times New Roman" w:hAnsi="Times New Roman"/>
          <w:sz w:val="20"/>
        </w:rPr>
      </w:pPr>
      <w:r>
        <w:rPr>
          <w:rFonts w:ascii="Arial" w:hAnsi="Arial"/>
          <w:color w:val="000000"/>
          <w:sz w:val="20"/>
        </w:rPr>
        <w:t>Mergers, acquisitions, joint ventures and strategic alliances are inherently risky and subject to many factors outside of our control, and we cannot be certain that our previous or future acquisitions, joint ventures and strategic alliances will be successful and will not materially adversely affect our business, operating results or financial condition. Anticipated growth, cost savings, synergies and other benefits of any such transactions may not be realized fully, or at all, or may take longer to realize than expected. Additionally, we may inherit legal, regulatory, and other risks of the acquired business, whether known or unknown to us, which may be material to the combined company. We may not be able to successfully integrate the businesses, products, technologies or personnel that we might acquire in the future, and any strategic investments we make may not meet our business objectives. Any failure to do so could seriously harm our business, financial condition and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Our Reliance on U.S. Government Contracts Exposes Us to Significant Risks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Revenues derived from the U.S. Government represent a significant percentage of our total revenues. Therefore, any significant disruption or deterioration of our relationship with the U.S. Government would significantly reduce our revenues. U.S. Government business exposes us to various risks, including:</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changes in governmental procurement legislation and regulations and other policies, which may reflect military and political developments;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unexpected contract or project terminations or suspensions, and unpredictable order placements, reductions or cancellations;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reductions or delays in government funds available for our projects due to policy changes, budget cuts or delays, changes in available funding, U.S. Government shutdowns, reductions in defense expenditures and contract adjustments;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ability of competitors to protest contractual awards;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penalties arising from post-award contract audits;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reduction in the value of our contracts as a result of the routine audit and investigation of our costs by U.S. Government agencies;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higher-than-expected final costs, particularly relating to software and hardware development, for work performed under contracts where we commit to specified deliveries for a fixed price;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limited profitability from cost-reimbursement contracts;</w:t>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unpredictable cash collections of unbilled receivables that may be subject to acceptance of deliverables by the customer and contract close-out procedures, including government approval of final indirect rates;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competition with programs managed by other government contractors for limited resources and for uncertain levels of funding;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significant changes in contract scheduling or program structure, which generally result in delays or reductions in deliveries; and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intense competition for available U.S. Government business necessitating increases in time and investment for design and development. </w:t>
      </w:r>
    </w:p>
    <w:p>
      <w:pPr>
        <w:pStyle w:val="TextBody"/>
        <w:bidi w:val="0"/>
        <w:spacing w:before="180" w:after="283"/>
        <w:jc w:val="left"/>
        <w:rPr>
          <w:rFonts w:ascii="Times New Roman" w:hAnsi="Times New Roman"/>
          <w:sz w:val="20"/>
        </w:rPr>
      </w:pPr>
      <w:r>
        <w:rPr>
          <w:rFonts w:ascii="Arial" w:hAnsi="Arial"/>
          <w:color w:val="000000"/>
          <w:sz w:val="20"/>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pStyle w:val="TextBody"/>
        <w:bidi w:val="0"/>
        <w:spacing w:before="180" w:after="283"/>
        <w:jc w:val="left"/>
        <w:rPr>
          <w:rFonts w:ascii="Times New Roman" w:hAnsi="Times New Roman"/>
          <w:sz w:val="20"/>
        </w:rPr>
      </w:pPr>
      <w:r>
        <w:rPr>
          <w:rFonts w:ascii="Arial" w:hAnsi="Arial"/>
          <w:b/>
          <w:i/>
          <w:color w:val="000000"/>
          <w:sz w:val="20"/>
        </w:rPr>
        <w:t>Because Our Products Are Complex and Are Deployed in Complex Environments, Our Products as well as Third Party Products on Which We Rely Are Likely to Have Vulnerabilities and Defects that We May Discover only After Full Deployment, which Could Seriously Harm Our Business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We produce highly complex products that incorporate leading-edge technology, including both hardware and software, including hardware and software manufactured by third parties. Our products are designed to be deployed across complex networks, which in some cases may include over a million users, and are sometimes integrated with our customers' systems. Because of the nature of these products, there is no assurance that our pre-shipment testing programs will be adequate to detect all defects or vulnerabilities. As a result, our customers may discover errors or defects in our hardware or software, or our products may not operate as expected. If we are unable to cure a product defect, we could experience damage to our reputation, reduced customer satisfaction, loss of existing and potential customers, failure to achieve market acceptance, cancellation of 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fixed broadband business, product defects in this business could significantly increase these risks. Defects, integration issues or other performance problems in our products could also result in financial or other damages to our customers, who could seek damages for related losses from us, which could seriously harm our business, financial condition and results of operations. A product liability claim brought against us, even if unsuccessful, would likely be time consuming and costly. In addition, given the complex nature of our systems and technologies, we regularly identify and track security vulnerabilities. We cannot guarantee comprehensively applied patches nor confirm that measures are in place to mitigate all such vulnerabilities or that patches will be applied before vulnerabilities are exploited. If a critical vulnerability is exploited, it could significantly compromise our and our customers’ systems and data, and could materially harm our business, financial condition and results of operations.</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i/>
          <w:color w:val="000000"/>
          <w:sz w:val="20"/>
        </w:rPr>
        <w:t>Our Reputation, Business, Results of Operations, and Financial Condition Could Be Materially Harmed as a Result of Data Breaches, Data Theft, Unauthorized Access, Hacking or Other Cybersecurity Incidents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We rely heavily on computer systems, hardware, software, infrastructure and various connected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In addition, in the ordinary course of our business, our IT Systems and those of our third-party business partners, including our distributors, business partners, supply chain and other vendors, store sensitive data, including information that is confidential, regulated, proprietary or otherwise sensitive in nature to our business. This information may include intellectual property and product information, personal information, financial information and other confidential business information relating to us and our employees, customers, suppliers and other business partners.</w:t>
      </w:r>
    </w:p>
    <w:p>
      <w:pPr>
        <w:pStyle w:val="TextBody"/>
        <w:bidi w:val="0"/>
        <w:spacing w:before="90" w:after="283"/>
        <w:jc w:val="left"/>
        <w:rPr>
          <w:rFonts w:ascii="Arial" w:hAnsi="Arial"/>
          <w:color w:val="000000"/>
          <w:sz w:val="20"/>
        </w:rPr>
      </w:pPr>
      <w:r>
        <w:rPr>
          <w:rFonts w:ascii="Arial" w:hAnsi="Arial"/>
          <w:color w:val="000000"/>
          <w:sz w:val="20"/>
        </w:rPr>
        <w:t>We and our distributors, partners, vendors and customers face numerous and evolving cybersecurity threats to the confidentiality, integrity and availability of our respective IT Systems and information, including threats from a wide range of bad actors and malicious parties, such as computer programmers, hackers or sophisticated nation-state and nation-state supported actors, as well as incidents attributable to employee error or wrongful conduct, technological error, malfeasance (including by insiders), the exploitation of misconfigurations, "bugs" and other vulnerabilities in hardware or software that is integrated into our (or our suppliers’ or service providers’) IT systems, products, or services, or other disruptions caused by sophisticated social engineering/phishing and malware exploits (e.g., ransomware).</w:t>
      </w:r>
    </w:p>
    <w:p>
      <w:pPr>
        <w:pStyle w:val="TextBody"/>
        <w:bidi w:val="0"/>
        <w:spacing w:before="90" w:after="283"/>
        <w:jc w:val="left"/>
        <w:rPr>
          <w:rFonts w:ascii="Times New Roman" w:hAnsi="Times New Roman"/>
          <w:sz w:val="20"/>
        </w:rPr>
      </w:pPr>
      <w:r>
        <w:rPr>
          <w:rFonts w:ascii="Arial" w:hAnsi="Arial"/>
          <w:color w:val="000000"/>
          <w:sz w:val="20"/>
        </w:rPr>
        <w:t>Despite our security measures, and those of our third-party vendors, we and our third-party vendors have experienced cyberattacks, data breaches and other disruptive cybersecurity incidents, and we remain vulnerable to data breaches, and cybersecurity attacks, incidents and disruptions, in the future. For example, in fiscal year 2022, a cyberattack involving our KA-SAT network resulted in a partial interruption of consumer-oriented fixed broadband services in Europe and North Africa. While to date no incidents have had a material impact on our operations or financial results, we cannot guarantee that material incidents will not occur in the future.</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Because the techniques used to obtain unauthorized access, disable or degrade service, or sabotage IT Systems, change frequently and often are not recognized until launched against a target, we are unable to anticipate all threat actor techniques (such as those leveraging artificial intelligence), and are unable to implement absolute preventative measures, particularly given that attackers are increasingly using sophisticated techniques. Accordingly, we may be unable to detect, investigate, remediate, or recover from future attacks or incidents, or to avoid a material adverse impact to our IT systems, confidential information or business. Any integration of artificial intelligence in our or any third party’s operations, products or services is expected to pose new or unknown cybersecurity risks and challenges. We have also acquired and expect to continue to acquire companies that have cybersecurity vulnerabilities and/or unsophisticated security measures, and we face challenges in integrating acquired entities with our cybersecurity program, controls and tools, all of which exposes us to significant cybersecurity, operational, and financial risks. Additionally, outside parties regularly engage in phishing and other social engineering attacks against our employees or other users of our IT Systems and data. Given the nature of complex systems, software and services like ours, and the scanning tools we deploy in our environment, we regularly identify and track security vulnerabilities. We are unable to comprehensively apply patches or mitigating measures to all such vulnerabilities, or guarantee that patches or mitigation will be in place before vulnerabilities are exploited by a threat actor. The rapid proliferation of artificial intelligence has also enabled threat actors to identify vulnerabilities at an accelerated pace, thereby increasing the frequency and severity of cyber threats facing us and others. There can also be no assurance that our cybersecurity risk management program and processes, including our policies, controls or procedures, will be fully implemented, complied with or effective in protecting our IT Systems and confidential information.</w:t>
      </w:r>
    </w:p>
    <w:p>
      <w:pPr>
        <w:pStyle w:val="TextBody"/>
        <w:bidi w:val="0"/>
        <w:spacing w:before="90" w:after="283"/>
        <w:jc w:val="left"/>
        <w:rPr>
          <w:rFonts w:ascii="Times New Roman" w:hAnsi="Times New Roman"/>
          <w:sz w:val="20"/>
        </w:rPr>
      </w:pPr>
      <w:r>
        <w:rPr>
          <w:rFonts w:ascii="Arial" w:hAnsi="Arial"/>
          <w:color w:val="000000"/>
          <w:sz w:val="20"/>
        </w:rPr>
        <w:t>We may be subject to legal claims or proceedings or regulatory investigations and enforcement actions that can result in significant liability, and suffer serious reputational and financial harm if a cyberattack or security incident materially disrupts our operations or materially compromises the availability, integrity or confidentiality of our IT Systems or our or our customers’ critical information. If an attack or breach results in material losses of existing and/or prospective customers, it could adversely affect our business relationships, financial condition and results of operations. We could also suffer other negative consequences, including significant incident response, system restoration or remediation costs, future compliance costs, significantly increased cybersecurity protection costs, loss of material revenues, and the unauthorized use of proprietary information or the failure to retain or attract customers following an attack. Any or all of the foregoing could materially adversely affect our business, results of operations, and financial condition.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Arial" w:hAnsi="Arial"/>
          <w:color w:val="000000"/>
          <w:sz w:val="20"/>
        </w:rPr>
      </w:pPr>
      <w:r>
        <w:rPr>
          <w:rFonts w:ascii="Arial" w:hAnsi="Arial"/>
          <w:color w:val="000000"/>
          <w:sz w:val="20"/>
        </w:rPr>
        <w:t>We cannot guarantee that any costs and liabilities incurred in relation to an attack or incident will be covered by our existing insurance policies or that applicable insurance will be available to us in the future on economically reasonable terms or at all. Further, if we or our service providers are unable to comply with the security standards established by banks and the payment card industry, we may be subject to fines, restrictions, and expulsion from card acceptance programs, which could adversely affect our operations.</w:t>
      </w:r>
    </w:p>
    <w:p>
      <w:pPr>
        <w:pStyle w:val="TextBody"/>
        <w:bidi w:val="0"/>
        <w:spacing w:before="180" w:after="283"/>
        <w:jc w:val="left"/>
        <w:rPr>
          <w:rFonts w:ascii="Times New Roman" w:hAnsi="Times New Roman"/>
          <w:sz w:val="20"/>
        </w:rPr>
      </w:pPr>
      <w:r>
        <w:rPr>
          <w:rFonts w:ascii="Arial" w:hAnsi="Arial"/>
          <w:b/>
          <w:i/>
          <w:color w:val="000000"/>
          <w:sz w:val="20"/>
        </w:rPr>
        <w:t>We Use AI Technologies in Our Business, and the Use of These Technologies Involve Technological and Legal Risks.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We use artificial intelligence and machine learning technologies (collectively, AI Technologies) in our business, and continue to invest in this area. As with many technological innovations, there are significant risks involved in developing, maintaining and deploying these technologies and there can be no assurance that our usage of or investments in such technologies will enhance our products or services or be beneficial to our business. In particular, if the models underlying our AI Technologies are: incorrectly designed or implemented; trained or reliant on incomplete, inadequate, inaccurate, biased or otherwise poor quality data, or on data to which we do not have the sufficient rights or in relation to which we and/or the providers of such data have not implemented sufficient legal compliance measures; used without sufficient oversight and governance to ensure their responsible use; and/or adversely impacted by unforeseen defects, technical challenges, cybersecurity threats, data privacy concerns, or material performance issues, the performance of our products, services and business, as well as our reputation, could suffer or we could incur liability resulting from the violation of laws or contracts to which we are a party or civil claims.</w:t>
      </w:r>
    </w:p>
    <w:p>
      <w:pPr>
        <w:pStyle w:val="TextBody"/>
        <w:bidi w:val="0"/>
        <w:spacing w:before="90" w:after="283"/>
        <w:jc w:val="left"/>
        <w:rPr>
          <w:rFonts w:ascii="Arial" w:hAnsi="Arial"/>
          <w:color w:val="000000"/>
          <w:sz w:val="20"/>
        </w:rPr>
      </w:pPr>
      <w:r>
        <w:rPr>
          <w:rFonts w:ascii="Arial" w:hAnsi="Arial"/>
          <w:color w:val="000000"/>
          <w:sz w:val="20"/>
        </w:rPr>
        <w:t>We are in varying stages of development in relation to our products and services, as well as our internal processes and procedures involving AI Technologies, and we may not be successful in our ongoing development, maintenance and operation of our AI Technologies in the face of unforeseen difficulties, including material performance problems, undetected defects, or errors, as well as other novel and evolving technical, reputational and market factors. We also use AI Technologies licensed from third parties and if any such AI Technologies become incompatible with our solutions or unavailable for use, or if the providers of such models unfavorably change the terms on which their AI Technologies are offered or terminate their relationship with us, we may be unable to continue to use such technologies at the scale we need, our products or services may become less appealing to our customers, we may not be able to meet customer demands, and our business or reputation may be harmed. As we use AI Technologies to develop or assist in the development of our own software code, if the AI Technologies we use generate code that is too similar to other proprietary code, to software processes that are protected by patent, or to open source code, we could be subject to intellectual property infringement claims or risk losing protection of our own proprietary code that is commingled with such code, which could adversely affect our business. Our ability to continue to develop or use AI Technologies may be dependent on access to specific third-party software, services and infrastructure, and we cannot control the availability or pricing of such third-party software and infrastructure, especially in a highly competitive environment.</w:t>
      </w:r>
    </w:p>
    <w:p>
      <w:pPr>
        <w:pStyle w:val="TextBody"/>
        <w:bidi w:val="0"/>
        <w:spacing w:before="90" w:after="283"/>
        <w:jc w:val="left"/>
        <w:rPr>
          <w:rFonts w:ascii="Arial" w:hAnsi="Arial"/>
          <w:color w:val="000000"/>
          <w:sz w:val="20"/>
        </w:rPr>
      </w:pPr>
      <w:r>
        <w:rPr>
          <w:rFonts w:ascii="Arial" w:hAnsi="Arial"/>
          <w:color w:val="000000"/>
          <w:sz w:val="20"/>
        </w:rPr>
        <w:t>The regulatory framework for AI Technologies is rapidly evolving as many federal, state and foreign government bodies and agencies have enacted or are currently considering laws and regulations governing AI. Such regulations may impact our ability to develop, use, procure and commercialize AI Technologies in the future. Additionally, existing laws and regulations, including competition, antitrust, data privacy and consumer protection laws, may be interpreted or enforced in ways that would limit our ability to use AI Technologies for our business, or require us to change the way we use AI Technologies in a manner that negatively affects our use, development, or the operation of our AI Technologies. As a result, implementation standards and enforcement practices are likely to remain uncertain for the foreseeable future, and we cannot predict the impact future laws, regulations, or standards, or the market perception of their requirements, may have on our business or how we will respond to these laws or regulations. In addition, if we fail or are perceived to fail to comply with these laws and regulations, we may face lawsuits, investigations, enforcement actions, negative reputational impacts, and other penalties that materially impact our business.</w:t>
      </w:r>
    </w:p>
    <w:p>
      <w:pPr>
        <w:pStyle w:val="TextBody"/>
        <w:bidi w:val="0"/>
        <w:spacing w:before="180" w:after="283"/>
        <w:jc w:val="left"/>
        <w:rPr>
          <w:rFonts w:ascii="Times New Roman" w:hAnsi="Times New Roman"/>
          <w:sz w:val="20"/>
        </w:rPr>
      </w:pPr>
      <w:r>
        <w:rPr>
          <w:rFonts w:ascii="Arial" w:hAnsi="Arial"/>
          <w:b/>
          <w:i/>
          <w:color w:val="000000"/>
          <w:sz w:val="20"/>
        </w:rPr>
        <w:t>A Significant Portion of Our Revenues Is Derived from a Few of Our Contracts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A small number of our contracts account for a significant percentage of our revenues. Our five largest contracts generated approximately 19% of our total revenues in fiscal year 2026.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on expiration, could materially harm our business and impair the value of our common stock.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i/>
          <w:color w:val="000000"/>
          <w:sz w:val="20"/>
        </w:rPr>
        <w:t>Our Development Contracts May Be Difficult for Us to Comply with and May Expose Us to Third-Party Claims for Damages, and We May Experience Losses from Fixed-Price Contrac</w:t>
      </w:r>
      <w:r>
        <w:rPr>
          <w:rFonts w:ascii="Arial" w:hAnsi="Arial"/>
          <w:b/>
          <w:color w:val="000000"/>
          <w:sz w:val="20"/>
        </w:rPr>
        <w:t>ts</w:t>
      </w:r>
    </w:p>
    <w:p>
      <w:pPr>
        <w:pStyle w:val="TextBody"/>
        <w:bidi w:val="0"/>
        <w:spacing w:before="90" w:after="283"/>
        <w:jc w:val="left"/>
        <w:rPr>
          <w:rFonts w:ascii="Times New Roman" w:hAnsi="Times New Roman"/>
          <w:sz w:val="20"/>
        </w:rPr>
      </w:pPr>
      <w:r>
        <w:rPr>
          <w:rFonts w:ascii="Arial" w:hAnsi="Arial"/>
          <w:color w:val="000000"/>
          <w:sz w:val="20"/>
        </w:rPr>
        <w:t>We are often party to government and commercial contracts involving the development of new products. We derived approximately 11% of our total revenues for fiscal year 2026 from these development contracts. These contracts typically contain strict performance obligations and project milestones. We cannot assure you that we will comply with these performance obligations or meet these project milestones in the future. If we are unable to do so,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Substantially all of our revenues are derived from contracts with fixed prices, which involve greater financial risk because we assume all of the cost burden in the event of cost overruns. If we do not anticipate technical problems, estimate costs accurately or control costs during performance of a fixed-price contract, it may significantly reduce our net profit or cause a loss on the contract. In the past, we have experienced significant cost overruns and losses on fixed-price contracts. Because many of these contracts involve new technologies and applications and can last for years, unforeseen events, such as technological difficulties, fluctuations in the price of raw materials, a significant increase in or a sustained period of increased inflation, problems with our suppliers and cost overruns, can result in the contractual price becoming less favorable or even unprofitable to us over time. Furthermore, if we do not meet contractual deadlines or specifications, we may need to renegotiate contracts on less favorable terms, be forced to pay penalties or liquidated damages or suffer major losses if the customer exercises its right to terminate. We believe a high percentage of our contract revenue will continue to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pStyle w:val="TextBody"/>
        <w:bidi w:val="0"/>
        <w:spacing w:before="180" w:after="283"/>
        <w:jc w:val="left"/>
        <w:rPr>
          <w:rFonts w:ascii="Times New Roman" w:hAnsi="Times New Roman"/>
          <w:sz w:val="20"/>
        </w:rPr>
      </w:pPr>
      <w:r>
        <w:rPr>
          <w:rFonts w:ascii="Arial" w:hAnsi="Arial"/>
          <w:b/>
          <w:i/>
          <w:color w:val="000000"/>
          <w:sz w:val="20"/>
        </w:rPr>
        <w:t>Our Reliance on a Limited Number of Third Parties to Manufacture and Supply Our Products and Supply Network Infrastructure and Bandwidth Exposes Us to Various Risks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We have in the past experienced and may in the future experience delays in the delivery of and quality problems with products and components and subassemblies from vendors. Some of the suppliers we rely upon have relatively limited financial and other resources. Significant events such as a pandemic, natural disasters, extreme weather events, acts of terrorism, civil unrest, cyberattacks, labor market instability, changes to trade policy, including tariff and customs regulations or global shortages of components or materials, may cause temporary or long-term disruptions in our supply chain and distribution systems and/or delays in the delivery of inventory. If we are not able to obtain timely deliveries of components and subassemblies of acceptable quality or if we are otherwise required to seek alternative sources of supply or substitutes, or to manufacture our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which could expose us to liability and have a material adverse effect on our ability to compete for future contracts and orders.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We also rely on third parties to provide network infrastructure and satellite bandwidth that we use to serve our mobility, defense and other customers. If that network infrastructure or satellite bandwidth becomes temporarily or permanently unavailable, we may not be able to pursue new business opportunities or satisfy existing customer obligations, which could result in reduced sales, termination of contracts and damage to our reputation. Such an occurrence could materially harm our business, financial condition and results of operations, and impair the value of our common stock.</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i/>
          <w:color w:val="000000"/>
          <w:sz w:val="20"/>
        </w:rPr>
        <w:t>We Depend on a Limited Number of Key Employees Who Would Be Difficult to Replace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depend on a limited number of key technical, marketing and management personnel with a longstanding knowledge of Viasat's business to manage and operate our business. In particular, we believe our success depends to a significant degree on our ability to attract and retain highly skilled personnel, including our Chairman of the Board and Chief Executive Officer, Mark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to attract and retain such employees, or experience difficulties in performing under our contracts if our needs for such employees were unmet.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Because We Conduct Business Internationally, We Face Additional Risks, including Risks Related to Global Political and Economic Conditions, Sanctions, Changes in Regulation and Currency Fluctuations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Approximately 32% of our total revenues in fiscal year 2026 were derived from international sales. Conducting business internationally involves additional risks, including unexpected changes in laws, policies and regulatory requirements (including regulations related to import-export control and tariffs); increased cost of localizing systems in foreign countries; increased sales and marketing and R&amp;D expenses; timing and availability of export licenses; political and economic instability, wars, insurrections and other conflicts; issues related to the political relationship between the United States and other countries; fluctuations in currency exchange rates (including their effect on sales denominated in foreign currencies), foreign exchange controls and restrictions on cash repatriation; compliance with international laws and U.S. laws affecting the activities of U.S. companies abroad, including existing and future privacy and cyber-related laws; challenges in staffing and managing foreign operations; difficulties in managing distributors; requirements for additional liquidity to fund our international operations; availability of suitable export financing; ineffective legal protection of our intellectual property rights in certain countries; potentially adverse tax consequences; potential difficulty in making adequate payment arrangements; potential difficulty in collecting accounts receivable; and imposition of taxes, tariffs (including recent U.S. tariffs imposed or threatened to be imposed on other countries and retaliatory actions taken by such countries), embargoes, sanctions and other trade barriers. In addition, some of our customer purchase agreements are governed by foreign laws, which may differ significantly from U.S. laws and we may be limited in our ability to enforce our rights under these agreements and to collect damages, if awarded. If we are unable to address any of the risks described above, it could materially harm our business and impair the value of our common stock.</w:t>
      </w:r>
    </w:p>
    <w:p>
      <w:pPr>
        <w:pStyle w:val="TextBody"/>
        <w:bidi w:val="0"/>
        <w:spacing w:before="180" w:after="283"/>
        <w:jc w:val="left"/>
        <w:rPr>
          <w:rFonts w:ascii="Times New Roman" w:hAnsi="Times New Roman"/>
          <w:sz w:val="20"/>
        </w:rPr>
      </w:pPr>
      <w:r>
        <w:rPr>
          <w:rFonts w:ascii="Arial" w:hAnsi="Arial"/>
          <w:color w:val="000000"/>
          <w:sz w:val="20"/>
        </w:rPr>
        <w:t>Due to the global nature of our operations, we are subject to the complex and varying tax laws and rules of many countries and have material tax-related contingent liabilities that are difficult to predict or quantify. We are also subject to tax audits, including with respect to transfer pricing, in the United States and other jurisdictions and our tax positions may be challenged by tax authorities. There can be no assurance that our current tax provisions will be settled for the amounts accrued, that additional tax exposures will not be identified in the future or that additional tax reserves will not be necessary for any such exposures. Any increase in the amount of taxation incurred as a result of challenges to our tax filing positions could result in a material adverse effect on our business, financial condition and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Adverse Resolution of Litigation May Harm Our Operating Results or Financial Condition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are a party to various lawsuits and claims in the normal course of our business. Moreover, significant transactions like the Inmarsat Acquisition are frequently subject to litigation or other legal proceedings, including actions alleging that our Board of Directors breached their fiduciary duties to our stockholders by entering into the transaction. Litigation can be expensive, lengthy and disruptive to normal business operations, including through the possible diversion of company resources or distraction of key personnel. Moreover, the results of complex legal proceedings are difficult to predict. An unfavorable resolution of a particular lawsuit, as well as defense costs and efforts even if successful,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Future Sales of Our Common Stock Could Lower Our Stock Price and Dilute Existing Stockholders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From time to time, we raise capital from equity financings and file universal shelf registration statements with the SEC for the future sale of an unlimited amount of common stock, preferred stock, warrants, rights, and other securities. For example, during fiscal year 2021 we sold 4.5 million shares of our common stock to certain accredited investors in a private placement transaction.</w:t>
      </w:r>
    </w:p>
    <w:p>
      <w:pPr>
        <w:pStyle w:val="TextBody"/>
        <w:bidi w:val="0"/>
        <w:spacing w:before="180" w:after="283"/>
        <w:jc w:val="left"/>
        <w:rPr>
          <w:rFonts w:ascii="Times New Roman" w:hAnsi="Times New Roman"/>
          <w:sz w:val="20"/>
        </w:rPr>
      </w:pPr>
      <w:r>
        <w:rPr>
          <w:rFonts w:ascii="Arial" w:hAnsi="Arial"/>
          <w:color w:val="000000"/>
          <w:sz w:val="20"/>
        </w:rPr>
        <w:t>We may also issue additional shares of common stock to finance acquisitions. For example, we issued 46.36 million shares of our common stock as consideration in the Inmarsat Acquisition. Additionally, a substantial number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of shares of our common stock are available for future sale pursuant to stock options, warrants or issuance pursuant to our 1996 Equity Participation Plan of Viasat, Inc. and the Viasat, Inc. Employee Stock Purchase Plan. Future issuances of shares may be dilutive to existing stockholders. We cannot predict the size of future issuances of our common stock or the effect, if any, that future sales and issuances of shares of our common stock will have on the market price of our common stock. Sales of substantial amounts of our common stock, or the perception that such sales could occur, may adversely affect prevailing market prices for our common stock.</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We Expect Our Stock Price to Be Volatile, and You May Lose All or Some of Your Investment</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The market price of our common stock has been volatile in the past. For example, between April 1, 2024 and May 8, 2026, the market price of our common stock ranged from $70.35 to $6.69. Trading prices may continue to fluctuate in response to a number of events and factors, including quarterly variations in operating results (or operating results falling below the expectations of analysts and investors), significant announcements by us or our competitors, regulatory developments, or changes in market conditions in our industry or the economy as a whole. Any of these events may cause the market price of our common stock to fall. In addition, the stock market in general and the market prices for technology companies in particular have experienced significant volatility that is often unrelated to operating performance. These broad market and industry fluctuations may adversely affect the market price of our common stock, regardless of our operating performance.</w:t>
      </w:r>
    </w:p>
    <w:p>
      <w:pPr>
        <w:pStyle w:val="TextBody"/>
        <w:bidi w:val="0"/>
        <w:spacing w:before="180" w:after="283"/>
        <w:jc w:val="left"/>
        <w:rPr>
          <w:rFonts w:ascii="Arial" w:hAnsi="Arial"/>
          <w:b/>
          <w:i/>
          <w:color w:val="000000"/>
          <w:sz w:val="20"/>
        </w:rPr>
      </w:pPr>
      <w:r>
        <w:rPr>
          <w:rFonts w:ascii="Arial" w:hAnsi="Arial"/>
          <w:b/>
          <w:i/>
          <w:color w:val="000000"/>
          <w:sz w:val="20"/>
        </w:rPr>
        <w:t>We May Not Be Able to Utilize All of Our Deferred Tax Assets</w:t>
      </w:r>
    </w:p>
    <w:p>
      <w:pPr>
        <w:pStyle w:val="TextBody"/>
        <w:bidi w:val="0"/>
        <w:spacing w:before="90" w:after="283"/>
        <w:jc w:val="left"/>
        <w:rPr>
          <w:rFonts w:ascii="Arial" w:hAnsi="Arial"/>
          <w:color w:val="000000"/>
          <w:sz w:val="20"/>
        </w:rPr>
      </w:pPr>
      <w:r>
        <w:rPr>
          <w:rFonts w:ascii="Arial" w:hAnsi="Arial"/>
          <w:color w:val="000000"/>
          <w:sz w:val="20"/>
        </w:rPr>
        <w:t>Our deferred tax asset valuation allowances are the result of uncertainties regarding the future realization of our deferred tax assets (consisting primarily of U.S. net operating loss and tax credit carryforwards, reserves and accruals that are not currently deductible for tax, and foreign net operating loss carryforwards). Current evidence does not suggest we will realize sufficient taxable income of the appropriate character within the carryforward period to allow us to realize these deferred tax benefits. If we were to identify and implement tax planning strategies to recover these deferred tax assets or generate sufficient income of the appropriate character in these jurisdictions in the future, it could lead to the reversal of these valuation allowances and a reduction of income tax expense. For the remaining deferred tax assets without valuation allowances (consisting primarily of UK and other foreign interest carryforwards subject to annual interest deduction limitations), certain transactions or material changes to our global financing arrangements could limit our right to use the deferred tax assets and make netting against deferred tax liabilities inappropriate, resulting in an increase to our valuation allowance and income tax expense.</w:t>
      </w:r>
    </w:p>
    <w:p>
      <w:pPr>
        <w:pStyle w:val="TextBody"/>
        <w:bidi w:val="0"/>
        <w:spacing w:before="180" w:after="283"/>
        <w:jc w:val="left"/>
        <w:rPr>
          <w:rFonts w:ascii="Times New Roman" w:hAnsi="Times New Roman"/>
          <w:sz w:val="20"/>
        </w:rPr>
      </w:pPr>
      <w:r>
        <w:rPr>
          <w:rFonts w:ascii="Arial" w:hAnsi="Arial"/>
          <w:color w:val="000000"/>
          <w:sz w:val="20"/>
        </w:rPr>
        <w:t>Our ability to utilize our U.S. net operating loss and tax credit carryforwards to offset future taxable income and reduce future cash tax liabilities would be negatively impacted if we were to experience an “ownership change,” as defined in Section 382 of the Internal Revenue Code of 1986, as amended (the Code). In general terms, an “ownership change” can occur whenever the ownership of a company by one or more “5% shareholders” changes by more than 50 percentage points within a rolling three-year period. The determination of whether an ownership change has occurred for purposes of Section 382 of the Code is complex and requires significant judgment. Moreover, the number of shares of our common stock outstanding at any time for purposes of Section 382 of the Code may differ from the number of shares that we report as outstanding in our filings with the SEC. In the event that an ownership change occurs, our ability to utilize our net operating loss and tax credit carryforwards would be negatively impacted, which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Provisions in Our Certificate of Incorporation and Bylaws, under Delaware Law and in Our Credit Facilities May Discourage, Delay or Prevent a Change in Control or an Acquisition of Our Business at a Premium Price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 permit the board of directors to increase its own size and fill the resulting vacancies, provide for a board comprised of three classes of directors with each serving a staggered three-year term, authorize the issuance of blank check preferred stock in one or more series, and prohibit stockholder action by written consent.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We are also subject to Section 203 of the Delaware General Corporation Law, which imposes restrictions on mergers and other business combinations between us and any holder of 15% or more of our common stock. In addition, under each of the indentures (collectively, the Indentures) governing our senior unsecured and senior secured notes (collectively, the Notes), if certain “change of control” events occur, each holder of Notes may require us to repurchase all of such holder’s Notes at a purchase price equal to 101% of the principal amount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such Notes. Additionally, Viasat’s and Inmarsat’s senior secured credit facilities (collectively, the Credit Facilities) provide for an event of default upon the occurrence of certain specified “change of control” events.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color w:val="000000"/>
          <w:sz w:val="20"/>
        </w:rPr>
        <w:t>Risks Related to the Regulation of Our Business</w:t>
      </w:r>
      <w:r>
        <w:rPr>
          <w:rFonts w:ascii="Times New Roman" w:hAnsi="Times New Roman"/>
          <w:color w:val="000000"/>
          <w:sz w:val="20"/>
        </w:rPr>
        <w:t xml:space="preserve"> </w:t>
      </w:r>
    </w:p>
    <w:p>
      <w:pPr>
        <w:pStyle w:val="TextBody"/>
        <w:bidi w:val="0"/>
        <w:spacing w:before="90" w:after="283"/>
        <w:jc w:val="left"/>
        <w:rPr>
          <w:rFonts w:ascii="Arial" w:hAnsi="Arial"/>
          <w:b/>
          <w:i/>
          <w:color w:val="000000"/>
          <w:sz w:val="20"/>
        </w:rPr>
      </w:pPr>
      <w:r>
        <w:rPr>
          <w:rFonts w:ascii="Arial" w:hAnsi="Arial"/>
          <w:b/>
          <w:i/>
          <w:color w:val="000000"/>
          <w:sz w:val="20"/>
        </w:rPr>
        <w:t>We May Be Unable to Obtain or Maintain Required Authorizations or Contractual Arrangements</w:t>
      </w:r>
    </w:p>
    <w:p>
      <w:pPr>
        <w:pStyle w:val="TextBody"/>
        <w:bidi w:val="0"/>
        <w:spacing w:before="90" w:after="283"/>
        <w:jc w:val="left"/>
        <w:rPr>
          <w:rFonts w:ascii="Times New Roman" w:hAnsi="Times New Roman"/>
          <w:sz w:val="20"/>
        </w:rPr>
      </w:pPr>
      <w:r>
        <w:rPr>
          <w:rFonts w:ascii="Arial" w:hAnsi="Arial"/>
          <w:color w:val="000000"/>
          <w:sz w:val="20"/>
        </w:rPr>
        <w:t>Various types of U.S. domestic and international authorizations and contractual arrangements are required in connection with the products and services that we provide. See “Regulatory Environment.” Compliance with certain laws, regulations, conditions, and other requirements, including the payment of fees, may be required to maintain the rights provided by such authorizations, including the rights to operate satellite networks at certain orbital slots in certain radio frequencies. Failure to comply with such requirements, or comply in a timely manner, could lead to the loss of such authorizations and could have a material adverse impact on our business, financial condition, and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We currently hold authorizations to, among other things, operate various satellite earth stations (including, but not limited to, user terminals, facilities that interconnect with the internet backbone, and network hubs) and operate satellite space stations and/or use those space stations to provide service to certain jurisdictions. Such authorizations are conditioned upon meeting certain milestone conditions and/or due diligence requirements, which, if not met or extended, could result in loss of the authorization. While we anticipate that these authorizations will be extended or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laws and regulations under which we operate could adversely affect our ability to obtain or maintain authorizations. Any of these circumstances could have a material adverse impact on our business, financial condition, and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spacecraft we use in our business are subject to the regulatory authority of, and conditions imposed by, foreign governments, as well as contractual arrangements with third parties and the regulations and procedures of the ITU governing access to orbital and spectrum rights and the international coordination of satellite networks. The use of spacecraft in our business is subject to various conditions in the underlying authorizations held by us and third parties, as well as the requirements of the laws and regulations of the jurisdictions in which we provide service or that govern our network operations. Any failure to meet these types of requirements in a timely manner,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Changes in the Regulatory Environment Could Have a Material Adverse Impact on Our Competitive Position, Growth and Financial Performance</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RF spectrum, the ability to operate satellites at specific orbital locations in space, the licensing of earth stations and other radio transmitters, the provision of communications services, privacy and data security, and the design, manufacture, and marketing of communications systems and networking infrastructure. The space stations and ground network we use to provide our broadband and other services operate using some spectrum that is regulated for use on a primary basis for certain types of the satellite services we provide, some spectrum that is regulated for use on a shared basis with terrestrial wireless services and/or other satellite technologies, and some spectrum that is regulated primarily for terrestrial wireless and other uses but that we are authorized to use on a secondary or non-interference basis. Moreover, spectrum availability varies from country to country, and even within countries, within our service areas.</w:t>
      </w:r>
    </w:p>
    <w:p>
      <w:pPr>
        <w:pStyle w:val="TextBody"/>
        <w:bidi w:val="0"/>
        <w:spacing w:before="180" w:after="283"/>
        <w:jc w:val="left"/>
        <w:rPr>
          <w:rFonts w:ascii="Times New Roman" w:hAnsi="Times New Roman"/>
          <w:sz w:val="20"/>
        </w:rPr>
      </w:pPr>
      <w:r>
        <w:rPr>
          <w:rFonts w:ascii="Arial" w:hAnsi="Arial"/>
          <w:color w:val="000000"/>
          <w:sz w:val="20"/>
        </w:rPr>
        <w:t>Laws and regulations affecting our business are subject to change in response to industry developments, new technology, and political considerations, among other things. Legislators and regulatory authorities in various countries are considering, and may in the future adopt, new laws, policies, and regulations, as well as changes to existing laws, policies and regulations. We cannot predict when or whether applicable laws, policies, or regulations may come into effect or change, or what the cost and time necessary to comply with such new or updated laws or regulations may be. For example, we are subject to a variety of federal, state and foreign laws, regulations and other requirements relating to the privacy, security and processing of personal information, such as the California Consumer Privacy Act, EU General Data Protection Regulation, UK General Data Protection Regulation and Data Protection Act 2018, and related laws in other jurisdictions, which impose certain compliance obligations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provide their residents individual rights with respect to their personal information, and allow for penalties and, in some cases, private rights of action for violations. The application and interpretation of cybersecurity and data privacy security and protection laws, regulations, and other requirements are evolving and new requirements, or amendments to existing requirements, present increasing compliance challenges, which may increase our costs, require us to change our business operations, affect our competitiveness, cause reputational harm, and expose us to legal claims or proceedings (including class actions), regulatory investigations or enforcement actions, and, if found liable, substantial fines or other penalties.</w:t>
      </w:r>
    </w:p>
    <w:p>
      <w:pPr>
        <w:pStyle w:val="TextBody"/>
        <w:bidi w:val="0"/>
        <w:spacing w:before="180" w:after="283"/>
        <w:jc w:val="left"/>
        <w:rPr>
          <w:rFonts w:ascii="Times New Roman" w:hAnsi="Times New Roman"/>
          <w:sz w:val="20"/>
        </w:rPr>
      </w:pPr>
      <w:r>
        <w:rPr>
          <w:rFonts w:ascii="Arial" w:hAnsi="Arial"/>
          <w:color w:val="000000"/>
          <w:sz w:val="20"/>
        </w:rPr>
        <w:t>Changes in laws or regulations, including changes in the way spectrum is regulated and/or in regulations governing our products and services, changes in the way spectrum is made available to us or is allowed to be used by others, or changes in the regulation of competing uses of spectrum or orbital locations, could, directly or indirectly, affect our operations or the operations of our distribution partners, increase the cost of providing our products and services, and make our products and services less competitive. Some regulators are considering new or additional terrestrial services in the spectrum in which we operate, which may not be compatible with the way we use, or plan to use, that same spectrum. In certain instances, such changes could have a material adverse effect on our business, financial condition, and results of operations.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Among other things, changes to laws and regulations could materially harm our business by (1) affecting our ability to obtain or retain required governmental authorizations, (2) restricting our ability to provide certain products or services, (3) restricting development efforts by us and our customers, (4) making our current products and services less attractive or obsolete, (5) increasing our operational costs, or (6) making it easier or less expensive for our competitors to compete with us. Failure to comply with applicable laws or regulations could result in the imposition of financial penalties against us, the adverse modification or cancellation of required authorizations, or other material adverse actions. Any such matters could materially harm our business and impair the value of our common stock.</w:t>
      </w:r>
    </w:p>
    <w:p>
      <w:pPr>
        <w:pStyle w:val="TextBody"/>
        <w:bidi w:val="0"/>
        <w:spacing w:before="180" w:after="283"/>
        <w:jc w:val="left"/>
        <w:rPr>
          <w:rFonts w:ascii="Times New Roman" w:hAnsi="Times New Roman"/>
          <w:sz w:val="20"/>
        </w:rPr>
      </w:pPr>
      <w:r>
        <w:rPr>
          <w:rFonts w:ascii="Arial" w:hAnsi="Arial"/>
          <w:b/>
          <w:i/>
          <w:color w:val="000000"/>
          <w:sz w:val="20"/>
        </w:rPr>
        <w:t>Our International Sales and Operations Are Subject to Applicable Laws Relating to Trade, Sanctions, Export Controls and Foreign Corrupt Practices, the Violation of Which Could Have a Material Adverse Impact on Our Business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We must comply with all applicable export control laws and regulations of the United States and other countries. U.S. export and control laws and regulations applicable to us include the Arms Export Control Act, the International Traffic in Arms Regulations (ITAR), the Export Control Reform Act of 2018 (ECRA) and the Export Administration Regulations (EAR). The export of certain satellite hardware, software services and technical data relating to satellites is regulated by the U.S. Department of State under ITAR. Certain satellites and other items are controlled for export by the U.S. Department of Commerce under the EAR. In addition, we must comply with trade and economic sanctions laws and regulations, including those administered by the U.S. Department of the Treasury’s Office of Foreign Assets Control (OFAC). We cannot provide certain products and services to certain countries or persons subject to U.S. trade sanctions unless we first obtain the necessary authorizations from OFAC. We are also subject to the Foreign Corrupt Practices Act and the UK Bribery Act, which generally bar bribes to foreign governments or officials. Although we have in place policies for our respective employees, directors and officers, and we have clauses in our contracts with our distribution partners, resellers and other intermediaries, we cannot be certain that any such activities are not undertaken, and cannot guarantee that our policies and contracts will prevent situations occurring, including actions by distribution partners, resellers and other intermediaries, for which we may be held responsible. Non-compliance with any applicable trade control, sanctions, export control or anti-corruption laws or other legal requirements may result in criminal and/or civil penalties, disgorgement and/or other sanctions and remedial measures, and may result in unexpected legal or compliance costs. Violations of any of these laws or regulations could also result in more onerous compliance requirements, more extensive debarments from export privileges or loss of authorizations needed to conduct aspects of our business, and could materially adversely affect our business, financial condition and results of operations. Moreover, any investigation of alleged violations of any such laws could have a material adverse impact on our reputation, business, financial condition and results of operations.</w:t>
      </w:r>
    </w:p>
    <w:p>
      <w:pPr>
        <w:pStyle w:val="TextBody"/>
        <w:bidi w:val="0"/>
        <w:spacing w:before="180" w:after="283"/>
        <w:jc w:val="left"/>
        <w:rPr>
          <w:rFonts w:ascii="Arial" w:hAnsi="Arial"/>
          <w:b/>
          <w:i/>
          <w:color w:val="000000"/>
          <w:sz w:val="20"/>
        </w:rPr>
      </w:pPr>
      <w:r>
        <w:rPr>
          <w:rFonts w:ascii="Arial" w:hAnsi="Arial"/>
          <w:b/>
          <w:i/>
          <w:color w:val="000000"/>
          <w:sz w:val="20"/>
        </w:rPr>
        <w:t>Our Business Could Be Adversely Affected by a Negative Audit by the U.S. Government and other Governments</w:t>
      </w:r>
    </w:p>
    <w:p>
      <w:pPr>
        <w:pStyle w:val="TextBody"/>
        <w:bidi w:val="0"/>
        <w:spacing w:before="90" w:after="283"/>
        <w:jc w:val="left"/>
        <w:rPr>
          <w:rFonts w:ascii="Times New Roman" w:hAnsi="Times New Roman"/>
          <w:sz w:val="20"/>
        </w:rPr>
      </w:pPr>
      <w:r>
        <w:rPr>
          <w:rFonts w:ascii="Arial" w:hAnsi="Arial"/>
          <w:color w:val="000000"/>
          <w:sz w:val="20"/>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Arial" w:hAnsi="Arial"/>
          <w:color w:val="000000"/>
          <w:sz w:val="20"/>
        </w:rPr>
        <w:t>programs supported by contractors may lead to increased legal costs and may harm our reputation and profitability if we are among the targeted companies.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An adverse outcome to a review or audit or other failure to comply with applicable contracting and procurement laws, regulations and standards could result in material civil and criminal penalties and administrative sanctions,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pStyle w:val="TextBody"/>
        <w:bidi w:val="0"/>
        <w:spacing w:before="180" w:after="283"/>
        <w:jc w:val="left"/>
        <w:rPr>
          <w:rFonts w:ascii="Arial" w:hAnsi="Arial"/>
          <w:color w:val="000000"/>
          <w:sz w:val="20"/>
        </w:rPr>
      </w:pPr>
      <w:r>
        <w:rPr>
          <w:rFonts w:ascii="Arial" w:hAnsi="Arial"/>
          <w:color w:val="000000"/>
          <w:sz w:val="20"/>
        </w:rPr>
        <w:t>We are also subject to audit from time to time by other governments, including by the UK Government in respect of the package of economic undertakings agreed to by us and Inmarsat with the UK Government’s Department for Business, Energy and Industrial Strategy in March 2022, and an adverse review may impact our business, financial condition and results of operations.</w:t>
      </w:r>
    </w:p>
    <w:p>
      <w:pPr>
        <w:pStyle w:val="TextBody"/>
        <w:bidi w:val="0"/>
        <w:spacing w:before="180" w:after="283"/>
        <w:jc w:val="left"/>
        <w:rPr>
          <w:rFonts w:ascii="Arial" w:hAnsi="Arial"/>
          <w:b/>
          <w:i/>
          <w:color w:val="000000"/>
          <w:sz w:val="20"/>
        </w:rPr>
      </w:pPr>
      <w:r>
        <w:rPr>
          <w:rFonts w:ascii="Arial" w:hAnsi="Arial"/>
          <w:b/>
          <w:i/>
          <w:color w:val="000000"/>
          <w:sz w:val="20"/>
        </w:rPr>
        <w:t>Risks Associated with Environmental, Social and Governance Matters, Including Global Climate Change, and Legal, Regulatory or Market Responses to These Matters Could Harm Our Reputation and Business</w:t>
      </w:r>
    </w:p>
    <w:p>
      <w:pPr>
        <w:pStyle w:val="TextBody"/>
        <w:bidi w:val="0"/>
        <w:spacing w:before="90" w:after="283"/>
        <w:jc w:val="left"/>
        <w:rPr>
          <w:rFonts w:ascii="Arial" w:hAnsi="Arial"/>
          <w:color w:val="000000"/>
          <w:sz w:val="20"/>
        </w:rPr>
      </w:pPr>
      <w:r>
        <w:rPr>
          <w:rFonts w:ascii="Arial" w:hAnsi="Arial"/>
          <w:color w:val="000000"/>
          <w:sz w:val="20"/>
        </w:rPr>
        <w:t>In recent years, there has been scrutiny by various stakeholders and policymakers regarding companies’ management of climate change, human capital, and other environmental, social and governance (ESG) matters. Shareholder ESG expectations, physical and transition risks associated with climate change, ESG regulation, contractual requirements and policy requirements present risks to our business and financial condition. While we engage in various initiatives to manage such matters and address stakeholder expectations, such initiatives can be costly and may not have the desired effect. Our approach to such matters also evolves, and we cannot guarantee that our approach will align with the expectations or preferences of any particular stakeholder. Changes in environmental and climate change laws or regulations could lead to additional operational restrictions and compliance requirements. For example, various policymakers have adopted, or may in the future adopt, requirements for certain ESG disclosures or consideration of ESG matters in procurement decisions, among other things. Changes in government procurement laws that mandate or include climate change considerations, such as the contractor’s greenhouse gas (GHG) emissions, lower emission products or other climate risks, in evaluating bids could result in costly changes to our operations or affect our competitiveness on future bids.</w:t>
      </w:r>
    </w:p>
    <w:p>
      <w:pPr>
        <w:pStyle w:val="TextBody"/>
        <w:bidi w:val="0"/>
        <w:spacing w:before="180" w:after="283"/>
        <w:jc w:val="left"/>
        <w:rPr>
          <w:rFonts w:ascii="Arial" w:hAnsi="Arial"/>
          <w:color w:val="000000"/>
          <w:sz w:val="20"/>
        </w:rPr>
      </w:pPr>
      <w:r>
        <w:rPr>
          <w:rFonts w:ascii="Arial" w:hAnsi="Arial"/>
          <w:color w:val="000000"/>
          <w:sz w:val="20"/>
        </w:rPr>
        <w:t>Compliance with current and future environmental laws and regulations may require significant operating and capital costs. Environmental laws and regulations may institute substantial fines and criminal sanctions to address violations and may require the installation of costly pollution control equipment or operational changes to limit emissions or discharges. Our suppliers may face similar business interruptions and incur additional costs that may be passed on to us. Proponents and opponents of ESG matters are increasingly resorting to activism, including litigation, to advance their perspectives. Addressing stakeholder expectations or requirements entails costs and any failure to successfully navigate such expectations may result in reputational harm, loss of customers or contracts, regulatory or investor engagement, or other adverse impacts to our business. If our responses to legal and regulatory requirements or other sustainability concerns are unsuccessful or perceived as inadequate, we also may suffer damage to our reputation, which could have a material adverse impact on our business, financial condition and results of operations.</w:t>
      </w:r>
    </w:p>
    <w:p>
      <w:pPr>
        <w:pStyle w:val="TextBody"/>
        <w:bidi w:val="0"/>
        <w:spacing w:before="180" w:after="283"/>
        <w:jc w:val="left"/>
        <w:rPr>
          <w:rFonts w:ascii="Arial" w:hAnsi="Arial"/>
          <w:b/>
          <w:color w:val="000000"/>
          <w:sz w:val="20"/>
        </w:rPr>
      </w:pPr>
      <w:r>
        <w:rPr>
          <w:rFonts w:ascii="Arial" w:hAnsi="Arial"/>
          <w:b/>
          <w:color w:val="000000"/>
          <w:sz w:val="20"/>
        </w:rPr>
        <w:t>Risks Related to Our Indebtedness</w:t>
      </w:r>
    </w:p>
    <w:p>
      <w:pPr>
        <w:pStyle w:val="TextBody"/>
        <w:bidi w:val="0"/>
        <w:spacing w:before="90" w:after="283"/>
        <w:jc w:val="left"/>
        <w:rPr>
          <w:rFonts w:ascii="Times New Roman" w:hAnsi="Times New Roman"/>
          <w:sz w:val="20"/>
        </w:rPr>
      </w:pPr>
      <w:r>
        <w:rPr>
          <w:rFonts w:ascii="Arial" w:hAnsi="Arial"/>
          <w:b/>
          <w:i/>
          <w:color w:val="000000"/>
          <w:sz w:val="20"/>
        </w:rPr>
        <w:t>Our Level of Indebtedness May Adversely Affect Our Ability to Operate Our Business, Remain in Compliance with Debt Covenants, React to Changes in Our Business or the Industry in Which We Operate, or Prevent Us From Making Payments on Our Indebtedness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have a significant amount of indebtedness. As of March 31, 2026, the aggregate principal amount of our total outstanding indebtedness was $6.6 billion (as more fully described in "Management's Discussion and Analysis of Financial Condition and Results of Operations" in Part II, Item 7 below). As of March 31, 2026, we had undrawn availability of $598.2 million under Viasat's $647.5 million revolving credit facility (the Viasat Revolving Credit Facility) and undrawn availability of $550.0 million under Inmarsat's $550.0 million revolving line of credit (the Inmarsat Revolving Credit Facility and, together with the Viasat Revolving Credit Facility, the Revolving Credit Facilities). Our high level of indebtedness could have important consequences. For example, it could: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make it more difficult for us to satisfy our debt obligations, obtain additional debt or equity financing or refinance existing debt on commercially reasonable terms (or at all);</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increase our vulnerability to general adverse economic and industry conditions;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require us to dedicate a material portion of our cash flows to the payment of principal and interest on our indebtedness, thereby reducing the availability of our cash flows to fund working capital needs, capital expenditures, product development, satellite construction, acquisitions and general corporate purposes;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expose us to variable interest rate risk with respect to borrowings under our variable rate Credit Facilities;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limit our flexibility in planning for, or reacting to, changes in our business and industry;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place us at a disadvantage compared to our competitors that have less indebtedness; and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limit our ability to adjust to changing market conditions. </w:t>
      </w:r>
    </w:p>
    <w:p>
      <w:pPr>
        <w:pStyle w:val="TextBody"/>
        <w:bidi w:val="0"/>
        <w:spacing w:before="180" w:after="283"/>
        <w:jc w:val="left"/>
        <w:rPr>
          <w:rFonts w:ascii="Times New Roman" w:hAnsi="Times New Roman"/>
          <w:sz w:val="20"/>
        </w:rPr>
      </w:pPr>
      <w:r>
        <w:rPr>
          <w:rFonts w:ascii="Arial" w:hAnsi="Arial"/>
          <w:color w:val="000000"/>
          <w:sz w:val="20"/>
        </w:rPr>
        <w:t>Any of these risks could materially impact our ability to fund our operations or limit our ability to expand our business, which could have a material adverse effect on our business, financial condition and results of operations. We may also incur significant additional indebtedness in the future, which may include financing relating to future satellites, potential acquisitions, joint ventures and strategic alliances, working capital, capital expenditures or general corporate purposes. If our level of indebtedness increases significantly, the related risks would intensify.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We May Not Be Able to Generate Sufficient Cash to Service All of Our Indebtedness and Fund Our Working Capital and Capital Expenditures or Refinance Our Indebtedness, and May Be Forced to Take Other Actions to Satisfy Our Obligations under Our Indebtedness, which May Not Be Successful</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Our ability to make scheduled payments on or to refinance our indebtedness will depend on our future operating performance and ability to generate cash flow, which are subject to economic, financial, business, competitive, legislative, regulatory and other factors beyond our control. We cannot assure you that our business will generate sufficient cash flow from operations, or that future borrowings, including under our Revolving Credit Facilities, will be sufficient to enable us to pay our indebtedness when due, or to fund our other liquidity needs. In the event of satellite failure or loss, amounts recovered under insurance policies may be insufficient to adequately service our debt obligations. In addition, our term loan borrowings are subject to variable rates of interest and expose us to interest rate risk, and therefore high prevailing interest rates may adversely impact our levels of interest expense. Moreover, there can be no assurance that we will be able to refinance our debt obligations on commercially reasonable terms, or at all.</w:t>
      </w:r>
    </w:p>
    <w:p>
      <w:pPr>
        <w:pStyle w:val="TextBody"/>
        <w:bidi w:val="0"/>
        <w:spacing w:before="180" w:after="283"/>
        <w:jc w:val="left"/>
        <w:rPr>
          <w:rFonts w:ascii="Arial" w:hAnsi="Arial"/>
          <w:color w:val="000000"/>
          <w:sz w:val="20"/>
        </w:rPr>
      </w:pPr>
      <w:r>
        <w:rPr>
          <w:rFonts w:ascii="Arial" w:hAnsi="Arial"/>
          <w:color w:val="000000"/>
          <w:sz w:val="20"/>
        </w:rPr>
        <w:t>If our cash flows and capital resources are insufficient to fund our debt service obligations, we could face substantial liquidity problems and could be forced to reduce or delay investment and capital expenditures, dispose of material assets or operations, seek additional debt or equity capital or restructure or refinance our indebtedness. We may not be able to effect any such alternative measures on commercially reasonable terms or at all and, even if successful, such alternative measures may not allow us to meet our scheduled debt service obligations. Our Credit Facilities and Indentures restrict our ability to dispose of assets and use the proceeds from the disposition, and may also restrict our ability to raise debt or equity capital to repay or service our indebtedness.</w:t>
      </w:r>
    </w:p>
    <w:p>
      <w:pPr>
        <w:pStyle w:val="TextBody"/>
        <w:bidi w:val="0"/>
        <w:spacing w:before="180" w:after="283"/>
        <w:jc w:val="left"/>
        <w:rPr>
          <w:rFonts w:ascii="Times New Roman" w:hAnsi="Times New Roman"/>
          <w:sz w:val="20"/>
        </w:rPr>
      </w:pPr>
      <w:r>
        <w:rPr>
          <w:rFonts w:ascii="Arial" w:hAnsi="Arial"/>
          <w:color w:val="000000"/>
          <w:sz w:val="20"/>
        </w:rPr>
        <w:t>If we cannot make scheduled payments on our debt, we will be in default and, as a result, the lenders under our Credit Facilities and the holders of the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Covenants in Our Debt Agreements Could Limit Our Ability to Implement Our Business Plan</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Our Credit Facilities and Indentures contain covenants that may restrict our ability to implement our business plan, borrow under our Credit Facilities or secure additional financing, respond to changing conditions, and engage in opportunistic transactions. Our Credit Facilities and Indentures include covenants restricting, among other things, our ability to incur indebtedness, issue redeemable or preferred stock, incur liens, sell or dispose of assets (including capital stock of subsidiaries), make loans and investments, pay dividends, enter into affiliate transactions, reduce our satellite insurance and consolidate or merge with or into, or sell substantially all of our assets to, another person. In addition, our Credit Facilities require us to comply with certain financial covenants, including a maximum total leverage ratio and minimum interest coverage ratio, as well as financial covenants under the Inmarsat Revolving Credit Facility.</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If we default under our Credit Facilities or the Indentures, all outstanding amounts thereunder could become immediately due and payable. In the past we violated covenants in our former revolving credit facilities and received waivers for these violations. We cannot assure you that we will be able to comply with covenants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Facilities,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our Credit Facilities or the Indentures, we may need additional financing to service or extinguish our indebtedness. We may not be able to obtain financing or refinancing on terms acceptable to us, if at all. We cannot assure you that we would have sufficient funds to repay all the outstanding amounts under our Credit Facilities or the Indentures, and any acceleration of amounts due would have a material adverse effect on our liquidity and financial condition.</w:t>
      </w:r>
    </w:p>
    <w:p>
      <w:pPr>
        <w:pStyle w:val="TextBody"/>
        <w:bidi w:val="0"/>
        <w:spacing w:before="180" w:after="283"/>
        <w:jc w:val="left"/>
        <w:rPr>
          <w:rFonts w:ascii="Times New Roman" w:hAnsi="Times New Roman"/>
          <w:sz w:val="20"/>
        </w:rPr>
      </w:pPr>
      <w:r>
        <w:rPr>
          <w:rFonts w:ascii="Arial" w:hAnsi="Arial"/>
          <w:b/>
          <w:color w:val="000000"/>
          <w:sz w:val="20"/>
        </w:rPr>
        <w:t>Risks Related to Intellectual Property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i/>
          <w:color w:val="000000"/>
          <w:sz w:val="20"/>
        </w:rPr>
        <w:t>Our Ability to Protect Our Proprietary Technology Is Limited</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Our success depends on our ability to protect our proprietary rights to the technologies we use in our products and services. We generally rely on a combination of patents, copyrights, trademarks and trade secret laws and contractual rights to protect our proprietary rights. We also enter into confidentiality agreements with our employees, consultants and corporate partners, and control access to and distribution of our proprietary information. Despite our efforts, unauthorized parties may attempt to copy or obtain and use our proprietary information.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have been, and may in the future be required to commence litigation to protect our intellectual property rights or to determine the validity and scope of the proprietary rights of others. If we are unsuccessful in any such litigation in the future, our rights to enforce such intellectual property may be impaired or we could lose our rights to such intellectual property. We do not know whether the steps we have taken will prevent unauthorized use of our technology, including in foreign countries where the laws may not protect our proprietary rights as extensively as in the United States. Also, we have delivered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Our Involvement in Litigation Relating to Intellectual Property Claims May Have a Material Adverse Effect on Our Business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thereof.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We Rely on the Availability of Third-Party Licenses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5" w:name="item_1b_unresolved_staff_comments"/>
      <w:bookmarkEnd w:id="5"/>
      <w:r>
        <w:rPr>
          <w:rFonts w:ascii="Arial" w:hAnsi="Arial"/>
          <w:b/>
          <w:color w:val="000000"/>
          <w:sz w:val="20"/>
        </w:rPr>
        <w:t>ITEM 1B.</w:t>
      </w:r>
      <w:r>
        <w:rPr>
          <w:rFonts w:ascii="Times New Roman" w:hAnsi="Times New Roman"/>
          <w:color w:val="000000"/>
          <w:sz w:val="20"/>
        </w:rPr>
        <w:t xml:space="preserve"> </w:t>
      </w:r>
      <w:r>
        <w:rPr>
          <w:rFonts w:ascii="Arial" w:hAnsi="Arial"/>
          <w:b/>
          <w:i/>
          <w:color w:val="000000"/>
          <w:sz w:val="20"/>
        </w:rPr>
        <w:t>UNRESOLVED STAFF COMMENTS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None.</w:t>
      </w:r>
    </w:p>
    <w:p>
      <w:pPr>
        <w:pStyle w:val="TextBody"/>
        <w:bidi w:val="0"/>
        <w:spacing w:before="270" w:after="283"/>
        <w:jc w:val="left"/>
        <w:rPr>
          <w:rFonts w:ascii="Times New Roman" w:hAnsi="Times New Roman"/>
          <w:sz w:val="20"/>
        </w:rPr>
      </w:pPr>
      <w:bookmarkStart w:id="6" w:name="item_1c_cybersecurity"/>
      <w:bookmarkEnd w:id="6"/>
      <w:r>
        <w:rPr>
          <w:rFonts w:ascii="Arial" w:hAnsi="Arial"/>
          <w:b/>
          <w:color w:val="000000"/>
          <w:sz w:val="20"/>
        </w:rPr>
        <w:t>ITEM 1C.</w:t>
      </w:r>
      <w:r>
        <w:rPr>
          <w:rFonts w:ascii="Times New Roman" w:hAnsi="Times New Roman"/>
          <w:color w:val="000000"/>
          <w:sz w:val="20"/>
        </w:rPr>
        <w:t xml:space="preserve"> </w:t>
      </w:r>
      <w:r>
        <w:rPr>
          <w:rFonts w:ascii="Arial" w:hAnsi="Arial"/>
          <w:b/>
          <w:i/>
          <w:color w:val="000000"/>
          <w:sz w:val="20"/>
        </w:rPr>
        <w:t>CYBERSECURITY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Viasat</w:t>
      </w:r>
      <w:r>
        <w:rPr>
          <w:rFonts w:ascii="Times New Roman" w:hAnsi="Times New Roman"/>
          <w:color w:val="000000"/>
          <w:sz w:val="20"/>
        </w:rPr>
        <w:t xml:space="preserve"> </w:t>
      </w:r>
      <w:r>
        <w:rPr>
          <w:rFonts w:ascii="Arial" w:hAnsi="Arial"/>
          <w:b/>
          <w:color w:val="000000"/>
          <w:sz w:val="20"/>
        </w:rPr>
        <w:t>Cybersecurity Risk Management, Strategy and Governance Disclosure</w:t>
      </w:r>
    </w:p>
    <w:p>
      <w:pPr>
        <w:pStyle w:val="TextBody"/>
        <w:bidi w:val="0"/>
        <w:spacing w:before="90" w:after="283"/>
        <w:jc w:val="left"/>
        <w:rPr>
          <w:rFonts w:ascii="Arial" w:hAnsi="Arial"/>
          <w:color w:val="000000"/>
          <w:sz w:val="20"/>
        </w:rPr>
      </w:pPr>
      <w:r>
        <w:rPr>
          <w:rFonts w:ascii="Arial" w:hAnsi="Arial"/>
          <w:color w:val="000000"/>
          <w:sz w:val="20"/>
        </w:rPr>
        <w:t>Viasat builds, maintains, and operates satellite and telecommunications systems, infrastructure and services used by both government and commercial customers across the globe. We recognize the importance of building a resilient cybersecurity program focused on reducing cybersecurity risk to our customers, partners and our own organization. Our Cybersecurity Engineering organization, at the direction of the Board of Directors, has developed and implemented a cybersecurity risk management and technical assistance program intended to protect the confidentiality, integrity and availability of the services provided and the information stored, processed or transmitted by our critical systems and infrastructure, while assisting staff to develop, operate and maintain secure products and services. Our cybersecurity risk management program shares common methodologies, reporting channels and governance processes that apply across the risk management program to other legal, compliance, strategic, operational, and financial risk.</w:t>
      </w:r>
    </w:p>
    <w:p>
      <w:pPr>
        <w:pStyle w:val="TextBody"/>
        <w:bidi w:val="0"/>
        <w:spacing w:before="180" w:after="283"/>
        <w:jc w:val="left"/>
        <w:rPr>
          <w:rFonts w:ascii="Times New Roman" w:hAnsi="Times New Roman"/>
          <w:sz w:val="20"/>
        </w:rPr>
      </w:pPr>
      <w:r>
        <w:rPr>
          <w:rFonts w:ascii="Arial" w:hAnsi="Arial"/>
          <w:color w:val="000000"/>
          <w:sz w:val="20"/>
        </w:rPr>
        <w:t>Our Board of Directors considers cybersecurity risk as part of its risk oversight function and has delegated governance of cybersecurity and other technology risks to the Audit Committee (the Committee). Our executive management is ultimately responsible for assessing and managing risks from cybersecurity threats we face, and in this regard works closely with the Chief Information Security Officer (CISO) who reports to our President, Viasat Government. The Committee oversees management’s design and implementation of our cybersecurity risk management program and receives periodic reports, at least semi-annually, from the CISO on cybersecurity risks, the threat landscape, and our cybersecurity planning roadmap. In addition, the CISO updates the Committee, as necessary, regarding any material cybersecurity incidents, as well as other relevant incidents and potential or mitigated threats.</w:t>
      </w:r>
      <w:r>
        <w:rPr>
          <w:rFonts w:ascii="Times New Roman" w:hAnsi="Times New Roman"/>
          <w:color w:val="000000"/>
          <w:sz w:val="20"/>
        </w:rPr>
        <w:t xml:space="preserve"> </w:t>
      </w:r>
      <w:r>
        <w:rPr>
          <w:rFonts w:ascii="Arial" w:hAnsi="Arial"/>
          <w:color w:val="000000"/>
          <w:sz w:val="20"/>
        </w:rPr>
        <w:t>The Committee reports to the Board of Directors regarding its activities, including those related to cybersecurity, and may request the CISO brief the Board of Directors on the status of cybersecurity and risk management programs, as well as relevant incidents and threats. Board members also receive periodic presentations on key cybersecurity topics from the CISO.</w:t>
      </w:r>
    </w:p>
    <w:p>
      <w:pPr>
        <w:pStyle w:val="TextBody"/>
        <w:bidi w:val="0"/>
        <w:spacing w:before="180" w:after="283"/>
        <w:jc w:val="left"/>
        <w:rPr>
          <w:rFonts w:ascii="Arial" w:hAnsi="Arial"/>
          <w:color w:val="000000"/>
          <w:sz w:val="20"/>
        </w:rPr>
      </w:pPr>
      <w:r>
        <w:rPr>
          <w:rFonts w:ascii="Arial" w:hAnsi="Arial"/>
          <w:color w:val="000000"/>
          <w:sz w:val="20"/>
        </w:rPr>
        <w:t>Our operational cybersecurity team is led by the CISO. The CISO has 33 years of experience in Information Technology and Security, with extensive experience designing, operating and protecting satellite and terrestrial telecommunications networks. The CISO also leads Viasat’s engagement with the private sector and government security communities, which includes facilitating active information sharing with these partners. As part of the acquisition and continuing integration of Inmarsat, the legacy Inmarsat cybersecurity team has integrated with the Viasat Security Engineering organization. The engineering and operational cybersecurity teams of both legacy organizations jointly participate in local and national cybersecurity organizations, teach classes on cybersecurity, maintain numerous relevant certifications, and participate in training relevant to their field of expertise.</w:t>
      </w:r>
    </w:p>
    <w:p>
      <w:pPr>
        <w:pStyle w:val="TextBody"/>
        <w:bidi w:val="0"/>
        <w:spacing w:before="180" w:after="283"/>
        <w:jc w:val="left"/>
        <w:rPr>
          <w:rFonts w:ascii="Arial" w:hAnsi="Arial"/>
          <w:color w:val="000000"/>
          <w:sz w:val="20"/>
        </w:rPr>
      </w:pPr>
      <w:r>
        <w:rPr>
          <w:rFonts w:ascii="Arial" w:hAnsi="Arial"/>
          <w:color w:val="000000"/>
          <w:sz w:val="20"/>
        </w:rPr>
        <w:t>The cybersecurity risk management program at Viasat is centered around an internally developed set of security principles and requirements, known as the “Foundational Security Principles”. The Foundational Security Principles, which we seek to apply across our products and services to promote security resiliency and repeatability, represents a minimum baseline of information security requirements. These principles have a focus on secure-by-design approaches for new products and services, and provide the basis for risk-informed control implementations for legacy networks and systems. Our Foundational Security Principals are designed with reference to the current published version of industry frameworks including, but not limited to, NIST Cybersecurity Framework, International Standards Organization (ISO) 27001, Payment Card Industry (PCI) Data Security Standard (DSS), National Institute of Standards and Technology (NIST) 800-171, and tailored baselines of NIST 800-53. This does not imply that we have implemented each, or any specific, technical standard, specification or configuration embedded in these frameworks but rather that they collectively inform and guide our identification, assessment and management of cybersecurity risks relevant to our businesses. Certain IT environments with higher risk or contractual, regulatory or customer requirements, or those environments where processing or storing sensitive types of information are required, are designed to comply with stricter sets of security requirements or security control frameworks.</w:t>
      </w:r>
    </w:p>
    <w:p>
      <w:pPr>
        <w:pStyle w:val="TextBody"/>
        <w:bidi w:val="0"/>
        <w:spacing w:before="180" w:after="283"/>
        <w:jc w:val="left"/>
        <w:rPr>
          <w:rFonts w:ascii="Arial" w:hAnsi="Arial"/>
          <w:color w:val="000000"/>
          <w:sz w:val="20"/>
        </w:rPr>
      </w:pPr>
      <w:r>
        <w:rPr>
          <w:rFonts w:ascii="Arial" w:hAnsi="Arial"/>
          <w:color w:val="000000"/>
          <w:sz w:val="20"/>
        </w:rPr>
        <w:t>Integration efforts between legacy Viasat and Inmarsat’s cybersecurity departments are nearly complete. Governing policies have been merged, while processes and operational practices are continually being refined to align with the business objectives and security requirements. The combined Viasat and Inmarsat cybersecurity organizations are now one, reporting to the CISO and remaining focused on the overall Viasat and Inmarsat satellite service network and corporate integration activities.</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Functionally, our cybersecurity team performs internal and external risk assessments and testing on both internally and externally developed systems, as well as certain third-party and supply chain partner ecosystems based on our assessment of their respective operational criticality and risk profile. Depending on the risks presented, this may include some combination of manual and automation-driven testing methods and supply chain risk management activities such as hardware and software assurance assessments, anti-counterfeit measures, and the use of trusted suppliers. Compliance with security policies, procedures, and standards are assessed, and depending on the potential risks posed to us, third-party assessments may be performed, including penetration tests, red team engagements, gap assessments, and compliance certification assessments. We also conduct several 3rd party compliance and audit assessments, including PCI DSS Tier 1 Merchant and Service Provider, ISO27001, UK Cyber Essentials Plus, and DFARS 252.204-7012 High Assurance assessments.</w:t>
      </w:r>
    </w:p>
    <w:p>
      <w:pPr>
        <w:pStyle w:val="TextBody"/>
        <w:bidi w:val="0"/>
        <w:spacing w:before="180" w:after="283"/>
        <w:jc w:val="left"/>
        <w:rPr>
          <w:rFonts w:ascii="Times New Roman" w:hAnsi="Times New Roman"/>
          <w:sz w:val="20"/>
        </w:rPr>
      </w:pPr>
      <w:r>
        <w:rPr>
          <w:rFonts w:ascii="Arial" w:hAnsi="Arial"/>
          <w:color w:val="000000"/>
          <w:sz w:val="20"/>
        </w:rPr>
        <w:t>In fiscal year 2026, Viasat has further enhanced its security organization and operations by integrating organizationally the Global Security (physical security and classified information assurance) organization under the CISO. The goal is to further enhance our capabilities while delivering a consistent message to our customers, stakeholders, and staff.</w:t>
      </w:r>
      <w:r>
        <w:rPr>
          <w:rFonts w:ascii="Times New Roman" w:hAnsi="Times New Roman"/>
          <w:color w:val="000000"/>
          <w:sz w:val="20"/>
        </w:rPr>
        <w:t xml:space="preserve"> </w:t>
      </w:r>
      <w:r>
        <w:rPr>
          <w:rFonts w:ascii="Arial" w:hAnsi="Arial"/>
          <w:color w:val="000000"/>
          <w:sz w:val="20"/>
        </w:rPr>
        <w:t>Together, both teams develop and deliver a joint annual security training and education program that engages</w:t>
      </w:r>
      <w:r>
        <w:rPr>
          <w:rFonts w:ascii="Times New Roman" w:hAnsi="Times New Roman"/>
          <w:color w:val="000000"/>
          <w:sz w:val="20"/>
        </w:rPr>
        <w:t xml:space="preserve"> </w:t>
      </w:r>
      <w:r>
        <w:rPr>
          <w:rFonts w:ascii="Arial" w:hAnsi="Arial"/>
          <w:color w:val="000000"/>
          <w:sz w:val="20"/>
        </w:rPr>
        <w:t>our employees, appropriate partners and third parties in a security training program that incorporates both cybersecurity and physical security elements. The annual security training program supports additional focused security training for personnel handling certain sensitive information such as payment card information (PCI), controlled unclassified information (CUI), or personally identifiable information (PII).</w:t>
      </w:r>
    </w:p>
    <w:p>
      <w:pPr>
        <w:pStyle w:val="TextBody"/>
        <w:bidi w:val="0"/>
        <w:spacing w:before="180" w:after="283"/>
        <w:jc w:val="left"/>
        <w:rPr>
          <w:rFonts w:ascii="Arial" w:hAnsi="Arial"/>
          <w:color w:val="000000"/>
          <w:sz w:val="20"/>
        </w:rPr>
      </w:pPr>
      <w:r>
        <w:rPr>
          <w:rFonts w:ascii="Arial" w:hAnsi="Arial"/>
          <w:color w:val="000000"/>
          <w:sz w:val="20"/>
        </w:rPr>
        <w:t>To better understand Viasat’s threat landscape we partner with multiple U.S. government agencies to acquire and share cybersecurity threat intelligence related to threats, vulnerabilities, indicators of compromise, and current, relevant threat information that are expected as a cleared defense contractor and active Defense Industrial Base (DIB) member. Partner entities include the Defense Cyber Crime Center (DC3), Defense Cybersecurity Information Sharing Environment (DCISE), DCMA, National Security Agency Cybersecurity Collaboration Center (NSA CCC), and Defense Counterintelligence and Security Agency (DCSA). Viasat is also an active participant in several Information Sharing and Analysis Centers (ISACs), including the National Defense (ND-ISAC), Aviation (A-ISAC), and Space (Space ISAC).</w:t>
      </w:r>
    </w:p>
    <w:p>
      <w:pPr>
        <w:pStyle w:val="TextBody"/>
        <w:bidi w:val="0"/>
        <w:spacing w:before="180" w:after="283"/>
        <w:jc w:val="left"/>
        <w:rPr>
          <w:rFonts w:ascii="Arial" w:hAnsi="Arial"/>
          <w:color w:val="000000"/>
          <w:sz w:val="20"/>
        </w:rPr>
      </w:pPr>
      <w:r>
        <w:rPr>
          <w:rFonts w:ascii="Arial" w:hAnsi="Arial"/>
          <w:color w:val="000000"/>
          <w:sz w:val="20"/>
        </w:rPr>
        <w:t>Our cybersecurity engineering teams have personnel dedicated to detection engineering activities that leverage threat intel gathered to mitigate the impact of security events. Security detection and operations teams are responsible for detection activities including 7x24 staffed Cybersecurity Operations Centers responsible for monitoring our service provider networks and internal corporate and development environments. Various automated tools are used for detection and remediation, with support from experienced detection and response analysts and engineers.</w:t>
      </w:r>
    </w:p>
    <w:p>
      <w:pPr>
        <w:pStyle w:val="TextBody"/>
        <w:bidi w:val="0"/>
        <w:spacing w:before="180" w:after="283"/>
        <w:jc w:val="left"/>
        <w:rPr>
          <w:rFonts w:ascii="Arial" w:hAnsi="Arial"/>
          <w:color w:val="000000"/>
          <w:sz w:val="20"/>
        </w:rPr>
      </w:pPr>
      <w:r>
        <w:rPr>
          <w:rFonts w:ascii="Arial" w:hAnsi="Arial"/>
          <w:color w:val="000000"/>
          <w:sz w:val="20"/>
        </w:rPr>
        <w:t>When security events do occur, we employ a security incident response process that is designed to contain, eradicate, and recover operations as quickly as possible, while preserving forensic evidence for further analysis and potential attribution. We leverage multiple third parties for incident response and forensic support on retainer as necessary to assist during the incident response and remediation phases. We also maintain cybersecurity insurance in the event of cybersecurity related damages or data loss as a result of a cybersecurity incident or unauthorized data disclosure.</w:t>
      </w:r>
    </w:p>
    <w:p>
      <w:pPr>
        <w:pStyle w:val="TextBody"/>
        <w:bidi w:val="0"/>
        <w:spacing w:before="180" w:after="283"/>
        <w:jc w:val="left"/>
        <w:rPr>
          <w:rFonts w:ascii="Times New Roman" w:hAnsi="Times New Roman"/>
          <w:sz w:val="20"/>
        </w:rPr>
      </w:pPr>
      <w:r>
        <w:rPr>
          <w:rFonts w:ascii="Arial" w:hAnsi="Arial"/>
          <w:color w:val="000000"/>
          <w:sz w:val="20"/>
        </w:rPr>
        <w:t>During fiscal year 2026, we did not identify risks from known cybersecurity threats, including as a result of any prior cybersecurity incidents, that have materially affected or are reasonably likely to materially affect our operations, business strategy, results of operations, or financial condition. We face ongoing risks from certain cybersecurity threats that, if realized, are reasonably likely to materially affect us, including our operations, business strategy, results of operations, or financial condition.</w:t>
      </w:r>
      <w:r>
        <w:rPr>
          <w:rFonts w:ascii="Times New Roman" w:hAnsi="Times New Roman"/>
          <w:color w:val="000000"/>
          <w:sz w:val="20"/>
        </w:rPr>
        <w:t xml:space="preserve"> </w:t>
      </w:r>
      <w:r>
        <w:rPr>
          <w:rFonts w:ascii="Arial" w:hAnsi="Arial"/>
          <w:color w:val="000000"/>
          <w:sz w:val="20"/>
        </w:rPr>
        <w:t>See “Risk Factors – Our Reputation, Business, Results of Operations, and Financial Condition Could Be Materially Harmed as a Result of Data Breaches, Data Theft, Unauthorized Access, Hacking, or Other Cybersecurity Incidents” in Part I, Item 1A of this report.</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7" w:name="item_2_properties"/>
      <w:bookmarkEnd w:id="7"/>
      <w:r>
        <w:rPr>
          <w:rFonts w:ascii="Arial" w:hAnsi="Arial"/>
          <w:b/>
          <w:color w:val="000000"/>
          <w:sz w:val="20"/>
        </w:rPr>
        <w:t>ITEM 2.</w:t>
      </w:r>
      <w:r>
        <w:rPr>
          <w:rFonts w:ascii="Times New Roman" w:hAnsi="Times New Roman"/>
          <w:color w:val="000000"/>
          <w:sz w:val="20"/>
        </w:rPr>
        <w:t xml:space="preserve"> </w:t>
      </w:r>
      <w:r>
        <w:rPr>
          <w:rFonts w:ascii="Arial" w:hAnsi="Arial"/>
          <w:b/>
          <w:i/>
          <w:color w:val="000000"/>
          <w:sz w:val="20"/>
        </w:rPr>
        <w:t>PROPERTIES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Our worldwide headquarters are located at our Carlsbad, California campus and our international headquarters are located in London, United Kingdom. In addition to our Carlsbad campus and international headquarters in London, each of which we lease, we own or lease facilities, offices and earth stations across the globe, including our leased facility in Tempe, Arizona. Each of our segments uses each of these facilities. Although we believe that our existing facilities are suitable and adequate for our present purposes, in fiscal year 2027 and beyond, we will continue to evaluate our real estate needs and may further re-size our real estate footprint based on utilization and operational needs (such as the re-sizing undertaken in fiscal years 2024 and 2023).</w:t>
      </w:r>
    </w:p>
    <w:p>
      <w:pPr>
        <w:pStyle w:val="TextBody"/>
        <w:bidi w:val="0"/>
        <w:spacing w:before="270" w:after="283"/>
        <w:jc w:val="left"/>
        <w:rPr>
          <w:rFonts w:ascii="Times New Roman" w:hAnsi="Times New Roman"/>
          <w:sz w:val="20"/>
        </w:rPr>
      </w:pPr>
      <w:bookmarkStart w:id="8" w:name="item_3_legal_proceedings"/>
      <w:bookmarkEnd w:id="8"/>
      <w:r>
        <w:rPr>
          <w:rFonts w:ascii="Arial" w:hAnsi="Arial"/>
          <w:b/>
          <w:color w:val="000000"/>
          <w:sz w:val="20"/>
        </w:rPr>
        <w:t>ITEM 3.</w:t>
      </w:r>
      <w:r>
        <w:rPr>
          <w:rFonts w:ascii="Times New Roman" w:hAnsi="Times New Roman"/>
          <w:color w:val="000000"/>
          <w:sz w:val="20"/>
        </w:rPr>
        <w:t xml:space="preserve"> </w:t>
      </w:r>
      <w:r>
        <w:rPr>
          <w:rFonts w:ascii="Arial" w:hAnsi="Arial"/>
          <w:b/>
          <w:i/>
          <w:color w:val="000000"/>
          <w:sz w:val="20"/>
        </w:rPr>
        <w:t>LEGAL</w:t>
      </w:r>
      <w:r>
        <w:rPr>
          <w:rFonts w:ascii="Times New Roman" w:hAnsi="Times New Roman"/>
          <w:color w:val="000000"/>
          <w:sz w:val="20"/>
        </w:rPr>
        <w:t xml:space="preserve"> </w:t>
      </w:r>
      <w:r>
        <w:rPr>
          <w:rFonts w:ascii="Arial" w:hAnsi="Arial"/>
          <w:b/>
          <w:i/>
          <w:color w:val="000000"/>
          <w:sz w:val="20"/>
        </w:rPr>
        <w:t>PROCEEDINGS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9" w:name="item_4_mine_safety_disclosures"/>
      <w:bookmarkEnd w:id="9"/>
      <w:r>
        <w:rPr>
          <w:rFonts w:ascii="Arial" w:hAnsi="Arial"/>
          <w:b/>
          <w:color w:val="000000"/>
          <w:sz w:val="20"/>
        </w:rPr>
        <w:t>ITEM 4.</w:t>
      </w:r>
      <w:r>
        <w:rPr>
          <w:rFonts w:ascii="Times New Roman" w:hAnsi="Times New Roman"/>
          <w:color w:val="000000"/>
          <w:sz w:val="20"/>
        </w:rPr>
        <w:t xml:space="preserve"> </w:t>
      </w:r>
      <w:r>
        <w:rPr>
          <w:rFonts w:ascii="Arial" w:hAnsi="Arial"/>
          <w:b/>
          <w:i/>
          <w:color w:val="000000"/>
          <w:sz w:val="20"/>
        </w:rPr>
        <w:t>MINE SAFETY DISCLOSURES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Not applicable.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Arial" w:hAnsi="Arial"/>
          <w:b/>
          <w:color w:val="000000"/>
          <w:sz w:val="20"/>
        </w:rPr>
        <w:t>PART</w:t>
      </w:r>
      <w:r>
        <w:rPr>
          <w:rFonts w:ascii="Times New Roman" w:hAnsi="Times New Roman"/>
          <w:color w:val="000000"/>
          <w:sz w:val="20"/>
        </w:rPr>
        <w:t xml:space="preserve"> </w:t>
      </w:r>
      <w:r>
        <w:rPr>
          <w:rFonts w:ascii="Arial" w:hAnsi="Arial"/>
          <w:b/>
          <w:color w:val="000000"/>
          <w:sz w:val="20"/>
        </w:rPr>
        <w:t>II</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bookmarkStart w:id="11" w:name="item_5_market_for_registrants_common_equ"/>
      <w:bookmarkEnd w:id="11"/>
      <w:r>
        <w:rPr>
          <w:rFonts w:ascii="Arial" w:hAnsi="Arial"/>
          <w:b/>
          <w:color w:val="000000"/>
          <w:sz w:val="20"/>
        </w:rPr>
        <w:t>ITEM 5.</w:t>
      </w:r>
      <w:r>
        <w:rPr>
          <w:rFonts w:ascii="Times New Roman" w:hAnsi="Times New Roman"/>
          <w:color w:val="000000"/>
          <w:sz w:val="20"/>
        </w:rPr>
        <w:t xml:space="preserve"> </w:t>
      </w:r>
      <w:r>
        <w:rPr>
          <w:rFonts w:ascii="Arial" w:hAnsi="Arial"/>
          <w:b/>
          <w:i/>
          <w:color w:val="000000"/>
          <w:sz w:val="20"/>
        </w:rPr>
        <w:t>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Our common stock is traded on the Nasdaq Global Select Market under the symbol “VSAT.” As of May 8, 2026, there were approximately 323 holders of record of our common stock. A substantially greater number of holders of Viasat common stock are “street name” or beneficial holders, whose shares are held of record by banks, brokers and other financial institutions.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Dividend Policy</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Indentures restrict our ability to declare or pay dividends on our common stock.</w:t>
      </w:r>
    </w:p>
    <w:p>
      <w:pPr>
        <w:pStyle w:val="TextBody"/>
        <w:bidi w:val="0"/>
        <w:spacing w:before="270" w:after="283"/>
        <w:jc w:val="left"/>
        <w:rPr>
          <w:rFonts w:ascii="Times New Roman" w:hAnsi="Times New Roman"/>
          <w:sz w:val="20"/>
        </w:rPr>
      </w:pPr>
      <w:bookmarkStart w:id="12" w:name="item_6_reserved"/>
      <w:bookmarkEnd w:id="12"/>
      <w:r>
        <w:rPr>
          <w:rFonts w:ascii="Arial" w:hAnsi="Arial"/>
          <w:b/>
          <w:color w:val="000000"/>
          <w:sz w:val="20"/>
        </w:rPr>
        <w:t>ITEM 6.</w:t>
      </w:r>
      <w:r>
        <w:rPr>
          <w:rFonts w:ascii="Times New Roman" w:hAnsi="Times New Roman"/>
          <w:color w:val="000000"/>
          <w:sz w:val="20"/>
        </w:rPr>
        <w:t xml:space="preserve"> </w:t>
      </w:r>
      <w:r>
        <w:rPr>
          <w:rFonts w:ascii="Arial" w:hAnsi="Arial"/>
          <w:b/>
          <w:i/>
          <w:color w:val="000000"/>
          <w:sz w:val="20"/>
        </w:rPr>
        <w:t>[RESERVED]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13" w:name="item_7_managements_discussion_analysis_f"/>
      <w:bookmarkEnd w:id="13"/>
      <w:r>
        <w:rPr>
          <w:rFonts w:ascii="Arial" w:hAnsi="Arial"/>
          <w:b/>
          <w:color w:val="000000"/>
          <w:sz w:val="20"/>
        </w:rPr>
        <w:t>ITEM 7.</w:t>
      </w:r>
      <w:r>
        <w:rPr>
          <w:rFonts w:ascii="Times New Roman" w:hAnsi="Times New Roman"/>
          <w:color w:val="000000"/>
          <w:sz w:val="20"/>
        </w:rPr>
        <w:t xml:space="preserve"> </w:t>
      </w:r>
      <w:r>
        <w:rPr>
          <w:rFonts w:ascii="Arial" w:hAnsi="Arial"/>
          <w:b/>
          <w:i/>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Company Overview</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We are an innovative, global provider of communications technologies and services, focused on making connectivity accessible, available and secure for current and future customers worldwide. By leveraging our own satellite fleet and its advantages, existing national operator partnerships, plus coverage and capacity from leading third-party satellites and constellations, our services are designed to provide customers with the essential capacity density, market access, speed, bandwidth and responsiveness they need.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two reportable segments: communication services and defense and advanced technologies.</w:t>
      </w:r>
    </w:p>
    <w:p>
      <w:pPr>
        <w:pStyle w:val="TextBody"/>
        <w:bidi w:val="0"/>
        <w:spacing w:before="270" w:after="283"/>
        <w:jc w:val="left"/>
        <w:rPr>
          <w:rFonts w:ascii="Times New Roman" w:hAnsi="Times New Roman"/>
          <w:sz w:val="20"/>
        </w:rPr>
      </w:pPr>
      <w:r>
        <w:rPr>
          <w:rFonts w:ascii="Arial" w:hAnsi="Arial"/>
          <w:b/>
          <w:i/>
          <w:color w:val="000000"/>
          <w:sz w:val="20"/>
        </w:rPr>
        <w:t>Communication Services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Our communication services segment provides a wide range of broadband and narrowband communications solutions across government and commercial mobility markets, as well as for residential and enterprise fixed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 MEO and LEO.</w:t>
      </w:r>
    </w:p>
    <w:p>
      <w:pPr>
        <w:pStyle w:val="TextBody"/>
        <w:bidi w:val="0"/>
        <w:spacing w:before="90" w:after="283"/>
        <w:jc w:val="left"/>
        <w:rPr>
          <w:rFonts w:ascii="Arial" w:hAnsi="Arial"/>
          <w:color w:val="000000"/>
          <w:sz w:val="20"/>
        </w:rPr>
      </w:pPr>
      <w:r>
        <w:rPr>
          <w:rFonts w:ascii="Arial" w:hAnsi="Arial"/>
          <w:color w:val="000000"/>
          <w:sz w:val="20"/>
        </w:rPr>
        <w:t>The following are the primary business lines in our communication services segment:</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Aviation, which includes industry-leading IFC services, narrowband safety operational data services and other complementary services and applications for commercial aircraft, business jets and unmanned aircraft.</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ISR services and LACE terminals.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Fixed services and other, which includes high-speed, high-quality, reliable fixed broadband internet services to businesses and residential users (primarily in the United States as well as in various countries in Europe and Latin America), enterprise connectivity solutions, IoT and other narrowband services (such as L-band managed services that enable real-time M2M position or high-value asset tracking) and energy services. </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i/>
          <w:color w:val="000000"/>
          <w:sz w:val="20"/>
        </w:rPr>
      </w:pPr>
      <w:r>
        <w:rPr>
          <w:rFonts w:ascii="Arial" w:hAnsi="Arial"/>
          <w:b/>
          <w:i/>
          <w:color w:val="000000"/>
          <w:sz w:val="20"/>
        </w:rPr>
        <w:t>Defense and Advanced Technologies</w:t>
      </w:r>
    </w:p>
    <w:p>
      <w:pPr>
        <w:pStyle w:val="TextBody"/>
        <w:bidi w:val="0"/>
        <w:spacing w:before="90" w:after="283"/>
        <w:jc w:val="left"/>
        <w:rPr>
          <w:rFonts w:ascii="Arial" w:hAnsi="Arial"/>
          <w:color w:val="000000"/>
          <w:sz w:val="20"/>
        </w:rPr>
      </w:pPr>
      <w:r>
        <w:rPr>
          <w:rFonts w:ascii="Arial" w:hAnsi="Arial"/>
          <w:color w:val="000000"/>
          <w:sz w:val="20"/>
        </w:rPr>
        <w:t>Our defense and advanced technologies segment develops and offers a diverse array of resilient, vertically integrated solutions to government and commercial customers, leveraging our core technical competencies in encryption, cyber security, tactical gateways, modems and waveforms.</w:t>
      </w:r>
    </w:p>
    <w:p>
      <w:pPr>
        <w:pStyle w:val="TextBody"/>
        <w:bidi w:val="0"/>
        <w:spacing w:before="90" w:after="283"/>
        <w:jc w:val="left"/>
        <w:rPr>
          <w:rFonts w:ascii="Arial" w:hAnsi="Arial"/>
          <w:color w:val="000000"/>
          <w:sz w:val="20"/>
        </w:rPr>
      </w:pPr>
      <w:r>
        <w:rPr>
          <w:rFonts w:ascii="Arial" w:hAnsi="Arial"/>
          <w:color w:val="000000"/>
          <w:sz w:val="20"/>
        </w:rPr>
        <w:t>The following are the primary business lines in our defense and advanced technologies segment:</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Information security and cyber defense, which comprises a variety of high-quality networking, cybersecurity and information assurance products and services that provide advanced, high-speed IP-based “Type 1” and HAIPE®-compliant encryption solutions that enable military and government users to communicate information securely, and that protect the integrity of data stored on computers and storage devices. Information security and cyber defense also includes our MOJO expeditionary tactical gateway family of products.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Tactical networking, which provides resilient communications designed for on-the-move or on-the-pause operations in a multi-domain battlespace with friendly force tracking and narrowband solutions. Tactical networking includes the products and services offered by TrellisWare.</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pStyle w:val="TextBody"/>
        <w:bidi w:val="0"/>
        <w:spacing w:before="270" w:after="283"/>
        <w:jc w:val="left"/>
        <w:rPr>
          <w:rFonts w:ascii="Arial" w:hAnsi="Arial"/>
          <w:b/>
          <w:color w:val="000000"/>
          <w:sz w:val="20"/>
        </w:rPr>
      </w:pPr>
      <w:r>
        <w:rPr>
          <w:rFonts w:ascii="Arial" w:hAnsi="Arial"/>
          <w:b/>
          <w:color w:val="000000"/>
          <w:sz w:val="20"/>
        </w:rPr>
        <w:t>Factors and Trends Affecting our Results of Operations</w:t>
      </w:r>
    </w:p>
    <w:p>
      <w:pPr>
        <w:pStyle w:val="TextBody"/>
        <w:bidi w:val="0"/>
        <w:spacing w:before="90" w:after="283"/>
        <w:jc w:val="left"/>
        <w:rPr>
          <w:rFonts w:ascii="Arial" w:hAnsi="Arial"/>
          <w:color w:val="000000"/>
          <w:sz w:val="20"/>
        </w:rPr>
      </w:pPr>
      <w:r>
        <w:rPr>
          <w:rFonts w:ascii="Arial" w:hAnsi="Arial"/>
          <w:color w:val="000000"/>
          <w:sz w:val="20"/>
        </w:rPr>
        <w:t>We believe that the performance of our business and our results of operations in a given period are driven by various factors, including:</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increasing levels of competition in the markets in which we compete;</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extent and stage of our satellite design, construction and launch activities, the associated level of investment required, the impact of any construction or launch delays, operational or launch failures or satellite anomalies or deployment issues, and the impact of bringing newly launched satellites into commercial service and associated ramp-up activities and costs (see the discussion below under “Satellite-Related Activities”);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ability to manage available bandwidth ahead of new satellites entering commercial service;</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ability to maintain the health, capacity, control and level of service of our satellite fleet, or the existence or occurrence of any malfunctions or anomalies in or other disruptions to our satellites;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availability of third-party satellite bandwidth and network infrastructure that we rely on to provide our services;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extent of growth in uptake of our in-flight services by commercial airlines and business jets, the number of aircraft retrofitted or installed with our IFC systems, and the rate of revenue growth in our IFC-related businesses in our communication services segment, as well as the impact of the grounding or slowdown in manufacture of aircraft related to aircraft safety, maintenance, OEM delays or other issues;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competitiveness and adoption of our maritime solutions by commercial shipping fleets, offshore service vessel operators and commercial fishing companies, and the rate of growth of our NexusWave fully-managed connectivity service;</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rate of growth in worldwide demand for mobile and fixed broadband connectivity, including growth in the number of aircraft and vessels in service, passengers, internet users, applications and connected devices;</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the rate of technological innovation and change in the industries in which we operate, and the introduction of new competing technologies, products and services by new and existing competitors;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global business environment and economic conditions, including changes in interest rates, credit conditions, debt levels, consumer confidence, discretionary spending levels, rates of inflation, unemployment rates, energy costs, geopolitical issues, tariffs and other macro-economic factors;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changes in the levels of our R&amp;D spending, including the effects of associated tax credits;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timing and impact of acquisitions and divestitures and transaction-related or integration costs and any incurrence or repayment of indebtedness in connection therewith;</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seasonal effects related to the timing of contract awards, the timing and availability of U.S. Government funding, and the timing of product deliveries and customer acceptance, as well as increased demand for IFC services from airline passengers during peak holiday and summer travel periods and subscriber activity for our fixed broadband services related to traditional retail selling periods in our communication services segment;</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marketing and pricing strategies of our competitors with respect to competing technologies, products and services;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ability to implement (on a timely basis) our technology roadmap and the associated investments and costs, as well as market acceptance and the timing of availability of our new products and services;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timing, quantity and mix of products and services sold in each of our segments;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complex and lengthy procurement process for many of our customers, particularly in our government satcom business and defense and advanced technologies segment, the impact of a failure to receive an expected order or a deferral of an order to a later period, and the timing of or effect of delays in obtaining government product certifications;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difficulty in estimating costs over the life of a contract, which may require adjustment in future periods, and the impact of cost overruns (due to inflation or otherwise) on fixed-price development contracts;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the timing of customer payments under significant contracts;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reliance on a few significant customers, particularly agencies of the U.S. Government, for a significant percentage of our revenues, as a result of which the loss or decline in business with any of these customers may negatively impact our revenue and collectability of related accounts receivable;</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reliance on a global supply chain, including contract manufacturers and single-source or limited groups of suppliers; the impact of supply chain bottlenecks, and our ability to purchase or favorably price component parts that are periodically subject to shortages or supply chain disruptions resulting from surges in demand, natural disasters, tariffs, wars and other conflicts, public health crises or other events;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varying subscriber addition, churn and average revenue per user rates for our fixed broadband businesses and mix of wholesale and retail subscribers;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one-time charges to operating income arising from items such as costs and expenses, relating to acquisitions or divestitures, impairment of assets and write-offs of assets related to customer non-payments or obsolescence;</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changes in laws, regulations and interpretations affecting our business, including changes affecting spectrum availability or permitted uses; and</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ability to generate sufficient cash flows to repay our indebtedness.</w:t>
      </w:r>
    </w:p>
    <w:p>
      <w:pPr>
        <w:pStyle w:val="TextBody"/>
        <w:bidi w:val="0"/>
        <w:spacing w:before="180" w:after="283"/>
        <w:jc w:val="left"/>
        <w:rPr>
          <w:rFonts w:ascii="Arial" w:hAnsi="Arial"/>
          <w:color w:val="000000"/>
          <w:sz w:val="20"/>
        </w:rPr>
      </w:pPr>
      <w:r>
        <w:rPr>
          <w:rFonts w:ascii="Arial" w:hAnsi="Arial"/>
          <w:color w:val="000000"/>
          <w:sz w:val="20"/>
        </w:rPr>
        <w:t>See also “Business–Segments” in Part I, Item 1 of this report for a discussion of what we believe to be key drivers for future growth in each of our segments.</w:t>
      </w:r>
    </w:p>
    <w:p>
      <w:pPr>
        <w:pStyle w:val="TextBody"/>
        <w:bidi w:val="0"/>
        <w:spacing w:before="270" w:after="283"/>
        <w:jc w:val="left"/>
        <w:rPr>
          <w:rFonts w:ascii="Arial" w:hAnsi="Arial"/>
          <w:b/>
          <w:color w:val="000000"/>
          <w:sz w:val="20"/>
        </w:rPr>
      </w:pPr>
      <w:r>
        <w:rPr>
          <w:rFonts w:ascii="Arial" w:hAnsi="Arial"/>
          <w:b/>
          <w:color w:val="000000"/>
          <w:sz w:val="20"/>
        </w:rPr>
        <w:t>Inmarsat Acquisition</w:t>
      </w:r>
    </w:p>
    <w:p>
      <w:pPr>
        <w:pStyle w:val="TextBody"/>
        <w:bidi w:val="0"/>
        <w:spacing w:before="90" w:after="283"/>
        <w:jc w:val="left"/>
        <w:rPr>
          <w:rFonts w:ascii="Arial" w:hAnsi="Arial"/>
          <w:color w:val="000000"/>
          <w:sz w:val="20"/>
        </w:rPr>
      </w:pPr>
      <w:r>
        <w:rPr>
          <w:rFonts w:ascii="Arial" w:hAnsi="Arial"/>
          <w:color w:val="000000"/>
          <w:sz w:val="20"/>
        </w:rPr>
        <w:t>On May 30, 2023, we completed the acquisition of Connect Topco Limited, a private company limited by shares and incorporated in Guernsey (Inmarsat Holdings and, together with its subsidiaries, Inmarsat), in exchange for approximately $550.7 million in cash and 46.36 million shares of our common stock (the Inmarsat Acquisition).</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Arial" w:hAnsi="Arial"/>
          <w:color w:val="000000"/>
          <w:sz w:val="20"/>
        </w:rPr>
      </w:pPr>
      <w:r>
        <w:rPr>
          <w:rFonts w:ascii="Arial" w:hAnsi="Arial"/>
          <w:color w:val="000000"/>
          <w:sz w:val="20"/>
        </w:rPr>
        <w:t>The assets and results of operations of Inmarsat are included in our communication services segment for the period following the closing of the Inmarsat Acquisition on May 30, 2023.</w:t>
      </w:r>
    </w:p>
    <w:p>
      <w:pPr>
        <w:pStyle w:val="TextBody"/>
        <w:bidi w:val="0"/>
        <w:spacing w:before="270" w:after="283"/>
        <w:jc w:val="left"/>
        <w:rPr>
          <w:rFonts w:ascii="Arial" w:hAnsi="Arial"/>
          <w:b/>
          <w:color w:val="000000"/>
          <w:sz w:val="20"/>
        </w:rPr>
      </w:pPr>
      <w:r>
        <w:rPr>
          <w:rFonts w:ascii="Arial" w:hAnsi="Arial"/>
          <w:b/>
          <w:color w:val="000000"/>
          <w:sz w:val="20"/>
        </w:rPr>
        <w:t>Satellite-Related Activities</w:t>
      </w:r>
    </w:p>
    <w:p>
      <w:pPr>
        <w:pStyle w:val="TextBody"/>
        <w:bidi w:val="0"/>
        <w:spacing w:before="180" w:after="283"/>
        <w:jc w:val="left"/>
        <w:rPr>
          <w:rFonts w:ascii="Arial" w:hAnsi="Arial"/>
          <w:color w:val="000000"/>
          <w:sz w:val="20"/>
        </w:rPr>
      </w:pPr>
      <w:r>
        <w:rPr>
          <w:rFonts w:ascii="Arial" w:hAnsi="Arial"/>
          <w:color w:val="000000"/>
          <w:sz w:val="20"/>
        </w:rPr>
        <w:t>As of March 31, 2026, our complementary fleet of 23 in service or operational satellites spanned the Ka-, L- and S-bands, enabling us to provide a wide array of high-quality broadband and narrowband services with near global coverage (including strong oceanic coverage) with greater redundancy and resiliency. The second ViaSat-3 class satellite, ViaSat-3 F2, was launched into orbit in November 2025. Subsequent to fiscal year 2026, in April 2026, we launched the third ViaSat-3 class satellite, ViaSat-3 F3, into orbit with commercial service expected to commence by late summer 2026.</w:t>
      </w:r>
    </w:p>
    <w:p>
      <w:pPr>
        <w:pStyle w:val="TextBody"/>
        <w:bidi w:val="0"/>
        <w:spacing w:before="90" w:after="283"/>
        <w:jc w:val="left"/>
        <w:rPr>
          <w:rFonts w:ascii="Arial" w:hAnsi="Arial"/>
          <w:color w:val="000000"/>
          <w:sz w:val="20"/>
        </w:rPr>
      </w:pPr>
      <w:r>
        <w:rPr>
          <w:rFonts w:ascii="Arial" w:hAnsi="Arial"/>
          <w:color w:val="000000"/>
          <w:sz w:val="20"/>
        </w:rPr>
        <w:t>During fiscal year 2024, we reported a reflector deployment issue with the ViaSat-3 F1 satellite that materially impacted its performance, and a power subsystem anomaly with the Inmarsat-6 F2 satellite during its orbit raising phase that caused the satellite to not operate as intended. See Note 1 — The Company and a Summary of Its Significant Accounting Policies — Property, equipment and satellites to our consolidated financial statements for more information.</w:t>
      </w:r>
    </w:p>
    <w:p>
      <w:pPr>
        <w:pStyle w:val="TextBody"/>
        <w:bidi w:val="0"/>
        <w:spacing w:before="180" w:after="283"/>
        <w:jc w:val="left"/>
        <w:rPr>
          <w:rFonts w:ascii="Arial" w:hAnsi="Arial"/>
          <w:color w:val="000000"/>
          <w:sz w:val="20"/>
        </w:rPr>
      </w:pPr>
      <w:r>
        <w:rPr>
          <w:rFonts w:ascii="Arial" w:hAnsi="Arial"/>
          <w:color w:val="000000"/>
          <w:sz w:val="20"/>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 By leveraging our own satellite fleet and its unique advantages, existing national operator partnerships, plus coverage and capacity from leading third-party satellites and constellations, our services are designed to provide customers with the essential capacity density, market access, speed, bandwidth and responsiveness they need. Importantly, we have continued to innovate advanced multi-orbit resource management techniques to reduce costs and expand geographic coverage to better serve the unique needs of each mobility and defense customer. In forming key partnerships with multiple GSO and NGSO operators, we are well-positioned to support delivery of Viasat’s next-generation services, achieve industry-leading resource utilization, and drive capital efficiency. In parallel, we are working to ensure equitable access to finite space resources and support regulatory certainty enabling multi-orbit solutions and related infrastructure to thrive in a shared and sustainable way.</w:t>
      </w:r>
    </w:p>
    <w:p>
      <w:pPr>
        <w:pStyle w:val="TextBody"/>
        <w:bidi w:val="0"/>
        <w:spacing w:before="180" w:after="283"/>
        <w:jc w:val="left"/>
        <w:rPr>
          <w:rFonts w:ascii="Arial" w:hAnsi="Arial"/>
          <w:color w:val="000000"/>
          <w:sz w:val="20"/>
        </w:rPr>
      </w:pPr>
      <w:r>
        <w:rPr>
          <w:rFonts w:ascii="Arial" w:hAnsi="Arial"/>
          <w:color w:val="000000"/>
          <w:sz w:val="20"/>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13 — Commitments to our consolidated financial statements for information as of March 31, 2026 regarding our future minimum payments under our satellite construction contracts and other satellite-related purchase commitments (including satellite performance incentive obligations) for the next five fiscal years and thereafter.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communication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have been experiencing since fiscal year 2023 pending our ViaSat-3 constellation entering commercial service.</w:t>
      </w:r>
    </w:p>
    <w:p>
      <w:pPr>
        <w:pStyle w:val="TextBody"/>
        <w:bidi w:val="0"/>
        <w:spacing w:before="270" w:after="283"/>
        <w:jc w:val="left"/>
        <w:rPr>
          <w:rFonts w:ascii="Times New Roman" w:hAnsi="Times New Roman"/>
          <w:sz w:val="20"/>
        </w:rPr>
      </w:pPr>
      <w:r>
        <w:rPr>
          <w:rFonts w:ascii="Arial" w:hAnsi="Arial"/>
          <w:b/>
          <w:color w:val="000000"/>
          <w:sz w:val="20"/>
        </w:rPr>
        <w:t>Sources of Revenues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Our communication services segment revenues are primarily derived from our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pStyle w:val="TextBody"/>
        <w:bidi w:val="0"/>
        <w:spacing w:before="180" w:after="283"/>
        <w:jc w:val="left"/>
        <w:rPr>
          <w:rFonts w:ascii="Arial" w:hAnsi="Arial"/>
          <w:color w:val="000000"/>
          <w:sz w:val="20"/>
        </w:rPr>
      </w:pPr>
      <w:r>
        <w:rPr>
          <w:rFonts w:ascii="Arial" w:hAnsi="Arial"/>
          <w:color w:val="000000"/>
          <w:sz w:val="20"/>
        </w:rPr>
        <w:t>Our defense and advanced technologies segment revenues are primarily derived from products and services in our information security and cyber defense, space and mission systems, tactical networking, and advanced technologies and other business lines, which are provided to government and commercial customers.</w:t>
      </w:r>
    </w:p>
    <w:p>
      <w:pPr>
        <w:pStyle w:val="TextBody"/>
        <w:bidi w:val="0"/>
        <w:spacing w:before="180" w:after="283"/>
        <w:jc w:val="left"/>
        <w:rPr>
          <w:rFonts w:ascii="Arial" w:hAnsi="Arial"/>
          <w:color w:val="000000"/>
          <w:sz w:val="20"/>
        </w:rPr>
      </w:pPr>
      <w:r>
        <w:rPr>
          <w:rFonts w:ascii="Arial" w:hAnsi="Arial"/>
          <w:color w:val="000000"/>
          <w:sz w:val="20"/>
        </w:rPr>
        <w:t>Almost all of our revenues are derived from fixed-price contracts (which require us to provide products and services under a contract at a specified price), which are reported in both of our segments. The remainder of our revenues is primarily from cost-reimbursement contracts (under which we are reimbursed for all actual costs incurred in performing the contract to the extent such costs are within the contract ceiling and allowable under the terms of the contract, plus a fee or profit), which are mainly reported within our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Historically, a portion of our revenues has been derived from customer contracts that include the development of products, mainly reported within the defense and advanced technologies segment.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The Company and a Summary of Its Significant Accounting Policies to our consolidated financial statements for additional information.</w:t>
      </w:r>
    </w:p>
    <w:p>
      <w:pPr>
        <w:pStyle w:val="TextBody"/>
        <w:bidi w:val="0"/>
        <w:spacing w:before="180" w:after="283"/>
        <w:jc w:val="left"/>
        <w:rPr>
          <w:rFonts w:ascii="Arial" w:hAnsi="Arial"/>
          <w:color w:val="000000"/>
          <w:sz w:val="20"/>
        </w:rPr>
      </w:pPr>
      <w:r>
        <w:rPr>
          <w:rFonts w:ascii="Arial" w:hAnsi="Arial"/>
          <w:color w:val="000000"/>
          <w:sz w:val="20"/>
        </w:rPr>
        <w:t>To date, our ability to grow and maintain our revenues in each of our communication services and defense and advanced technologies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our revenues, such as sales taxes and value added taxes, are excluded from net sales.</w:t>
      </w:r>
    </w:p>
    <w:p>
      <w:pPr>
        <w:pStyle w:val="TextBody"/>
        <w:bidi w:val="0"/>
        <w:spacing w:before="180" w:after="283"/>
        <w:jc w:val="left"/>
        <w:rPr>
          <w:rFonts w:ascii="Arial" w:hAnsi="Arial"/>
          <w:color w:val="000000"/>
          <w:sz w:val="20"/>
        </w:rPr>
      </w:pPr>
      <w:r>
        <w:rPr>
          <w:rFonts w:ascii="Arial" w:hAnsi="Arial"/>
          <w:color w:val="000000"/>
          <w:sz w:val="20"/>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customers as part of the delivery of connectivity services represents a lease in accordance with the authoritative guidance for leases (Accounting Standards Codification (ASC) 842). As discussed in Note 1 — The Company and a Summary of Its Significant Accounting Policies — Leases to our consolidated financial statements, for broadband equipment leased to customers in conjunction with the delivery of connectivity services, we account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pStyle w:val="TextBody"/>
        <w:bidi w:val="0"/>
        <w:spacing w:before="180" w:after="283"/>
        <w:jc w:val="left"/>
        <w:rPr>
          <w:rFonts w:ascii="Arial" w:hAnsi="Arial"/>
          <w:color w:val="000000"/>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March 31, 2026 would change our income (loss) before income taxes by an insignificant amount.</w:t>
      </w:r>
    </w:p>
    <w:p>
      <w:pPr>
        <w:pStyle w:val="TextBody"/>
        <w:bidi w:val="0"/>
        <w:spacing w:before="18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pStyle w:val="TextBody"/>
        <w:bidi w:val="0"/>
        <w:spacing w:before="270" w:after="283"/>
        <w:jc w:val="left"/>
        <w:rPr>
          <w:rFonts w:ascii="Times New Roman" w:hAnsi="Times New Roman"/>
          <w:sz w:val="20"/>
        </w:rPr>
      </w:pPr>
      <w:r>
        <w:rPr>
          <w:rFonts w:ascii="Arial" w:hAnsi="Arial"/>
          <w:b/>
          <w:i/>
          <w:color w:val="000000"/>
          <w:sz w:val="20"/>
        </w:rPr>
        <w:t>Deferred costs to obtain or fulfill contract</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communication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pStyle w:val="TextBody"/>
        <w:bidi w:val="0"/>
        <w:spacing w:before="27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Property, equipment and satellites, net includes our owned and leased satellites and the associated earth stations and networking equipment, as well as the customer premise equipment units which are leased to customers as part of our communication services segment.</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pStyle w:val="TextBody"/>
        <w:bidi w:val="0"/>
        <w:spacing w:before="270" w:after="283"/>
        <w:jc w:val="left"/>
        <w:rPr>
          <w:rFonts w:ascii="Arial" w:hAnsi="Arial"/>
          <w:b/>
          <w:i/>
          <w:color w:val="000000"/>
          <w:sz w:val="20"/>
        </w:rPr>
      </w:pPr>
      <w:r>
        <w:rPr>
          <w:rFonts w:ascii="Arial" w:hAnsi="Arial"/>
          <w:b/>
          <w:i/>
          <w:color w:val="000000"/>
          <w:sz w:val="20"/>
        </w:rPr>
        <w:t>Leases</w:t>
      </w:r>
    </w:p>
    <w:p>
      <w:pPr>
        <w:pStyle w:val="TextBody"/>
        <w:bidi w:val="0"/>
        <w:spacing w:before="90" w:after="283"/>
        <w:jc w:val="left"/>
        <w:rPr>
          <w:rFonts w:ascii="Times New Roman" w:hAnsi="Times New Roman"/>
          <w:sz w:val="20"/>
        </w:rPr>
      </w:pPr>
      <w:r>
        <w:rPr>
          <w:rFonts w:ascii="Arial" w:hAnsi="Arial"/>
          <w:color w:val="000000"/>
          <w:sz w:val="20"/>
        </w:rPr>
        <w:t>In accordance with the authoritative guidance for leases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180" w:after="283"/>
        <w:jc w:val="left"/>
        <w:rPr>
          <w:rFonts w:ascii="Arial" w:hAnsi="Arial"/>
          <w:color w:val="000000"/>
          <w:sz w:val="20"/>
        </w:rPr>
      </w:pPr>
      <w:r>
        <w:rPr>
          <w:rFonts w:ascii="Arial" w:hAnsi="Arial"/>
          <w:color w:val="000000"/>
          <w:sz w:val="20"/>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pStyle w:val="TextBody"/>
        <w:bidi w:val="0"/>
        <w:spacing w:before="270" w:after="283"/>
        <w:jc w:val="left"/>
        <w:rPr>
          <w:rFonts w:ascii="Arial" w:hAnsi="Arial"/>
          <w:b/>
          <w:i/>
          <w:color w:val="000000"/>
          <w:sz w:val="20"/>
        </w:rPr>
      </w:pPr>
      <w:r>
        <w:rPr>
          <w:rFonts w:ascii="Arial" w:hAnsi="Arial"/>
          <w:b/>
          <w:i/>
          <w:color w:val="000000"/>
          <w:sz w:val="20"/>
        </w:rPr>
        <w:t>Business combinations</w:t>
      </w:r>
    </w:p>
    <w:p>
      <w:pPr>
        <w:pStyle w:val="TextBody"/>
        <w:bidi w:val="0"/>
        <w:spacing w:before="90" w:after="283"/>
        <w:jc w:val="left"/>
        <w:rPr>
          <w:rFonts w:ascii="Times New Roman" w:hAnsi="Times New Roman"/>
          <w:sz w:val="20"/>
        </w:rPr>
      </w:pPr>
      <w:r>
        <w:rPr>
          <w:rFonts w:ascii="Arial" w:hAnsi="Arial"/>
          <w:color w:val="000000"/>
          <w:sz w:val="20"/>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Impairment of long-lived and other long-term assets (property, equipment and satellites, and other assets, including goodwill)</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our exit from certain locations in EMEA markets, disposal of certain related assets and termination of certain related long-term contracts in the fourth quarter of fiscal year 2025 and the impairment related to certain of our satellites under construction and satellite programs in the second and third quarters of fiscal year 2024 (as discussed in Note 1 — The Company and a Summary of Its Significant Accounting Policies — Property, equipment and satellites below), no other material impairments were recorded by us for fiscal years 2026, 2025 and 2024. See Note 6 — Leases to our consolidated financial statements for additional information.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We account for our goodwill under the authoritative guidance for goodwill and other intangible assets (ASC 350).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283"/>
        <w:jc w:val="left"/>
        <w:rPr>
          <w:rFonts w:ascii="Times New Roman" w:hAnsi="Times New Roman"/>
          <w:sz w:val="20"/>
        </w:rPr>
      </w:pPr>
      <w:r>
        <w:rPr>
          <w:rFonts w:ascii="Arial" w:hAnsi="Arial"/>
          <w:color w:val="000000"/>
          <w:sz w:val="20"/>
        </w:rPr>
        <w:t>Based on our qualitative assessment performed during the fourth quarter of fiscal year 2026, we concluded that it was more likely than not that the estimated fair value of each of our reporting units exceeded their related carrying value as of March 31, 2026.</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Income taxes and valuation allowance on deferred tax assets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pStyle w:val="TextBody"/>
        <w:bidi w:val="0"/>
        <w:spacing w:before="180" w:after="283"/>
        <w:jc w:val="left"/>
        <w:rPr>
          <w:rFonts w:ascii="Times New Roman" w:hAnsi="Times New Roman"/>
          <w:sz w:val="20"/>
        </w:rPr>
      </w:pPr>
      <w:r>
        <w:rPr>
          <w:rFonts w:ascii="Arial" w:hAnsi="Arial"/>
          <w:color w:val="000000"/>
          <w:sz w:val="20"/>
        </w:rPr>
        <w:t>Our analysis of the need for a valuation allowance on deferred tax assets considered historical as well as forecasted future operating results, the reversal of temporary differences, taxable income in prior carryback years (if permitted), and the availability of tax planning strategies. Additionally, in our analysis, we also considered the fact that ASC 740 places more weight on the objectively verifiable evidence of current pre-tax losses and recent events than forecasts of future profitability.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Accruals for uncertain tax positions are provided for in accordance with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following table presents, as a percentage of total revenues, income statement data of our continuing operations for the periods indicated: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202"/>
        <w:gridCol w:w="426"/>
        <w:gridCol w:w="179"/>
        <w:gridCol w:w="521"/>
        <w:gridCol w:w="286"/>
        <w:gridCol w:w="146"/>
        <w:gridCol w:w="179"/>
        <w:gridCol w:w="521"/>
        <w:gridCol w:w="286"/>
        <w:gridCol w:w="146"/>
        <w:gridCol w:w="179"/>
        <w:gridCol w:w="521"/>
        <w:gridCol w:w="613"/>
      </w:tblGrid>
      <w:tr>
        <w:trPr/>
        <w:tc>
          <w:tcPr>
            <w:tcW w:w="620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Revenues: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2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Service revenues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Product revenues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2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service revenues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Cost of product revenues</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Selling, general and administrative (including ground network (FY25), satellite (FY24) impairment and related charges, net — see Note 1)</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Independent research and development</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2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Amortization of acquired intangible assets</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continuing operations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20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(expense) income, net</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20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gain on extinguishment of debt, net (see Note 7)</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Income (loss) from continuing operations before income taxes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benefit from income taxes from continuing operations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continuing operations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2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discontinued operations, net of tax</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Viasat, Inc.</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30" w:after="283"/>
        <w:jc w:val="left"/>
        <w:rPr>
          <w:rFonts w:ascii="Arial" w:hAnsi="Arial"/>
          <w:b/>
          <w:color w:val="000000"/>
          <w:sz w:val="20"/>
        </w:rPr>
      </w:pPr>
      <w:r>
        <w:rPr>
          <w:rFonts w:ascii="Arial" w:hAnsi="Arial"/>
          <w:b/>
          <w:color w:val="000000"/>
          <w:sz w:val="20"/>
        </w:rPr>
        <w:t>Fiscal Year 2026 Compared to Fiscal Year 2025</w:t>
      </w:r>
    </w:p>
    <w:p>
      <w:pPr>
        <w:pStyle w:val="TextBody"/>
        <w:bidi w:val="0"/>
        <w:spacing w:before="90" w:after="283"/>
        <w:jc w:val="left"/>
        <w:rPr>
          <w:rFonts w:ascii="Times New Roman" w:hAnsi="Times New Roman"/>
          <w:sz w:val="20"/>
        </w:rPr>
      </w:pPr>
      <w:r>
        <w:rPr>
          <w:rFonts w:ascii="Arial" w:hAnsi="Arial"/>
          <w:b/>
          <w:i/>
          <w:color w:val="000000"/>
          <w:sz w:val="20"/>
        </w:rPr>
        <w:t>Revenues</w:t>
      </w:r>
      <w:r>
        <w:rPr>
          <w:rFonts w:ascii="Times New Roman" w:hAnsi="Times New Roman"/>
          <w:color w:val="000000"/>
          <w:sz w:val="20"/>
        </w:rPr>
        <w:t xml:space="preserve"> </w:t>
      </w:r>
    </w:p>
    <w:tbl>
      <w:tblPr>
        <w:tblW w:w="791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49"/>
        <w:gridCol w:w="696"/>
        <w:gridCol w:w="146"/>
        <w:gridCol w:w="146"/>
        <w:gridCol w:w="405"/>
        <w:gridCol w:w="58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total revenues increased by $120.7 million as a result of a $72.1 million increase in product revenues and a $48.6 million increase in service revenues. The increase in product revenues was driven by a $105.8 million increase in our defense and advanced technologies segment, partially offset by a $33.7 million decrease in our communication services segment. The increase in service revenues was driven by a $34.9 million increase in our communication services segment and a $13.8 million increase in our defense and advanced technologies segment.</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b/>
          <w:i/>
          <w:color w:val="000000"/>
          <w:sz w:val="20"/>
        </w:rPr>
        <w:t>Cost of revenues</w:t>
      </w:r>
      <w:r>
        <w:rPr>
          <w:rFonts w:ascii="Times New Roman" w:hAnsi="Times New Roman"/>
          <w:color w:val="000000"/>
          <w:sz w:val="20"/>
        </w:rPr>
        <w:t xml:space="preserve"> </w:t>
      </w:r>
    </w:p>
    <w:tbl>
      <w:tblPr>
        <w:tblW w:w="791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88"/>
        <w:gridCol w:w="657"/>
        <w:gridCol w:w="146"/>
        <w:gridCol w:w="146"/>
        <w:gridCol w:w="405"/>
        <w:gridCol w:w="586"/>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Cost of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Cost of revenues increased by $77.4 million as a result of a $42.7 million increase in cost of product revenues and a $34.8 million increase in cost of service revenues. The increase in cost of product revenues correlated to product revenue growth in our defense and advanced technologies segment. Additionally, product revenues in this segment included a higher percentage of intellectual property licensing and royalty-based revenues in the prior year period, which had relatively low costs of product revenues. The increase in cost of service revenues was primarily driven by service revenue growth in our communication services segment.</w:t>
      </w:r>
    </w:p>
    <w:p>
      <w:pPr>
        <w:pStyle w:val="TextBody"/>
        <w:bidi w:val="0"/>
        <w:spacing w:before="270" w:after="283"/>
        <w:jc w:val="left"/>
        <w:rPr>
          <w:rFonts w:ascii="Times New Roman" w:hAnsi="Times New Roman"/>
          <w:sz w:val="20"/>
        </w:rPr>
      </w:pPr>
      <w:r>
        <w:rPr>
          <w:rFonts w:ascii="Arial" w:hAnsi="Arial"/>
          <w:b/>
          <w:i/>
          <w:color w:val="000000"/>
          <w:sz w:val="20"/>
        </w:rPr>
        <w:t>Selling, general and administrative expenses</w:t>
      </w:r>
      <w:r>
        <w:rPr>
          <w:rFonts w:ascii="Times New Roman" w:hAnsi="Times New Roman"/>
          <w:color w:val="000000"/>
          <w:sz w:val="20"/>
        </w:rPr>
        <w:t xml:space="preserve"> </w:t>
      </w:r>
    </w:p>
    <w:tbl>
      <w:tblPr>
        <w:tblW w:w="8292" w:type="dxa"/>
        <w:jc w:val="left"/>
        <w:tblInd w:w="0" w:type="dxa"/>
        <w:tblLayout w:type="fixed"/>
        <w:tblCellMar>
          <w:top w:w="28" w:type="dxa"/>
          <w:left w:w="28" w:type="dxa"/>
          <w:bottom w:w="28" w:type="dxa"/>
          <w:right w:w="28" w:type="dxa"/>
        </w:tblCellMar>
      </w:tblPr>
      <w:tblGrid>
        <w:gridCol w:w="3106"/>
        <w:gridCol w:w="146"/>
        <w:gridCol w:w="226"/>
        <w:gridCol w:w="629"/>
        <w:gridCol w:w="146"/>
        <w:gridCol w:w="146"/>
        <w:gridCol w:w="211"/>
        <w:gridCol w:w="751"/>
        <w:gridCol w:w="146"/>
        <w:gridCol w:w="146"/>
        <w:gridCol w:w="232"/>
        <w:gridCol w:w="713"/>
        <w:gridCol w:w="166"/>
        <w:gridCol w:w="146"/>
        <w:gridCol w:w="277"/>
        <w:gridCol w:w="714"/>
        <w:gridCol w:w="3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rFonts w:ascii="Arial" w:hAnsi="Arial"/>
          <w:color w:val="000000"/>
          <w:sz w:val="20"/>
        </w:rPr>
      </w:pPr>
      <w:r>
        <w:rPr>
          <w:rFonts w:ascii="Arial" w:hAnsi="Arial"/>
          <w:color w:val="000000"/>
          <w:sz w:val="20"/>
        </w:rPr>
        <w:t>During fiscal year 2025, we experienced a net loss of $169.4 million related to a ground network impairment as a result of our exit activities from certain locations in EMEA markets, which was recorded in our communication services segment in the prior year period. After excluding this net loss from the prior year period, selling, general and administrative (SG&amp;A) expenses decreased by $12.2 million year-over-year, mainly due to a decrease in selling costs in our communication services segment. SG&amp;A expenses consisted primarily of personnel costs and expenses for business development, marketing and sales, bid and proposal, acquisition and transaction related expenses, facilities, finance, contract administration and general management.</w:t>
      </w:r>
    </w:p>
    <w:p>
      <w:pPr>
        <w:pStyle w:val="TextBody"/>
        <w:bidi w:val="0"/>
        <w:spacing w:before="270" w:after="283"/>
        <w:jc w:val="left"/>
        <w:rPr>
          <w:rFonts w:ascii="Times New Roman" w:hAnsi="Times New Roman"/>
          <w:sz w:val="20"/>
        </w:rPr>
      </w:pPr>
      <w:r>
        <w:rPr>
          <w:rFonts w:ascii="Arial" w:hAnsi="Arial"/>
          <w:b/>
          <w:i/>
          <w:color w:val="000000"/>
          <w:sz w:val="20"/>
        </w:rPr>
        <w:t>Independent research and development</w:t>
      </w:r>
      <w:r>
        <w:rPr>
          <w:rFonts w:ascii="Times New Roman" w:hAnsi="Times New Roman"/>
          <w:color w:val="000000"/>
          <w:sz w:val="20"/>
        </w:rPr>
        <w:t xml:space="preserve"> </w:t>
      </w:r>
    </w:p>
    <w:tbl>
      <w:tblPr>
        <w:tblW w:w="8540" w:type="dxa"/>
        <w:jc w:val="left"/>
        <w:tblInd w:w="0" w:type="dxa"/>
        <w:tblLayout w:type="fixed"/>
        <w:tblCellMar>
          <w:top w:w="28" w:type="dxa"/>
          <w:left w:w="28" w:type="dxa"/>
          <w:bottom w:w="28" w:type="dxa"/>
          <w:right w:w="28" w:type="dxa"/>
        </w:tblCellMar>
      </w:tblPr>
      <w:tblGrid>
        <w:gridCol w:w="3541"/>
        <w:gridCol w:w="146"/>
        <w:gridCol w:w="226"/>
        <w:gridCol w:w="629"/>
        <w:gridCol w:w="146"/>
        <w:gridCol w:w="146"/>
        <w:gridCol w:w="226"/>
        <w:gridCol w:w="629"/>
        <w:gridCol w:w="146"/>
        <w:gridCol w:w="146"/>
        <w:gridCol w:w="288"/>
        <w:gridCol w:w="657"/>
        <w:gridCol w:w="146"/>
        <w:gridCol w:w="146"/>
        <w:gridCol w:w="313"/>
        <w:gridCol w:w="678"/>
        <w:gridCol w:w="33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$22.5 million increase in IR&amp;D expenses was primarily a result of increased IR&amp;D efforts supporting multi-orbit initiatives in our communication services segment, as well as space and mission system products and next-generation programs in encryption business within our defense and advanced technologies segment.</w:t>
      </w:r>
    </w:p>
    <w:p>
      <w:pPr>
        <w:pStyle w:val="TextBody"/>
        <w:bidi w:val="0"/>
        <w:spacing w:before="270" w:after="283"/>
        <w:jc w:val="left"/>
        <w:rPr>
          <w:rFonts w:ascii="Times New Roman" w:hAnsi="Times New Roman"/>
          <w:sz w:val="20"/>
        </w:rPr>
      </w:pPr>
      <w:r>
        <w:rPr>
          <w:rFonts w:ascii="Arial" w:hAnsi="Arial"/>
          <w:b/>
          <w:i/>
          <w:color w:val="000000"/>
          <w:sz w:val="20"/>
        </w:rPr>
        <w:t>Amortization of acquired intangible assets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amortize our acquired intangible assets from prior acquisitions over their estimated useful lives, which range from two to 12 years. Amortization of acquired intangible assets remained relatively flat year-over-year. Expected amortization expense for acquired intangible assets for each of the following periods is as follows:</w:t>
      </w:r>
      <w:r>
        <w:rPr>
          <w:rFonts w:ascii="Times New Roman" w:hAnsi="Times New Roman"/>
          <w:color w:val="000000"/>
          <w:sz w:val="20"/>
        </w:rPr>
        <w:t xml:space="preserve"> </w:t>
      </w:r>
    </w:p>
    <w:tbl>
      <w:tblPr>
        <w:tblW w:w="4283" w:type="dxa"/>
        <w:jc w:val="left"/>
        <w:tblInd w:w="0" w:type="dxa"/>
        <w:tblLayout w:type="fixed"/>
        <w:tblCellMar>
          <w:top w:w="28" w:type="dxa"/>
          <w:left w:w="28" w:type="dxa"/>
          <w:bottom w:w="28" w:type="dxa"/>
          <w:right w:w="28" w:type="dxa"/>
        </w:tblCellMar>
      </w:tblPr>
      <w:tblGrid>
        <w:gridCol w:w="2671"/>
        <w:gridCol w:w="146"/>
        <w:gridCol w:w="229"/>
        <w:gridCol w:w="1046"/>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263,291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262,266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247,160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234,951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726,439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1,997,436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0" w:after="283"/>
        <w:jc w:val="left"/>
        <w:rPr>
          <w:rFonts w:ascii="Times New Roman" w:hAnsi="Times New Roman"/>
          <w:sz w:val="20"/>
        </w:rPr>
      </w:pPr>
      <w:r>
        <w:rPr>
          <w:rFonts w:ascii="Arial" w:hAnsi="Arial"/>
          <w:b/>
          <w:i/>
          <w:color w:val="000000"/>
          <w:sz w:val="20"/>
        </w:rPr>
        <w:t>Interest income</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The $121.9 million increase in interest income for fiscal year 2026 compared to fiscal year 2025 was primarily due to $152.5 million recognized as interest income from the receipt of the $420.0 million lump sum payment from Ligado in the current year period (see Note 14 — Contingencies to our consolidated financial statements for further information), partially offset by lower interest earned as a result of lower average invested balance in combination with lower interest rates.</w:t>
      </w:r>
    </w:p>
    <w:p>
      <w:pPr>
        <w:pStyle w:val="TextBody"/>
        <w:bidi w:val="0"/>
        <w:spacing w:before="270" w:after="283"/>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spacing w:before="80" w:after="283"/>
        <w:jc w:val="left"/>
        <w:rPr>
          <w:rFonts w:ascii="Arial" w:hAnsi="Arial"/>
          <w:color w:val="000000"/>
          <w:sz w:val="20"/>
        </w:rPr>
      </w:pPr>
      <w:r>
        <w:rPr>
          <w:rFonts w:ascii="Arial" w:hAnsi="Arial"/>
          <w:color w:val="000000"/>
          <w:sz w:val="20"/>
        </w:rPr>
        <w:t>The $61.7 million decrease in interest expense in fiscal year 2026 compared to fiscal year 2025 was primarily due to our decreased level of indebtedness compared to the prior year period, as the aggregate principal amount of our total outstanding indebtedness was $6.6 billion as of March 31, 2026 compared to $7.2 billion as of March 31, 2025 (see Note 7 — Senior Notes and Other Long-Term Debt to our consolidated financial statements for further information), in addition to the increase in capitalized interest.</w:t>
      </w:r>
    </w:p>
    <w:p>
      <w:pPr>
        <w:pStyle w:val="TextBody"/>
        <w:bidi w:val="0"/>
        <w:spacing w:before="270" w:after="283"/>
        <w:jc w:val="left"/>
        <w:rPr>
          <w:rFonts w:ascii="Arial" w:hAnsi="Arial"/>
          <w:b/>
          <w:i/>
          <w:color w:val="000000"/>
          <w:sz w:val="20"/>
        </w:rPr>
      </w:pPr>
      <w:r>
        <w:rPr>
          <w:rFonts w:ascii="Arial" w:hAnsi="Arial"/>
          <w:b/>
          <w:i/>
          <w:color w:val="000000"/>
          <w:sz w:val="20"/>
        </w:rPr>
        <w:t>Income taxes</w:t>
      </w:r>
    </w:p>
    <w:p>
      <w:pPr>
        <w:pStyle w:val="TextBody"/>
        <w:bidi w:val="0"/>
        <w:spacing w:before="90" w:after="283"/>
        <w:jc w:val="left"/>
        <w:rPr>
          <w:rFonts w:ascii="Arial" w:hAnsi="Arial"/>
          <w:color w:val="000000"/>
          <w:sz w:val="20"/>
        </w:rPr>
      </w:pPr>
      <w:r>
        <w:rPr>
          <w:rFonts w:ascii="Arial" w:hAnsi="Arial"/>
          <w:color w:val="000000"/>
          <w:sz w:val="20"/>
        </w:rPr>
        <w:t>The income tax provision in fiscal year 2026 primarily reflected the tax expense from our income before income taxes, valuation allowance recorded against our U.S. net deferred tax assets, withholding taxes, and foreign tax audit adjustments, partially offset by a partial capital gain tax exemption on the sale of our investment in Navarino UK. The income tax benefit in fiscal year 2025 primarily reflected the tax benefit from our loss before income taxes, partially offset by a valuation allowance recorded against our U.S. net deferred tax assets. Our valuation allowance against deferred tax assets increased from $430.5 million at March 31, 2025 to $435.0 million at March 31, 2026, relating to carryforwards of federal, state, and foreign net operating losses, federal and state R&amp;D tax credits, and foreign tax credits.</w:t>
      </w:r>
    </w:p>
    <w:p>
      <w:pPr>
        <w:pStyle w:val="TextBody"/>
        <w:bidi w:val="0"/>
        <w:spacing w:before="270" w:after="283"/>
        <w:jc w:val="left"/>
        <w:rPr>
          <w:rFonts w:ascii="Times New Roman" w:hAnsi="Times New Roman"/>
          <w:sz w:val="20"/>
        </w:rPr>
      </w:pPr>
      <w:r>
        <w:rPr>
          <w:rFonts w:ascii="Arial" w:hAnsi="Arial"/>
          <w:b/>
          <w:color w:val="000000"/>
          <w:sz w:val="20"/>
        </w:rPr>
        <w:t>Segment Results for Fiscal Year 2026 Compared to Fiscal Year 2025</w:t>
      </w:r>
      <w:r>
        <w:rPr>
          <w:rFonts w:ascii="Times New Roman" w:hAnsi="Times New Roman"/>
          <w:color w:val="000000"/>
          <w:sz w:val="20"/>
        </w:rPr>
        <w:t xml:space="preserve"> </w:t>
      </w:r>
    </w:p>
    <w:p>
      <w:pPr>
        <w:pStyle w:val="TextBody"/>
        <w:bidi w:val="0"/>
        <w:spacing w:before="90" w:after="283"/>
        <w:jc w:val="left"/>
        <w:rPr>
          <w:rFonts w:ascii="Arial" w:hAnsi="Arial"/>
          <w:b/>
          <w:i/>
          <w:color w:val="000000"/>
          <w:sz w:val="20"/>
        </w:rPr>
      </w:pPr>
      <w:r>
        <w:rPr>
          <w:rFonts w:ascii="Arial" w:hAnsi="Arial"/>
          <w:b/>
          <w:i/>
          <w:color w:val="000000"/>
          <w:sz w:val="20"/>
        </w:rPr>
        <w:t>Communication Services Segment</w:t>
      </w:r>
    </w:p>
    <w:p>
      <w:pPr>
        <w:pStyle w:val="TextBody"/>
        <w:bidi w:val="0"/>
        <w:spacing w:before="9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tbl>
      <w:tblPr>
        <w:tblW w:w="799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64"/>
        <w:gridCol w:w="681"/>
        <w:gridCol w:w="166"/>
        <w:gridCol w:w="146"/>
        <w:gridCol w:w="277"/>
        <w:gridCol w:w="714"/>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communication services segment revenues increased by an insignificant amount due to a $34.9 million increase in service revenues, which was mostly offset by a $33.7 million decrease in product revenues. The increase in segment service revenues was due to a $143.2 million increase in aviation services and a $40.5 million increase in government satcom services, partially offset by an expected decrease in revenues of $133.9 million from fixed services and other as we continued to allocate a greater proportion of our bandwidth to our IFC business in preference to our U.S. fixed services business due to bandwidth constraints, as well as a $14.9 million decrease in maritime. The IFC service revenue increase was driven primarily by the increase in the number of commercial aircraft receiving our in-flight services through our IFC systems, with our IFC systems installed and in service on approximately 4,580 commercial aircraft (of which approximately 130 were inactive mostly due to standard aircraft maintenance) as of March 31, 2026, compared to approximately 4,120 commercial aircraft (of which approximately 90 were inactive mostly due to standard aircraft maintenance) as of March 31, 2025. The decrease in segment product revenues was primarily attributed to the revenues generated in prior year period by the energy services system integration business that we sold in December 2024 as well as accelerated terminal deliveries in our aviation business in the prior year period.</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i/>
          <w:color w:val="000000"/>
          <w:sz w:val="20"/>
        </w:rPr>
      </w:pPr>
      <w:r>
        <w:rPr>
          <w:rFonts w:ascii="Arial" w:hAnsi="Arial"/>
          <w:i/>
          <w:color w:val="000000"/>
          <w:sz w:val="20"/>
        </w:rPr>
        <w:t>Segment operating profit (loss)</w:t>
      </w:r>
    </w:p>
    <w:tbl>
      <w:tblPr>
        <w:tblW w:w="8620" w:type="dxa"/>
        <w:jc w:val="left"/>
        <w:tblInd w:w="0" w:type="dxa"/>
        <w:tblLayout w:type="fixed"/>
        <w:tblCellMar>
          <w:top w:w="28" w:type="dxa"/>
          <w:left w:w="28" w:type="dxa"/>
          <w:bottom w:w="28" w:type="dxa"/>
          <w:right w:w="28" w:type="dxa"/>
        </w:tblCellMar>
      </w:tblPr>
      <w:tblGrid>
        <w:gridCol w:w="3001"/>
        <w:gridCol w:w="146"/>
        <w:gridCol w:w="226"/>
        <w:gridCol w:w="629"/>
        <w:gridCol w:w="286"/>
        <w:gridCol w:w="146"/>
        <w:gridCol w:w="240"/>
        <w:gridCol w:w="615"/>
        <w:gridCol w:w="346"/>
        <w:gridCol w:w="286"/>
        <w:gridCol w:w="249"/>
        <w:gridCol w:w="696"/>
        <w:gridCol w:w="146"/>
        <w:gridCol w:w="286"/>
        <w:gridCol w:w="255"/>
        <w:gridCol w:w="736"/>
        <w:gridCol w:w="33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change in our communication services segment from an operating loss to an operating profit was primarily due to the $169.4 million impairment related to ground network in the prior year period, as described above. We also experienced lower SG&amp;A costs of $25.2 million and higher earnings contributions of $17.8 million in the current year period, reflecting margin improvement. The year-over-year increase in operating profit was partially offset by higher IR&amp;D expenditures of $9.6 million in the current year period supporting multi-orbit initiatives.</w:t>
      </w:r>
    </w:p>
    <w:p>
      <w:pPr>
        <w:pStyle w:val="TextBody"/>
        <w:bidi w:val="0"/>
        <w:spacing w:before="270" w:after="283"/>
        <w:jc w:val="left"/>
        <w:rPr>
          <w:rFonts w:ascii="Times New Roman" w:hAnsi="Times New Roman"/>
          <w:sz w:val="20"/>
        </w:rPr>
      </w:pPr>
      <w:r>
        <w:rPr>
          <w:rFonts w:ascii="Arial" w:hAnsi="Arial"/>
          <w:b/>
          <w:i/>
          <w:color w:val="000000"/>
          <w:sz w:val="20"/>
        </w:rPr>
        <w:t>Defense and advanced technologies segment</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i/>
          <w:color w:val="000000"/>
          <w:sz w:val="20"/>
        </w:rPr>
        <w:t>Revenues</w:t>
      </w:r>
      <w:r>
        <w:rPr>
          <w:rFonts w:ascii="Times New Roman" w:hAnsi="Times New Roman"/>
          <w:color w:val="000000"/>
          <w:sz w:val="20"/>
        </w:rPr>
        <w:t xml:space="preserve"> </w:t>
      </w:r>
    </w:p>
    <w:tbl>
      <w:tblPr>
        <w:tblW w:w="7914" w:type="dxa"/>
        <w:jc w:val="left"/>
        <w:tblInd w:w="0" w:type="dxa"/>
        <w:tblLayout w:type="fixed"/>
        <w:tblCellMar>
          <w:top w:w="28" w:type="dxa"/>
          <w:left w:w="28" w:type="dxa"/>
          <w:bottom w:w="28" w:type="dxa"/>
          <w:right w:w="28" w:type="dxa"/>
        </w:tblCellMar>
      </w:tblPr>
      <w:tblGrid>
        <w:gridCol w:w="2701"/>
        <w:gridCol w:w="146"/>
        <w:gridCol w:w="211"/>
        <w:gridCol w:w="751"/>
        <w:gridCol w:w="146"/>
        <w:gridCol w:w="146"/>
        <w:gridCol w:w="211"/>
        <w:gridCol w:w="751"/>
        <w:gridCol w:w="146"/>
        <w:gridCol w:w="146"/>
        <w:gridCol w:w="249"/>
        <w:gridCol w:w="696"/>
        <w:gridCol w:w="146"/>
        <w:gridCol w:w="146"/>
        <w:gridCol w:w="313"/>
        <w:gridCol w:w="678"/>
        <w:gridCol w:w="33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segment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defense and advanced technologies segment revenues increased by $119.5 million due to a $105.8 million increase in product revenues and a $13.8 million increase in service revenues. The increase in segment product revenues was due to increases of $89.0 million in information security and cyber defense, $26.0 million in space and mission systems and $9.8 million in tactical networking, partially offset by a $19.1 million decrease in advanced technologies and other. The increase in segment service revenues was primarily driven by advanced technologies and other.</w:t>
      </w:r>
    </w:p>
    <w:p>
      <w:pPr>
        <w:pStyle w:val="TextBody"/>
        <w:bidi w:val="0"/>
        <w:spacing w:before="270" w:after="283"/>
        <w:jc w:val="left"/>
        <w:rPr>
          <w:rFonts w:ascii="Arial" w:hAnsi="Arial"/>
          <w:i/>
          <w:color w:val="000000"/>
          <w:sz w:val="20"/>
        </w:rPr>
      </w:pPr>
      <w:r>
        <w:rPr>
          <w:rFonts w:ascii="Arial" w:hAnsi="Arial"/>
          <w:i/>
          <w:color w:val="000000"/>
          <w:sz w:val="20"/>
        </w:rPr>
        <w:t>Segment operating profit (loss)</w:t>
      </w:r>
    </w:p>
    <w:tbl>
      <w:tblPr>
        <w:tblW w:w="8014" w:type="dxa"/>
        <w:jc w:val="left"/>
        <w:tblInd w:w="0" w:type="dxa"/>
        <w:tblLayout w:type="fixed"/>
        <w:tblCellMar>
          <w:top w:w="28" w:type="dxa"/>
          <w:left w:w="28" w:type="dxa"/>
          <w:bottom w:w="28" w:type="dxa"/>
          <w:right w:w="28" w:type="dxa"/>
        </w:tblCellMar>
      </w:tblPr>
      <w:tblGrid>
        <w:gridCol w:w="3001"/>
        <w:gridCol w:w="146"/>
        <w:gridCol w:w="226"/>
        <w:gridCol w:w="629"/>
        <w:gridCol w:w="286"/>
        <w:gridCol w:w="146"/>
        <w:gridCol w:w="226"/>
        <w:gridCol w:w="629"/>
        <w:gridCol w:w="286"/>
        <w:gridCol w:w="146"/>
        <w:gridCol w:w="307"/>
        <w:gridCol w:w="638"/>
        <w:gridCol w:w="166"/>
        <w:gridCol w:w="146"/>
        <w:gridCol w:w="1036"/>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r>
      <w:tr>
        <w:trPr/>
        <w:tc>
          <w:tcPr>
            <w:tcW w:w="3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millions, except percentages)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Increase</w:t>
              <w:br/>
              <w:t>(Decrease)</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Segment operating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Percentage of segment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slight decrease in our defense and advanced technologies segment operating profit was primarily due to higher SG&amp;A costs of $13.0 million and higher IR&amp;D expenditures of $12.9 million supporting space and mission system products and next-generation programs in encryption business in the current year period. These increases in costs were mostly offset by higher earnings contributions of $25.5 million, reflecting segment revenue growth year-over-year.</w:t>
      </w:r>
    </w:p>
    <w:p>
      <w:pPr>
        <w:pStyle w:val="TextBody"/>
        <w:bidi w:val="0"/>
        <w:spacing w:before="270" w:after="283"/>
        <w:jc w:val="left"/>
        <w:rPr>
          <w:rFonts w:ascii="Arial" w:hAnsi="Arial"/>
          <w:b/>
          <w:color w:val="000000"/>
          <w:sz w:val="20"/>
        </w:rPr>
      </w:pPr>
      <w:r>
        <w:rPr>
          <w:rFonts w:ascii="Arial" w:hAnsi="Arial"/>
          <w:b/>
          <w:color w:val="000000"/>
          <w:sz w:val="20"/>
        </w:rPr>
        <w:t>Fiscal Year 2025 Compared to Fiscal Year 2024</w:t>
      </w:r>
    </w:p>
    <w:p>
      <w:pPr>
        <w:pStyle w:val="TextBody"/>
        <w:bidi w:val="0"/>
        <w:spacing w:before="90" w:after="283"/>
        <w:jc w:val="left"/>
        <w:rPr>
          <w:rFonts w:ascii="Times New Roman" w:hAnsi="Times New Roman"/>
          <w:sz w:val="20"/>
        </w:rPr>
      </w:pPr>
      <w:r>
        <w:rPr>
          <w:rFonts w:ascii="Arial" w:hAnsi="Arial"/>
          <w:color w:val="000000"/>
          <w:sz w:val="20"/>
        </w:rPr>
        <w:t>For a discussion of our results of operations for fiscal year 2025 compared to fiscal year 2024, see “Management’s Discussion and Analysis of Financial Condition and Results of Operations” in Part II, Item 7 of our Annual Report on Form 10-K for the fiscal year ended March 31, 2025.</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r>
        <w:rPr>
          <w:rFonts w:ascii="Arial" w:hAnsi="Arial"/>
          <w:b/>
          <w:color w:val="000000"/>
          <w:sz w:val="20"/>
        </w:rPr>
        <w:t>Backlog</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Our firm and funded backlog as of March 31, 2026 is reflected in the table below:</w:t>
      </w:r>
    </w:p>
    <w:tbl>
      <w:tblPr>
        <w:tblW w:w="5148" w:type="dxa"/>
        <w:jc w:val="left"/>
        <w:tblInd w:w="0" w:type="dxa"/>
        <w:tblLayout w:type="fixed"/>
        <w:tblCellMar>
          <w:top w:w="28" w:type="dxa"/>
          <w:left w:w="28" w:type="dxa"/>
          <w:bottom w:w="28" w:type="dxa"/>
          <w:right w:w="28" w:type="dxa"/>
        </w:tblCellMar>
      </w:tblPr>
      <w:tblGrid>
        <w:gridCol w:w="3271"/>
        <w:gridCol w:w="146"/>
        <w:gridCol w:w="276"/>
        <w:gridCol w:w="984"/>
        <w:gridCol w:w="47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March 31,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millions)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Firm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2,861.0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1,211.9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4,072.9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Funded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2,782.1</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3,791.9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firm backlog does not include contract options. As of March 31, 2026, a little less than half of the firm backlog is expected to be delivered during the next 12 months, with the balance delivered thereafter. We include in our backlog only those orders for which we have accepted purchase orders, and not anticipated purchase orders and requests. In our communication services segment, our backlog includes fixed broadband service revenues under our subscriber agreements, but does not include future recurring IFC service revenues under our agreements with commercial airlines. As of March 31, 2026, our IFC systems were installed and in service on approximately 4,580 commercial aircraft, of which approximately 130 were inactive at fiscal year end (mostly due to standard aircraft maintenance). We anticipate that approximately 1,000 additional commercial aircraft will be put into service with our IFC systems under existing customer agreements with commercial airlines. Due to the nature of commercial airline contracts and other factors such as increased competition and OEM delays, there can be no assurance that all anticipated purchase orders and requests will be placed or that anticipated IFC services will be activated on all such additional commercial aircraft.</w:t>
      </w:r>
    </w:p>
    <w:p>
      <w:pPr>
        <w:pStyle w:val="TextBody"/>
        <w:bidi w:val="0"/>
        <w:spacing w:before="180" w:after="283"/>
        <w:jc w:val="left"/>
        <w:rPr>
          <w:rFonts w:ascii="Times New Roman" w:hAnsi="Times New Roman"/>
          <w:sz w:val="20"/>
        </w:rPr>
      </w:pPr>
      <w:r>
        <w:rPr>
          <w:rFonts w:ascii="Arial" w:hAnsi="Arial"/>
          <w:color w:val="000000"/>
          <w:sz w:val="20"/>
        </w:rPr>
        <w:t>Our total new awards which exclude future revenue under recurring consumer commitment arrangements were approximately $4.9 billion for fiscal year 2026 and $4.7 billion for fiscal year 2025.</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the termination of the related contract.</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r>
        <w:rPr>
          <w:rFonts w:ascii="Times New Roman" w:hAnsi="Times New Roman"/>
          <w:color w:val="000000"/>
          <w:sz w:val="20"/>
        </w:rPr>
        <w:t xml:space="preserve"> </w:t>
      </w:r>
    </w:p>
    <w:p>
      <w:pPr>
        <w:pStyle w:val="TextBody"/>
        <w:bidi w:val="0"/>
        <w:spacing w:before="270" w:after="283"/>
        <w:jc w:val="left"/>
        <w:rPr>
          <w:rFonts w:ascii="Arial" w:hAnsi="Arial"/>
          <w:b/>
          <w:color w:val="000000"/>
          <w:sz w:val="20"/>
        </w:rPr>
      </w:pPr>
      <w:r>
        <w:rPr>
          <w:rFonts w:ascii="Arial" w:hAnsi="Arial"/>
          <w:b/>
          <w:color w:val="000000"/>
          <w:sz w:val="20"/>
        </w:rPr>
        <w:t>Liquidity and Capital Resources</w:t>
      </w:r>
    </w:p>
    <w:p>
      <w:pPr>
        <w:pStyle w:val="TextBody"/>
        <w:bidi w:val="0"/>
        <w:spacing w:before="90" w:after="283"/>
        <w:jc w:val="left"/>
        <w:rPr>
          <w:rFonts w:ascii="Times New Roman" w:hAnsi="Times New Roman"/>
          <w:sz w:val="20"/>
        </w:rPr>
      </w:pPr>
      <w:r>
        <w:rPr>
          <w:rFonts w:ascii="Arial" w:hAnsi="Arial"/>
          <w:b/>
          <w:i/>
          <w:color w:val="000000"/>
          <w:sz w:val="20"/>
        </w:rPr>
        <w:t>Overview</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We have financed our operations to date primarily with cash flows from operations, bank line of credit financing, debt financing, export credit agency financing and equity financing. At March 31, 2026, we had $1.7 billion in cash and cash equivalents, $1.8 billion in working capital, no outstanding borrowings and borrowing availability of $598.2 million under the Viasat Revolving Credit Facility and no outstanding borrowings and borrowing availability of $550.0 million under the Inmarsat Revolving Credit Facility. At March 31, 2025, we had $1.6 billion in cash and cash equivalents, $1.2 billion in working capital, no outstanding borrowings and borrowing availability of $593.3 million under the Viasat Revolving Credit Facility, and no outstanding borrowings and borrowing availability of $550.0 million under the Inmarsat Revolving Credit Facility. We invest our cash in excess of current operating requirements in short-term, highly liquid bank money market funds primarily investing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The general cash needs of our business can vary significantly and our future capital requirements will depend upon many factors, including cash required for our satellite projects and any future broadband satellite projects we may engage in, expansion of our IR&amp;D and marketing efforts, and the nature and timing of orders. In particular:</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Our cash needs tend to be driven by the timing and amount of capital expenditures (e.g., payments under satellite construction and launch contracts and investments in ground infrastructure roll-out), the timing and amount of investments in IR&amp;D activities, investments in joint ventures, strategic partnering arrangements, network expansion activities, investments to obtain STCs to enable the retrofit installation of our IFC and W-IFE equipment, investments in platforms and software to support our services and entry into new markets, as well as the quality of customer, type of contract and payment terms.</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Other major factors determining cash needs tend to be the type and mix of contracts in backlog (e.g., product or service, development or production), timing of payments and payment terms (including restrictions on the timing of cash payments under U.S. Government procurement regulations), as well as contract duration and program performance. For example, if a program is performing well and meeting its contractual requirements, then its cash flow requirements are usually lower.</w:t>
      </w:r>
    </w:p>
    <w:p>
      <w:pPr>
        <w:pStyle w:val="TextBody"/>
        <w:bidi w:val="0"/>
        <w:spacing w:before="180" w:after="283"/>
        <w:jc w:val="left"/>
        <w:rPr>
          <w:rFonts w:ascii="Arial" w:hAnsi="Arial"/>
          <w:color w:val="000000"/>
          <w:sz w:val="20"/>
        </w:rPr>
      </w:pPr>
      <w:r>
        <w:rPr>
          <w:rFonts w:ascii="Arial" w:hAnsi="Arial"/>
          <w:color w:val="000000"/>
          <w:sz w:val="20"/>
        </w:rPr>
        <w:t>Additionally, we will continue to evaluate other possible acquisitions of, or investments in complementary businesses, products and technologies which may require the use of cash or additional financing.</w:t>
      </w:r>
    </w:p>
    <w:p>
      <w:pPr>
        <w:pStyle w:val="TextBody"/>
        <w:bidi w:val="0"/>
        <w:spacing w:before="180" w:after="283"/>
        <w:jc w:val="left"/>
        <w:rPr>
          <w:rFonts w:ascii="Arial" w:hAnsi="Arial"/>
          <w:color w:val="000000"/>
          <w:sz w:val="20"/>
        </w:rPr>
      </w:pPr>
      <w:r>
        <w:rPr>
          <w:rFonts w:ascii="Arial" w:hAnsi="Arial"/>
          <w:color w:val="000000"/>
          <w:sz w:val="20"/>
        </w:rPr>
        <w:t>In November 2023, we announced an important milestone in our integration program following our Inmarsat Acquisition. As part of our ongoing strategy to streamline operations and better serve our growing customer base, we completed our work on the rationalization of roles in our global business, which was intended to achieve both operational and cost efficiencies. As part of the role rationalization, we reduced our global workforce by approximately 800 positions, or approximately 10%, and recorded total costs (primarily related to employee severance payments, benefits and related termination costs) of approximately $48 million during fiscal year 2024. These one-time costs were recorded within operating expenses in our consolidated statements of operations and comprehensive income (loss) in both of our segments.</w:t>
      </w:r>
    </w:p>
    <w:p>
      <w:pPr>
        <w:pStyle w:val="TextBody"/>
        <w:bidi w:val="0"/>
        <w:spacing w:before="180" w:after="283"/>
        <w:jc w:val="left"/>
        <w:rPr>
          <w:rFonts w:ascii="Arial" w:hAnsi="Arial"/>
          <w:color w:val="000000"/>
          <w:sz w:val="20"/>
        </w:rPr>
      </w:pPr>
      <w:r>
        <w:rPr>
          <w:rFonts w:ascii="Arial" w:hAnsi="Arial"/>
          <w:color w:val="000000"/>
          <w:sz w:val="20"/>
        </w:rPr>
        <w:t>In June 2025, Inmarsat agreed to a binding term sheet with Ligado Networks (Ligado) and AST &amp; Science, LLC to settle Inmarsat's opposition to Ligado’s planned restructuring. Under the conditions set forth in the term sheet, we expected to receive an aggregate of $568 million from Ligado in fiscal year 2026, consisting of (i) a $420 million lump sum payment which we received in October 2025, (ii) a $100 million lump sum payment that was due in March 2026 that remains outstanding pending resolution of certain matters, and (iii) a resumption of quarterly payments of approximately $16 million, which started on September 30, 2025, with an annual escalator of 3% for the life of the contract (through 2107). The $420.0 million lump sum payment was allocated and recorded as deferred revenues and interest income in our consolidated financial statements (see Note 14 — Contingencies for further information).</w:t>
      </w:r>
    </w:p>
    <w:p>
      <w:pPr>
        <w:pStyle w:val="TextBody"/>
        <w:bidi w:val="0"/>
        <w:spacing w:before="180" w:after="283"/>
        <w:jc w:val="left"/>
        <w:rPr>
          <w:rFonts w:ascii="Arial" w:hAnsi="Arial"/>
          <w:color w:val="000000"/>
          <w:sz w:val="20"/>
        </w:rPr>
      </w:pPr>
      <w:r>
        <w:rPr>
          <w:rFonts w:ascii="Arial" w:hAnsi="Arial"/>
          <w:color w:val="000000"/>
          <w:sz w:val="20"/>
        </w:rPr>
        <w:t>In December 2025, we entered into an agreement to sell all of our interests in our equity method investment, Navarino UK, to Sogra Bidco Limited, a subsidiary of ICG. In March 2026, the sale was completed and we received sale proceeds of $203.0 million and recognized a gain on disposal of equity method investment of $168.1 million in the fourth quarter of fiscal year 2026 in other income (expense), net in the consolidated statements of operations and comprehensive income (loss).</w:t>
      </w:r>
    </w:p>
    <w:p>
      <w:pPr>
        <w:pStyle w:val="TextBody"/>
        <w:bidi w:val="0"/>
        <w:spacing w:before="180" w:after="283"/>
        <w:jc w:val="left"/>
        <w:rPr>
          <w:rFonts w:ascii="Arial" w:hAnsi="Arial"/>
          <w:color w:val="000000"/>
          <w:sz w:val="20"/>
        </w:rPr>
      </w:pPr>
      <w:r>
        <w:rPr>
          <w:rFonts w:ascii="Arial" w:hAnsi="Arial"/>
          <w:color w:val="000000"/>
          <w:sz w:val="20"/>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Link-16 TDL Sale that was completed in January 2023 for $1.96 billion in cash, as well as divestitures of non-core assets or businesses, such as the divestiture of our energy services system integration business in December 2024 or the sale of our investment in Navarino UK in March 2026.</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80" w:after="283"/>
        <w:jc w:val="left"/>
        <w:rPr>
          <w:rFonts w:ascii="Arial" w:hAnsi="Arial"/>
          <w:color w:val="000000"/>
          <w:sz w:val="20"/>
        </w:rPr>
      </w:pPr>
      <w:r>
        <w:rPr>
          <w:rFonts w:ascii="Arial" w:hAnsi="Arial"/>
          <w:color w:val="000000"/>
          <w:sz w:val="20"/>
        </w:rPr>
        <w:t>We may, from time to time, seek to retire, prepay or repurchase our outstanding debt, including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 In May 2025, we redeemed in full the remainder of Viasat’s 5.625% Senior Notes due 2025 and in November 2025, we repaid early all of the $300.0 million in principal amount of outstanding borrowings under Inmarsat’s original senior secured term loan facility (the Original Inmarsat Term Loan Facility). As a result, we recorded a loss of $11.9 million in (loss) gain on extinguishment of debt, net in the consolidated statement of operations and comprehensive income (loss) in fiscal year 2026, mostly related to an unamortized fair value adjustment made in purchase accounting.</w:t>
      </w:r>
    </w:p>
    <w:p>
      <w:pPr>
        <w:pStyle w:val="TextBody"/>
        <w:bidi w:val="0"/>
        <w:spacing w:before="180" w:after="283"/>
        <w:jc w:val="left"/>
        <w:rPr>
          <w:rFonts w:ascii="Arial" w:hAnsi="Arial"/>
          <w:color w:val="000000"/>
          <w:sz w:val="20"/>
        </w:rPr>
      </w:pPr>
      <w:r>
        <w:rPr>
          <w:rFonts w:ascii="Arial" w:hAnsi="Arial"/>
          <w:color w:val="000000"/>
          <w:sz w:val="20"/>
        </w:rPr>
        <w:t>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pStyle w:val="TextBody"/>
        <w:bidi w:val="0"/>
        <w:spacing w:before="270" w:after="283"/>
        <w:jc w:val="left"/>
        <w:rPr>
          <w:rFonts w:ascii="Times New Roman" w:hAnsi="Times New Roman"/>
          <w:sz w:val="20"/>
        </w:rPr>
      </w:pPr>
      <w:r>
        <w:rPr>
          <w:rFonts w:ascii="Arial" w:hAnsi="Arial"/>
          <w:b/>
          <w:i/>
          <w:color w:val="000000"/>
          <w:sz w:val="20"/>
        </w:rPr>
        <w:t>Cash flows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Cash provided by operating activities for fiscal year 2026 was $1.6 billion compared to $908.2 million for fiscal year 2025. This $681.7 million increase was driven by a $375.0 million year-over-year decrease in cash used to fund net operating assets and our operating results (net income (loss) adjusted for depreciation, amortization and other non-cash charges), which resulted in $306.7 million of higher cash provided by operating activities year-over-year. The decrease in cash used to fund net operating assets during fiscal year 2026 when compared to the prior year period was primarily due to an increase in our deferred revenues that was largely attributable to the receipt of the $420.0 million lump sum payment from Ligado during the current year period (see Note 14 — Contingencies to our consolidated financial statements for further information) and timing of payments related to accrued liabilities driven by interest and income taxes payables. Cash paid for income taxes, net, during fiscal years 2026 and 2025 was $80.7 million and $196.3 million, respectively. Cash paid for interest (net of amounts capitalized) during fiscal years 2026 and 2025 was $326.5 million and $390.0 million, respectively.</w:t>
      </w:r>
    </w:p>
    <w:p>
      <w:pPr>
        <w:pStyle w:val="TextBody"/>
        <w:bidi w:val="0"/>
        <w:spacing w:before="180" w:after="283"/>
        <w:jc w:val="left"/>
        <w:rPr>
          <w:rFonts w:ascii="Arial" w:hAnsi="Arial"/>
          <w:color w:val="000000"/>
          <w:sz w:val="20"/>
        </w:rPr>
      </w:pPr>
      <w:r>
        <w:rPr>
          <w:rFonts w:ascii="Arial" w:hAnsi="Arial"/>
          <w:color w:val="000000"/>
          <w:sz w:val="20"/>
        </w:rPr>
        <w:t>Cash used in investing activities for fiscal year 2026 was $759.0 million compared to $758.4 million for fiscal year 2025. This insignificant increase was primarily driven by a $241.5 million decrease in cash receipts related to satellite insurance claim proceeds year-over-year as the final payment was received in the first quarter of fiscal year 2026 and a $37.4 million decrease in cash used for capital expenditures, partially offset by $203.0 million of proceeds from the sale of all of our interests in our equity method investment, Navarino UK, in the current year period (see Note 1 — The Company and a Summary of Its Significant Accounting Policies to our consolidated financial statements for further information).</w:t>
      </w:r>
    </w:p>
    <w:p>
      <w:pPr>
        <w:pStyle w:val="TextBody"/>
        <w:bidi w:val="0"/>
        <w:spacing w:before="180" w:after="283"/>
        <w:jc w:val="left"/>
        <w:rPr>
          <w:rFonts w:ascii="Arial" w:hAnsi="Arial"/>
          <w:color w:val="000000"/>
          <w:sz w:val="20"/>
        </w:rPr>
      </w:pPr>
      <w:r>
        <w:rPr>
          <w:rFonts w:ascii="Arial" w:hAnsi="Arial"/>
          <w:color w:val="000000"/>
          <w:sz w:val="20"/>
        </w:rPr>
        <w:t>Cash used in financing activities for fiscal year 2026 was $694.4 million compared to $442.6 million for fiscal year 2025. This $251.8 million increase was primarily attributable to the early repayment of the Original Inmarsat Term Loan Facility (see Note 7 — Senior Notes and Other Long-Term Debt to our consolidated financial statements for further information) and distributions to our minority shareholders of $59.7 million in the current year period, partially offset by $175.9 million of proceeds from Viasat's direct loan facility with the Export-Import Bank of the United States (the Ex-Im Credit Facility).</w:t>
      </w:r>
    </w:p>
    <w:p>
      <w:pPr>
        <w:pStyle w:val="TextBody"/>
        <w:bidi w:val="0"/>
        <w:spacing w:before="270" w:after="283"/>
        <w:jc w:val="left"/>
        <w:rPr>
          <w:rFonts w:ascii="Arial" w:hAnsi="Arial"/>
          <w:b/>
          <w:i/>
          <w:color w:val="000000"/>
          <w:sz w:val="20"/>
        </w:rPr>
      </w:pPr>
      <w:r>
        <w:rPr>
          <w:rFonts w:ascii="Arial" w:hAnsi="Arial"/>
          <w:b/>
          <w:i/>
          <w:color w:val="000000"/>
          <w:sz w:val="20"/>
        </w:rPr>
        <w:t>Capital Expenditures and IR&amp;D Investments</w:t>
      </w:r>
    </w:p>
    <w:p>
      <w:pPr>
        <w:pStyle w:val="TextBody"/>
        <w:bidi w:val="0"/>
        <w:spacing w:before="90" w:after="283"/>
        <w:jc w:val="left"/>
        <w:rPr>
          <w:rFonts w:ascii="Times New Roman" w:hAnsi="Times New Roman"/>
          <w:sz w:val="20"/>
        </w:rPr>
      </w:pPr>
      <w:r>
        <w:rPr>
          <w:rFonts w:ascii="Arial" w:hAnsi="Arial"/>
          <w:color w:val="000000"/>
          <w:sz w:val="20"/>
        </w:rPr>
        <w:t>Capital expenditures in fiscal year 2026 of $1.0 billion were slightly lower than fiscal year 2025, reflecting efforts to continue to optimize our capital expenditures as we integrate our businesses and prioritize our investments. Our total capital expenditures in fiscal year 2027 may be flat to slightly down compared to fiscal year 2026, as we continue to manage investments in our business as a whole and remain committed to meaningfully reducing aggregate capital expenditures as part of our Inmarsat integration strategy and as satellites currently under construction are completed. See Note 13 — Commitments to our consolidated financial statements for information as of March 31, 2026 regarding our future minimum payments under our satellite construction contracts and other satellite-related purchase commitments (including satellite performance incentive obligations relating to the ViaSat-1 and ViaSat-2 satellites) for the next five fiscal years and thereafter.</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We also incur IR&amp;D expenses, which are not directly funded by a third party. IR&amp;D expenses consist primarily of salaries and other personnel-related expenses, supplies, prototype materials, testing and certification related to R&amp;D projects. Our IR&amp;D investments are expected to continue through fiscal year 2027 and beyond to support our growth, acceleration of new opportunities and entry into new markets (for example direct-to-device, multi-orbit investments, next-generation programs in encryption business and tactical networking products). IR&amp;D expenses were approximately 4%, 3% and 4% of total revenues in fiscal years 2026, 2025 and 2024, respectively. As a government contractor, we are able to recover a portion of our IR&amp;D expenses pursuant to our government contracts.</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Arial" w:hAnsi="Arial"/>
          <w:b/>
          <w:i/>
          <w:color w:val="000000"/>
          <w:sz w:val="20"/>
        </w:rPr>
      </w:pPr>
      <w:r>
        <w:rPr>
          <w:rFonts w:ascii="Arial" w:hAnsi="Arial"/>
          <w:b/>
          <w:i/>
          <w:color w:val="000000"/>
          <w:sz w:val="20"/>
        </w:rPr>
        <w:t>Long-Term Debt</w:t>
      </w:r>
    </w:p>
    <w:p>
      <w:pPr>
        <w:pStyle w:val="TextBody"/>
        <w:bidi w:val="0"/>
        <w:spacing w:before="90" w:after="283"/>
        <w:jc w:val="left"/>
        <w:rPr>
          <w:rFonts w:ascii="Arial" w:hAnsi="Arial"/>
          <w:color w:val="000000"/>
          <w:sz w:val="20"/>
        </w:rPr>
      </w:pPr>
      <w:r>
        <w:rPr>
          <w:rFonts w:ascii="Arial" w:hAnsi="Arial"/>
          <w:color w:val="000000"/>
          <w:sz w:val="20"/>
        </w:rPr>
        <w:t>As of March 31, 2026, the aggregate principal amount of our total outstanding indebtedness was $6.6 billion, which was comprised of (1) $600.0 million in aggregate principal amount of Viasat's 5.625% Senior Secured Notes due 2027 (the 2027 Notes), $400.0 million in aggregate principal amount of Viasat's 6.500% Senior Notes due 2028 (the 2028 Notes), $1.975 billion in aggregate principal amount of Inmarsat's 9.000% Senior Secured Notes due 2029 and $733.4 million in aggregate principal amount of Viasat's 7.500% Senior Notes due 2031 (the 2031 Notes), (2) $673.8 million in principal amount of outstanding borrowings under Viasat's $700.0 million senior secured term loan facility (the 2022 Term Loan Facility), $601.3 million in principal amount of outstanding borrowings under Viasat's $616.7 million senior secured term loan facility (the 2023 Term Loan Facility), $1.3 billion in principal amount of outstanding borrowings under Inmarsat's senior secured term loan facility (the Inmarsat Term Loan Facility), no outstanding borrowings under our Revolving Credit Facilities, and $188.7 million in principal amount of outstanding borrowings under the Ex-Im Credit Facility, and (3) $139.0 million of finance lease obligations. For information regarding our outstanding indebtedness, refer to Note 7 — Senior Notes and Other Long-Term Debt to our consolidated financial statements.</w:t>
      </w:r>
    </w:p>
    <w:p>
      <w:pPr>
        <w:pStyle w:val="TextBody"/>
        <w:bidi w:val="0"/>
        <w:spacing w:before="270" w:after="283"/>
        <w:jc w:val="left"/>
        <w:rPr>
          <w:rFonts w:ascii="Times New Roman" w:hAnsi="Times New Roman"/>
          <w:sz w:val="20"/>
        </w:rPr>
      </w:pPr>
      <w:r>
        <w:rPr>
          <w:rFonts w:ascii="Arial" w:hAnsi="Arial"/>
          <w:b/>
          <w:color w:val="000000"/>
          <w:sz w:val="20"/>
        </w:rPr>
        <w:t>Contractual Obligations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following table sets forth a summary of certain material cash requirements for known contractual obligations and commitments at March 31, 2026:</w:t>
      </w:r>
      <w:r>
        <w:rPr>
          <w:rFonts w:ascii="Times New Roman" w:hAnsi="Times New Roman"/>
          <w:color w:val="000000"/>
          <w:sz w:val="20"/>
        </w:rPr>
        <w:t xml:space="preserve"> </w:t>
      </w:r>
    </w:p>
    <w:tbl>
      <w:tblPr>
        <w:tblW w:w="8627" w:type="dxa"/>
        <w:jc w:val="left"/>
        <w:tblInd w:w="0" w:type="dxa"/>
        <w:tblLayout w:type="fixed"/>
        <w:tblCellMar>
          <w:top w:w="28" w:type="dxa"/>
          <w:left w:w="28" w:type="dxa"/>
          <w:bottom w:w="28" w:type="dxa"/>
          <w:right w:w="28" w:type="dxa"/>
        </w:tblCellMar>
      </w:tblPr>
      <w:tblGrid>
        <w:gridCol w:w="5476"/>
        <w:gridCol w:w="146"/>
        <w:gridCol w:w="243"/>
        <w:gridCol w:w="1107"/>
        <w:gridCol w:w="146"/>
        <w:gridCol w:w="146"/>
        <w:gridCol w:w="211"/>
        <w:gridCol w:w="961"/>
        <w:gridCol w:w="191"/>
      </w:tblGrid>
      <w:tr>
        <w:trPr/>
        <w:tc>
          <w:tcPr>
            <w:tcW w:w="5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including interest where applicable)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Next 12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594,767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Senior notes and other long-term debt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7,965,902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Purchase commitments including satellite-related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1,018,717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1,256,727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9,817,396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Arial" w:hAnsi="Arial"/>
          <w:color w:val="000000"/>
          <w:sz w:val="13"/>
        </w:rPr>
        <w:t xml:space="preserve">(1) </w:t>
      </w:r>
      <w:r>
        <w:rPr>
          <w:rFonts w:ascii="Arial" w:hAnsi="Arial"/>
          <w:color w:val="000000"/>
          <w:sz w:val="20"/>
        </w:rPr>
        <w:t>To the extent that the interest rate on any long-term debt is variable, amounts reflected represent estimated interest payments on the applicable current outstanding balance based on the interest rate at March 31, 2026 until the applicable maturity date.</w:t>
      </w:r>
    </w:p>
    <w:p>
      <w:pPr>
        <w:pStyle w:val="TextBody"/>
        <w:bidi w:val="0"/>
        <w:spacing w:before="180" w:after="283"/>
        <w:jc w:val="left"/>
        <w:rPr>
          <w:rFonts w:ascii="Arial" w:hAnsi="Arial"/>
          <w:color w:val="000000"/>
          <w:sz w:val="20"/>
        </w:rPr>
      </w:pPr>
      <w:r>
        <w:rPr>
          <w:rFonts w:ascii="Arial" w:hAnsi="Arial"/>
          <w:color w:val="000000"/>
          <w:sz w:val="20"/>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pStyle w:val="TextBody"/>
        <w:bidi w:val="0"/>
        <w:spacing w:before="180" w:after="283"/>
        <w:jc w:val="left"/>
        <w:rPr>
          <w:rFonts w:ascii="Arial" w:hAnsi="Arial"/>
          <w:color w:val="000000"/>
          <w:sz w:val="20"/>
        </w:rPr>
      </w:pPr>
      <w:r>
        <w:rPr>
          <w:rFonts w:ascii="Arial" w:hAnsi="Arial"/>
          <w:color w:val="000000"/>
          <w:sz w:val="20"/>
        </w:rPr>
        <w:t>Our consolidated balance sheets included $2.4 billion and $2.2 billion of “other liabilities” as of March 31, 2026 and March 31, 2025, respectively, which primarily consisted of deferred income taxes and the long-term portion of deferred revenues. These remaining liabilities have been excluded from the above table as the timing and/or the amount of any cash payment is uncertain.</w:t>
      </w:r>
    </w:p>
    <w:p>
      <w:pPr>
        <w:pStyle w:val="TextBody"/>
        <w:bidi w:val="0"/>
        <w:spacing w:before="270" w:after="283"/>
        <w:jc w:val="left"/>
        <w:rPr>
          <w:rFonts w:ascii="Times New Roman" w:hAnsi="Times New Roman"/>
          <w:sz w:val="20"/>
        </w:rPr>
      </w:pPr>
      <w:r>
        <w:rPr>
          <w:rFonts w:ascii="Arial" w:hAnsi="Arial"/>
          <w:b/>
          <w:color w:val="000000"/>
          <w:sz w:val="20"/>
        </w:rPr>
        <w:t>Off-Balance Sheet Arrangements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had no material off-balance sheet arrangements at March 31, 2026 as defined in Regulation S-K Item 303(b) other than as discussed under “Contractual Obligations” above or disclosed in the notes to our consolidated financial statements included in this report.</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Recent Authoritative Guidance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For information regarding recently adopted and issued accounting pronouncements, see Note 1 — The Company and a Summary of Its Significant Accounting Policies to the consolidated financial statements</w:t>
      </w:r>
      <w:r>
        <w:rPr>
          <w:rFonts w:ascii="Arial" w:hAnsi="Arial"/>
          <w:i/>
          <w:color w:val="000000"/>
          <w:sz w:val="20"/>
        </w:rPr>
        <w: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14" w:name="item_7a_quantitative_qualitative_disclos"/>
      <w:bookmarkEnd w:id="14"/>
      <w:r>
        <w:rPr>
          <w:rFonts w:ascii="Arial" w:hAnsi="Arial"/>
          <w:b/>
          <w:color w:val="000000"/>
          <w:sz w:val="20"/>
        </w:rPr>
        <w:t>ITEM 7A.</w:t>
      </w:r>
      <w:r>
        <w:rPr>
          <w:rFonts w:ascii="Times New Roman" w:hAnsi="Times New Roman"/>
          <w:color w:val="000000"/>
          <w:sz w:val="20"/>
        </w:rPr>
        <w:t xml:space="preserve"> </w:t>
      </w:r>
      <w:r>
        <w:rPr>
          <w:rFonts w:ascii="Arial" w:hAnsi="Arial"/>
          <w:b/>
          <w:i/>
          <w:color w:val="000000"/>
          <w:sz w:val="20"/>
        </w:rPr>
        <w:t>QUANTITATIVE AND QUALITATIVE DISCLOSURES ABOUT MARKET RISK</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Interest Rate Risk</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Our financial instruments consist of cash and cash equivalents, restricted cash, accounts receivable, accounts payable and short-term and long-term obligations (including the Credit Facilities and the Notes).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remaining Credit Facilities, cash equivalents and short-term obligations.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securities and treasuries.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Our primary interest rate under our variable rate Credit Facilities is the forward-looking term SOFR rate plus an applicable margin. As of March 31, 2026, the effective interest rate on our outstanding borrowings under the 2022 Term Loan Facility was 8.82%, under the 2023 Term Loan Facility was 9.29%, and under the Inmarsat Term Loan Facility was 9.11%. As of March 31, 2026, the effective interest rate that would have been applied to any new SOFR-based borrowings under the Viasat Revolving Credit Facility was approximately 6.11%, and under the Inmarsat Revolving Credit Facility was approximately 6.41%. As of March 31, 2026, we had no outstanding borrowings under our Revolving Credit Facilities. Accordingly, assuming the outstanding balance under the 2022 Term Loan Facility, the 2023 Term Loan Facility and the Inmarsat Term Loan Facility remained constant over a year and we continued to have no outstanding borrowings under the Revolving Credit Facilities, a 10% increase in the interest rates would increase interest incurred, prior to effects of capitalized interest, by approximately $21.1 million over a 12-month period.</w:t>
      </w:r>
    </w:p>
    <w:p>
      <w:pPr>
        <w:pStyle w:val="TextBody"/>
        <w:bidi w:val="0"/>
        <w:spacing w:before="270" w:after="283"/>
        <w:jc w:val="left"/>
        <w:rPr>
          <w:rFonts w:ascii="Times New Roman" w:hAnsi="Times New Roman"/>
          <w:sz w:val="20"/>
        </w:rPr>
      </w:pPr>
      <w:r>
        <w:rPr>
          <w:rFonts w:ascii="Arial" w:hAnsi="Arial"/>
          <w:b/>
          <w:color w:val="000000"/>
          <w:sz w:val="20"/>
        </w:rPr>
        <w:t>Foreign Exchange Risk</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each of the fiscal years ended March 31, 2026 and 2025.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pStyle w:val="TextBody"/>
        <w:bidi w:val="0"/>
        <w:spacing w:before="270" w:after="283"/>
        <w:jc w:val="left"/>
        <w:rPr>
          <w:rFonts w:ascii="Times New Roman" w:hAnsi="Times New Roman"/>
          <w:sz w:val="20"/>
        </w:rPr>
      </w:pPr>
      <w:bookmarkStart w:id="15" w:name="item_8_financial_statements_supplementar"/>
      <w:bookmarkEnd w:id="15"/>
      <w:r>
        <w:rPr>
          <w:rFonts w:ascii="Arial" w:hAnsi="Arial"/>
          <w:b/>
          <w:color w:val="000000"/>
          <w:sz w:val="20"/>
        </w:rPr>
        <w:t>ITEM 8.</w:t>
      </w:r>
      <w:r>
        <w:rPr>
          <w:rFonts w:ascii="Times New Roman" w:hAnsi="Times New Roman"/>
          <w:color w:val="000000"/>
          <w:sz w:val="20"/>
        </w:rPr>
        <w:t xml:space="preserve"> </w:t>
      </w:r>
      <w:r>
        <w:rPr>
          <w:rFonts w:ascii="Arial" w:hAnsi="Arial"/>
          <w:b/>
          <w:i/>
          <w:color w:val="000000"/>
          <w:sz w:val="20"/>
        </w:rPr>
        <w:t>FINANCIAL STATEMENTS AND SUPPLEMENTARY DATA</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Our consolidated financial statements at March 31, 2026 and March 31, 2025 and for each of the three fiscal years in the period ended March 31, 2026, and the Report of PricewaterhouseCoopers LLP, Independent Registered Public Accounting Firm (PCAOB ID 238), are included in this report on pages F-1</w:t>
      </w:r>
      <w:r>
        <w:rPr>
          <w:rFonts w:ascii="Times New Roman" w:hAnsi="Times New Roman"/>
          <w:color w:val="000000"/>
          <w:sz w:val="20"/>
        </w:rPr>
        <w:t xml:space="preserve"> </w:t>
      </w:r>
      <w:r>
        <w:rPr>
          <w:rFonts w:ascii="Arial" w:hAnsi="Arial"/>
          <w:color w:val="000000"/>
          <w:sz w:val="20"/>
        </w:rPr>
        <w:t>through F-55.</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70" w:after="283"/>
        <w:jc w:val="left"/>
        <w:rPr>
          <w:rFonts w:ascii="Times New Roman" w:hAnsi="Times New Roman"/>
          <w:sz w:val="20"/>
        </w:rPr>
      </w:pPr>
      <w:bookmarkStart w:id="16" w:name="item_9_changes_in_disagreements_with_acc"/>
      <w:bookmarkEnd w:id="16"/>
      <w:r>
        <w:rPr>
          <w:rFonts w:ascii="Arial" w:hAnsi="Arial"/>
          <w:b/>
          <w:color w:val="000000"/>
          <w:sz w:val="20"/>
        </w:rPr>
        <w:t>ITEM 9.</w:t>
      </w:r>
      <w:r>
        <w:rPr>
          <w:rFonts w:ascii="Times New Roman" w:hAnsi="Times New Roman"/>
          <w:color w:val="000000"/>
          <w:sz w:val="20"/>
        </w:rPr>
        <w:t xml:space="preserve"> </w:t>
      </w:r>
      <w:r>
        <w:rPr>
          <w:rFonts w:ascii="Arial" w:hAnsi="Arial"/>
          <w:b/>
          <w:i/>
          <w:color w:val="000000"/>
          <w:sz w:val="20"/>
        </w:rPr>
        <w:t>CHANGES IN AND DISAGREEMENTS WITH ACCOUNTANTS ON ACCOUNTING AND FINANCIAL DISCLOSURE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None.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17" w:name="item_9a_controls_procedures"/>
      <w:bookmarkEnd w:id="17"/>
      <w:r>
        <w:rPr>
          <w:rFonts w:ascii="Arial" w:hAnsi="Arial"/>
          <w:b/>
          <w:color w:val="000000"/>
          <w:sz w:val="20"/>
        </w:rPr>
        <w:t>ITEM 9A.</w:t>
      </w:r>
      <w:r>
        <w:rPr>
          <w:rFonts w:ascii="Times New Roman" w:hAnsi="Times New Roman"/>
          <w:color w:val="000000"/>
          <w:sz w:val="20"/>
        </w:rPr>
        <w:t xml:space="preserve"> </w:t>
      </w:r>
      <w:r>
        <w:rPr>
          <w:rFonts w:ascii="Arial" w:hAnsi="Arial"/>
          <w:b/>
          <w:i/>
          <w:color w:val="000000"/>
          <w:sz w:val="20"/>
        </w:rPr>
        <w:t>CONTROLS</w:t>
      </w:r>
      <w:r>
        <w:rPr>
          <w:rFonts w:ascii="Times New Roman" w:hAnsi="Times New Roman"/>
          <w:color w:val="000000"/>
          <w:sz w:val="20"/>
        </w:rPr>
        <w:t xml:space="preserve"> </w:t>
      </w:r>
      <w:r>
        <w:rPr>
          <w:rFonts w:ascii="Arial" w:hAnsi="Arial"/>
          <w:b/>
          <w:i/>
          <w:color w:val="000000"/>
          <w:sz w:val="20"/>
        </w:rPr>
        <w:t>AND PROCEDURES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color w:val="000000"/>
          <w:sz w:val="20"/>
        </w:rPr>
        <w:t>Evaluation of Disclosure Controls and Procedures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180" w:after="283"/>
        <w:jc w:val="left"/>
        <w:rPr>
          <w:rFonts w:ascii="Times New Roman" w:hAnsi="Times New Roman"/>
          <w:sz w:val="20"/>
        </w:rPr>
      </w:pPr>
      <w:r>
        <w:rPr>
          <w:rFonts w:ascii="Arial" w:hAnsi="Arial"/>
          <w:color w:val="000000"/>
          <w:sz w:val="20"/>
        </w:rPr>
        <w:t>As required by SEC Rule 13a-15(b), we carried out an evaluation, with the participation of our management, including our Chief Executive Officer and Chief Financial Officer, of the effectiveness of our disclosure controls and procedures as of March 31, 2026, the end of the period covered by this report. Based upon the foregoing, our Chief Executive Officer and Chief Financial Officer concluded that our disclosure controls and procedures were effective at a reasonable assurance level as of March 31, 2026.</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Management’s Report on Internal Control Over Financial Reporting</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hAnsi="Arial"/>
          <w:i/>
          <w:color w:val="000000"/>
          <w:sz w:val="20"/>
        </w:rPr>
        <w:t>Internal Control — Integrated Framework (2013)</w:t>
      </w:r>
      <w:r>
        <w:rPr>
          <w:rFonts w:ascii="Times New Roman" w:hAnsi="Times New Roman"/>
          <w:color w:val="000000"/>
          <w:sz w:val="20"/>
        </w:rPr>
        <w:t xml:space="preserve"> </w:t>
      </w:r>
      <w:r>
        <w:rPr>
          <w:rFonts w:ascii="Arial" w:hAnsi="Arial"/>
          <w:color w:val="000000"/>
          <w:sz w:val="20"/>
        </w:rPr>
        <w:t>issued by the Committee of Sponsoring Organizations of the Treadway Commission. Based on this evaluation, the Company’s management concluded that its internal control over financial reporting was effective as of March 31, 2026.</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before="180" w:after="283"/>
        <w:jc w:val="left"/>
        <w:rPr>
          <w:rFonts w:ascii="Times New Roman" w:hAnsi="Times New Roman"/>
          <w:sz w:val="20"/>
        </w:rPr>
      </w:pPr>
      <w:r>
        <w:rPr>
          <w:rFonts w:ascii="Arial" w:hAnsi="Arial"/>
          <w:color w:val="000000"/>
          <w:sz w:val="20"/>
        </w:rPr>
        <w:t>The Company’s independent registered public accounting firm has audited the effectiveness of the Company’s internal control over financial reporting as of March 31, 2026, as stated in their report which appears on page F-1.</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color w:val="000000"/>
          <w:sz w:val="20"/>
        </w:rPr>
        <w:t>Changes in Internal Control Over Financial Reporting</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March 31, 2026, there were no changes in our internal control over financial reporting that have materially affected, or are reasonably likely to materially affect, our internal control over financial reporting.</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18" w:name="item_9b_or_information"/>
      <w:bookmarkEnd w:id="18"/>
      <w:r>
        <w:rPr>
          <w:rFonts w:ascii="Arial" w:hAnsi="Arial"/>
          <w:b/>
          <w:color w:val="000000"/>
          <w:sz w:val="20"/>
        </w:rPr>
        <w:t>ITEM 9B.</w:t>
      </w:r>
      <w:r>
        <w:rPr>
          <w:rFonts w:ascii="Times New Roman" w:hAnsi="Times New Roman"/>
          <w:color w:val="000000"/>
          <w:sz w:val="20"/>
        </w:rPr>
        <w:t xml:space="preserve"> </w:t>
      </w:r>
      <w:r>
        <w:rPr>
          <w:rFonts w:ascii="Arial" w:hAnsi="Arial"/>
          <w:b/>
          <w:i/>
          <w:color w:val="000000"/>
          <w:sz w:val="20"/>
        </w:rPr>
        <w:t>OTHER</w:t>
      </w:r>
      <w:r>
        <w:rPr>
          <w:rFonts w:ascii="Times New Roman" w:hAnsi="Times New Roman"/>
          <w:color w:val="000000"/>
          <w:sz w:val="20"/>
        </w:rPr>
        <w:t xml:space="preserve"> </w:t>
      </w:r>
      <w:r>
        <w:rPr>
          <w:rFonts w:ascii="Arial" w:hAnsi="Arial"/>
          <w:b/>
          <w:i/>
          <w:color w:val="000000"/>
          <w:sz w:val="20"/>
        </w:rPr>
        <w:t>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On February 10, 2026, John Stenbit, a member of our Board of Directors, adopted a Rule 10b5-1 trading arrangement that is intended to satisfy the affirmative defense conditions of Rule 10b5-1(c) for the sale of up to 5,000</w:t>
      </w:r>
      <w:r>
        <w:rPr>
          <w:rFonts w:ascii="Times New Roman" w:hAnsi="Times New Roman"/>
          <w:color w:val="000000"/>
          <w:sz w:val="20"/>
        </w:rPr>
        <w:t xml:space="preserve"> </w:t>
      </w:r>
      <w:r>
        <w:rPr>
          <w:rFonts w:ascii="Arial" w:hAnsi="Arial"/>
          <w:color w:val="000000"/>
          <w:sz w:val="20"/>
        </w:rPr>
        <w:t>shares of our common stock if certain price thresholds are met from June 3, 2026</w:t>
      </w:r>
      <w:r>
        <w:rPr>
          <w:rFonts w:ascii="Times New Roman" w:hAnsi="Times New Roman"/>
          <w:color w:val="000000"/>
          <w:sz w:val="20"/>
        </w:rPr>
        <w:t xml:space="preserve"> </w:t>
      </w:r>
      <w:r>
        <w:rPr>
          <w:rFonts w:ascii="Arial" w:hAnsi="Arial"/>
          <w:color w:val="000000"/>
          <w:sz w:val="20"/>
        </w:rPr>
        <w:t>until September 1, 2026.</w:t>
      </w:r>
    </w:p>
    <w:p>
      <w:pPr>
        <w:pStyle w:val="TextBody"/>
        <w:bidi w:val="0"/>
        <w:spacing w:before="90" w:after="283"/>
        <w:jc w:val="left"/>
        <w:rPr>
          <w:rFonts w:ascii="Times New Roman" w:hAnsi="Times New Roman"/>
          <w:sz w:val="20"/>
        </w:rPr>
      </w:pPr>
      <w:r>
        <w:rPr>
          <w:rFonts w:ascii="Arial" w:hAnsi="Arial"/>
          <w:color w:val="000000"/>
          <w:sz w:val="20"/>
        </w:rPr>
        <w:t>On February 25, 2026, Garrett Chase, our</w:t>
      </w:r>
      <w:r>
        <w:rPr>
          <w:rFonts w:ascii="Times New Roman" w:hAnsi="Times New Roman"/>
          <w:color w:val="000000"/>
          <w:sz w:val="20"/>
        </w:rPr>
        <w:t xml:space="preserve"> </w:t>
      </w:r>
      <w:r>
        <w:rPr>
          <w:rFonts w:ascii="Arial" w:hAnsi="Arial"/>
          <w:color w:val="000000"/>
          <w:sz w:val="20"/>
        </w:rPr>
        <w:t>Chief Financial Officer, adopted a Rule 10b5-1 trading arrangement that is intended to satisfy the affirmative defense conditions of Rule 10b5-1(c) for the sale of up to 88,000</w:t>
      </w:r>
      <w:r>
        <w:rPr>
          <w:rFonts w:ascii="Times New Roman" w:hAnsi="Times New Roman"/>
          <w:color w:val="000000"/>
          <w:sz w:val="20"/>
        </w:rPr>
        <w:t xml:space="preserve"> </w:t>
      </w:r>
      <w:r>
        <w:rPr>
          <w:rFonts w:ascii="Arial" w:hAnsi="Arial"/>
          <w:color w:val="000000"/>
          <w:sz w:val="20"/>
        </w:rPr>
        <w:t>shares of our common stock if certain price thresholds are met from June 3, 2026</w:t>
      </w:r>
      <w:r>
        <w:rPr>
          <w:rFonts w:ascii="Times New Roman" w:hAnsi="Times New Roman"/>
          <w:color w:val="000000"/>
          <w:sz w:val="20"/>
        </w:rPr>
        <w:t xml:space="preserve"> </w:t>
      </w:r>
      <w:r>
        <w:rPr>
          <w:rFonts w:ascii="Arial" w:hAnsi="Arial"/>
          <w:color w:val="000000"/>
          <w:sz w:val="20"/>
        </w:rPr>
        <w:t>until February 25, 2028.</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0" w:after="283"/>
        <w:jc w:val="left"/>
        <w:rPr>
          <w:rFonts w:ascii="Times New Roman" w:hAnsi="Times New Roman"/>
          <w:sz w:val="20"/>
        </w:rPr>
      </w:pPr>
      <w:r>
        <w:rPr>
          <w:rFonts w:ascii="Arial" w:hAnsi="Arial"/>
          <w:color w:val="000000"/>
          <w:sz w:val="20"/>
        </w:rPr>
        <w:t>On March 9, 2026, Theresa Wise, a member of our Board of Directors, adopted</w:t>
      </w:r>
      <w:r>
        <w:rPr>
          <w:rFonts w:ascii="Times New Roman" w:hAnsi="Times New Roman"/>
          <w:color w:val="000000"/>
          <w:sz w:val="20"/>
        </w:rPr>
        <w:t xml:space="preserve"> </w:t>
      </w:r>
      <w:r>
        <w:rPr>
          <w:rFonts w:ascii="Arial" w:hAnsi="Arial"/>
          <w:color w:val="000000"/>
          <w:sz w:val="20"/>
        </w:rPr>
        <w:t>a Rule 10b5-1 trading arrangement that is intended to satisfy the affirmative defense conditions of Rule 10b5-1(c) for the sale of up to 2,500</w:t>
      </w:r>
      <w:r>
        <w:rPr>
          <w:rFonts w:ascii="Times New Roman" w:hAnsi="Times New Roman"/>
          <w:color w:val="000000"/>
          <w:sz w:val="20"/>
        </w:rPr>
        <w:t xml:space="preserve"> </w:t>
      </w:r>
      <w:r>
        <w:rPr>
          <w:rFonts w:ascii="Arial" w:hAnsi="Arial"/>
          <w:color w:val="000000"/>
          <w:sz w:val="20"/>
        </w:rPr>
        <w:t>shares of our common stock (to be acquired upon the exercise of options if certain price thresholds are met) from June 8, 2026</w:t>
      </w:r>
      <w:r>
        <w:rPr>
          <w:rFonts w:ascii="Times New Roman" w:hAnsi="Times New Roman"/>
          <w:color w:val="000000"/>
          <w:sz w:val="20"/>
        </w:rPr>
        <w:t xml:space="preserve"> </w:t>
      </w:r>
      <w:r>
        <w:rPr>
          <w:rFonts w:ascii="Arial" w:hAnsi="Arial"/>
          <w:color w:val="000000"/>
          <w:sz w:val="20"/>
        </w:rPr>
        <w:t>until</w:t>
      </w:r>
      <w:r>
        <w:rPr>
          <w:rFonts w:ascii="Times New Roman" w:hAnsi="Times New Roman"/>
          <w:color w:val="000000"/>
          <w:sz w:val="20"/>
        </w:rPr>
        <w:t xml:space="preserve"> </w:t>
      </w:r>
      <w:r>
        <w:rPr>
          <w:rFonts w:ascii="Arial" w:hAnsi="Arial"/>
          <w:color w:val="000000"/>
          <w:sz w:val="20"/>
        </w:rPr>
        <w:t>August 4, 2026.</w:t>
      </w:r>
    </w:p>
    <w:p>
      <w:pPr>
        <w:pStyle w:val="TextBody"/>
        <w:bidi w:val="0"/>
        <w:spacing w:before="90" w:after="283"/>
        <w:jc w:val="left"/>
        <w:rPr>
          <w:rFonts w:ascii="Times New Roman" w:hAnsi="Times New Roman"/>
          <w:sz w:val="20"/>
        </w:rPr>
      </w:pPr>
      <w:r>
        <w:rPr>
          <w:rFonts w:ascii="Arial" w:hAnsi="Arial"/>
          <w:color w:val="000000"/>
          <w:sz w:val="20"/>
        </w:rPr>
        <w:t>On March 9, 2026, Mark Dankberg, our Chairman of the Board of Directors and Chief Executive Officer, adopted</w:t>
      </w:r>
      <w:r>
        <w:rPr>
          <w:rFonts w:ascii="Times New Roman" w:hAnsi="Times New Roman"/>
          <w:color w:val="000000"/>
          <w:sz w:val="20"/>
        </w:rPr>
        <w:t xml:space="preserve"> </w:t>
      </w:r>
      <w:r>
        <w:rPr>
          <w:rFonts w:ascii="Arial" w:hAnsi="Arial"/>
          <w:color w:val="000000"/>
          <w:sz w:val="20"/>
        </w:rPr>
        <w:t>a Rule 10b5-1 trading arrangement that is intended to satisfy the affirmative defense conditions of Rule 10b5-1(c) for the sale of up to 400,000</w:t>
      </w:r>
      <w:r>
        <w:rPr>
          <w:rFonts w:ascii="Times New Roman" w:hAnsi="Times New Roman"/>
          <w:color w:val="000000"/>
          <w:sz w:val="20"/>
        </w:rPr>
        <w:t xml:space="preserve"> </w:t>
      </w:r>
      <w:r>
        <w:rPr>
          <w:rFonts w:ascii="Arial" w:hAnsi="Arial"/>
          <w:color w:val="000000"/>
          <w:sz w:val="20"/>
        </w:rPr>
        <w:t>shares of our common stock if certain price thresholds are met from June 8, 2026</w:t>
      </w:r>
      <w:r>
        <w:rPr>
          <w:rFonts w:ascii="Times New Roman" w:hAnsi="Times New Roman"/>
          <w:color w:val="000000"/>
          <w:sz w:val="20"/>
        </w:rPr>
        <w:t xml:space="preserve"> </w:t>
      </w:r>
      <w:r>
        <w:rPr>
          <w:rFonts w:ascii="Arial" w:hAnsi="Arial"/>
          <w:color w:val="000000"/>
          <w:sz w:val="20"/>
        </w:rPr>
        <w:t>until March 6, 2027.</w:t>
      </w:r>
    </w:p>
    <w:p>
      <w:pPr>
        <w:pStyle w:val="TextBody"/>
        <w:bidi w:val="0"/>
        <w:spacing w:before="270" w:after="283"/>
        <w:jc w:val="left"/>
        <w:rPr>
          <w:rFonts w:ascii="Times New Roman" w:hAnsi="Times New Roman"/>
          <w:sz w:val="20"/>
        </w:rPr>
      </w:pPr>
      <w:bookmarkStart w:id="19" w:name="item_9c_disclosure_regarding_foreign_jur"/>
      <w:bookmarkEnd w:id="19"/>
      <w:r>
        <w:rPr>
          <w:rFonts w:ascii="Arial" w:hAnsi="Arial"/>
          <w:b/>
          <w:color w:val="000000"/>
          <w:sz w:val="20"/>
        </w:rPr>
        <w:t>ITEM 9C.</w:t>
      </w:r>
      <w:r>
        <w:rPr>
          <w:rFonts w:ascii="Times New Roman" w:hAnsi="Times New Roman"/>
          <w:color w:val="000000"/>
          <w:sz w:val="20"/>
        </w:rPr>
        <w:t xml:space="preserve"> </w:t>
      </w:r>
      <w:r>
        <w:rPr>
          <w:rFonts w:ascii="Arial" w:hAnsi="Arial"/>
          <w:b/>
          <w:i/>
          <w:color w:val="000000"/>
          <w:sz w:val="20"/>
        </w:rPr>
        <w:t>DISCLOSURE REGARDING FOREIGN JURISDICTIONS THAT PREVENT INSPECTIONS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Not applicable.</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0" w:name="part_iii"/>
      <w:bookmarkEnd w:id="20"/>
      <w:r>
        <w:rPr>
          <w:rFonts w:ascii="Arial" w:hAnsi="Arial"/>
          <w:b/>
          <w:color w:val="000000"/>
          <w:sz w:val="20"/>
        </w:rPr>
        <w:t>PART III</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bookmarkStart w:id="21" w:name="item_10_directors_executive_ficers_corpo"/>
      <w:bookmarkEnd w:id="21"/>
      <w:r>
        <w:rPr>
          <w:rFonts w:ascii="Arial" w:hAnsi="Arial"/>
          <w:b/>
          <w:color w:val="000000"/>
          <w:sz w:val="20"/>
        </w:rPr>
        <w:t>ITEM 10.</w:t>
      </w:r>
      <w:r>
        <w:rPr>
          <w:rFonts w:ascii="Times New Roman" w:hAnsi="Times New Roman"/>
          <w:color w:val="000000"/>
          <w:sz w:val="20"/>
        </w:rPr>
        <w:t xml:space="preserve"> </w:t>
      </w:r>
      <w:r>
        <w:rPr>
          <w:rFonts w:ascii="Arial" w:hAnsi="Arial"/>
          <w:b/>
          <w:i/>
          <w:color w:val="000000"/>
          <w:sz w:val="20"/>
        </w:rPr>
        <w:t>DIRECTORS, EXECUTIVE OFFICERS AND CORPORATE GOVERNANCE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information required by this item is included in our definitive Proxy Statement to be filed with the SEC in connection with our 2026 Annual Meeting of Stockholders (the Proxy Statement) under the headings “Corporate Governance Principles and Board Matters,” “Election of Directors” and “Ownership of Securities,” and is incorporated herein by reference.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information required by this item relating to our executive officers is included under the caption “Executive Officers” in Part I of this Form 10-K and is incorporated herein by reference into this section.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hAnsi="Arial"/>
          <w:i/>
          <w:color w:val="000000"/>
          <w:sz w:val="20"/>
        </w:rPr>
        <w:t>www.viasat.com</w:t>
      </w:r>
      <w:r>
        <w:rPr>
          <w:rFonts w:ascii="Arial" w:hAnsi="Arial"/>
          <w:color w:val="000000"/>
          <w:sz w:val="20"/>
        </w:rPr>
        <w:t>. We intend to disclose future amendments to certain provisions of our code of ethics, or waivers of such provisions granted to executive officers and directors, on our website within four business days following the date of such amendment or waiver.</w:t>
      </w:r>
    </w:p>
    <w:p>
      <w:pPr>
        <w:pStyle w:val="TextBody"/>
        <w:bidi w:val="0"/>
        <w:spacing w:before="180" w:after="283"/>
        <w:jc w:val="left"/>
        <w:rPr>
          <w:rFonts w:ascii="Times New Roman" w:hAnsi="Times New Roman"/>
          <w:sz w:val="20"/>
        </w:rPr>
      </w:pPr>
      <w:r>
        <w:rPr>
          <w:rFonts w:ascii="Arial" w:hAnsi="Arial"/>
          <w:color w:val="000000"/>
          <w:sz w:val="20"/>
        </w:rPr>
        <w:t>We have adopted</w:t>
      </w:r>
      <w:r>
        <w:rPr>
          <w:rFonts w:ascii="Times New Roman" w:hAnsi="Times New Roman"/>
          <w:color w:val="000000"/>
          <w:sz w:val="20"/>
        </w:rPr>
        <w:t xml:space="preserve"> </w:t>
      </w:r>
      <w:r>
        <w:rPr>
          <w:rFonts w:ascii="Arial" w:hAnsi="Arial"/>
          <w:color w:val="000000"/>
          <w:sz w:val="20"/>
        </w:rPr>
        <w:t>a policy on insider trading applicable to our directors, officers, employees, and other covered persons, and have implemented processes for the Company, that we believe are reasonably designed to promote compliance with insider trading laws, rules and regulations, and Nasdaq listing standards. It is our policy to comply with U.S. insider trading laws and regulations, including with respect to transactions in our own securities. Our Insider Trading Compliance Policies and Procedures are filed as Exhibit 19 to this Annual Report on Form 10-K.</w:t>
      </w:r>
    </w:p>
    <w:p>
      <w:pPr>
        <w:pStyle w:val="TextBody"/>
        <w:bidi w:val="0"/>
        <w:spacing w:before="270" w:after="283"/>
        <w:jc w:val="left"/>
        <w:rPr>
          <w:rFonts w:ascii="Times New Roman" w:hAnsi="Times New Roman"/>
          <w:sz w:val="20"/>
        </w:rPr>
      </w:pPr>
      <w:bookmarkStart w:id="22" w:name="item_11_executive_compensation"/>
      <w:bookmarkEnd w:id="22"/>
      <w:r>
        <w:rPr>
          <w:rFonts w:ascii="Arial" w:hAnsi="Arial"/>
          <w:b/>
          <w:color w:val="000000"/>
          <w:sz w:val="20"/>
        </w:rPr>
        <w:t>ITEM 11.</w:t>
      </w:r>
      <w:r>
        <w:rPr>
          <w:rFonts w:ascii="Times New Roman" w:hAnsi="Times New Roman"/>
          <w:color w:val="000000"/>
          <w:sz w:val="20"/>
        </w:rPr>
        <w:t xml:space="preserve"> </w:t>
      </w:r>
      <w:r>
        <w:rPr>
          <w:rFonts w:ascii="Arial" w:hAnsi="Arial"/>
          <w:b/>
          <w:i/>
          <w:color w:val="000000"/>
          <w:sz w:val="20"/>
        </w:rPr>
        <w:t>EXECUTIVE COMPENSATION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information required by this item is included in the Proxy Statement under the heading “Executive Compensation” and is incorporated herein by reference.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23" w:name="item_12_security_ownership_certain_benef"/>
      <w:bookmarkEnd w:id="23"/>
      <w:r>
        <w:rPr>
          <w:rFonts w:ascii="Arial" w:hAnsi="Arial"/>
          <w:b/>
          <w:color w:val="000000"/>
          <w:sz w:val="20"/>
        </w:rPr>
        <w:t>ITEM 12.</w:t>
      </w:r>
      <w:r>
        <w:rPr>
          <w:rFonts w:ascii="Times New Roman" w:hAnsi="Times New Roman"/>
          <w:color w:val="000000"/>
          <w:sz w:val="20"/>
        </w:rPr>
        <w:t xml:space="preserve"> </w:t>
      </w:r>
      <w:r>
        <w:rPr>
          <w:rFonts w:ascii="Arial" w:hAnsi="Arial"/>
          <w:b/>
          <w:i/>
          <w:color w:val="000000"/>
          <w:sz w:val="20"/>
        </w:rPr>
        <w:t>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information required by this item is included in the Proxy Statement under the headings “Ownership of Securities” and “Executive Compensation — Equity Compensation Plan Information,” and is incorporated herein by reference.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24" w:name="item_13_certain_relationships_related_tr"/>
      <w:bookmarkEnd w:id="24"/>
      <w:r>
        <w:rPr>
          <w:rFonts w:ascii="Arial" w:hAnsi="Arial"/>
          <w:b/>
          <w:color w:val="000000"/>
          <w:sz w:val="20"/>
        </w:rPr>
        <w:t>ITEM 13.</w:t>
      </w:r>
      <w:r>
        <w:rPr>
          <w:rFonts w:ascii="Times New Roman" w:hAnsi="Times New Roman"/>
          <w:color w:val="000000"/>
          <w:sz w:val="20"/>
        </w:rPr>
        <w:t xml:space="preserve"> </w:t>
      </w:r>
      <w:r>
        <w:rPr>
          <w:rFonts w:ascii="Arial" w:hAnsi="Arial"/>
          <w:b/>
          <w:i/>
          <w:color w:val="000000"/>
          <w:sz w:val="20"/>
        </w:rPr>
        <w:t>CERTAIN RELATIONSHIPS AND RELATED</w:t>
      </w:r>
      <w:r>
        <w:rPr>
          <w:rFonts w:ascii="Times New Roman" w:hAnsi="Times New Roman"/>
          <w:color w:val="000000"/>
          <w:sz w:val="20"/>
        </w:rPr>
        <w:t xml:space="preserve"> </w:t>
      </w:r>
      <w:r>
        <w:rPr>
          <w:rFonts w:ascii="Arial" w:hAnsi="Arial"/>
          <w:b/>
          <w:i/>
          <w:color w:val="000000"/>
          <w:sz w:val="20"/>
        </w:rPr>
        <w:t>TRANSACTIONS, AND DIRECTOR INDEPENDENCE</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information required by this item is included in the Proxy Statement under the headings “Corporate Governance Principles and Board Matters” and “Certain Relationships and Related Transactions,” and is incorporated herein by reference.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bookmarkStart w:id="25" w:name="item_14_principal_accounting_fees_servic"/>
      <w:bookmarkEnd w:id="25"/>
      <w:r>
        <w:rPr>
          <w:rFonts w:ascii="Arial" w:hAnsi="Arial"/>
          <w:b/>
          <w:color w:val="000000"/>
          <w:sz w:val="20"/>
        </w:rPr>
        <w:t>ITEM 14.</w:t>
      </w:r>
      <w:r>
        <w:rPr>
          <w:rFonts w:ascii="Times New Roman" w:hAnsi="Times New Roman"/>
          <w:color w:val="000000"/>
          <w:sz w:val="20"/>
        </w:rPr>
        <w:t xml:space="preserve"> </w:t>
      </w:r>
      <w:r>
        <w:rPr>
          <w:rFonts w:ascii="Arial" w:hAnsi="Arial"/>
          <w:b/>
          <w:i/>
          <w:color w:val="000000"/>
          <w:sz w:val="20"/>
        </w:rPr>
        <w:t>PRINCIPAL ACCOUNTING FEES AND SERVICES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information required by this item is included in the Proxy Statement under the heading “Ratification of Appointment of Independent Registered Public Accounting Firm” and is incorporated herein by reference.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part_iv"/>
      <w:bookmarkEnd w:id="26"/>
      <w:r>
        <w:rPr>
          <w:rFonts w:ascii="Arial" w:hAnsi="Arial"/>
          <w:b/>
          <w:color w:val="000000"/>
          <w:sz w:val="20"/>
        </w:rPr>
        <w:t>PART</w:t>
      </w:r>
      <w:r>
        <w:rPr>
          <w:rFonts w:ascii="Times New Roman" w:hAnsi="Times New Roman"/>
          <w:color w:val="000000"/>
          <w:sz w:val="20"/>
        </w:rPr>
        <w:t xml:space="preserve"> </w:t>
      </w:r>
      <w:r>
        <w:rPr>
          <w:rFonts w:ascii="Arial" w:hAnsi="Arial"/>
          <w:b/>
          <w:color w:val="000000"/>
          <w:sz w:val="20"/>
        </w:rPr>
        <w:t>IV</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bookmarkStart w:id="27" w:name="item_15_exhibits_financial_statement_sch"/>
      <w:bookmarkEnd w:id="27"/>
      <w:r>
        <w:rPr>
          <w:rFonts w:ascii="Arial" w:hAnsi="Arial"/>
          <w:b/>
          <w:color w:val="000000"/>
          <w:sz w:val="20"/>
        </w:rPr>
        <w:t>ITEM 15.</w:t>
      </w:r>
      <w:r>
        <w:rPr>
          <w:rFonts w:ascii="Times New Roman" w:hAnsi="Times New Roman"/>
          <w:color w:val="000000"/>
          <w:sz w:val="20"/>
        </w:rPr>
        <w:t xml:space="preserve"> </w:t>
      </w:r>
      <w:r>
        <w:rPr>
          <w:rFonts w:ascii="Arial" w:hAnsi="Arial"/>
          <w:b/>
          <w:i/>
          <w:color w:val="000000"/>
          <w:sz w:val="20"/>
        </w:rPr>
        <w:t>EXHIBITS, FINANCIAL STATEMENT SCHEDULES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(a)</w:t>
      </w:r>
    </w:p>
    <w:p>
      <w:pPr>
        <w:pStyle w:val="TextBody"/>
        <w:bidi w:val="0"/>
        <w:spacing w:before="90" w:after="283"/>
        <w:jc w:val="left"/>
        <w:rPr>
          <w:rFonts w:ascii="Arial" w:hAnsi="Arial"/>
          <w:color w:val="000000"/>
          <w:sz w:val="20"/>
        </w:rPr>
      </w:pPr>
      <w:r>
        <w:rPr>
          <w:rFonts w:ascii="Arial" w:hAnsi="Arial"/>
          <w:color w:val="000000"/>
          <w:sz w:val="20"/>
        </w:rPr>
        <w:t xml:space="preserve">The following documents are filed as part of this report: </w:t>
      </w:r>
    </w:p>
    <w:p>
      <w:pPr>
        <w:pStyle w:val="TextBody"/>
        <w:bidi w:val="0"/>
        <w:spacing w:before="90" w:after="283"/>
        <w:jc w:val="left"/>
        <w:rPr>
          <w:rFonts w:ascii="Arial" w:hAnsi="Arial"/>
          <w:color w:val="000000"/>
          <w:sz w:val="20"/>
        </w:rPr>
      </w:pPr>
      <w:r>
        <w:rPr>
          <w:rFonts w:ascii="Arial" w:hAnsi="Arial"/>
          <w:color w:val="000000"/>
          <w:sz w:val="20"/>
        </w:rPr>
        <w:t>(1)</w:t>
      </w:r>
    </w:p>
    <w:p>
      <w:pPr>
        <w:pStyle w:val="TextBody"/>
        <w:bidi w:val="0"/>
        <w:spacing w:before="90" w:after="283"/>
        <w:jc w:val="left"/>
        <w:rPr>
          <w:rFonts w:ascii="Arial" w:hAnsi="Arial"/>
          <w:color w:val="000000"/>
          <w:sz w:val="20"/>
        </w:rPr>
      </w:pPr>
      <w:r>
        <w:rPr>
          <w:rFonts w:ascii="Arial" w:hAnsi="Arial"/>
          <w:color w:val="000000"/>
          <w:sz w:val="20"/>
        </w:rPr>
        <w:t>Consolidated Financial Statements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3"/>
        <w:gridCol w:w="8954"/>
        <w:gridCol w:w="146"/>
        <w:gridCol w:w="782"/>
      </w:tblGrid>
      <w:tr>
        <w:trPr/>
        <w:tc>
          <w:tcPr>
            <w:tcW w:w="323" w:type="dxa"/>
            <w:tcBorders/>
            <w:vAlign w:val="center"/>
          </w:tcPr>
          <w:p>
            <w:pPr>
              <w:pStyle w:val="TableContents"/>
              <w:bidi w:val="0"/>
              <w:spacing w:before="0" w:after="283"/>
              <w:jc w:val="left"/>
              <w:rPr>
                <w:sz w:val="4"/>
                <w:szCs w:val="4"/>
              </w:rPr>
            </w:pPr>
            <w:r>
              <w:rPr>
                <w:sz w:val="4"/>
                <w:szCs w:val="4"/>
              </w:rPr>
            </w:r>
          </w:p>
        </w:tc>
        <w:tc>
          <w:tcPr>
            <w:tcW w:w="8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Page</w:t>
            </w:r>
            <w:r>
              <w:rPr>
                <w:rFonts w:ascii="Arial" w:hAnsi="Arial"/>
                <w:color w:val="000000"/>
                <w:sz w:val="16"/>
              </w:rPr>
              <w:br/>
            </w:r>
            <w:r>
              <w:rPr>
                <w:rFonts w:ascii="Arial" w:hAnsi="Arial"/>
                <w:b/>
                <w:color w:val="000000"/>
                <w:sz w:val="16"/>
              </w:rPr>
              <w:t>Number</w:t>
            </w:r>
          </w:p>
        </w:tc>
      </w:tr>
      <w:tr>
        <w:trPr/>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Arial" w:hAnsi="Arial"/>
                  <w:color w:val="0000FF"/>
                  <w:sz w:val="20"/>
                  <w:u w:val="single"/>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jc w:val="right"/>
              <w:rPr>
                <w:rFonts w:ascii="Arial" w:hAnsi="Arial"/>
                <w:color w:val="000000"/>
                <w:sz w:val="20"/>
              </w:rPr>
            </w:pPr>
            <w:r>
              <w:rPr>
                <w:rFonts w:ascii="Arial" w:hAnsi="Arial"/>
                <w:color w:val="000000"/>
                <w:sz w:val="20"/>
              </w:rPr>
              <w:t>F-1</w:t>
            </w:r>
          </w:p>
        </w:tc>
      </w:tr>
      <w:tr>
        <w:trPr/>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Arial" w:hAnsi="Arial"/>
                  <w:color w:val="0000FF"/>
                  <w:sz w:val="20"/>
                  <w:u w:val="single"/>
                </w:rPr>
                <w:t>Consolidated Balance Sheets as of March 31, 2026 and March 31, 2025</w:t>
              </w:r>
            </w:hyperlink>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jc w:val="right"/>
              <w:rPr>
                <w:rFonts w:ascii="Arial" w:hAnsi="Arial"/>
                <w:color w:val="000000"/>
                <w:sz w:val="20"/>
              </w:rPr>
            </w:pPr>
            <w:r>
              <w:rPr>
                <w:rFonts w:ascii="Arial" w:hAnsi="Arial"/>
                <w:color w:val="000000"/>
                <w:sz w:val="20"/>
              </w:rPr>
              <w:t>F-3</w:t>
            </w:r>
          </w:p>
        </w:tc>
      </w:tr>
      <w:tr>
        <w:trPr/>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Arial" w:hAnsi="Arial"/>
                  <w:color w:val="0000FF"/>
                  <w:sz w:val="20"/>
                  <w:u w:val="single"/>
                </w:rPr>
                <w:t>Consolidated Statements of Operations and Comprehensive Income (Loss) for the fiscal years ended March 31, 2026, March 31, 2025 and March 31, 2024</w:t>
              </w:r>
            </w:hyperlink>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jc w:val="right"/>
              <w:rPr>
                <w:rFonts w:ascii="Arial" w:hAnsi="Arial"/>
                <w:color w:val="000000"/>
                <w:sz w:val="20"/>
              </w:rPr>
            </w:pPr>
            <w:r>
              <w:rPr>
                <w:rFonts w:ascii="Arial" w:hAnsi="Arial"/>
                <w:color w:val="000000"/>
                <w:sz w:val="20"/>
              </w:rPr>
              <w:t>F-4</w:t>
            </w:r>
          </w:p>
        </w:tc>
      </w:tr>
      <w:tr>
        <w:trPr/>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Arial" w:hAnsi="Arial"/>
                  <w:color w:val="0000FF"/>
                  <w:sz w:val="20"/>
                  <w:u w:val="single"/>
                </w:rPr>
                <w:t>Consolidated Statements of Cash Flows for the fiscal years ended March 31, 2026, March 31, 2025 and March 31, 2024</w:t>
              </w:r>
            </w:hyperlink>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jc w:val="right"/>
              <w:rPr>
                <w:rFonts w:ascii="Arial" w:hAnsi="Arial"/>
                <w:color w:val="000000"/>
                <w:sz w:val="20"/>
              </w:rPr>
            </w:pPr>
            <w:r>
              <w:rPr>
                <w:rFonts w:ascii="Arial" w:hAnsi="Arial"/>
                <w:color w:val="000000"/>
                <w:sz w:val="20"/>
              </w:rPr>
              <w:t>F-5</w:t>
            </w:r>
          </w:p>
        </w:tc>
      </w:tr>
      <w:tr>
        <w:trPr/>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consolidated_statements_equity">
              <w:r>
                <w:rPr>
                  <w:rStyle w:val="InternetLink"/>
                  <w:rFonts w:ascii="Arial" w:hAnsi="Arial"/>
                  <w:color w:val="0000FF"/>
                  <w:sz w:val="20"/>
                  <w:u w:val="single"/>
                </w:rPr>
                <w:t>Consolidated Statements of Equity for the fiscal years ended March 31, 2026, March 31, 2025 and March 31, 2024</w:t>
              </w:r>
            </w:hyperlink>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jc w:val="right"/>
              <w:rPr>
                <w:rFonts w:ascii="Arial" w:hAnsi="Arial"/>
                <w:color w:val="000000"/>
                <w:sz w:val="20"/>
              </w:rPr>
            </w:pPr>
            <w:r>
              <w:rPr>
                <w:rFonts w:ascii="Arial" w:hAnsi="Arial"/>
                <w:color w:val="000000"/>
                <w:sz w:val="20"/>
              </w:rPr>
              <w:t>F-7</w:t>
            </w:r>
          </w:p>
        </w:tc>
      </w:tr>
      <w:tr>
        <w:trPr/>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Arial" w:hAnsi="Arial"/>
                  <w:color w:val="0000FF"/>
                  <w:sz w:val="20"/>
                  <w:u w:val="single"/>
                </w:rPr>
                <w:t>Notes to the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jc w:val="right"/>
              <w:rPr>
                <w:rFonts w:ascii="Arial" w:hAnsi="Arial"/>
                <w:color w:val="000000"/>
                <w:sz w:val="20"/>
              </w:rPr>
            </w:pPr>
            <w:r>
              <w:rPr>
                <w:rFonts w:ascii="Arial" w:hAnsi="Arial"/>
                <w:color w:val="000000"/>
                <w:sz w:val="20"/>
              </w:rPr>
              <w:t>F-8</w:t>
            </w:r>
          </w:p>
        </w:tc>
      </w:tr>
      <w:tr>
        <w:trPr/>
        <w:tc>
          <w:tcPr>
            <w:tcW w:w="32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w:t>
            </w:r>
          </w:p>
        </w:tc>
        <w:tc>
          <w:tcPr>
            <w:tcW w:w="8954" w:type="dxa"/>
            <w:tcBorders/>
            <w:tcMar>
              <w:top w:w="0" w:type="dxa"/>
              <w:left w:w="0" w:type="dxa"/>
              <w:bottom w:w="0" w:type="dxa"/>
              <w:right w:w="0" w:type="dxa"/>
            </w:tcMar>
            <w:vAlign w:val="center"/>
          </w:tcPr>
          <w:p>
            <w:pPr>
              <w:pStyle w:val="TableContents"/>
              <w:bidi w:val="0"/>
              <w:spacing w:before="0" w:after="283"/>
              <w:jc w:val="left"/>
              <w:rPr/>
            </w:pPr>
            <w:hyperlink w:anchor="schedule_ii">
              <w:r>
                <w:rPr>
                  <w:rStyle w:val="InternetLink"/>
                  <w:rFonts w:ascii="Arial" w:hAnsi="Arial"/>
                  <w:color w:val="0000FF"/>
                  <w:sz w:val="20"/>
                  <w:u w:val="single"/>
                </w:rPr>
                <w:t>Schedule II — Valuation and Qualifying Accounts for the three fiscal years ended March 31, 2026</w:t>
              </w:r>
            </w:hyperlink>
            <w:hyperlink w:anchor="schedule_ii">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15"/>
              <w:jc w:val="left"/>
              <w:rPr/>
            </w:pPr>
            <w:r>
              <w:rPr/>
              <w:t> </w:t>
            </w:r>
          </w:p>
        </w:tc>
        <w:tc>
          <w:tcPr>
            <w:tcW w:w="782" w:type="dxa"/>
            <w:tcBorders/>
            <w:tcMar>
              <w:top w:w="0" w:type="dxa"/>
              <w:left w:w="0" w:type="dxa"/>
              <w:bottom w:w="0" w:type="dxa"/>
              <w:right w:w="0" w:type="dxa"/>
            </w:tcMar>
            <w:vAlign w:val="center"/>
          </w:tcPr>
          <w:p>
            <w:pPr>
              <w:pStyle w:val="TableContents"/>
              <w:bidi w:val="0"/>
              <w:spacing w:before="0" w:after="15"/>
              <w:jc w:val="right"/>
              <w:rPr>
                <w:rFonts w:ascii="Arial" w:hAnsi="Arial"/>
                <w:color w:val="000000"/>
                <w:sz w:val="20"/>
              </w:rPr>
            </w:pPr>
            <w:r>
              <w:rPr>
                <w:rFonts w:ascii="Arial" w:hAnsi="Arial"/>
                <w:color w:val="000000"/>
                <w:sz w:val="20"/>
              </w:rPr>
              <w:t>II-1</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All other schedules are omitted because they are not applicable or the required information is shown in the financial statements or notes thereto.</w:t>
      </w:r>
    </w:p>
    <w:p>
      <w:pPr>
        <w:pStyle w:val="TextBody"/>
        <w:bidi w:val="0"/>
        <w:spacing w:before="90" w:after="283"/>
        <w:jc w:val="left"/>
        <w:rPr>
          <w:rFonts w:ascii="Arial" w:hAnsi="Arial"/>
          <w:color w:val="000000"/>
          <w:sz w:val="20"/>
        </w:rPr>
      </w:pPr>
      <w:r>
        <w:rPr>
          <w:rFonts w:ascii="Arial" w:hAnsi="Arial"/>
          <w:color w:val="000000"/>
          <w:sz w:val="20"/>
        </w:rPr>
        <w:t>(3)</w:t>
      </w:r>
    </w:p>
    <w:p>
      <w:pPr>
        <w:pStyle w:val="TextBody"/>
        <w:bidi w:val="0"/>
        <w:spacing w:before="90" w:after="283"/>
        <w:jc w:val="left"/>
        <w:rPr>
          <w:rFonts w:ascii="Arial" w:hAnsi="Arial"/>
          <w:color w:val="000000"/>
          <w:sz w:val="20"/>
        </w:rPr>
      </w:pPr>
      <w:r>
        <w:rPr>
          <w:rFonts w:ascii="Arial" w:hAnsi="Arial"/>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
        <w:gridCol w:w="5092"/>
        <w:gridCol w:w="1010"/>
        <w:gridCol w:w="759"/>
        <w:gridCol w:w="493"/>
        <w:gridCol w:w="720"/>
        <w:gridCol w:w="676"/>
        <w:gridCol w:w="589"/>
        <w:gridCol w:w="195"/>
      </w:tblGrid>
      <w:tr>
        <w:trPr/>
        <w:tc>
          <w:tcPr>
            <w:tcW w:w="671" w:type="dxa"/>
            <w:tcBorders/>
            <w:vAlign w:val="center"/>
          </w:tcPr>
          <w:p>
            <w:pPr>
              <w:pStyle w:val="TableContents"/>
              <w:bidi w:val="0"/>
              <w:spacing w:before="0" w:after="283"/>
              <w:jc w:val="left"/>
              <w:rPr>
                <w:sz w:val="4"/>
                <w:szCs w:val="4"/>
              </w:rPr>
            </w:pPr>
            <w:r>
              <w:rPr>
                <w:sz w:val="4"/>
                <w:szCs w:val="4"/>
              </w:rPr>
            </w:r>
          </w:p>
        </w:tc>
        <w:tc>
          <w:tcPr>
            <w:tcW w:w="509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89" w:type="dxa"/>
            <w:tcBorders/>
          </w:tcPr>
          <w:p>
            <w:pPr>
              <w:pStyle w:val="TableContents"/>
              <w:bidi w:val="0"/>
              <w:spacing w:before="0" w:after="283"/>
              <w:jc w:val="left"/>
              <w:rPr>
                <w:sz w:val="4"/>
                <w:szCs w:val="4"/>
              </w:rPr>
            </w:pPr>
            <w:r>
              <w:rPr>
                <w:sz w:val="4"/>
                <w:szCs w:val="4"/>
              </w:rPr>
            </w:r>
          </w:p>
        </w:tc>
        <w:tc>
          <w:tcPr>
            <w:tcW w:w="195" w:type="dxa"/>
            <w:tcBorders/>
          </w:tcPr>
          <w:p>
            <w:pPr>
              <w:pStyle w:val="TableContents"/>
              <w:bidi w:val="0"/>
              <w:spacing w:before="0" w:after="283"/>
              <w:jc w:val="left"/>
              <w:rPr>
                <w:sz w:val="4"/>
                <w:szCs w:val="4"/>
              </w:rPr>
            </w:pPr>
            <w:r>
              <w:rPr>
                <w:sz w:val="4"/>
                <w:szCs w:val="4"/>
              </w:rPr>
            </w:r>
          </w:p>
        </w:tc>
      </w:tr>
      <w:tr>
        <w:trPr/>
        <w:tc>
          <w:tcPr>
            <w:tcW w:w="671" w:type="dxa"/>
            <w:vMerge w:val="restart"/>
            <w:tcBorders/>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Exhibit</w:t>
            </w:r>
          </w:p>
          <w:p>
            <w:pPr>
              <w:pStyle w:val="TableContents"/>
              <w:bidi w:val="0"/>
              <w:spacing w:before="0" w:after="283"/>
              <w:jc w:val="center"/>
              <w:rPr>
                <w:rFonts w:ascii="Arial" w:hAnsi="Arial"/>
                <w:b/>
                <w:color w:val="000000"/>
                <w:sz w:val="13"/>
              </w:rPr>
            </w:pPr>
            <w:r>
              <w:rPr>
                <w:rFonts w:ascii="Arial" w:hAnsi="Arial"/>
                <w:b/>
                <w:color w:val="000000"/>
                <w:sz w:val="13"/>
              </w:rPr>
              <w:t>Number</w:t>
            </w:r>
          </w:p>
        </w:tc>
        <w:tc>
          <w:tcPr>
            <w:tcW w:w="50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3"/>
              </w:rPr>
            </w:pPr>
            <w:r>
              <w:rPr>
                <w:rFonts w:ascii="Arial" w:hAnsi="Arial"/>
                <w:b/>
                <w:color w:val="000000"/>
                <w:sz w:val="13"/>
              </w:rPr>
              <w:t>Incorporated by Reference</w:t>
            </w:r>
            <w:r>
              <w:rPr>
                <w:rFonts w:ascii="Times New Roman" w:hAnsi="Times New Roman"/>
                <w:color w:val="000000"/>
                <w:sz w:val="13"/>
              </w:rPr>
              <w:t xml:space="preserve"> </w:t>
            </w:r>
          </w:p>
        </w:tc>
        <w:tc>
          <w:tcPr>
            <w:tcW w:w="67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2"/>
              </w:rPr>
            </w:pPr>
            <w:r>
              <w:rPr>
                <w:rFonts w:ascii="Arial" w:hAnsi="Arial"/>
                <w:b/>
                <w:color w:val="000000"/>
                <w:sz w:val="12"/>
              </w:rPr>
              <w:t>Filed or</w:t>
              <w:br/>
              <w:t>Furnished</w:t>
              <w:br/>
              <w:t>Herewith</w:t>
            </w:r>
            <w:r>
              <w:rPr>
                <w:rFonts w:ascii="Times New Roman" w:hAnsi="Times New Roman"/>
                <w:color w:val="000000"/>
                <w:sz w:val="12"/>
              </w:rPr>
              <w:t xml:space="preserve"> </w:t>
            </w:r>
          </w:p>
        </w:tc>
        <w:tc>
          <w:tcPr>
            <w:tcW w:w="589" w:type="dxa"/>
            <w:tcBorders/>
          </w:tcPr>
          <w:p>
            <w:pPr>
              <w:pStyle w:val="TableContents"/>
              <w:bidi w:val="0"/>
              <w:spacing w:before="0" w:after="283"/>
              <w:jc w:val="left"/>
              <w:rPr>
                <w:sz w:val="4"/>
                <w:szCs w:val="4"/>
              </w:rPr>
            </w:pPr>
            <w:r>
              <w:rPr>
                <w:sz w:val="4"/>
                <w:szCs w:val="4"/>
              </w:rPr>
            </w:r>
          </w:p>
        </w:tc>
        <w:tc>
          <w:tcPr>
            <w:tcW w:w="195" w:type="dxa"/>
            <w:tcBorders/>
          </w:tcPr>
          <w:p>
            <w:pPr>
              <w:pStyle w:val="TableContents"/>
              <w:bidi w:val="0"/>
              <w:spacing w:before="0" w:after="283"/>
              <w:jc w:val="left"/>
              <w:rPr>
                <w:sz w:val="4"/>
                <w:szCs w:val="4"/>
              </w:rPr>
            </w:pPr>
            <w:r>
              <w:rPr>
                <w:sz w:val="4"/>
                <w:szCs w:val="4"/>
              </w:rPr>
            </w:r>
          </w:p>
        </w:tc>
      </w:tr>
      <w:tr>
        <w:trPr/>
        <w:tc>
          <w:tcPr>
            <w:tcW w:w="671" w:type="dxa"/>
            <w:vMerge w:val="continue"/>
            <w:tcBorders/>
            <w:tcMar>
              <w:top w:w="0" w:type="dxa"/>
              <w:left w:w="0" w:type="dxa"/>
              <w:bottom w:w="0" w:type="dxa"/>
              <w:right w:w="0" w:type="dxa"/>
            </w:tcMar>
            <w:vAlign w:val="center"/>
          </w:tcPr>
          <w:p>
            <w:pPr>
              <w:pStyle w:val="Normal"/>
              <w:bidi w:val="0"/>
              <w:jc w:val="left"/>
              <w:rPr/>
            </w:pPr>
            <w:r>
              <w:rPr/>
            </w:r>
          </w:p>
        </w:tc>
        <w:tc>
          <w:tcPr>
            <w:tcW w:w="5092" w:type="dxa"/>
            <w:tcBorders/>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tcMar>
              <w:top w:w="0" w:type="dxa"/>
              <w:left w:w="0" w:type="dxa"/>
              <w:bottom w:w="0" w:type="dxa"/>
              <w:right w:w="0" w:type="dxa"/>
            </w:tcMar>
            <w:vAlign w:val="center"/>
          </w:tcPr>
          <w:p>
            <w:pPr>
              <w:pStyle w:val="TableContents"/>
              <w:bidi w:val="0"/>
              <w:jc w:val="center"/>
              <w:rPr>
                <w:rFonts w:ascii="Arial" w:hAnsi="Arial"/>
                <w:b/>
                <w:color w:val="000000"/>
                <w:sz w:val="13"/>
              </w:rPr>
            </w:pPr>
            <w:r>
              <w:rPr>
                <w:rFonts w:ascii="Arial" w:hAnsi="Arial"/>
                <w:b/>
                <w:color w:val="000000"/>
                <w:sz w:val="13"/>
              </w:rPr>
              <w:t>Exhibit Description</w:t>
            </w:r>
          </w:p>
          <w:p>
            <w:pPr>
              <w:pStyle w:val="TableContents"/>
              <w:pBdr>
                <w:top w:val="single" w:sz="8" w:space="1" w:color="000000"/>
              </w:pBdr>
              <w:bidi w:val="0"/>
              <w:spacing w:before="20" w:after="283"/>
              <w:jc w:val="left"/>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3"/>
              </w:rPr>
            </w:pPr>
            <w:r>
              <w:rPr>
                <w:rFonts w:ascii="Arial" w:hAnsi="Arial"/>
                <w:b/>
                <w:color w:val="000000"/>
                <w:sz w:val="13"/>
              </w:rPr>
              <w:t>Form</w:t>
            </w:r>
            <w:r>
              <w:rPr>
                <w:rFonts w:ascii="Times New Roman" w:hAnsi="Times New Roman"/>
                <w:color w:val="000000"/>
                <w:sz w:val="13"/>
              </w:rPr>
              <w:t xml:space="preserve"> </w:t>
            </w:r>
          </w:p>
        </w:tc>
        <w:tc>
          <w:tcPr>
            <w:tcW w:w="49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3"/>
              </w:rPr>
            </w:pPr>
            <w:r>
              <w:rPr>
                <w:rFonts w:ascii="Arial" w:hAnsi="Arial"/>
                <w:b/>
                <w:color w:val="000000"/>
                <w:sz w:val="13"/>
              </w:rPr>
              <w:t>File No.</w:t>
            </w:r>
            <w:r>
              <w:rPr>
                <w:rFonts w:ascii="Times New Roman" w:hAnsi="Times New Roman"/>
                <w:color w:val="000000"/>
                <w:sz w:val="13"/>
              </w:rPr>
              <w:t xml:space="preserve"> </w:t>
            </w:r>
          </w:p>
        </w:tc>
        <w:tc>
          <w:tcPr>
            <w:tcW w:w="7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3"/>
              </w:rPr>
            </w:pPr>
            <w:r>
              <w:rPr>
                <w:rFonts w:ascii="Arial" w:hAnsi="Arial"/>
                <w:b/>
                <w:color w:val="000000"/>
                <w:sz w:val="13"/>
              </w:rPr>
              <w:t>Exhibit</w:t>
            </w:r>
            <w:r>
              <w:rPr>
                <w:rFonts w:ascii="Times New Roman" w:hAnsi="Times New Roman"/>
                <w:color w:val="000000"/>
                <w:sz w:val="13"/>
              </w:rPr>
              <w:t xml:space="preserve"> </w:t>
            </w:r>
          </w:p>
        </w:tc>
        <w:tc>
          <w:tcPr>
            <w:tcW w:w="676" w:type="dxa"/>
            <w:vMerge w:val="continue"/>
            <w:tcBorders/>
            <w:tcMar>
              <w:top w:w="0" w:type="dxa"/>
              <w:left w:w="0" w:type="dxa"/>
              <w:bottom w:w="0" w:type="dxa"/>
              <w:right w:w="0" w:type="dxa"/>
            </w:tcMar>
            <w:vAlign w:val="center"/>
          </w:tcPr>
          <w:p>
            <w:pPr>
              <w:pStyle w:val="Normal"/>
              <w:bidi w:val="0"/>
              <w:jc w:val="left"/>
              <w:rPr/>
            </w:pPr>
            <w:r>
              <w:rPr/>
            </w:r>
          </w:p>
        </w:tc>
        <w:tc>
          <w:tcPr>
            <w:tcW w:w="58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3"/>
              </w:rPr>
            </w:pPr>
            <w:r>
              <w:rPr>
                <w:rFonts w:ascii="Arial" w:hAnsi="Arial"/>
                <w:b/>
                <w:color w:val="000000"/>
                <w:sz w:val="13"/>
              </w:rPr>
              <w:t>Filing Date</w:t>
            </w:r>
            <w:r>
              <w:rPr>
                <w:rFonts w:ascii="Times New Roman" w:hAnsi="Times New Roman"/>
                <w:color w:val="000000"/>
                <w:sz w:val="13"/>
              </w:rPr>
              <w:t xml:space="preserve"> </w:t>
            </w:r>
          </w:p>
        </w:tc>
        <w:tc>
          <w:tcPr>
            <w:tcW w:w="19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c>
          <w:tcPr>
            <w:tcW w:w="5092" w:type="dxa"/>
            <w:tcBorders/>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092" w:type="dxa"/>
            <w:tcBorders/>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2.1*</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3">
              <w:r>
                <w:rPr>
                  <w:rStyle w:val="InternetLink"/>
                  <w:rFonts w:ascii="Arial" w:hAnsi="Arial"/>
                  <w:color w:val="0000FF"/>
                  <w:sz w:val="18"/>
                  <w:u w:val="single"/>
                </w:rPr>
                <w:t>Share Purchase Agreement, dated as of November 8, 2021, by and among Viasat, Inc. and the shareholders of Connect Topco Limited party thereto</w:t>
              </w:r>
            </w:hyperlink>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11/08/2021</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2.1(A)</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4">
              <w:r>
                <w:rPr>
                  <w:rStyle w:val="InternetLink"/>
                  <w:rFonts w:ascii="Arial" w:hAnsi="Arial"/>
                  <w:color w:val="0000FF"/>
                  <w:sz w:val="18"/>
                  <w:u w:val="single"/>
                </w:rPr>
                <w:t>Letter agreement, dated as of April 11, 2023, by and among Viasat, Inc. and the shareholders of Connect Topco Limited party thereto</w:t>
              </w:r>
            </w:hyperlink>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2.1(A)</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05/22/2023</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2.2*</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5">
              <w:r>
                <w:rPr>
                  <w:rStyle w:val="InternetLink"/>
                  <w:rFonts w:ascii="Arial" w:hAnsi="Arial"/>
                  <w:color w:val="0000FF"/>
                  <w:sz w:val="18"/>
                  <w:u w:val="single"/>
                </w:rPr>
                <w:t>Asset Purchase Agreement, dated as of October 1, 2022, by and between Viasat, Inc. and L3Harris Technologies, Inc.</w:t>
              </w:r>
            </w:hyperlink>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10/03/2022</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3.1</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6">
              <w:r>
                <w:rPr>
                  <w:rStyle w:val="InternetLink"/>
                  <w:rFonts w:ascii="Arial" w:hAnsi="Arial"/>
                  <w:color w:val="0000FF"/>
                  <w:sz w:val="18"/>
                  <w:u w:val="single"/>
                </w:rPr>
                <w:t>Second Amended and Restated Certificate of Incorporation of ViaSat, Inc.</w:t>
              </w:r>
            </w:hyperlink>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11/14/2000</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pPr>
            <w:r>
              <w:rPr/>
              <w:t> </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3.1.2</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7">
              <w:r>
                <w:rPr>
                  <w:rStyle w:val="InternetLink"/>
                  <w:rFonts w:ascii="Arial" w:hAnsi="Arial"/>
                  <w:color w:val="0000FF"/>
                  <w:sz w:val="18"/>
                  <w:u w:val="single"/>
                </w:rPr>
                <w:t>Certificate of Amendment to the Second Amended and Restated Certificate of Incorporation of Viasat, Inc.</w:t>
              </w:r>
            </w:hyperlink>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06/02/2023</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pPr>
            <w:r>
              <w:rPr/>
              <w:t> </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3.2</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8">
              <w:r>
                <w:rPr>
                  <w:rStyle w:val="InternetLink"/>
                  <w:rFonts w:ascii="Arial" w:hAnsi="Arial"/>
                  <w:color w:val="0000FF"/>
                  <w:sz w:val="18"/>
                  <w:u w:val="single"/>
                </w:rPr>
                <w:t>Amended and Restated Bylaws of ViaSat, Inc.</w:t>
              </w:r>
            </w:hyperlink>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11/09/2023</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pPr>
            <w:r>
              <w:rPr/>
              <w:t> </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4.1</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rFonts w:ascii="Arial" w:hAnsi="Arial"/>
                <w:color w:val="000000"/>
                <w:sz w:val="18"/>
              </w:rPr>
            </w:pPr>
            <w:r>
              <w:rPr>
                <w:rFonts w:ascii="Arial" w:hAnsi="Arial"/>
                <w:color w:val="000000"/>
                <w:sz w:val="18"/>
              </w:rPr>
              <w:t>Form of Common Stock Certificate (p)</w:t>
            </w:r>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S-1/A</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333-13183</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11/05/1996</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pPr>
            <w:r>
              <w:rPr/>
              <w:t> </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4.2</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9">
              <w:r>
                <w:rPr>
                  <w:rStyle w:val="InternetLink"/>
                  <w:rFonts w:ascii="Arial" w:hAnsi="Arial"/>
                  <w:color w:val="0000FF"/>
                  <w:sz w:val="18"/>
                  <w:u w:val="single"/>
                </w:rPr>
                <w:t>Indenture, dated as of March 27, 2019, between Viasat, Inc. and Wilmington Trust, National Association, as trustee and as collateral trustee</w:t>
              </w:r>
            </w:hyperlink>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03/27/2019</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pPr>
            <w:r>
              <w:rPr/>
              <w:t> </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4.2.1</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10">
              <w:r>
                <w:rPr>
                  <w:rStyle w:val="InternetLink"/>
                  <w:rFonts w:ascii="Arial" w:hAnsi="Arial"/>
                  <w:color w:val="0000FF"/>
                  <w:sz w:val="18"/>
                  <w:u w:val="single"/>
                </w:rPr>
                <w:t>Form of 5.625% Senior Secured Note due 2027 of Viasat, Inc. (attached as Exhibit A to the Indenture filed as Exhibit 4.2 hereto)</w:t>
              </w:r>
            </w:hyperlink>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03/27/2019</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pPr>
            <w:r>
              <w:rPr/>
              <w:t> </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4.3</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11">
              <w:r>
                <w:rPr>
                  <w:rStyle w:val="InternetLink"/>
                  <w:rFonts w:ascii="Arial" w:hAnsi="Arial"/>
                  <w:color w:val="0000FF"/>
                  <w:sz w:val="18"/>
                  <w:u w:val="single"/>
                </w:rPr>
                <w:t>Indenture, dated as of June 24, 2020, between Viasat, Inc. and Wilmington Trust, National Association, as trustee</w:t>
              </w:r>
            </w:hyperlink>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06/24/2020</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pPr>
            <w:r>
              <w:rPr/>
              <w:t> </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r>
              <w:rPr/>
              <w:t> </w:t>
            </w:r>
          </w:p>
        </w:tc>
        <w:tc>
          <w:tcPr>
            <w:tcW w:w="101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493"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0" w:type="dxa"/>
            <w:tcBorders/>
            <w:tcMar>
              <w:top w:w="0" w:type="dxa"/>
              <w:left w:w="0" w:type="dxa"/>
              <w:bottom w:w="0" w:type="dxa"/>
              <w:right w:w="0" w:type="dxa"/>
            </w:tcMar>
            <w:vAlign w:val="center"/>
          </w:tcPr>
          <w:p>
            <w:pPr>
              <w:pStyle w:val="TableContents"/>
              <w:bidi w:val="0"/>
              <w:spacing w:before="0" w:after="283"/>
              <w:jc w:val="center"/>
              <w:rPr/>
            </w:pPr>
            <w:r>
              <w:rPr/>
              <w:t> </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tcPr>
          <w:p>
            <w:pPr>
              <w:pStyle w:val="TableContents"/>
              <w:bidi w:val="0"/>
              <w:spacing w:before="0" w:after="283"/>
              <w:jc w:val="left"/>
              <w:rPr>
                <w:sz w:val="4"/>
                <w:szCs w:val="4"/>
              </w:rPr>
            </w:pPr>
            <w:r>
              <w:rPr>
                <w:sz w:val="4"/>
                <w:szCs w:val="4"/>
              </w:rPr>
            </w:r>
          </w:p>
        </w:tc>
      </w:tr>
      <w:tr>
        <w:trPr/>
        <w:tc>
          <w:tcPr>
            <w:tcW w:w="67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4.3.1</w:t>
            </w:r>
          </w:p>
        </w:tc>
        <w:tc>
          <w:tcPr>
            <w:tcW w:w="5092"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12">
              <w:r>
                <w:rPr>
                  <w:rStyle w:val="InternetLink"/>
                  <w:rFonts w:ascii="Arial" w:hAnsi="Arial"/>
                  <w:color w:val="0000FF"/>
                  <w:sz w:val="18"/>
                  <w:u w:val="single"/>
                </w:rPr>
                <w:t>Form of 6.500% Senior Note due 2028 of Viasat, Inc. (attached as Exhibit A to the Indenture filed as Exhibit 4.3 hereto)</w:t>
              </w:r>
            </w:hyperlink>
          </w:p>
        </w:tc>
        <w:tc>
          <w:tcPr>
            <w:tcW w:w="101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5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9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72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06/24/2020</w:t>
            </w:r>
          </w:p>
        </w:tc>
        <w:tc>
          <w:tcPr>
            <w:tcW w:w="6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4" w:type="dxa"/>
            <w:gridSpan w:val="2"/>
            <w:tcBorders/>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2"/>
        <w:gridCol w:w="6895"/>
        <w:gridCol w:w="424"/>
        <w:gridCol w:w="765"/>
        <w:gridCol w:w="466"/>
        <w:gridCol w:w="709"/>
        <w:gridCol w:w="194"/>
      </w:tblGrid>
      <w:tr>
        <w:trPr/>
        <w:tc>
          <w:tcPr>
            <w:tcW w:w="752" w:type="dxa"/>
            <w:tcBorders/>
            <w:vAlign w:val="center"/>
          </w:tcPr>
          <w:p>
            <w:pPr>
              <w:pStyle w:val="TableContents"/>
              <w:bidi w:val="0"/>
              <w:spacing w:before="0" w:after="283"/>
              <w:jc w:val="left"/>
              <w:rPr>
                <w:sz w:val="4"/>
                <w:szCs w:val="4"/>
              </w:rPr>
            </w:pPr>
            <w:r>
              <w:rPr>
                <w:sz w:val="4"/>
                <w:szCs w:val="4"/>
              </w:rPr>
            </w:r>
          </w:p>
        </w:tc>
        <w:tc>
          <w:tcPr>
            <w:tcW w:w="68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4.4</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13">
              <w:r>
                <w:rPr>
                  <w:rStyle w:val="InternetLink"/>
                  <w:rFonts w:ascii="Arial" w:hAnsi="Arial"/>
                  <w:color w:val="0000FF"/>
                  <w:sz w:val="18"/>
                  <w:u w:val="single"/>
                </w:rPr>
                <w:t>Indenture, dated as of September 28, 2023, between Viasat, Inc. and Wilmington Trust, National Association, as trustee</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09/28/2023</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4.4.1</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14">
              <w:r>
                <w:rPr>
                  <w:rStyle w:val="InternetLink"/>
                  <w:rFonts w:ascii="Arial" w:hAnsi="Arial"/>
                  <w:color w:val="0000FF"/>
                  <w:sz w:val="18"/>
                  <w:u w:val="single"/>
                </w:rPr>
                <w:t>Form of 7.500% Senior Notes due 2031 of Viasat, Inc. (attached as Exhibit A to the Indenture filed as Exhibit 4.4 hereto)</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09/28/2023</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4.5</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15">
              <w:r>
                <w:rPr>
                  <w:rStyle w:val="InternetLink"/>
                  <w:rFonts w:ascii="Arial" w:hAnsi="Arial"/>
                  <w:color w:val="0000FF"/>
                  <w:sz w:val="18"/>
                  <w:u w:val="single"/>
                </w:rPr>
                <w:t>Indenture, dated as of September 25, 2024, by and among Connect Finco SARL, Connect U.S. Finco LLC, the guarantors party thereto and Wilmington Trust, as trustee and notes collateral agent</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10/01/2024</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4.5.1</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16">
              <w:r>
                <w:rPr>
                  <w:rStyle w:val="InternetLink"/>
                  <w:rFonts w:ascii="Arial" w:hAnsi="Arial"/>
                  <w:color w:val="0000FF"/>
                  <w:sz w:val="18"/>
                  <w:u w:val="single"/>
                </w:rPr>
                <w:t>Form of 9.000% Senior Secured Notes due 2029 of Connect Finco SARL and Connect U.S. Finco LLC (attached as Exhibit A to the Indenture filed as Exhibit 4.5 hereto)</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10/01/2024</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4.6</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17">
              <w:r>
                <w:rPr>
                  <w:rStyle w:val="InternetLink"/>
                  <w:rFonts w:ascii="Arial" w:hAnsi="Arial"/>
                  <w:color w:val="0000FF"/>
                  <w:sz w:val="18"/>
                  <w:u w:val="single"/>
                </w:rPr>
                <w:t>Description of Registered Securities</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10-K</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4.7</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05/29/2024</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18">
              <w:r>
                <w:rPr>
                  <w:rStyle w:val="InternetLink"/>
                  <w:rFonts w:ascii="Arial" w:hAnsi="Arial"/>
                  <w:color w:val="0000FF"/>
                  <w:sz w:val="18"/>
                  <w:u w:val="single"/>
                </w:rPr>
                <w:t>Form of Indemnification Agreement between ViaSat, Inc. and each of its directors and officers</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99.1</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03/07/2008</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10.2**</w:t>
            </w:r>
          </w:p>
        </w:tc>
        <w:tc>
          <w:tcPr>
            <w:tcW w:w="6895"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19">
              <w:r>
                <w:rPr>
                  <w:rStyle w:val="InternetLink"/>
                  <w:rFonts w:ascii="Arial" w:hAnsi="Arial"/>
                  <w:color w:val="0000FF"/>
                  <w:sz w:val="18"/>
                  <w:u w:val="single"/>
                </w:rPr>
                <w:t>Employee Stock Purchase Plan of Viasat, Inc. (As Amended and Restated Effective September 4, 2025)</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09/05/2025</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10.3**</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20">
              <w:r>
                <w:rPr>
                  <w:rStyle w:val="InternetLink"/>
                  <w:rFonts w:ascii="Arial" w:hAnsi="Arial"/>
                  <w:color w:val="0000FF"/>
                  <w:sz w:val="18"/>
                  <w:u w:val="single"/>
                </w:rPr>
                <w:t>1996 Equity Participation Plan of Viasat, Inc. (As Amended and Restated Effective September 4, 2025)</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09/05/2025</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10.4**</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21">
              <w:r>
                <w:rPr>
                  <w:rStyle w:val="InternetLink"/>
                  <w:rFonts w:ascii="Arial" w:hAnsi="Arial"/>
                  <w:color w:val="0000FF"/>
                  <w:sz w:val="18"/>
                  <w:u w:val="single"/>
                </w:rPr>
                <w:t>Form of Stock Option Agreement for the 1996 Equity Participation Plan of ViaSat, Inc.</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10-K</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10.4</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05/26/2015</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10.5**</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22">
              <w:r>
                <w:rPr>
                  <w:rStyle w:val="InternetLink"/>
                  <w:rFonts w:ascii="Arial" w:hAnsi="Arial"/>
                  <w:color w:val="0000FF"/>
                  <w:sz w:val="18"/>
                  <w:u w:val="single"/>
                </w:rPr>
                <w:t>Form of Stock Option Agreement for the 1996 Equity Participation Plan of ViaSat, Inc. — Independent Director</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10.4</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11/09/2023</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10.6**</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23">
              <w:r>
                <w:rPr>
                  <w:rStyle w:val="InternetLink"/>
                  <w:rFonts w:ascii="Arial" w:hAnsi="Arial"/>
                  <w:color w:val="0000FF"/>
                  <w:sz w:val="18"/>
                  <w:u w:val="single"/>
                </w:rPr>
                <w:t>Form of Performance Stock Option Agreement for the 1996 Equity Participation Plan of Viasat Inc. (Stock Price)</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02/09/2024</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10.7**</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24">
              <w:r>
                <w:rPr>
                  <w:rStyle w:val="InternetLink"/>
                  <w:rFonts w:ascii="Arial" w:hAnsi="Arial"/>
                  <w:color w:val="0000FF"/>
                  <w:sz w:val="18"/>
                  <w:u w:val="single"/>
                </w:rPr>
                <w:t>Form of Performance Stock Option Agreement for the Viasat Inc. 1996 Equity Participation Plan</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02/09/2018</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10.8**</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25">
              <w:r>
                <w:rPr>
                  <w:rStyle w:val="InternetLink"/>
                  <w:rFonts w:ascii="Arial" w:hAnsi="Arial"/>
                  <w:color w:val="0000FF"/>
                  <w:sz w:val="18"/>
                  <w:u w:val="single"/>
                </w:rPr>
                <w:t>Form of Restricted Stock Unit Award Agreement for the 1996 Equity Participation Plan of ViaSat, Inc.—Global</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11/08/2024</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10.9**</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26">
              <w:r>
                <w:rPr>
                  <w:rStyle w:val="InternetLink"/>
                  <w:rFonts w:ascii="Arial" w:hAnsi="Arial"/>
                  <w:color w:val="0000FF"/>
                  <w:sz w:val="18"/>
                  <w:u w:val="single"/>
                </w:rPr>
                <w:t>Form of Restricted Stock Unit Award Agreement for the 1996 Equity Participation Plan of ViaSat, Inc.—Independent Director</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10.5</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11/09/2023</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10.10**</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27">
              <w:r>
                <w:rPr>
                  <w:rStyle w:val="InternetLink"/>
                  <w:rFonts w:ascii="Arial" w:hAnsi="Arial"/>
                  <w:color w:val="0000FF"/>
                  <w:sz w:val="18"/>
                  <w:u w:val="single"/>
                </w:rPr>
                <w:t>Form of Restricted Stock Unit Award Agreement for the 1996 Equity Participation Plan of ViaSat, Inc.—Executive</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10.3</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11/08/2024</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10.11**</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28">
              <w:r>
                <w:rPr>
                  <w:rStyle w:val="InternetLink"/>
                  <w:rFonts w:ascii="Arial" w:hAnsi="Arial"/>
                  <w:color w:val="0000FF"/>
                  <w:sz w:val="18"/>
                  <w:u w:val="single"/>
                </w:rPr>
                <w:t>Form of Performance-based Restricted Stock Unit Award Agreement for the 1996 Equity Participation Plan of ViaSat, Inc.— Financial Performance</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08/09/2024</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10.12**</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29">
              <w:r>
                <w:rPr>
                  <w:rStyle w:val="InternetLink"/>
                  <w:rFonts w:ascii="Arial" w:hAnsi="Arial"/>
                  <w:color w:val="0000FF"/>
                  <w:sz w:val="18"/>
                  <w:u w:val="single"/>
                </w:rPr>
                <w:t>Form of Performance-based Restricted Stock Unit Award Agreement for the 1996 Equity Participation Plan of ViaSat, Inc.— Relative Total Shareholder Return</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08/09/2024</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10.13**</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30">
              <w:r>
                <w:rPr>
                  <w:rStyle w:val="InternetLink"/>
                  <w:rFonts w:ascii="Arial" w:hAnsi="Arial"/>
                  <w:color w:val="0000FF"/>
                  <w:sz w:val="18"/>
                  <w:u w:val="single"/>
                </w:rPr>
                <w:t>Viasat, Inc. 1996 Equity Participation Plan Performance Cash Award Agreement — Free Cash Flow and Relative TSR</w:t>
              </w:r>
            </w:hyperlink>
          </w:p>
        </w:tc>
        <w:tc>
          <w:tcPr>
            <w:tcW w:w="42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6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10.3</w:t>
            </w:r>
          </w:p>
        </w:tc>
        <w:tc>
          <w:tcPr>
            <w:tcW w:w="709"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11/10/2025</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2"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95"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24" w:type="dxa"/>
            <w:tcBorders/>
            <w:tcMar>
              <w:top w:w="0" w:type="dxa"/>
              <w:left w:w="0" w:type="dxa"/>
              <w:bottom w:w="0" w:type="dxa"/>
              <w:right w:w="0" w:type="dxa"/>
            </w:tcMar>
            <w:vAlign w:val="center"/>
          </w:tcPr>
          <w:p>
            <w:pPr>
              <w:pStyle w:val="TableContents"/>
              <w:bidi w:val="0"/>
              <w:spacing w:before="0" w:after="283"/>
              <w:jc w:val="center"/>
              <w:rPr/>
            </w:pPr>
            <w:r>
              <w:rPr/>
              <w:t> </w:t>
            </w:r>
          </w:p>
        </w:tc>
        <w:tc>
          <w:tcPr>
            <w:tcW w:w="7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94"/>
        <w:gridCol w:w="6369"/>
        <w:gridCol w:w="417"/>
        <w:gridCol w:w="850"/>
        <w:gridCol w:w="721"/>
        <w:gridCol w:w="681"/>
        <w:gridCol w:w="273"/>
      </w:tblGrid>
      <w:tr>
        <w:trPr/>
        <w:tc>
          <w:tcPr>
            <w:tcW w:w="894" w:type="dxa"/>
            <w:tcBorders/>
            <w:vAlign w:val="center"/>
          </w:tcPr>
          <w:p>
            <w:pPr>
              <w:pStyle w:val="TableContents"/>
              <w:bidi w:val="0"/>
              <w:spacing w:before="0" w:after="283"/>
              <w:jc w:val="left"/>
              <w:rPr>
                <w:sz w:val="4"/>
                <w:szCs w:val="4"/>
              </w:rPr>
            </w:pPr>
            <w:r>
              <w:rPr>
                <w:sz w:val="4"/>
                <w:szCs w:val="4"/>
              </w:rPr>
            </w:r>
          </w:p>
        </w:tc>
        <w:tc>
          <w:tcPr>
            <w:tcW w:w="636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10.14**</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31">
              <w:r>
                <w:rPr>
                  <w:rStyle w:val="InternetLink"/>
                  <w:rFonts w:ascii="Arial" w:hAnsi="Arial"/>
                  <w:color w:val="0000FF"/>
                  <w:sz w:val="18"/>
                  <w:u w:val="single"/>
                </w:rPr>
                <w:t>Viasat, Inc. 1996 Equity Participation Plan Performance-based Restricted Stock Unit Award Agreement — Adjusted EBITDA and TSR</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10.4</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11/10/2025</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10.15**</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32">
              <w:r>
                <w:rPr>
                  <w:rStyle w:val="InternetLink"/>
                  <w:rFonts w:ascii="Arial" w:hAnsi="Arial"/>
                  <w:color w:val="0000FF"/>
                  <w:sz w:val="18"/>
                  <w:u w:val="single"/>
                </w:rPr>
                <w:t>2024 Employment Inducement Incentive Award Plan of Viasat, Inc.</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10.4</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11/08/2024</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10.16**</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33">
              <w:r>
                <w:rPr>
                  <w:rStyle w:val="InternetLink"/>
                  <w:rFonts w:ascii="Arial" w:hAnsi="Arial"/>
                  <w:color w:val="0000FF"/>
                  <w:sz w:val="18"/>
                  <w:u w:val="single"/>
                </w:rPr>
                <w:t>Form of Restricted Stock Unit Award Agreement for the 2024 Employment Inducement Incentive Award Plan of Viasat, Inc.—Executive</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10.5</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11/08/2024</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10.17**</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34">
              <w:r>
                <w:rPr>
                  <w:rStyle w:val="InternetLink"/>
                  <w:rFonts w:ascii="Arial" w:hAnsi="Arial"/>
                  <w:color w:val="0000FF"/>
                  <w:sz w:val="18"/>
                  <w:u w:val="single"/>
                </w:rPr>
                <w:t>Form of Restricted Stock Unit Award Agreement for the 2024 Employment Inducement Incentive Award Plan of Viasat, Inc.—Relative Total Shareholder Return</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10.6</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11/08/2024</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10.18**</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35">
              <w:r>
                <w:rPr>
                  <w:rStyle w:val="InternetLink"/>
                  <w:rFonts w:ascii="Arial" w:hAnsi="Arial"/>
                  <w:color w:val="0000FF"/>
                  <w:sz w:val="18"/>
                  <w:u w:val="single"/>
                </w:rPr>
                <w:t>RigNet, Inc. 2010 Omnibus Incentive Plan</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S-8</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333-255690</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10.3</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04/30/2021</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69"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10.18.1**</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36">
              <w:r>
                <w:rPr>
                  <w:rStyle w:val="InternetLink"/>
                  <w:rFonts w:ascii="Arial" w:hAnsi="Arial"/>
                  <w:color w:val="0000FF"/>
                  <w:sz w:val="18"/>
                  <w:u w:val="single"/>
                </w:rPr>
                <w:t>Amendment to RigNet, Inc. 2010 Omnibus Incentive Plan</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S-8</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333-255690</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10.4</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04/30/2021</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69"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10.19**</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37">
              <w:r>
                <w:rPr>
                  <w:rStyle w:val="InternetLink"/>
                  <w:rFonts w:ascii="Arial" w:hAnsi="Arial"/>
                  <w:color w:val="0000FF"/>
                  <w:sz w:val="18"/>
                  <w:u w:val="single"/>
                </w:rPr>
                <w:t>RigNet, Inc. 2019 Omnibus Incentive Plan</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S-8</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333-255690</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10.5</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04/30/2021</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69"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10.19.1**</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38">
              <w:r>
                <w:rPr>
                  <w:rStyle w:val="InternetLink"/>
                  <w:rFonts w:ascii="Arial" w:hAnsi="Arial"/>
                  <w:color w:val="0000FF"/>
                  <w:sz w:val="18"/>
                  <w:u w:val="single"/>
                </w:rPr>
                <w:t>Amendment to RigNet, Inc. 2019 Omnibus Incentive Plan</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S-8</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333-255690</w:t>
            </w:r>
          </w:p>
        </w:tc>
        <w:tc>
          <w:tcPr>
            <w:tcW w:w="721"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10.6</w:t>
            </w:r>
          </w:p>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04/30/2021</w:t>
            </w:r>
          </w:p>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69"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10.20**</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39">
              <w:r>
                <w:rPr>
                  <w:rStyle w:val="InternetLink"/>
                  <w:rFonts w:ascii="Arial" w:hAnsi="Arial"/>
                  <w:color w:val="0000FF"/>
                  <w:sz w:val="18"/>
                  <w:u w:val="single"/>
                </w:rPr>
                <w:t>Form of Change in Control Severance Agreement between ViaSat, Inc. and each of its executive officers</w:t>
              </w:r>
            </w:hyperlink>
          </w:p>
        </w:tc>
        <w:tc>
          <w:tcPr>
            <w:tcW w:w="417"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10-Q</w:t>
            </w:r>
          </w:p>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000-21767</w:t>
            </w:r>
          </w:p>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10.7</w:t>
            </w:r>
          </w:p>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11/08/2024</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69"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10.21**</w:t>
            </w:r>
          </w:p>
          <w:p>
            <w:pPr>
              <w:pStyle w:val="TableContents"/>
              <w:bidi w:val="0"/>
              <w:spacing w:before="0" w:after="283"/>
              <w:ind w:left="0" w:right="0" w:firstLine="113"/>
              <w:jc w:val="left"/>
              <w:rPr/>
            </w:pPr>
            <w:r>
              <w:rPr/>
              <w:t> </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40">
              <w:r>
                <w:rPr>
                  <w:rStyle w:val="InternetLink"/>
                  <w:rFonts w:ascii="Arial" w:hAnsi="Arial"/>
                  <w:color w:val="0000FF"/>
                  <w:sz w:val="18"/>
                  <w:u w:val="single"/>
                </w:rPr>
                <w:t>Form of Severance Agreement between Viasat, Inc. and each of its executive officers</w:t>
              </w:r>
            </w:hyperlink>
          </w:p>
        </w:tc>
        <w:tc>
          <w:tcPr>
            <w:tcW w:w="417"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10-Q</w:t>
            </w:r>
          </w:p>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000-21767</w:t>
            </w:r>
          </w:p>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10.8</w:t>
            </w:r>
          </w:p>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11/08/2024</w:t>
            </w:r>
          </w:p>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69"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10.22**</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41">
              <w:r>
                <w:rPr>
                  <w:rStyle w:val="InternetLink"/>
                  <w:rFonts w:ascii="Arial" w:hAnsi="Arial"/>
                  <w:color w:val="0000FF"/>
                  <w:sz w:val="18"/>
                  <w:u w:val="single"/>
                </w:rPr>
                <w:t>Severance Agreement, dated as of November 5, 2024, by and between Viasat, Inc. and Shawn Duffy</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10.9</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11/08/2024</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10.23**</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42">
              <w:r>
                <w:rPr>
                  <w:rStyle w:val="InternetLink"/>
                  <w:rFonts w:ascii="Arial" w:hAnsi="Arial"/>
                  <w:color w:val="0000FF"/>
                  <w:sz w:val="18"/>
                  <w:u w:val="single"/>
                </w:rPr>
                <w:t>Amended and Restated Severance Agreement, dated as of November 5, 2024, by and between Viasat, Inc. and James Dodd</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10.10</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11/08/2024</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69"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10.24**</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w:anchor="vsat-ex10_24.htm">
              <w:r>
                <w:rPr>
                  <w:rStyle w:val="InternetLink"/>
                  <w:rFonts w:ascii="Arial" w:hAnsi="Arial"/>
                  <w:color w:val="0000FF"/>
                  <w:sz w:val="18"/>
                  <w:u w:val="single"/>
                </w:rPr>
                <w:t>Performance Award, dated as of December 16, 2025, by and between Viasat, Inc. and Robert Blair</w:t>
              </w:r>
            </w:hyperlink>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X</w:t>
            </w:r>
          </w:p>
        </w:tc>
      </w:tr>
      <w:tr>
        <w:trPr/>
        <w:tc>
          <w:tcPr>
            <w:tcW w:w="894" w:type="dxa"/>
            <w:tcBorders/>
            <w:tcMar>
              <w:top w:w="0" w:type="dxa"/>
              <w:left w:w="0" w:type="dxa"/>
              <w:bottom w:w="0" w:type="dxa"/>
              <w:right w:w="0" w:type="dxa"/>
            </w:tcMar>
            <w:vAlign w:val="center"/>
          </w:tcPr>
          <w:p>
            <w:pPr>
              <w:pStyle w:val="TableContents"/>
              <w:bidi w:val="0"/>
              <w:spacing w:before="0" w:after="283"/>
              <w:jc w:val="left"/>
              <w:rPr/>
            </w:pPr>
            <w:r>
              <w:rPr/>
              <w:t> </w:t>
            </w:r>
          </w:p>
        </w:tc>
        <w:tc>
          <w:tcPr>
            <w:tcW w:w="6369"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10.25</w:t>
            </w:r>
          </w:p>
          <w:p>
            <w:pPr>
              <w:pStyle w:val="TableContents"/>
              <w:bidi w:val="0"/>
              <w:spacing w:before="0" w:after="283"/>
              <w:ind w:left="0" w:right="0" w:firstLine="113"/>
              <w:jc w:val="left"/>
              <w:rPr/>
            </w:pPr>
            <w:r>
              <w:rPr/>
              <w:t> </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43">
              <w:r>
                <w:rPr>
                  <w:rStyle w:val="InternetLink"/>
                  <w:rFonts w:ascii="Arial" w:hAnsi="Arial"/>
                  <w:color w:val="0000FF"/>
                  <w:sz w:val="18"/>
                  <w:u w:val="single"/>
                </w:rPr>
                <w:t>Credit Agreement dated as of November 26, 2013, by and among ViaSat, Inc., Union Bank, N.A. (as agent) and the other lenders party thereto</w:t>
              </w:r>
            </w:hyperlink>
          </w:p>
        </w:tc>
        <w:tc>
          <w:tcPr>
            <w:tcW w:w="417"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8-K</w:t>
            </w:r>
          </w:p>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000-21767</w:t>
            </w:r>
          </w:p>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10.1</w:t>
            </w:r>
          </w:p>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jc w:val="center"/>
              <w:rPr>
                <w:rFonts w:ascii="Arial" w:hAnsi="Arial"/>
                <w:color w:val="000000"/>
                <w:sz w:val="18"/>
              </w:rPr>
            </w:pPr>
            <w:r>
              <w:rPr>
                <w:rFonts w:ascii="Arial" w:hAnsi="Arial"/>
                <w:color w:val="000000"/>
                <w:sz w:val="18"/>
              </w:rPr>
              <w:t>11/26/2013</w:t>
            </w:r>
          </w:p>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9"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10.25.1</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44">
              <w:r>
                <w:rPr>
                  <w:rStyle w:val="InternetLink"/>
                  <w:rFonts w:ascii="Arial" w:hAnsi="Arial"/>
                  <w:color w:val="0000FF"/>
                  <w:sz w:val="18"/>
                  <w:u w:val="single"/>
                </w:rPr>
                <w:t>First Amendment to Credit Agreement and Other Loan Documents dated as of March 12, 2015, by and among ViaSat, Inc., Union Bank, N.A. (as agent) and the other lenders party thereto</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03/13/2015</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10.25.2</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45">
              <w:r>
                <w:rPr>
                  <w:rStyle w:val="InternetLink"/>
                  <w:rFonts w:ascii="Arial" w:hAnsi="Arial"/>
                  <w:color w:val="0000FF"/>
                  <w:sz w:val="18"/>
                  <w:u w:val="single"/>
                </w:rPr>
                <w:t>Second Amendment to Credit Agreement and Other Loan Documents dated as of May 24, 2016, by and among Viasat, Inc., MUFG Union Bank, N.A. (as agent) and the other lenders party thereto</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05/24/2016</w:t>
            </w:r>
          </w:p>
        </w:tc>
        <w:tc>
          <w:tcPr>
            <w:tcW w:w="2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9" w:type="dxa"/>
            <w:tcBorders/>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10.25.3</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46">
              <w:r>
                <w:rPr>
                  <w:rStyle w:val="InternetLink"/>
                  <w:rFonts w:ascii="Arial" w:hAnsi="Arial"/>
                  <w:color w:val="0000FF"/>
                  <w:sz w:val="18"/>
                  <w:u w:val="single"/>
                </w:rPr>
                <w:t>Third Amendment to Credit Agreement dated as of May 24, 2018 by and among Viasat, Inc., MUFG Union Bank, N.A. (as agent) and the other lenders party thereto</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10-K</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10.10.3</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05/30/2018</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10.25.4</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47">
              <w:r>
                <w:rPr>
                  <w:rStyle w:val="InternetLink"/>
                  <w:rFonts w:ascii="Arial" w:hAnsi="Arial"/>
                  <w:color w:val="0000FF"/>
                  <w:sz w:val="18"/>
                  <w:u w:val="single"/>
                </w:rPr>
                <w:t>Fourth Amendment to Credit Agreement dated as of January 18, 2019, by and among Viasat, Inc., MUFG Union Bank, N.A. (as administrative agent and collateral agent) and the other lenders party thereto</w:t>
              </w:r>
            </w:hyperlink>
          </w:p>
        </w:tc>
        <w:tc>
          <w:tcPr>
            <w:tcW w:w="417"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850"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72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6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01/22/2019</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9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369"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17" w:type="dxa"/>
            <w:tcBorders/>
            <w:tcMar>
              <w:top w:w="0" w:type="dxa"/>
              <w:left w:w="0" w:type="dxa"/>
              <w:bottom w:w="0" w:type="dxa"/>
              <w:right w:w="0" w:type="dxa"/>
            </w:tcMar>
            <w:vAlign w:val="center"/>
          </w:tcPr>
          <w:p>
            <w:pPr>
              <w:pStyle w:val="TableContents"/>
              <w:bidi w:val="0"/>
              <w:spacing w:before="0" w:after="283"/>
              <w:jc w:val="center"/>
              <w:rPr/>
            </w:pPr>
            <w:r>
              <w:rPr/>
              <w:t> </w:t>
            </w:r>
          </w:p>
        </w:tc>
        <w:tc>
          <w:tcPr>
            <w:tcW w:w="850"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1"/>
        <w:gridCol w:w="6781"/>
        <w:gridCol w:w="406"/>
        <w:gridCol w:w="716"/>
        <w:gridCol w:w="616"/>
        <w:gridCol w:w="642"/>
        <w:gridCol w:w="193"/>
      </w:tblGrid>
      <w:tr>
        <w:trPr/>
        <w:tc>
          <w:tcPr>
            <w:tcW w:w="851" w:type="dxa"/>
            <w:tcBorders/>
            <w:vAlign w:val="center"/>
          </w:tcPr>
          <w:p>
            <w:pPr>
              <w:pStyle w:val="TableContents"/>
              <w:bidi w:val="0"/>
              <w:spacing w:before="0" w:after="283"/>
              <w:jc w:val="left"/>
              <w:rPr>
                <w:sz w:val="4"/>
                <w:szCs w:val="4"/>
              </w:rPr>
            </w:pPr>
            <w:r>
              <w:rPr>
                <w:sz w:val="4"/>
                <w:szCs w:val="4"/>
              </w:rPr>
            </w:r>
          </w:p>
        </w:tc>
        <w:tc>
          <w:tcPr>
            <w:tcW w:w="67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10.25.5</w:t>
            </w:r>
          </w:p>
        </w:tc>
        <w:tc>
          <w:tcPr>
            <w:tcW w:w="6781"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48">
              <w:r>
                <w:rPr>
                  <w:rStyle w:val="InternetLink"/>
                  <w:rFonts w:ascii="Arial" w:hAnsi="Arial"/>
                  <w:color w:val="0000FF"/>
                  <w:sz w:val="18"/>
                  <w:u w:val="single"/>
                </w:rPr>
                <w:t>Fifth Amendment to Credit Agreement, dated as of November 23, 2021, by and among Viasat, Inc., MUFG Union Bank, N.A. (as administrative agent and collateral agent), and the other lenders party thereto</w:t>
              </w:r>
            </w:hyperlink>
          </w:p>
        </w:tc>
        <w:tc>
          <w:tcPr>
            <w:tcW w:w="4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11/30/2021</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10.25.6</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49">
              <w:r>
                <w:rPr>
                  <w:rStyle w:val="InternetLink"/>
                  <w:rFonts w:ascii="Arial" w:hAnsi="Arial"/>
                  <w:color w:val="0000FF"/>
                  <w:sz w:val="18"/>
                  <w:u w:val="single"/>
                </w:rPr>
                <w:t>Sixth Amendment to Credit Agreement, dated as of March 4, 2022, by and among Viasat, Inc., MUFG Union Bank, N.A. (as administrative agent and collateral agent), and the other lenders party thereto</w:t>
              </w:r>
            </w:hyperlink>
          </w:p>
        </w:tc>
        <w:tc>
          <w:tcPr>
            <w:tcW w:w="4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10.2</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03/04/2022</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10.25.7</w:t>
            </w:r>
          </w:p>
        </w:tc>
        <w:tc>
          <w:tcPr>
            <w:tcW w:w="6781"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50">
              <w:r>
                <w:rPr>
                  <w:rStyle w:val="InternetLink"/>
                  <w:rFonts w:ascii="Arial" w:hAnsi="Arial"/>
                  <w:color w:val="0000FF"/>
                  <w:sz w:val="18"/>
                  <w:u w:val="single"/>
                </w:rPr>
                <w:t>Seventh Amendment to Credit Agreement, dated as of August 24, 2023, by and among Viasat, Inc., MUFG Bank, Ltd. (as successor-in-interest to MUFG Union Bank, N.A.), as administrative agent and collateral agent, and the other lenders party thereto</w:t>
              </w:r>
            </w:hyperlink>
          </w:p>
        </w:tc>
        <w:tc>
          <w:tcPr>
            <w:tcW w:w="4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08/25/2023</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10.25.8</w:t>
            </w:r>
          </w:p>
        </w:tc>
        <w:tc>
          <w:tcPr>
            <w:tcW w:w="6781"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51">
              <w:r>
                <w:rPr>
                  <w:rStyle w:val="InternetLink"/>
                  <w:rFonts w:ascii="Arial" w:hAnsi="Arial"/>
                  <w:color w:val="0000FF"/>
                  <w:sz w:val="18"/>
                  <w:u w:val="single"/>
                </w:rPr>
                <w:t>Joinder Agreement, dated as of September 6, 2023, by and among Viasat, Inc. as borrower, MUFG Bank, Ltd. (as successor in interest to MUFG Union Bank, N.A.), as administrative agent and collateral agent, and the lender party thereto.</w:t>
              </w:r>
            </w:hyperlink>
          </w:p>
        </w:tc>
        <w:tc>
          <w:tcPr>
            <w:tcW w:w="4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09/07/2023</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10.26</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52">
              <w:r>
                <w:rPr>
                  <w:rStyle w:val="InternetLink"/>
                  <w:rFonts w:ascii="Arial" w:hAnsi="Arial"/>
                  <w:color w:val="0000FF"/>
                  <w:sz w:val="18"/>
                  <w:u w:val="single"/>
                </w:rPr>
                <w:t>Credit Agreement, dated as of March 4, 2022, by and among Viasat, Inc., Bank of America, N.A. (as administrative agent and collateral agent), and the other lenders party thereto</w:t>
              </w:r>
            </w:hyperlink>
          </w:p>
        </w:tc>
        <w:tc>
          <w:tcPr>
            <w:tcW w:w="4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03/04/2022</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10.27</w:t>
            </w:r>
          </w:p>
        </w:tc>
        <w:tc>
          <w:tcPr>
            <w:tcW w:w="6781"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53">
              <w:r>
                <w:rPr>
                  <w:rStyle w:val="InternetLink"/>
                  <w:rFonts w:ascii="Arial" w:hAnsi="Arial"/>
                  <w:color w:val="0000FF"/>
                  <w:sz w:val="18"/>
                  <w:u w:val="single"/>
                </w:rPr>
                <w:t>Amendment and Restatement Agreement, dated as of September 22, 2023, by and among Viasat, Inc., Bank of America, N.A. (as administrative agent and collateral agent), and the other lenders party thereto</w:t>
              </w:r>
            </w:hyperlink>
          </w:p>
        </w:tc>
        <w:tc>
          <w:tcPr>
            <w:tcW w:w="4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7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09/25/2023</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10.28</w:t>
            </w:r>
          </w:p>
        </w:tc>
        <w:tc>
          <w:tcPr>
            <w:tcW w:w="6781"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54">
              <w:r>
                <w:rPr>
                  <w:rStyle w:val="InternetLink"/>
                  <w:rFonts w:ascii="Arial" w:hAnsi="Arial"/>
                  <w:color w:val="0000FF"/>
                  <w:sz w:val="18"/>
                  <w:u w:val="single"/>
                </w:rPr>
                <w:t>Credit Agreement, dated as of December 12, 2019, by and among Connect Midco Limited, Connect Bidco Limited, Connect Finco SARL, Connect U.S. Finco LLC, Barclays Bank PLC (as administrative agent and collateral agent), and the other lenders party thereto</w:t>
              </w:r>
            </w:hyperlink>
          </w:p>
        </w:tc>
        <w:tc>
          <w:tcPr>
            <w:tcW w:w="4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10.4</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08/09/2023</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10.28.1</w:t>
            </w:r>
          </w:p>
        </w:tc>
        <w:tc>
          <w:tcPr>
            <w:tcW w:w="6781"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55">
              <w:r>
                <w:rPr>
                  <w:rStyle w:val="InternetLink"/>
                  <w:rFonts w:ascii="Arial" w:hAnsi="Arial"/>
                  <w:color w:val="0000FF"/>
                  <w:sz w:val="18"/>
                  <w:u w:val="single"/>
                </w:rPr>
                <w:t>Amendment No.1 to Credit Agreement, dated as of January 25, 2021, by and among Connect Midco Limited, Connect Bidco Limited, Connect Finco SARL, Connect U.S. Finco LLC, Barclays Bank PLC (as administrative agent and collateral agent), and the other lenders party thereto</w:t>
              </w:r>
            </w:hyperlink>
          </w:p>
        </w:tc>
        <w:tc>
          <w:tcPr>
            <w:tcW w:w="4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10.4.1</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08/09/2023</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10.28.2</w:t>
            </w:r>
          </w:p>
        </w:tc>
        <w:tc>
          <w:tcPr>
            <w:tcW w:w="6781"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56">
              <w:r>
                <w:rPr>
                  <w:rStyle w:val="InternetLink"/>
                  <w:rFonts w:ascii="Arial" w:hAnsi="Arial"/>
                  <w:color w:val="0000FF"/>
                  <w:sz w:val="18"/>
                  <w:u w:val="single"/>
                </w:rPr>
                <w:t>Amendment No. 2 to Credit Agreement, dated as of December 17, 2021, by and among Connect Midco Limited, Connect Bidco Limited, Connect Finco SARL, Connect U.S. Finco LLC, Barclays Bank PLC (as administrative agent and collateral agent), and the other lenders party thereto</w:t>
              </w:r>
            </w:hyperlink>
          </w:p>
        </w:tc>
        <w:tc>
          <w:tcPr>
            <w:tcW w:w="4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10.4.2</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08/09/2023</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10.28.3</w:t>
            </w:r>
          </w:p>
        </w:tc>
        <w:tc>
          <w:tcPr>
            <w:tcW w:w="6781"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57">
              <w:r>
                <w:rPr>
                  <w:rStyle w:val="InternetLink"/>
                  <w:rFonts w:ascii="Arial" w:hAnsi="Arial"/>
                  <w:color w:val="0000FF"/>
                  <w:sz w:val="18"/>
                  <w:u w:val="single"/>
                </w:rPr>
                <w:t>Amendment No. 3 to Credit Agreement, dated as of December 2, 2022, by and among Connect Midco Limited, Connect Bidco Limited, Connect Finco SARL, Connect U.S. Finco LLC, Barclays Bank PLC (as administrative agent and collateral agent), and the other lenders party thereto</w:t>
              </w:r>
            </w:hyperlink>
          </w:p>
        </w:tc>
        <w:tc>
          <w:tcPr>
            <w:tcW w:w="4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10-Q</w:t>
            </w:r>
          </w:p>
        </w:tc>
        <w:tc>
          <w:tcPr>
            <w:tcW w:w="7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61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10.4.3</w:t>
            </w:r>
          </w:p>
        </w:tc>
        <w:tc>
          <w:tcPr>
            <w:tcW w:w="642"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08/09/2023</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51"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781"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642"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4"/>
        <w:gridCol w:w="6887"/>
        <w:gridCol w:w="396"/>
        <w:gridCol w:w="695"/>
        <w:gridCol w:w="466"/>
        <w:gridCol w:w="614"/>
        <w:gridCol w:w="273"/>
      </w:tblGrid>
      <w:tr>
        <w:trPr/>
        <w:tc>
          <w:tcPr>
            <w:tcW w:w="874" w:type="dxa"/>
            <w:tcBorders/>
            <w:vAlign w:val="center"/>
          </w:tcPr>
          <w:p>
            <w:pPr>
              <w:pStyle w:val="TableContents"/>
              <w:bidi w:val="0"/>
              <w:spacing w:before="0" w:after="283"/>
              <w:jc w:val="left"/>
              <w:rPr>
                <w:sz w:val="4"/>
                <w:szCs w:val="4"/>
              </w:rPr>
            </w:pPr>
            <w:r>
              <w:rPr>
                <w:sz w:val="4"/>
                <w:szCs w:val="4"/>
              </w:rPr>
            </w:r>
          </w:p>
        </w:tc>
        <w:tc>
          <w:tcPr>
            <w:tcW w:w="688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5"/>
              <w:jc w:val="center"/>
              <w:rPr>
                <w:rFonts w:ascii="Arial" w:hAnsi="Arial"/>
                <w:color w:val="000000"/>
                <w:sz w:val="18"/>
              </w:rPr>
            </w:pPr>
            <w:r>
              <w:rPr>
                <w:rFonts w:ascii="Arial" w:hAnsi="Arial"/>
                <w:color w:val="000000"/>
                <w:sz w:val="18"/>
              </w:rPr>
              <w:t>10.28.4</w:t>
            </w:r>
          </w:p>
        </w:tc>
        <w:tc>
          <w:tcPr>
            <w:tcW w:w="6887" w:type="dxa"/>
            <w:tcBorders/>
            <w:tcMar>
              <w:top w:w="0" w:type="dxa"/>
              <w:left w:w="0" w:type="dxa"/>
              <w:bottom w:w="0" w:type="dxa"/>
              <w:right w:w="0" w:type="dxa"/>
            </w:tcMar>
            <w:vAlign w:val="center"/>
          </w:tcPr>
          <w:p>
            <w:pPr>
              <w:pStyle w:val="TableContents"/>
              <w:bidi w:val="0"/>
              <w:spacing w:before="0" w:after="283"/>
              <w:ind w:left="0" w:right="0" w:firstLine="115"/>
              <w:jc w:val="left"/>
              <w:rPr/>
            </w:pPr>
            <w:hyperlink r:id="rId58">
              <w:r>
                <w:rPr>
                  <w:rStyle w:val="InternetLink"/>
                  <w:rFonts w:ascii="Arial" w:hAnsi="Arial"/>
                  <w:color w:val="0000FF"/>
                  <w:sz w:val="18"/>
                  <w:u w:val="single"/>
                </w:rPr>
                <w:t>Amendment No. 4 to Credit Agreement, dated as of March 28, 2024 by and among Connect Finco SARL, Connect U.S. Finco LLC, the subsidiary loan parties party thereto, Barclays Bank PLC, as existing administrative agent and collateral agent, Bank of America, N.A., as successor administrative agent and collateral agent, and the lenders party thereto</w:t>
              </w:r>
            </w:hyperlink>
          </w:p>
        </w:tc>
        <w:tc>
          <w:tcPr>
            <w:tcW w:w="3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69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61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03/28/2024</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10.29</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59">
              <w:r>
                <w:rPr>
                  <w:rStyle w:val="InternetLink"/>
                  <w:rFonts w:ascii="Arial" w:hAnsi="Arial"/>
                  <w:color w:val="0000FF"/>
                  <w:sz w:val="18"/>
                  <w:u w:val="single"/>
                </w:rPr>
                <w:t>Credit Agreement, dated as of January 21, 2026, by and among ViaSat Technologies Limited, Viasat, Inc., J.P. Morgan Securities LLC (as Ex-Im Facility Agent) and the Export-Import Bank of the United States</w:t>
              </w:r>
            </w:hyperlink>
          </w:p>
        </w:tc>
        <w:tc>
          <w:tcPr>
            <w:tcW w:w="3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69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61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01/26/2026</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10.30</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60">
              <w:r>
                <w:rPr>
                  <w:rStyle w:val="InternetLink"/>
                  <w:rFonts w:ascii="Arial" w:hAnsi="Arial"/>
                  <w:color w:val="0000FF"/>
                  <w:sz w:val="18"/>
                  <w:u w:val="single"/>
                </w:rPr>
                <w:t>Cooperation Agreement, dated as of May 6, 2026, by and among Viasat, Inc., Carronade Capital Management, LP and the other persons and entities listed on Schedule A thereto</w:t>
              </w:r>
            </w:hyperlink>
          </w:p>
        </w:tc>
        <w:tc>
          <w:tcPr>
            <w:tcW w:w="3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69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10.1</w:t>
            </w:r>
          </w:p>
        </w:tc>
        <w:tc>
          <w:tcPr>
            <w:tcW w:w="61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05/07/2026</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5" w:type="dxa"/>
            <w:tcBorders/>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14"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19</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61">
              <w:r>
                <w:rPr>
                  <w:rStyle w:val="InternetLink"/>
                  <w:rFonts w:ascii="Arial" w:hAnsi="Arial"/>
                  <w:color w:val="0000FF"/>
                  <w:sz w:val="18"/>
                  <w:u w:val="single"/>
                </w:rPr>
                <w:t>Viasat, Inc. Insider Trading Compliance Policies and Procedures</w:t>
              </w:r>
            </w:hyperlink>
          </w:p>
        </w:tc>
        <w:tc>
          <w:tcPr>
            <w:tcW w:w="3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10-K</w:t>
            </w:r>
          </w:p>
        </w:tc>
        <w:tc>
          <w:tcPr>
            <w:tcW w:w="69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c>
          <w:tcPr>
            <w:tcW w:w="61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05/29/2024</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21.1</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w:anchor="vsat-ex21_1.htm">
              <w:r>
                <w:rPr>
                  <w:rStyle w:val="InternetLink"/>
                  <w:rFonts w:ascii="Arial" w:hAnsi="Arial"/>
                  <w:color w:val="0000FF"/>
                  <w:sz w:val="18"/>
                  <w:u w:val="single"/>
                </w:rPr>
                <w:t>Subsidiaries</w:t>
              </w:r>
            </w:hyperlink>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23.1</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w:anchor="vsat-ex23_1.htm">
              <w:r>
                <w:rPr>
                  <w:rStyle w:val="InternetLink"/>
                  <w:rFonts w:ascii="Arial" w:hAnsi="Arial"/>
                  <w:color w:val="0000FF"/>
                  <w:sz w:val="18"/>
                  <w:u w:val="single"/>
                </w:rPr>
                <w:t>Consent of PricewaterhouseCoopers LLP, Independent Registered Public Accounting Firm</w:t>
              </w:r>
            </w:hyperlink>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24.1</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w:anchor="power_of_a">
              <w:r>
                <w:rPr>
                  <w:rStyle w:val="InternetLink"/>
                  <w:rFonts w:ascii="Arial" w:hAnsi="Arial"/>
                  <w:color w:val="0000FF"/>
                  <w:sz w:val="18"/>
                  <w:u w:val="single"/>
                </w:rPr>
                <w:t>Power of Attorney (see signature page)</w:t>
              </w:r>
            </w:hyperlink>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31.1</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w:anchor="vsat-ex31_1.htm">
              <w:r>
                <w:rPr>
                  <w:rStyle w:val="InternetLink"/>
                  <w:rFonts w:ascii="Arial" w:hAnsi="Arial"/>
                  <w:color w:val="0000FF"/>
                  <w:sz w:val="18"/>
                  <w:u w:val="single"/>
                </w:rPr>
                <w:t>Certification Pursuant to Section 302 of the Sarbanes-Oxley Act of 2002 of Chief Executive Officer</w:t>
              </w:r>
            </w:hyperlink>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31.2</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w:anchor="vsat-ex31_2.htm">
              <w:r>
                <w:rPr>
                  <w:rStyle w:val="InternetLink"/>
                  <w:rFonts w:ascii="Arial" w:hAnsi="Arial"/>
                  <w:color w:val="0000FF"/>
                  <w:sz w:val="18"/>
                  <w:u w:val="single"/>
                </w:rPr>
                <w:t>Certification Pursuant to Section 302 of the Sarbanes-Oxley Act of 2002 of Chief Financial Officer</w:t>
              </w:r>
            </w:hyperlink>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32.1</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w:anchor="vsat-ex32_1.htm">
              <w:r>
                <w:rPr>
                  <w:rStyle w:val="InternetLink"/>
                  <w:rFonts w:ascii="Arial" w:hAnsi="Arial"/>
                  <w:color w:val="0000FF"/>
                  <w:sz w:val="18"/>
                  <w:u w:val="single"/>
                </w:rPr>
                <w:t>Certifications Pursuant to 18 U.S.C. Section 1350, as Adopted Pursuant to Section 906 of the Sarbanes-Oxley Act of 2002</w:t>
              </w:r>
            </w:hyperlink>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97</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hyperlink r:id="rId62">
              <w:r>
                <w:rPr>
                  <w:rStyle w:val="InternetLink"/>
                  <w:rFonts w:ascii="Arial" w:hAnsi="Arial"/>
                  <w:color w:val="0000FF"/>
                  <w:sz w:val="18"/>
                  <w:u w:val="single"/>
                </w:rPr>
                <w:t>Viasat, Inc. Compensation Recovery Policy Adopted Under Section 10Q of the Exchange Act and the NASDAQ Listing Rules</w:t>
              </w:r>
            </w:hyperlink>
          </w:p>
        </w:tc>
        <w:tc>
          <w:tcPr>
            <w:tcW w:w="39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10-K</w:t>
            </w:r>
          </w:p>
        </w:tc>
        <w:tc>
          <w:tcPr>
            <w:tcW w:w="69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000-21767</w:t>
            </w:r>
          </w:p>
        </w:tc>
        <w:tc>
          <w:tcPr>
            <w:tcW w:w="46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97</w:t>
            </w:r>
          </w:p>
        </w:tc>
        <w:tc>
          <w:tcPr>
            <w:tcW w:w="614"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05/29/2024</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101.INS</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rFonts w:ascii="Arial" w:hAnsi="Arial"/>
                <w:color w:val="000000"/>
                <w:sz w:val="18"/>
              </w:rPr>
            </w:pPr>
            <w:r>
              <w:rPr>
                <w:rFonts w:ascii="Arial" w:hAnsi="Arial"/>
                <w:color w:val="000000"/>
                <w:sz w:val="18"/>
              </w:rPr>
              <w:t>Inline XBRL Instance Document - the instance document does not appear in the Interactive Data File as its XBRL tags are embedded within the Inline XBRL document.</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101.SCH</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rFonts w:ascii="Arial" w:hAnsi="Arial"/>
                <w:color w:val="000000"/>
                <w:sz w:val="18"/>
              </w:rPr>
            </w:pPr>
            <w:r>
              <w:rPr>
                <w:rFonts w:ascii="Arial" w:hAnsi="Arial"/>
                <w:color w:val="000000"/>
                <w:sz w:val="18"/>
              </w:rPr>
              <w:t>Inline XBRL Taxonomy Extension Schema with Embedded Linkbases Document</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pPr>
            <w:r>
              <w:rPr/>
              <w:t> </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pPr>
            <w:r>
              <w:rPr/>
              <w:t> </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74" w:type="dxa"/>
            <w:tcBorders/>
            <w:tcMar>
              <w:top w:w="0" w:type="dxa"/>
              <w:left w:w="0" w:type="dxa"/>
              <w:bottom w:w="0" w:type="dxa"/>
              <w:right w:w="0" w:type="dxa"/>
            </w:tcMar>
            <w:vAlign w:val="center"/>
          </w:tcPr>
          <w:p>
            <w:pPr>
              <w:pStyle w:val="TableContents"/>
              <w:bidi w:val="0"/>
              <w:spacing w:before="0" w:after="283"/>
              <w:ind w:left="0" w:right="0" w:firstLine="113"/>
              <w:jc w:val="center"/>
              <w:rPr>
                <w:rFonts w:ascii="Arial" w:hAnsi="Arial"/>
                <w:color w:val="000000"/>
                <w:sz w:val="18"/>
              </w:rPr>
            </w:pPr>
            <w:r>
              <w:rPr>
                <w:rFonts w:ascii="Arial" w:hAnsi="Arial"/>
                <w:color w:val="000000"/>
                <w:sz w:val="18"/>
              </w:rPr>
              <w:t>104</w:t>
            </w:r>
          </w:p>
        </w:tc>
        <w:tc>
          <w:tcPr>
            <w:tcW w:w="6887" w:type="dxa"/>
            <w:tcBorders/>
            <w:tcMar>
              <w:top w:w="0" w:type="dxa"/>
              <w:left w:w="0" w:type="dxa"/>
              <w:bottom w:w="0" w:type="dxa"/>
              <w:right w:w="0" w:type="dxa"/>
            </w:tcMar>
            <w:vAlign w:val="center"/>
          </w:tcPr>
          <w:p>
            <w:pPr>
              <w:pStyle w:val="TableContents"/>
              <w:bidi w:val="0"/>
              <w:spacing w:before="0" w:after="283"/>
              <w:ind w:left="0" w:right="0" w:firstLine="113"/>
              <w:jc w:val="left"/>
              <w:rPr>
                <w:rFonts w:ascii="Arial" w:hAnsi="Arial"/>
                <w:color w:val="000000"/>
                <w:sz w:val="18"/>
              </w:rPr>
            </w:pPr>
            <w:r>
              <w:rPr>
                <w:rFonts w:ascii="Arial" w:hAnsi="Arial"/>
                <w:color w:val="000000"/>
                <w:sz w:val="18"/>
              </w:rPr>
              <w:t>Cover Page (formatted as inline XBRL and contained in Exhibit 101)</w:t>
            </w:r>
          </w:p>
        </w:tc>
        <w:tc>
          <w:tcPr>
            <w:tcW w:w="396" w:type="dxa"/>
            <w:tcBorders/>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X</w:t>
            </w:r>
          </w:p>
        </w:tc>
      </w:tr>
    </w:tbl>
    <w:p>
      <w:pPr>
        <w:pStyle w:val="TextBody"/>
        <w:bidi w:val="0"/>
        <w:spacing w:before="40" w:after="283"/>
        <w:jc w:val="left"/>
        <w:rPr>
          <w:rFonts w:ascii="Arial" w:hAnsi="Arial"/>
          <w:color w:val="000000"/>
          <w:sz w:val="20"/>
        </w:rPr>
      </w:pPr>
      <w:r>
        <w:rPr>
          <w:rFonts w:ascii="Arial" w:hAnsi="Arial"/>
          <w:color w:val="000000"/>
          <w:sz w:val="20"/>
        </w:rPr>
        <w:t>* Certain schedules to this Exhibit omitted pursuant to Regulation S-K Item 601(b)(2) or 601(a)(5) (as applicable). Viasat agrees to furnish a supplemental copy of any omitted schedule to the SEC upon request; provided, however, that Viasat may request confidential treatment pursuant to Rule 24b-2 of the Exchange Act for any document so furnished.</w:t>
      </w:r>
    </w:p>
    <w:p>
      <w:pPr>
        <w:pStyle w:val="TextBody"/>
        <w:bidi w:val="0"/>
        <w:spacing w:before="40" w:after="283"/>
        <w:jc w:val="left"/>
        <w:rPr>
          <w:rFonts w:ascii="Times New Roman" w:hAnsi="Times New Roman"/>
          <w:sz w:val="20"/>
        </w:rPr>
      </w:pPr>
      <w:r>
        <w:rPr>
          <w:rFonts w:ascii="Arial" w:hAnsi="Arial"/>
          <w:color w:val="000000"/>
          <w:sz w:val="20"/>
        </w:rPr>
        <w:t>** Indicates management contract, compensatory plan or arrangement.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(p)</w:t>
      </w:r>
    </w:p>
    <w:p>
      <w:pPr>
        <w:pStyle w:val="TextBody"/>
        <w:bidi w:val="0"/>
        <w:spacing w:before="120" w:after="283"/>
        <w:jc w:val="left"/>
        <w:rPr>
          <w:rFonts w:ascii="Arial" w:hAnsi="Arial"/>
          <w:color w:val="000000"/>
          <w:sz w:val="20"/>
        </w:rPr>
      </w:pPr>
      <w:r>
        <w:rPr>
          <w:rFonts w:ascii="Arial" w:hAnsi="Arial"/>
          <w:color w:val="000000"/>
          <w:sz w:val="20"/>
        </w:rPr>
        <w:t>Filed in paper.</w:t>
      </w:r>
    </w:p>
    <w:p>
      <w:pPr>
        <w:pStyle w:val="TextBody"/>
        <w:bidi w:val="0"/>
        <w:spacing w:before="270" w:after="283"/>
        <w:jc w:val="left"/>
        <w:rPr>
          <w:rFonts w:ascii="Times New Roman" w:hAnsi="Times New Roman"/>
          <w:sz w:val="20"/>
        </w:rPr>
      </w:pPr>
      <w:bookmarkStart w:id="28" w:name="item_16_form_10k_summary"/>
      <w:bookmarkEnd w:id="28"/>
      <w:r>
        <w:rPr>
          <w:rFonts w:ascii="Arial" w:hAnsi="Arial"/>
          <w:b/>
          <w:color w:val="000000"/>
          <w:sz w:val="20"/>
        </w:rPr>
        <w:t>ITEM 16</w:t>
      </w:r>
      <w:r>
        <w:rPr>
          <w:rFonts w:ascii="Arial" w:hAnsi="Arial"/>
          <w:b/>
          <w:i/>
          <w:color w:val="000000"/>
          <w:sz w:val="20"/>
        </w:rPr>
        <w:t>. FORM 10-K SUMMARY</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None.</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9" w:name="signatures"/>
      <w:bookmarkEnd w:id="29"/>
      <w:r>
        <w:rPr>
          <w:rFonts w:ascii="Arial" w:hAnsi="Arial"/>
          <w:b/>
          <w:color w:val="000000"/>
          <w:sz w:val="20"/>
        </w:rPr>
        <w:t>SIGNATURES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Pursuant to the requirements of Section 13 or 15(d) of the Securities Exchange Act of 1934, the registrant has duly caused this report to be signed on its behalf by the undersigned, thereunto duly authorized.</w:t>
      </w:r>
      <w:r>
        <w:rPr>
          <w:rFonts w:ascii="Times New Roman" w:hAnsi="Times New Roman"/>
          <w:color w:val="000000"/>
          <w:sz w:val="20"/>
        </w:rPr>
        <w:t xml:space="preserve"> </w:t>
      </w:r>
    </w:p>
    <w:p>
      <w:pPr>
        <w:pStyle w:val="TextBody"/>
        <w:bidi w:val="0"/>
        <w:jc w:val="left"/>
        <w:rPr/>
      </w:pPr>
      <w:r>
        <w:rPr/>
        <w:t> </w:t>
      </w:r>
    </w:p>
    <w:tbl>
      <w:tblPr>
        <w:tblW w:w="3133" w:type="dxa"/>
        <w:jc w:val="left"/>
        <w:tblInd w:w="0" w:type="dxa"/>
        <w:tblLayout w:type="fixed"/>
        <w:tblCellMar>
          <w:top w:w="28" w:type="dxa"/>
          <w:left w:w="28" w:type="dxa"/>
          <w:bottom w:w="28" w:type="dxa"/>
          <w:right w:w="28" w:type="dxa"/>
        </w:tblCellMar>
      </w:tblPr>
      <w:tblGrid>
        <w:gridCol w:w="466"/>
        <w:gridCol w:w="146"/>
        <w:gridCol w:w="2521"/>
      </w:tblGrid>
      <w:tr>
        <w:trPr/>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3133" w:type="dxa"/>
            <w:gridSpan w:val="3"/>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INC.</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By:</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 MARK DANKBERG</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color w:val="000000"/>
                <w:sz w:val="20"/>
              </w:rPr>
              <w:t>Chairman of the Board and</w:t>
            </w:r>
            <w:r>
              <w:rPr>
                <w:rFonts w:ascii="Times New Roman" w:hAnsi="Times New Roman"/>
                <w:color w:val="000000"/>
                <w:sz w:val="20"/>
              </w:rPr>
              <w:t xml:space="preserve"> </w:t>
            </w:r>
          </w:p>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spacing w:before="240" w:after="283"/>
        <w:jc w:val="left"/>
        <w:rPr>
          <w:rFonts w:ascii="Arial" w:hAnsi="Arial"/>
          <w:color w:val="000000"/>
          <w:sz w:val="20"/>
        </w:rPr>
      </w:pPr>
      <w:r>
        <w:rPr>
          <w:rFonts w:ascii="Arial" w:hAnsi="Arial"/>
          <w:color w:val="000000"/>
          <w:sz w:val="20"/>
        </w:rPr>
        <w:t>Date: May 29, 2026</w:t>
      </w:r>
    </w:p>
    <w:p>
      <w:pPr>
        <w:pStyle w:val="TextBody"/>
        <w:bidi w:val="0"/>
        <w:spacing w:before="180" w:after="283"/>
        <w:jc w:val="left"/>
        <w:rPr>
          <w:rFonts w:ascii="Times New Roman" w:hAnsi="Times New Roman"/>
          <w:sz w:val="20"/>
        </w:rPr>
      </w:pPr>
      <w:bookmarkStart w:id="30" w:name="power_of_a"/>
      <w:bookmarkEnd w:id="30"/>
      <w:r>
        <w:rPr>
          <w:rFonts w:ascii="Arial" w:hAnsi="Arial"/>
          <w:color w:val="000000"/>
          <w:sz w:val="20"/>
        </w:rPr>
        <w:t>Know all persons by these presents, that each person whose signature appears below constitutes and appoints Mark Dankberg, Garrett Chase and Camellia E. FitzGerald, jointly and severally, his or her attorneys-in-fact, each with the full power of substitution, for him or her in any and all capacities, to sign any amendments to this Annual Report on Form 10-K, and to file the same, with all exhibits thereto and other documents in connection the</w:t>
      </w:r>
      <w:bookmarkStart w:id="31" w:name="know_all_persons_by_se_presents_that_eac"/>
      <w:bookmarkEnd w:id="31"/>
      <w:r>
        <w:rPr>
          <w:rFonts w:ascii="Arial" w:hAnsi="Arial"/>
          <w:color w:val="000000"/>
          <w:sz w:val="20"/>
        </w:rPr>
        <w:t>rewith, with the Securities and Exchange Commission, hereby ratifying and confirming all that each of said attorneys-in-fact, or his or her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r>
        <w:rPr>
          <w:rFonts w:ascii="Times New Roman" w:hAnsi="Times New Roman"/>
          <w:color w:val="000000"/>
          <w:sz w:val="20"/>
        </w:rPr>
        <w:t xml:space="preserve"> </w:t>
      </w:r>
    </w:p>
    <w:p>
      <w:pPr>
        <w:pStyle w:val="TextBody"/>
        <w:bidi w:val="0"/>
        <w:jc w:val="left"/>
        <w:rPr/>
      </w:pPr>
      <w:r>
        <w:rPr/>
        <w:t> </w:t>
      </w:r>
    </w:p>
    <w:tbl>
      <w:tblPr>
        <w:tblW w:w="7195" w:type="dxa"/>
        <w:jc w:val="left"/>
        <w:tblInd w:w="0" w:type="dxa"/>
        <w:tblLayout w:type="fixed"/>
        <w:tblCellMar>
          <w:top w:w="28" w:type="dxa"/>
          <w:left w:w="28" w:type="dxa"/>
          <w:bottom w:w="28" w:type="dxa"/>
          <w:right w:w="28" w:type="dxa"/>
        </w:tblCellMar>
      </w:tblPr>
      <w:tblGrid>
        <w:gridCol w:w="2911"/>
        <w:gridCol w:w="146"/>
        <w:gridCol w:w="2656"/>
        <w:gridCol w:w="146"/>
        <w:gridCol w:w="133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3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Date</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DANKBERG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color w:val="000000"/>
                <w:sz w:val="20"/>
              </w:rPr>
              <w:t>Chairman of the Board and</w:t>
            </w:r>
            <w:r>
              <w:rPr>
                <w:rFonts w:ascii="Times New Roman" w:hAnsi="Times New Roman"/>
                <w:color w:val="000000"/>
                <w:sz w:val="20"/>
              </w:rPr>
              <w:t xml:space="preserve"> </w:t>
            </w:r>
          </w:p>
          <w:p>
            <w:pPr>
              <w:pStyle w:val="TableContents"/>
              <w:bidi w:val="0"/>
              <w:spacing w:before="0" w:after="283"/>
              <w:jc w:val="left"/>
              <w:rPr>
                <w:rFonts w:ascii="Arial" w:hAnsi="Arial"/>
                <w:color w:val="000000"/>
                <w:sz w:val="20"/>
              </w:rPr>
            </w:pPr>
            <w:r>
              <w:rPr>
                <w:rFonts w:ascii="Arial" w:hAnsi="Arial"/>
                <w:color w:val="000000"/>
                <w:sz w:val="20"/>
              </w:rPr>
              <w:t>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May 29, 2026</w:t>
            </w:r>
          </w:p>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Dankberg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GARRETT CHASE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jc w:val="left"/>
              <w:rPr>
                <w:rFonts w:ascii="Times New Roman" w:hAnsi="Times New Roman"/>
                <w:sz w:val="20"/>
              </w:rPr>
            </w:pPr>
            <w:r>
              <w:rPr>
                <w:rFonts w:ascii="Arial" w:hAnsi="Arial"/>
                <w:color w:val="000000"/>
                <w:sz w:val="20"/>
              </w:rPr>
              <w:t>Senior Vice President and</w:t>
            </w:r>
            <w:r>
              <w:rPr>
                <w:rFonts w:ascii="Times New Roman" w:hAnsi="Times New Roman"/>
                <w:color w:val="000000"/>
                <w:sz w:val="20"/>
              </w:rPr>
              <w:t xml:space="preserve"> </w:t>
            </w:r>
          </w:p>
          <w:p>
            <w:pPr>
              <w:pStyle w:val="TableContents"/>
              <w:bidi w:val="0"/>
              <w:spacing w:before="0" w:after="283"/>
              <w:jc w:val="left"/>
              <w:rPr>
                <w:rFonts w:ascii="Arial" w:hAnsi="Arial"/>
                <w:color w:val="000000"/>
                <w:sz w:val="20"/>
              </w:rPr>
            </w:pPr>
            <w:r>
              <w:rPr>
                <w:rFonts w:ascii="Arial" w:hAnsi="Arial"/>
                <w:color w:val="000000"/>
                <w:sz w:val="20"/>
              </w:rPr>
              <w:t>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May 29, 2026</w:t>
            </w:r>
          </w:p>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Garrett Chase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CAMELLIA E. FITZGERALD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29,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Camellia E. FitzGerald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Shekar Ayyar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RICHARD BALDRIDGE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29,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Richard Baldridge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BARBARA FRENKEL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29,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Barbara Frenkel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WILLIAM LAPLANTE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29,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William LaPlante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SEAN PAK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29,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Sean Pak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MICHAEL PAULL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29,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Michael Paull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JOHN STENBIT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29,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John Stenbit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THERESA WISE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29, 2026</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Theresa Wise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Jinhy Yoon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2" w:name="report_independent_registered_public_acc"/>
      <w:bookmarkEnd w:id="32"/>
      <w:r>
        <w:rPr>
          <w:rFonts w:ascii="Arial" w:hAnsi="Arial"/>
          <w:b/>
          <w:color w:val="000000"/>
          <w:sz w:val="20"/>
        </w:rPr>
        <w:t>Report of Independent Registered Public Accounting Firm</w:t>
      </w:r>
      <w:r>
        <w:rPr>
          <w:rFonts w:ascii="Times New Roman" w:hAnsi="Times New Roman"/>
          <w:color w:val="000000"/>
          <w:sz w:val="20"/>
        </w:rPr>
        <w:t xml:space="preserve"> </w:t>
      </w:r>
    </w:p>
    <w:p>
      <w:pPr>
        <w:pStyle w:val="TextBody"/>
        <w:bidi w:val="0"/>
        <w:spacing w:before="90" w:after="283"/>
        <w:jc w:val="left"/>
        <w:rPr/>
      </w:pPr>
      <w:r>
        <w:rPr/>
        <w:t> </w:t>
      </w:r>
    </w:p>
    <w:p>
      <w:pPr>
        <w:pStyle w:val="TextBody"/>
        <w:bidi w:val="0"/>
        <w:spacing w:before="0" w:after="160"/>
        <w:jc w:val="left"/>
        <w:rPr>
          <w:rFonts w:ascii="Arial" w:hAnsi="Arial"/>
          <w:color w:val="000000"/>
          <w:sz w:val="20"/>
        </w:rPr>
      </w:pPr>
      <w:r>
        <w:rPr>
          <w:rFonts w:ascii="Arial" w:hAnsi="Arial"/>
          <w:color w:val="000000"/>
          <w:sz w:val="20"/>
        </w:rPr>
        <w:t>To the Board of Directors and Stockholders of Viasat, Inc.</w:t>
      </w:r>
    </w:p>
    <w:p>
      <w:pPr>
        <w:pStyle w:val="TextBody"/>
        <w:bidi w:val="0"/>
        <w:spacing w:before="40" w:after="160"/>
        <w:jc w:val="left"/>
        <w:rPr>
          <w:rFonts w:ascii="Arial" w:hAnsi="Arial"/>
          <w:b/>
          <w:i/>
          <w:color w:val="000000"/>
          <w:sz w:val="20"/>
        </w:rPr>
      </w:pPr>
      <w:r>
        <w:rPr>
          <w:rFonts w:ascii="Arial" w:hAnsi="Arial"/>
          <w:b/>
          <w:i/>
          <w:color w:val="000000"/>
          <w:sz w:val="20"/>
        </w:rPr>
        <w:t>Opinions on the Financial Statements and Internal Control over Financial Reporting</w:t>
      </w:r>
    </w:p>
    <w:p>
      <w:pPr>
        <w:pStyle w:val="TextBody"/>
        <w:bidi w:val="0"/>
        <w:spacing w:before="40" w:after="160"/>
        <w:jc w:val="left"/>
        <w:rPr>
          <w:rFonts w:ascii="Times New Roman" w:hAnsi="Times New Roman"/>
          <w:sz w:val="20"/>
        </w:rPr>
      </w:pPr>
      <w:r>
        <w:rPr>
          <w:rFonts w:ascii="Arial" w:hAnsi="Arial"/>
          <w:color w:val="000000"/>
          <w:sz w:val="20"/>
        </w:rPr>
        <w:t xml:space="preserve">We have audited the accompanying consolidated balance sheets of Viasat, Inc. and its subsidiaries (the "Company") as of March 31, 2026 and 2025, and the related consolidated statements of operations and comprehensive income (loss), of equity and of cash flows for each of the three years in the period ended March 31, 2026, including the related notes and financial statement schedule listed in the index appearing under Item 15(a)(1) (collectively referred to as the "consolidated financial statements"). We also have audited the Company's internal control over financial reporting as of March 31, 2026, based on criteria established in </w:t>
      </w:r>
      <w:r>
        <w:rPr>
          <w:rFonts w:ascii="Arial" w:hAnsi="Arial"/>
          <w:i/>
          <w:color w:val="000000"/>
          <w:sz w:val="20"/>
        </w:rPr>
        <w:t>Internal Control - Integrated Framework</w:t>
      </w:r>
      <w:r>
        <w:rPr>
          <w:rFonts w:ascii="Times New Roman" w:hAnsi="Times New Roman"/>
          <w:color w:val="000000"/>
          <w:sz w:val="20"/>
        </w:rPr>
        <w:t xml:space="preserve"> </w:t>
      </w:r>
      <w:r>
        <w:rPr>
          <w:rFonts w:ascii="Arial" w:hAnsi="Arial"/>
          <w:color w:val="000000"/>
          <w:sz w:val="20"/>
        </w:rPr>
        <w:t>(2013) issued by the Committee of Sponsoring Organizations of the Treadway Commission (COSO).</w:t>
      </w:r>
    </w:p>
    <w:p>
      <w:pPr>
        <w:pStyle w:val="TextBody"/>
        <w:bidi w:val="0"/>
        <w:spacing w:before="40" w:after="160"/>
        <w:jc w:val="left"/>
        <w:rPr>
          <w:rFonts w:ascii="Times New Roman" w:hAnsi="Times New Roman"/>
          <w:sz w:val="20"/>
        </w:rPr>
      </w:pPr>
      <w:r>
        <w:rPr>
          <w:rFonts w:ascii="Arial" w:hAnsi="Arial"/>
          <w:color w:val="000000"/>
          <w:sz w:val="20"/>
        </w:rPr>
        <w:t xml:space="preserve">In our opinion, the consolidated financial statements referred to above present fairly, in all material respects, the financial position of the Company as of March 31, 2026 and 2025, and the results of its operations and its cash flows for each of the three years in the period ended March 31, 2026 in conformity with accounting principles generally accepted in the United States of America. Also in our opinion, the Company maintained, in all material respects, effective internal control over financial reporting as of March 31, 2026, based on criteria established in </w:t>
      </w:r>
      <w:r>
        <w:rPr>
          <w:rFonts w:ascii="Arial" w:hAnsi="Arial"/>
          <w:i/>
          <w:color w:val="000000"/>
          <w:sz w:val="20"/>
        </w:rPr>
        <w:t>Internal Control - Integrated Framework</w:t>
      </w:r>
      <w:r>
        <w:rPr>
          <w:rFonts w:ascii="Times New Roman" w:hAnsi="Times New Roman"/>
          <w:color w:val="000000"/>
          <w:sz w:val="20"/>
        </w:rPr>
        <w:t xml:space="preserve"> </w:t>
      </w:r>
      <w:r>
        <w:rPr>
          <w:rFonts w:ascii="Arial" w:hAnsi="Arial"/>
          <w:color w:val="000000"/>
          <w:sz w:val="20"/>
        </w:rPr>
        <w:t>(2013) issued by the COSO.</w:t>
      </w:r>
    </w:p>
    <w:p>
      <w:pPr>
        <w:pStyle w:val="TextBody"/>
        <w:bidi w:val="0"/>
        <w:spacing w:before="40" w:after="160"/>
        <w:jc w:val="left"/>
        <w:rPr>
          <w:rFonts w:ascii="Arial" w:hAnsi="Arial"/>
          <w:b/>
          <w:i/>
          <w:color w:val="000000"/>
          <w:sz w:val="20"/>
        </w:rPr>
      </w:pPr>
      <w:r>
        <w:rPr>
          <w:rFonts w:ascii="Arial" w:hAnsi="Arial"/>
          <w:b/>
          <w:i/>
          <w:color w:val="000000"/>
          <w:sz w:val="20"/>
        </w:rPr>
        <w:t>Basis for Opinions</w:t>
      </w:r>
    </w:p>
    <w:p>
      <w:pPr>
        <w:pStyle w:val="TextBody"/>
        <w:bidi w:val="0"/>
        <w:spacing w:before="40" w:after="160"/>
        <w:jc w:val="left"/>
        <w:rPr>
          <w:rFonts w:ascii="Arial" w:hAnsi="Arial"/>
          <w:color w:val="000000"/>
          <w:sz w:val="20"/>
        </w:rPr>
      </w:pPr>
      <w:r>
        <w:rPr>
          <w:rFonts w:ascii="Arial" w:hAnsi="Arial"/>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160"/>
        <w:jc w:val="left"/>
        <w:rPr>
          <w:rFonts w:ascii="Arial" w:hAnsi="Arial"/>
          <w:color w:val="000000"/>
          <w:sz w:val="20"/>
        </w:rPr>
      </w:pPr>
      <w:r>
        <w:rPr>
          <w:rFonts w:ascii="Arial" w:hAnsi="Arial"/>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40" w:after="160"/>
        <w:jc w:val="left"/>
        <w:rPr>
          <w:rFonts w:ascii="Arial" w:hAnsi="Arial"/>
          <w:color w:val="000000"/>
          <w:sz w:val="20"/>
        </w:rPr>
      </w:pPr>
      <w:r>
        <w:rPr>
          <w:rFonts w:ascii="Arial" w:hAnsi="Arial"/>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40" w:after="160"/>
        <w:jc w:val="left"/>
        <w:rPr>
          <w:rFonts w:ascii="Arial" w:hAnsi="Arial"/>
          <w:b/>
          <w:i/>
          <w:color w:val="000000"/>
          <w:sz w:val="20"/>
        </w:rPr>
      </w:pPr>
      <w:r>
        <w:rPr>
          <w:rFonts w:ascii="Arial" w:hAnsi="Arial"/>
          <w:b/>
          <w:i/>
          <w:color w:val="000000"/>
          <w:sz w:val="20"/>
        </w:rPr>
        <w:t>Definition and Limitations of Internal Control over Financial Reporting</w:t>
      </w:r>
    </w:p>
    <w:p>
      <w:pPr>
        <w:pStyle w:val="TextBody"/>
        <w:bidi w:val="0"/>
        <w:spacing w:before="40" w:after="160"/>
        <w:jc w:val="left"/>
        <w:rPr>
          <w:rFonts w:ascii="Arial" w:hAnsi="Arial"/>
          <w:color w:val="000000"/>
          <w:sz w:val="20"/>
        </w:rPr>
      </w:pPr>
      <w:r>
        <w:rPr>
          <w:rFonts w:ascii="Arial" w:hAnsi="Arial"/>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center"/>
        <w:rPr>
          <w:rFonts w:ascii="Arial" w:hAnsi="Arial"/>
          <w:color w:val="000000"/>
          <w:sz w:val="20"/>
        </w:rPr>
      </w:pPr>
      <w:r>
        <w:rPr>
          <w:rFonts w:ascii="Arial" w:hAnsi="Arial"/>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Arial" w:hAnsi="Arial"/>
          <w:color w:val="000000"/>
          <w:sz w:val="20"/>
        </w:rPr>
      </w:pPr>
      <w:r>
        <w:rPr>
          <w:rFonts w:ascii="Arial" w:hAnsi="Arial"/>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40" w:after="283"/>
        <w:jc w:val="left"/>
        <w:rPr>
          <w:rFonts w:ascii="Arial" w:hAnsi="Arial"/>
          <w:b/>
          <w:i/>
          <w:color w:val="000000"/>
          <w:sz w:val="20"/>
        </w:rPr>
      </w:pPr>
      <w:r>
        <w:rPr>
          <w:rFonts w:ascii="Arial" w:hAnsi="Arial"/>
          <w:b/>
          <w:i/>
          <w:color w:val="000000"/>
          <w:sz w:val="20"/>
        </w:rPr>
        <w:t>Critical Audit Matter</w:t>
      </w:r>
    </w:p>
    <w:p>
      <w:pPr>
        <w:pStyle w:val="TextBody"/>
        <w:bidi w:val="0"/>
        <w:spacing w:before="200" w:after="160"/>
        <w:jc w:val="left"/>
        <w:rPr>
          <w:rFonts w:ascii="Arial" w:hAnsi="Arial"/>
          <w:color w:val="000000"/>
          <w:sz w:val="20"/>
        </w:rPr>
      </w:pPr>
      <w:r>
        <w:rPr>
          <w:rFonts w:ascii="Arial" w:hAnsi="Arial"/>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40" w:after="283"/>
        <w:jc w:val="left"/>
        <w:rPr>
          <w:rFonts w:ascii="Arial" w:hAnsi="Arial"/>
          <w:i/>
          <w:color w:val="000000"/>
          <w:sz w:val="20"/>
        </w:rPr>
      </w:pPr>
      <w:r>
        <w:rPr>
          <w:rFonts w:ascii="Arial" w:hAnsi="Arial"/>
          <w:i/>
          <w:color w:val="000000"/>
          <w:sz w:val="20"/>
        </w:rPr>
        <w:t>Revenue Recognition – Communication Services Segment</w:t>
      </w:r>
    </w:p>
    <w:p>
      <w:pPr>
        <w:pStyle w:val="TextBody"/>
        <w:bidi w:val="0"/>
        <w:spacing w:before="200" w:after="160"/>
        <w:jc w:val="left"/>
        <w:rPr>
          <w:rFonts w:ascii="Arial" w:hAnsi="Arial"/>
          <w:color w:val="000000"/>
          <w:sz w:val="20"/>
        </w:rPr>
      </w:pPr>
      <w:r>
        <w:rPr>
          <w:rFonts w:ascii="Arial" w:hAnsi="Arial"/>
          <w:color w:val="000000"/>
          <w:sz w:val="20"/>
        </w:rPr>
        <w:t>As described in Notes 1 and 16 to the consolidated financial statements, the communication services segment revenues were $3,300 million for the year ended March 31, 2026. The Company’s communication services segment revenues are primarily derived from the Company’s aviation services (including in-flight connectivity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 The Company’s connectivity services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w:t>
      </w:r>
    </w:p>
    <w:p>
      <w:pPr>
        <w:pStyle w:val="TextBody"/>
        <w:bidi w:val="0"/>
        <w:spacing w:before="40" w:after="160"/>
        <w:jc w:val="left"/>
        <w:rPr>
          <w:rFonts w:ascii="Times New Roman" w:hAnsi="Times New Roman"/>
          <w:sz w:val="20"/>
        </w:rPr>
      </w:pPr>
      <w:r>
        <w:rPr>
          <w:rFonts w:ascii="Arial" w:hAnsi="Arial"/>
          <w:color w:val="000000"/>
          <w:sz w:val="20"/>
        </w:rPr>
        <w:t>The principal consideration for our determination that performing procedures relating to revenue recognition within the communication services segment is a critical audit matter is a high degree of auditor effort in performing procedures related to the Company’s revenue recognition.</w:t>
      </w:r>
      <w:r>
        <w:rPr>
          <w:rFonts w:ascii="Times New Roman" w:hAnsi="Times New Roman"/>
          <w:color w:val="000000"/>
          <w:sz w:val="20"/>
        </w:rPr>
        <w:t xml:space="preserve"> </w:t>
      </w:r>
    </w:p>
    <w:p>
      <w:pPr>
        <w:pStyle w:val="TextBody"/>
        <w:bidi w:val="0"/>
        <w:spacing w:before="40" w:after="160"/>
        <w:jc w:val="left"/>
        <w:rPr>
          <w:rFonts w:ascii="Arial" w:hAnsi="Arial"/>
          <w:color w:val="000000"/>
          <w:sz w:val="20"/>
        </w:rPr>
      </w:pPr>
      <w:r>
        <w:rPr>
          <w:rFonts w:ascii="Arial" w:hAnsi="Arial"/>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the communication services revenue at the transaction price based upon either a period of time or usage. These procedures also included, among others (i) testing revenue recognized for a sample of revenue transactions by obtaining and inspecting source documents, such as contracts, purchase orders, invoices, proof of transfer of control to the customer, and cash receipts; and (ii) confirming a sample of outstanding customer invoice balances as of March 31, 2026 and, for confirmations not returned, obtaining and inspecting source documents, such as invoices, proof of transfer of control to the customer, and subsequent cash receipts.</w:t>
      </w:r>
    </w:p>
    <w:p>
      <w:pPr>
        <w:pStyle w:val="TextBody"/>
        <w:bidi w:val="0"/>
        <w:jc w:val="left"/>
        <w:rPr>
          <w:rFonts w:ascii="Arial" w:hAnsi="Arial"/>
          <w:color w:val="000000"/>
          <w:sz w:val="20"/>
        </w:rPr>
      </w:pPr>
      <w:r>
        <w:rPr>
          <w:rFonts w:ascii="Arial" w:hAnsi="Arial"/>
          <w:color w:val="000000"/>
          <w:sz w:val="20"/>
        </w:rPr>
        <w:t>/s/ PricewaterhouseCoopers LLP</w:t>
      </w:r>
    </w:p>
    <w:p>
      <w:pPr>
        <w:pStyle w:val="TextBody"/>
        <w:bidi w:val="0"/>
        <w:jc w:val="left"/>
        <w:rPr>
          <w:rFonts w:ascii="Arial" w:hAnsi="Arial"/>
          <w:color w:val="000000"/>
          <w:sz w:val="20"/>
        </w:rPr>
      </w:pPr>
      <w:r>
        <w:rPr>
          <w:rFonts w:ascii="Arial" w:hAnsi="Arial"/>
          <w:color w:val="000000"/>
          <w:sz w:val="20"/>
        </w:rPr>
        <w:t>San Diego, California</w:t>
      </w:r>
    </w:p>
    <w:p>
      <w:pPr>
        <w:pStyle w:val="TextBody"/>
        <w:bidi w:val="0"/>
        <w:spacing w:before="0" w:after="160"/>
        <w:jc w:val="left"/>
        <w:rPr>
          <w:rFonts w:ascii="Arial" w:hAnsi="Arial"/>
          <w:color w:val="000000"/>
          <w:sz w:val="20"/>
        </w:rPr>
      </w:pPr>
      <w:r>
        <w:rPr>
          <w:rFonts w:ascii="Arial" w:hAnsi="Arial"/>
          <w:color w:val="000000"/>
          <w:sz w:val="20"/>
        </w:rPr>
        <w:t>May 29, 2026</w:t>
      </w:r>
    </w:p>
    <w:p>
      <w:pPr>
        <w:pStyle w:val="TextBody"/>
        <w:bidi w:val="0"/>
        <w:spacing w:before="40" w:after="160"/>
        <w:jc w:val="left"/>
        <w:rPr>
          <w:rFonts w:ascii="Arial" w:hAnsi="Arial"/>
          <w:color w:val="000000"/>
          <w:sz w:val="20"/>
        </w:rPr>
      </w:pPr>
      <w:r>
        <w:rPr>
          <w:rFonts w:ascii="Arial" w:hAnsi="Arial"/>
          <w:color w:val="000000"/>
          <w:sz w:val="20"/>
        </w:rPr>
        <w:t>We have served as the Company’s auditor since 1992.</w:t>
      </w:r>
    </w:p>
    <w:p>
      <w:pPr>
        <w:pStyle w:val="TextBody"/>
        <w:bidi w:val="0"/>
        <w:spacing w:before="240" w:after="283"/>
        <w:jc w:val="center"/>
        <w:rPr>
          <w:rFonts w:ascii="Arial" w:hAnsi="Arial"/>
          <w:color w:val="000000"/>
          <w:sz w:val="20"/>
        </w:rPr>
      </w:pPr>
      <w:r>
        <w:rPr>
          <w:rFonts w:ascii="Arial" w:hAnsi="Arial"/>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3" w:name="consolidated_balance_sheets"/>
      <w:bookmarkEnd w:id="33"/>
      <w:r>
        <w:rPr>
          <w:rFonts w:ascii="Arial" w:hAnsi="Arial"/>
          <w:b/>
          <w:color w:val="000000"/>
          <w:sz w:val="20"/>
        </w:rPr>
        <w:t>CONSOLIDATED BALANCE SHEETS</w:t>
      </w:r>
      <w:r>
        <w:rPr>
          <w:rFonts w:ascii="Times New Roman" w:hAnsi="Times New Roman"/>
          <w:color w:val="000000"/>
          <w:sz w:val="20"/>
        </w:rPr>
        <w:t xml:space="preserve"> </w:t>
      </w:r>
    </w:p>
    <w:p>
      <w:pPr>
        <w:pStyle w:val="TextBody"/>
        <w:bidi w:val="0"/>
        <w:jc w:val="left"/>
        <w:rPr/>
      </w:pPr>
      <w:r>
        <w:rPr/>
        <w:t> </w:t>
      </w:r>
    </w:p>
    <w:tbl>
      <w:tblPr>
        <w:tblW w:w="9975" w:type="dxa"/>
        <w:jc w:val="left"/>
        <w:tblInd w:w="0" w:type="dxa"/>
        <w:tblLayout w:type="fixed"/>
        <w:tblCellMar>
          <w:top w:w="28" w:type="dxa"/>
          <w:left w:w="28" w:type="dxa"/>
          <w:bottom w:w="28" w:type="dxa"/>
          <w:right w:w="28" w:type="dxa"/>
        </w:tblCellMar>
      </w:tblPr>
      <w:tblGrid>
        <w:gridCol w:w="6416"/>
        <w:gridCol w:w="146"/>
        <w:gridCol w:w="215"/>
        <w:gridCol w:w="1090"/>
        <w:gridCol w:w="166"/>
        <w:gridCol w:w="146"/>
        <w:gridCol w:w="215"/>
        <w:gridCol w:w="1090"/>
        <w:gridCol w:w="491"/>
      </w:tblGrid>
      <w:tr>
        <w:trPr/>
        <w:tc>
          <w:tcPr>
            <w:tcW w:w="6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 March 31,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share data)</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1,746,835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1,612,105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753,430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699,552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281,220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293,943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342,522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282,343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19"/>
              </w:rPr>
            </w:pPr>
            <w:r>
              <w:rPr>
                <w:rFonts w:ascii="Arial" w:hAnsi="Arial"/>
                <w:b/>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3,124,007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2,887,943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Property, equipment and satellites,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7,272,637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7,405,664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427,994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416,490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Acquired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1,997,436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2,270,777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1,625,013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1,622,132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779,509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845,778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19"/>
              </w:rPr>
            </w:pPr>
            <w:r>
              <w:rPr>
                <w:rFonts w:ascii="Arial" w:hAnsi="Arial"/>
                <w:b/>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15,226,596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15,448,784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288,154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264,300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951,192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908,529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57,753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503,825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19"/>
              </w:rPr>
            </w:pPr>
            <w:r>
              <w:rPr>
                <w:rFonts w:ascii="Arial" w:hAnsi="Arial"/>
                <w:b/>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1,297,099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1,676,654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3,664,848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3,652,882</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Other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2,726,004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2,879,402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430,082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414,133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2,379,301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2,181,153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19"/>
              </w:rPr>
            </w:pPr>
            <w:r>
              <w:rPr>
                <w:rFonts w:ascii="Arial" w:hAnsi="Arial"/>
                <w:b/>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10,497,334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10,804,224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19"/>
              </w:rPr>
              <w:t>Commitments and contingencies</w:t>
            </w:r>
            <w:r>
              <w:rPr>
                <w:rFonts w:ascii="Times New Roman" w:hAnsi="Times New Roman"/>
                <w:color w:val="000000"/>
                <w:sz w:val="20"/>
              </w:rPr>
              <w:t> </w:t>
            </w:r>
            <w:r>
              <w:rPr>
                <w:rFonts w:ascii="Arial" w:hAnsi="Arial"/>
                <w:b/>
                <w:color w:val="000000"/>
                <w:sz w:val="19"/>
              </w:rPr>
              <w:t>(Notes 13 and 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Viasat,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19"/>
              </w:rPr>
              <w:t>Preferred stock, $0.0001</w:t>
            </w:r>
            <w:r>
              <w:rPr>
                <w:rFonts w:ascii="Times New Roman" w:hAnsi="Times New Roman"/>
                <w:color w:val="000000"/>
                <w:sz w:val="20"/>
              </w:rPr>
              <w:t> </w:t>
            </w:r>
            <w:r>
              <w:rPr>
                <w:rFonts w:ascii="Arial" w:hAnsi="Arial"/>
                <w:color w:val="000000"/>
                <w:sz w:val="19"/>
              </w:rPr>
              <w:t>par value; 5,000,000</w:t>
            </w:r>
            <w:r>
              <w:rPr>
                <w:rFonts w:ascii="Times New Roman" w:hAnsi="Times New Roman"/>
                <w:color w:val="000000"/>
                <w:sz w:val="20"/>
              </w:rPr>
              <w:t> </w:t>
            </w:r>
            <w:r>
              <w:rPr>
                <w:rFonts w:ascii="Arial" w:hAnsi="Arial"/>
                <w:color w:val="000000"/>
                <w:sz w:val="19"/>
              </w:rPr>
              <w:t>shares authorized;</w:t>
              <w:br/>
              <w:t>   no</w:t>
            </w:r>
            <w:r>
              <w:rPr>
                <w:rFonts w:ascii="Times New Roman" w:hAnsi="Times New Roman"/>
                <w:color w:val="000000"/>
                <w:sz w:val="20"/>
              </w:rPr>
              <w:t> </w:t>
            </w:r>
            <w:r>
              <w:rPr>
                <w:rFonts w:ascii="Arial" w:hAnsi="Arial"/>
                <w:color w:val="000000"/>
                <w:sz w:val="19"/>
              </w:rPr>
              <w:t>shares issued and outstanding at both March 31, 2026 and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19"/>
              </w:rPr>
              <w:t>Common stock, $0.0001</w:t>
            </w:r>
            <w:r>
              <w:rPr>
                <w:rFonts w:ascii="Times New Roman" w:hAnsi="Times New Roman"/>
                <w:color w:val="000000"/>
                <w:sz w:val="20"/>
              </w:rPr>
              <w:t> </w:t>
            </w:r>
            <w:r>
              <w:rPr>
                <w:rFonts w:ascii="Arial" w:hAnsi="Arial"/>
                <w:color w:val="000000"/>
                <w:sz w:val="19"/>
              </w:rPr>
              <w:t>par value, 200,000,000</w:t>
            </w:r>
            <w:r>
              <w:rPr>
                <w:rFonts w:ascii="Times New Roman" w:hAnsi="Times New Roman"/>
                <w:color w:val="000000"/>
                <w:sz w:val="20"/>
              </w:rPr>
              <w:t> </w:t>
            </w:r>
            <w:r>
              <w:rPr>
                <w:rFonts w:ascii="Arial" w:hAnsi="Arial"/>
                <w:color w:val="000000"/>
                <w:sz w:val="19"/>
              </w:rPr>
              <w:t>shares authorized;</w:t>
              <w:br/>
              <w:t>   136,557,695</w:t>
            </w:r>
            <w:r>
              <w:rPr>
                <w:rFonts w:ascii="Times New Roman" w:hAnsi="Times New Roman"/>
                <w:color w:val="000000"/>
                <w:sz w:val="20"/>
              </w:rPr>
              <w:t> </w:t>
            </w:r>
            <w:r>
              <w:rPr>
                <w:rFonts w:ascii="Arial" w:hAnsi="Arial"/>
                <w:color w:val="000000"/>
                <w:sz w:val="19"/>
              </w:rPr>
              <w:t>and 130,210,407</w:t>
            </w:r>
            <w:r>
              <w:rPr>
                <w:rFonts w:ascii="Times New Roman" w:hAnsi="Times New Roman"/>
                <w:color w:val="000000"/>
                <w:sz w:val="20"/>
              </w:rPr>
              <w:t> </w:t>
            </w:r>
            <w:r>
              <w:rPr>
                <w:rFonts w:ascii="Arial" w:hAnsi="Arial"/>
                <w:color w:val="000000"/>
                <w:sz w:val="19"/>
              </w:rPr>
              <w:t xml:space="preserve">shares outstanding </w:t>
              <w:br/>
              <w:t>   at March 31, 2026 and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5,044,536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4,926,259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Retained earnings (accumulated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(359,616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(325,530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(46,911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Total Viasat,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4,660,301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4,553,831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Noncontrolling interest in subsidiary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68,961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90,729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19"/>
              </w:rPr>
            </w:pPr>
            <w:r>
              <w:rPr>
                <w:rFonts w:ascii="Arial" w:hAnsi="Arial"/>
                <w:b/>
                <w:color w:val="000000"/>
                <w:sz w:val="19"/>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4,729,262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4,644,560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64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b/>
                <w:color w:val="000000"/>
                <w:sz w:val="19"/>
              </w:rPr>
            </w:pPr>
            <w:r>
              <w:rPr>
                <w:rFonts w:ascii="Arial" w:hAnsi="Arial"/>
                <w:b/>
                <w:color w:val="000000"/>
                <w:sz w:val="19"/>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15,226,596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15,448,784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See accompanying notes to the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4" w:name="consolidated_statements_operations_compr"/>
      <w:bookmarkEnd w:id="34"/>
      <w:r>
        <w:rPr>
          <w:rFonts w:ascii="Arial" w:hAnsi="Arial"/>
          <w:b/>
          <w:color w:val="000000"/>
          <w:sz w:val="20"/>
        </w:rPr>
        <w:t>CONSOLIDATED STATEMENTS OF OPERATIONS AND COMPREHENSIVE INCOME (LOSS)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68"/>
        <w:gridCol w:w="146"/>
        <w:gridCol w:w="211"/>
        <w:gridCol w:w="961"/>
        <w:gridCol w:w="166"/>
        <w:gridCol w:w="146"/>
        <w:gridCol w:w="211"/>
        <w:gridCol w:w="961"/>
        <w:gridCol w:w="166"/>
        <w:gridCol w:w="146"/>
        <w:gridCol w:w="211"/>
        <w:gridCol w:w="1021"/>
        <w:gridCol w:w="491"/>
      </w:tblGrid>
      <w:tr>
        <w:trPr/>
        <w:tc>
          <w:tcPr>
            <w:tcW w:w="53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 except per share data)</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3,274,423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3,225,776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3,004,594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1,365,857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1,293,795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1,279,164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4,640,280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4,519,571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4,283,758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Cost of service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2,126,496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2,091,721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1,928,721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Cost of product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980,563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937,912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973,375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Selling, general and administrative (including ground network (FY25), satellite (FY24) impairment and related charges, net — see Note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999,476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1,181,091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1,893,650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Independent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164,908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142,394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150,653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260,712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263,933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227,165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108,125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(97,480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(889,806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205,849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83,920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96,258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(360,250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(421,944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(400,398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(Loss) gain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(99,814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163,012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Income (loss)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(545,294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(1,193,946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(Provision for) benefit from income taxes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(116,223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139,474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Equity in income (loss) of unconsolidated affiliate,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6,975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(1,047,497</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(1,057,919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Less: net income (loss) attributable to noncontrolling</w:t>
              <w:br/>
              <w:t>   interest,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43,837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10,985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income (loss) attributable to Viasat,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(34,086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(574,962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(1,068,904</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Income (loss) per share attributable to Viasat, Inc.</w:t>
              <w:br/>
              <w:t>   common stockholders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(9.12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Income (loss) per share attributable to Viasat, Inc.</w:t>
              <w:br/>
              <w:t>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(0.09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(9.12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Shares used in computing 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134,744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128,476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117,189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Shares used in computing diluted net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134,744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128,476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117,189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(531,125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(1,057,919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Other comprehensive income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Foreign currency translation adjustments,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2,982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Unrealized gain (loss) on hedging,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10,463</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(25,643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13,445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26,204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(556,768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(1,044,474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5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Less: comprehensive income (loss) attributable to</w:t>
              <w:br/>
              <w:t>   noncontrolling interest,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38,012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43,837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10,985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Comprehensive income (loss) attributable to Viasat,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(11,808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(600,605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(1,055,459</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the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VIASAT,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5" w:name="consolidated_statements_cash_flows"/>
      <w:bookmarkEnd w:id="35"/>
      <w:r>
        <w:rPr>
          <w:rFonts w:ascii="Arial" w:hAnsi="Arial"/>
          <w:b/>
          <w:color w:val="000000"/>
          <w:sz w:val="20"/>
        </w:rPr>
        <w:t>CONSOLIDATED STATEMENTS OF CASH FLOWS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78"/>
        <w:gridCol w:w="146"/>
        <w:gridCol w:w="211"/>
        <w:gridCol w:w="931"/>
        <w:gridCol w:w="166"/>
        <w:gridCol w:w="146"/>
        <w:gridCol w:w="211"/>
        <w:gridCol w:w="991"/>
        <w:gridCol w:w="166"/>
        <w:gridCol w:w="146"/>
        <w:gridCol w:w="211"/>
        <w:gridCol w:w="991"/>
        <w:gridCol w:w="811"/>
      </w:tblGrid>
      <w:tr>
        <w:trPr/>
        <w:tc>
          <w:tcPr>
            <w:tcW w:w="50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Fiscal Years Ended</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March 31,</w:t>
              <w:br/>
              <w:t>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March 31,</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March 31,</w:t>
              <w:br/>
              <w:t> 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7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 thousands)</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(1,057,919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Adjustments to reconcile net income (loss) to net cash provided</w:t>
              <w:br/>
              <w:t>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1,038,515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1,036,467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867,641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Amortization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289,883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80,385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83,631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 xml:space="preserve">Disposition of fixed assets losses, ground network (FY25) </w:t>
              <w:br/>
              <w:t>   and satellite (FY24) impairment,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975,383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Gain on sale of equity interest in unconsolidated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Loss (gain) on extinguishment of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Deferred income taxes and other non-cash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(111,077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 xml:space="preserve">Increase (decrease) in cash resulting from changes in </w:t>
              <w:br/>
              <w:t>   operating assets and liabilities, net of effect of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(69,156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(13,387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45,669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(41,499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62,969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(141,610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(186,912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(139,363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1,589,885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908,187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688,196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Purchase of property, equipment and satellites,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(992,774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(1,030,182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(1,539,385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insurance claims on satellites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508,560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sale of equity interest in unconsolidated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202,958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Payment related to acquisition of business,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(342,621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sale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164,266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Payments to acquire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(1,291,180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Payments on debt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(809,062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(2,390,713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(567,033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debt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1,736,539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Payments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Distributions to minority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Purchase of common stock in treasury (immediately retired)</w:t>
              <w:br/>
              <w:t>   related to tax withholdings for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(11,713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issuance of common stock under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19,294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Other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(694,421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(442,591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1,124,356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increase (decrease)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521,647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restricted cash at beginning of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1,612,105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1,901,033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1,379,386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at end of 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1,746,835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1,612,105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1,901,033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Cash paid for interest (net of amounts capitalized)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228,965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Cash paid for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200,561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Issuance of common stock in satisfaction of certain accrued</w:t>
              <w:br/>
              <w:t>   employee compensation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31,173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Capital expenditures not paid for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0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Issuance of common stock in connection with acquisition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2,123,455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the consolidated financial statements.</w:t>
      </w:r>
    </w:p>
    <w:p>
      <w:pPr>
        <w:pStyle w:val="TextBody"/>
        <w:bidi w:val="0"/>
        <w:spacing w:before="240" w:after="283"/>
        <w:jc w:val="center"/>
        <w:rPr>
          <w:rFonts w:ascii="Arial" w:hAnsi="Arial"/>
          <w:color w:val="000000"/>
          <w:sz w:val="20"/>
        </w:rPr>
      </w:pPr>
      <w:r>
        <w:rPr>
          <w:rFonts w:ascii="Arial" w:hAnsi="Arial"/>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bookmarkStart w:id="36" w:name="consolidated_statements_equity"/>
      <w:bookmarkEnd w:id="36"/>
      <w:r>
        <w:rPr>
          <w:rFonts w:ascii="Arial" w:hAnsi="Arial"/>
          <w:b/>
          <w:color w:val="000000"/>
          <w:sz w:val="20"/>
        </w:rPr>
        <w:t>CONSOLIDATED STATEMENTS OF EQUITY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31"/>
        <w:gridCol w:w="146"/>
        <w:gridCol w:w="146"/>
        <w:gridCol w:w="871"/>
        <w:gridCol w:w="146"/>
        <w:gridCol w:w="146"/>
        <w:gridCol w:w="201"/>
        <w:gridCol w:w="385"/>
        <w:gridCol w:w="146"/>
        <w:gridCol w:w="146"/>
        <w:gridCol w:w="181"/>
        <w:gridCol w:w="721"/>
        <w:gridCol w:w="151"/>
        <w:gridCol w:w="146"/>
        <w:gridCol w:w="186"/>
        <w:gridCol w:w="790"/>
        <w:gridCol w:w="151"/>
        <w:gridCol w:w="146"/>
        <w:gridCol w:w="263"/>
        <w:gridCol w:w="833"/>
        <w:gridCol w:w="151"/>
        <w:gridCol w:w="146"/>
        <w:gridCol w:w="249"/>
        <w:gridCol w:w="787"/>
        <w:gridCol w:w="151"/>
        <w:gridCol w:w="146"/>
        <w:gridCol w:w="181"/>
        <w:gridCol w:w="766"/>
        <w:gridCol w:w="196"/>
      </w:tblGrid>
      <w:tr>
        <w:trPr/>
        <w:tc>
          <w:tcPr>
            <w:tcW w:w="1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55"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Viasat, Inc. Stockholders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Number of</w:t>
              <w:br/>
              <w:t>Shares</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Retained</w:t>
              <w:br/>
              <w:t>Earnings</w:t>
              <w:b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Accumulated</w:t>
              <w:br/>
              <w:t>Other</w:t>
              <w:b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Noncontrolling</w:t>
              <w:br/>
              <w:t>Interest in</w:t>
              <w:br/>
              <w:t>Subsidiary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32"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 except share data)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March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76,912,016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2,540,679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1,318,336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(34,713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36,259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3,860,569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2,633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867,016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19,212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19,212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94,370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94,370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settlement of certain accrued employee compensation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687,851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31,173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31,173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RSU awards vesting, net of shares withheld for taxes which have been retired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1,015,936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(11,713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(11,713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connection with acquisition of business,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46,363,636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2,123,450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2,123,455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noncontrolling interest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(1,068,904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10,985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(1,057,919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13,445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125,849,088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4,797,253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249,432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(21,268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47,074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5,072,504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1,584,384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18,018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18,018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88,435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88,435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settlement of certain accrued employee compensation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1,755,074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28,063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28,063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RSU awards vesting, net of shares withheld for taxes which have been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1,021,861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(5,510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noncontrolling interest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(574,962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43,837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(531,125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(25,643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(25,643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130,210,407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4,926,259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(325,530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(46,911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90,729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4,644,560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143,256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2,380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2,380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Issuance of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1,512,115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15,751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90,695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90,695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Shares issued in settlement of certain accrued employee compensation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3,125,378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27,784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27,784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RSU and PSU awards vesting, net of shares withheld for taxes which have been retired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1,566,539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(18,332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(18,332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Distributions declared to minority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(59,695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(59,695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noncontrolling interest activity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(34,086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38,012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3,926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Other comprehensive income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22,278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4"/>
              </w:rPr>
            </w:pPr>
            <w:r>
              <w:rPr>
                <w:rFonts w:ascii="Arial" w:hAnsi="Arial"/>
                <w:b/>
                <w:color w:val="000000"/>
                <w:sz w:val="14"/>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136,557,695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5,044,536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(359,616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8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(24,633</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68,961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4,729,262</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20"/>
        </w:rPr>
        <w:t>See accompanying notes to the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bookmarkStart w:id="37" w:name="notes_to_consolidated_financial_statemen"/>
      <w:bookmarkEnd w:id="37"/>
      <w:r>
        <w:rPr>
          <w:rFonts w:ascii="Arial" w:hAnsi="Arial"/>
          <w:b/>
          <w:color w:val="000000"/>
          <w:sz w:val="20"/>
        </w:rPr>
        <w:t>NOTES TO THE CONSOLIDATED FINANCIAL STATEMENTS</w:t>
      </w:r>
    </w:p>
    <w:p>
      <w:pPr>
        <w:pStyle w:val="TextBody"/>
        <w:bidi w:val="0"/>
        <w:spacing w:before="180" w:after="283"/>
        <w:jc w:val="left"/>
        <w:rPr>
          <w:rFonts w:ascii="Times New Roman" w:hAnsi="Times New Roman"/>
          <w:sz w:val="20"/>
        </w:rPr>
      </w:pPr>
      <w:r>
        <w:rPr>
          <w:rFonts w:ascii="Arial" w:hAnsi="Arial"/>
          <w:b/>
          <w:color w:val="000000"/>
          <w:sz w:val="20"/>
        </w:rPr>
        <w:t>Note 1 — The Company and a Summary of Its Significant Accounting Policies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b/>
          <w:i/>
          <w:color w:val="000000"/>
          <w:sz w:val="20"/>
        </w:rPr>
        <w:t>The Company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Viasat, Inc. (also referred to hereafter as the “Company” or “Viasat”) is an innovative, global provider of communications technologies and services focused on making connectivity accessible, available and secure for current and future customers worldwide.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Principles of consolidation</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The Company’s consolidated financial statements include the assets, liabilities and results of operations of Viasat, its wholly owned subsidiaries and its majority-owned subsidiary, TrellisWare Technologies, Inc. (TrellisWare). In fiscal year 2024, the Company completed the acquisition of Connect Topco Limited, a private company limited by shares and incorporated in Guernsey (Inmarsat Holdings and, together with its subsidiaries, are referred to herein as Inmarsat, and such acquisition, the Inmarsat Acquisition). The Inmarsat Acquisition was accounted for as a purchase and accordingly, the consolidated financial statements include the operating results of Inmarsat from the date of acquisition.</w:t>
      </w:r>
    </w:p>
    <w:p>
      <w:pPr>
        <w:pStyle w:val="TextBody"/>
        <w:bidi w:val="0"/>
        <w:spacing w:before="90" w:after="283"/>
        <w:jc w:val="left"/>
        <w:rPr>
          <w:rFonts w:ascii="Times New Roman" w:hAnsi="Times New Roman"/>
          <w:sz w:val="20"/>
        </w:rPr>
      </w:pPr>
      <w:r>
        <w:rPr>
          <w:rFonts w:ascii="Arial" w:hAnsi="Arial"/>
          <w:color w:val="000000"/>
          <w:sz w:val="20"/>
        </w:rPr>
        <w:t>In December 2025, the Company entered into an agreement to sell all of its interests in its equity method investment, Navarino UK, to Sogra Bidco Limited, a subsidiary of ICG. In March 2026, the sale was completed and the Company received sale proceeds of $203.0</w:t>
      </w:r>
      <w:r>
        <w:rPr>
          <w:rFonts w:ascii="Times New Roman" w:hAnsi="Times New Roman"/>
          <w:color w:val="000000"/>
          <w:sz w:val="20"/>
        </w:rPr>
        <w:t xml:space="preserve"> </w:t>
      </w:r>
      <w:r>
        <w:rPr>
          <w:rFonts w:ascii="Arial" w:hAnsi="Arial"/>
          <w:color w:val="000000"/>
          <w:sz w:val="20"/>
        </w:rPr>
        <w:t>million and recognized a gain on disposal of equity method investment of $168.1</w:t>
      </w:r>
      <w:r>
        <w:rPr>
          <w:rFonts w:ascii="Times New Roman" w:hAnsi="Times New Roman"/>
          <w:color w:val="000000"/>
          <w:sz w:val="20"/>
        </w:rPr>
        <w:t xml:space="preserve"> </w:t>
      </w:r>
      <w:r>
        <w:rPr>
          <w:rFonts w:ascii="Arial" w:hAnsi="Arial"/>
          <w:color w:val="000000"/>
          <w:sz w:val="20"/>
        </w:rPr>
        <w:t>million in the fourth quarter of fiscal year 2026 in other income (expense), net in the consolidated statements of operations and comprehensive income (loss).</w:t>
      </w:r>
    </w:p>
    <w:p>
      <w:pPr>
        <w:pStyle w:val="TextBody"/>
        <w:bidi w:val="0"/>
        <w:spacing w:before="180" w:after="283"/>
        <w:jc w:val="left"/>
        <w:rPr>
          <w:rFonts w:ascii="Arial" w:hAnsi="Arial"/>
          <w:color w:val="000000"/>
          <w:sz w:val="20"/>
        </w:rPr>
      </w:pPr>
      <w:r>
        <w:rPr>
          <w:rFonts w:ascii="Arial" w:hAnsi="Arial"/>
          <w:color w:val="000000"/>
          <w:sz w:val="20"/>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in the consolidated balance sheets.</w:t>
      </w:r>
    </w:p>
    <w:p>
      <w:pPr>
        <w:pStyle w:val="TextBody"/>
        <w:bidi w:val="0"/>
        <w:spacing w:before="180" w:after="283"/>
        <w:jc w:val="left"/>
        <w:rPr>
          <w:rFonts w:ascii="Arial" w:hAnsi="Arial"/>
          <w:color w:val="000000"/>
          <w:sz w:val="20"/>
        </w:rPr>
      </w:pPr>
      <w:r>
        <w:rPr>
          <w:rFonts w:ascii="Arial" w:hAnsi="Arial"/>
          <w:color w:val="000000"/>
          <w:sz w:val="20"/>
        </w:rPr>
        <w:t>Certain prior period amounts have been reclassified to conform to the current period presentation.</w:t>
      </w:r>
    </w:p>
    <w:p>
      <w:pPr>
        <w:pStyle w:val="TextBody"/>
        <w:bidi w:val="0"/>
        <w:spacing w:before="270" w:after="283"/>
        <w:jc w:val="left"/>
        <w:rPr>
          <w:rFonts w:ascii="Arial" w:hAnsi="Arial"/>
          <w:b/>
          <w:i/>
          <w:color w:val="000000"/>
          <w:sz w:val="20"/>
        </w:rPr>
      </w:pPr>
      <w:r>
        <w:rPr>
          <w:rFonts w:ascii="Arial" w:hAnsi="Arial"/>
          <w:b/>
          <w:i/>
          <w:color w:val="000000"/>
          <w:sz w:val="20"/>
        </w:rPr>
        <w:t>Discontinued Operations</w:t>
      </w:r>
    </w:p>
    <w:p>
      <w:pPr>
        <w:pStyle w:val="TextBody"/>
        <w:bidi w:val="0"/>
        <w:spacing w:before="90" w:after="283"/>
        <w:jc w:val="left"/>
        <w:rPr>
          <w:rFonts w:ascii="Times New Roman" w:hAnsi="Times New Roman"/>
          <w:sz w:val="20"/>
        </w:rPr>
      </w:pPr>
      <w:r>
        <w:rPr>
          <w:rFonts w:ascii="Arial" w:hAnsi="Arial"/>
          <w:color w:val="000000"/>
          <w:sz w:val="20"/>
        </w:rPr>
        <w:t>On October 1, 2022, the Company entered into an Asset Purchase Agreement to sell certain assets and assign certain liabilities comprising the Company’s Link-16 Tactical Data Links business (the Link-16 TDL Business), part of the Company’s defense and advanced technologies segment, to L3Harris Technologies, Inc. (L3Harris) in exchange for approximately $1.96</w:t>
      </w:r>
      <w:r>
        <w:rPr>
          <w:rFonts w:ascii="Times New Roman" w:hAnsi="Times New Roman"/>
          <w:color w:val="000000"/>
          <w:sz w:val="20"/>
        </w:rPr>
        <w:t xml:space="preserve"> </w:t>
      </w:r>
      <w:r>
        <w:rPr>
          <w:rFonts w:ascii="Arial" w:hAnsi="Arial"/>
          <w:color w:val="000000"/>
          <w:sz w:val="20"/>
        </w:rPr>
        <w:t>billion in cash</w:t>
      </w:r>
      <w:r>
        <w:rPr>
          <w:rFonts w:ascii="Times New Roman" w:hAnsi="Times New Roman"/>
          <w:color w:val="000000"/>
          <w:sz w:val="20"/>
        </w:rPr>
        <w:t xml:space="preserve"> </w:t>
      </w:r>
      <w:r>
        <w:rPr>
          <w:rFonts w:ascii="Arial" w:hAnsi="Arial"/>
          <w:color w:val="000000"/>
          <w:sz w:val="20"/>
        </w:rPr>
        <w:t>(the Link-16 TDL Sale). On January 3, 2023, the Company completed the Link-16 TDL Sale. See Note 15 — Discontinued Operations for additional information.</w:t>
      </w:r>
    </w:p>
    <w:p>
      <w:pPr>
        <w:pStyle w:val="TextBody"/>
        <w:bidi w:val="0"/>
        <w:spacing w:before="270" w:after="283"/>
        <w:jc w:val="left"/>
        <w:rPr>
          <w:rFonts w:ascii="Times New Roman" w:hAnsi="Times New Roman"/>
          <w:sz w:val="20"/>
        </w:rPr>
      </w:pPr>
      <w:r>
        <w:rPr>
          <w:rFonts w:ascii="Arial" w:hAnsi="Arial"/>
          <w:b/>
          <w:i/>
          <w:color w:val="000000"/>
          <w:sz w:val="20"/>
        </w:rPr>
        <w:t>Management estimates and assumptions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Cash equivalents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Cash equivalents consist of highly liquid investments with original maturities of three months or less at the date of purchase, with a significant portion held in U.S. government-backed securities and treasuries.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i/>
          <w:color w:val="000000"/>
          <w:sz w:val="20"/>
        </w:rPr>
        <w:t>Accounts receivable and allowance for doubtful accounts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Company records any unconditional rights to consideration as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Concentration of risk</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Financial instruments that potentially subject the Company to significant concentrations of credit risk consist primarily of cash, cash equivalents and accounts receivable which are generally not collateralized. The Company limits its exposure to credit loss by placing its cash equivalents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Revenues from the U.S. Government as an individual customer comprised approximately 16%, 18%</w:t>
      </w:r>
      <w:r>
        <w:rPr>
          <w:rFonts w:ascii="Times New Roman" w:hAnsi="Times New Roman"/>
          <w:color w:val="000000"/>
          <w:sz w:val="20"/>
        </w:rPr>
        <w:t xml:space="preserve"> </w:t>
      </w:r>
      <w:r>
        <w:rPr>
          <w:rFonts w:ascii="Arial" w:hAnsi="Arial"/>
          <w:color w:val="000000"/>
          <w:sz w:val="20"/>
        </w:rPr>
        <w:t>and 17%</w:t>
      </w:r>
      <w:r>
        <w:rPr>
          <w:rFonts w:ascii="Times New Roman" w:hAnsi="Times New Roman"/>
          <w:color w:val="000000"/>
          <w:sz w:val="20"/>
        </w:rPr>
        <w:t xml:space="preserve"> </w:t>
      </w:r>
      <w:r>
        <w:rPr>
          <w:rFonts w:ascii="Arial" w:hAnsi="Arial"/>
          <w:color w:val="000000"/>
          <w:sz w:val="20"/>
        </w:rPr>
        <w:t>of total revenues for fiscal years 2026, 2025 and 2024, respectively. Billed accounts receivable to the U.S. Government as of March 31, 2026 and 2025 were approximately</w:t>
      </w:r>
      <w:r>
        <w:rPr>
          <w:rFonts w:ascii="Times New Roman" w:hAnsi="Times New Roman"/>
          <w:color w:val="000000"/>
          <w:sz w:val="20"/>
        </w:rPr>
        <w:t xml:space="preserve"> </w:t>
      </w:r>
      <w:r>
        <w:rPr>
          <w:rFonts w:ascii="Arial" w:hAnsi="Arial"/>
          <w:color w:val="000000"/>
          <w:sz w:val="20"/>
        </w:rPr>
        <w:t>14%</w:t>
      </w:r>
      <w:r>
        <w:rPr>
          <w:rFonts w:ascii="Times New Roman" w:hAnsi="Times New Roman"/>
          <w:color w:val="000000"/>
          <w:sz w:val="20"/>
        </w:rPr>
        <w:t xml:space="preserve"> </w:t>
      </w:r>
      <w:r>
        <w:rPr>
          <w:rFonts w:ascii="Arial" w:hAnsi="Arial"/>
          <w:color w:val="000000"/>
          <w:sz w:val="20"/>
        </w:rPr>
        <w:t>and 11%, respectively, of total billed receivables. In addition, none of the Company’s commercial customers comprised 10% or more of total revenues for fiscal years 2026, 2025 and 2024. The Company's five largest contracts generated approximately 19%, 18%</w:t>
      </w:r>
      <w:r>
        <w:rPr>
          <w:rFonts w:ascii="Times New Roman" w:hAnsi="Times New Roman"/>
          <w:color w:val="000000"/>
          <w:sz w:val="20"/>
        </w:rPr>
        <w:t xml:space="preserve"> </w:t>
      </w:r>
      <w:r>
        <w:rPr>
          <w:rFonts w:ascii="Arial" w:hAnsi="Arial"/>
          <w:color w:val="000000"/>
          <w:sz w:val="20"/>
        </w:rPr>
        <w:t>and 16%</w:t>
      </w:r>
      <w:r>
        <w:rPr>
          <w:rFonts w:ascii="Times New Roman" w:hAnsi="Times New Roman"/>
          <w:color w:val="000000"/>
          <w:sz w:val="20"/>
        </w:rPr>
        <w:t xml:space="preserve"> </w:t>
      </w:r>
      <w:r>
        <w:rPr>
          <w:rFonts w:ascii="Arial" w:hAnsi="Arial"/>
          <w:color w:val="000000"/>
          <w:sz w:val="20"/>
        </w:rPr>
        <w:t>of the Company’s total revenues for fiscal years 2026, 2025 and 2024, respectively.</w:t>
      </w:r>
    </w:p>
    <w:p>
      <w:pPr>
        <w:pStyle w:val="TextBody"/>
        <w:bidi w:val="0"/>
        <w:spacing w:before="180" w:after="283"/>
        <w:jc w:val="left"/>
        <w:rPr>
          <w:rFonts w:ascii="Times New Roman" w:hAnsi="Times New Roman"/>
          <w:sz w:val="20"/>
        </w:rPr>
      </w:pPr>
      <w:r>
        <w:rPr>
          <w:rFonts w:ascii="Arial" w:hAnsi="Arial"/>
          <w:color w:val="000000"/>
          <w:sz w:val="20"/>
        </w:rPr>
        <w:t>The Company relies on a limited number of contract manufacturers to produce its products.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Inventory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Inventory is valued at the lower of cost and net realizable value, cost being determined by the weighted average cost method.</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Property, equipment and satellites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w:t>
      </w:r>
      <w:r>
        <w:rPr>
          <w:rFonts w:ascii="Times New Roman" w:hAnsi="Times New Roman"/>
          <w:color w:val="000000"/>
          <w:sz w:val="20"/>
        </w:rPr>
        <w:t xml:space="preserve"> </w:t>
      </w:r>
      <w:r>
        <w:rPr>
          <w:rFonts w:ascii="Arial" w:hAnsi="Arial"/>
          <w:color w:val="000000"/>
          <w:sz w:val="20"/>
        </w:rPr>
        <w:t>to 38</w:t>
      </w:r>
      <w:r>
        <w:rPr>
          <w:rFonts w:ascii="Times New Roman" w:hAnsi="Times New Roman"/>
          <w:color w:val="000000"/>
          <w:sz w:val="20"/>
        </w:rPr>
        <w:t xml:space="preserve"> </w:t>
      </w:r>
      <w:r>
        <w:rPr>
          <w:rFonts w:ascii="Arial" w:hAnsi="Arial"/>
          <w:color w:val="000000"/>
          <w:sz w:val="20"/>
        </w:rPr>
        <w:t>years. Leasehold</w:t>
      </w:r>
      <w:r>
        <w:rPr>
          <w:rFonts w:ascii="Times New Roman" w:hAnsi="Times New Roman"/>
          <w:color w:val="000000"/>
          <w:sz w:val="20"/>
        </w:rPr>
        <w:t xml:space="preserve"> </w:t>
      </w:r>
      <w:r>
        <w:rPr>
          <w:rFonts w:ascii="Arial" w:hAnsi="Arial"/>
          <w:color w:val="000000"/>
          <w:sz w:val="20"/>
        </w:rPr>
        <w:t>improvements are capitalized and amortized using the straight-line method over the shorter of the lease term or the life of the improvement.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20"/>
        </w:rPr>
        <w:t>Costs related to internally developed software for internal uses are capitalized after the preliminary project stage is complete and are amortized over the estimated useful lives of the assets, which are approximately three</w:t>
      </w:r>
      <w:r>
        <w:rPr>
          <w:rFonts w:ascii="Times New Roman" w:hAnsi="Times New Roman"/>
          <w:color w:val="000000"/>
          <w:sz w:val="20"/>
        </w:rPr>
        <w:t xml:space="preserve"> </w:t>
      </w:r>
      <w:r>
        <w:rPr>
          <w:rFonts w:ascii="Arial" w:hAnsi="Arial"/>
          <w:color w:val="000000"/>
          <w:sz w:val="20"/>
        </w:rPr>
        <w:t>to seven years. Capitalized costs for internal-use software are included in property, equipment and satellites, net in</w:t>
      </w:r>
      <w:r>
        <w:rPr>
          <w:rFonts w:ascii="Times New Roman" w:hAnsi="Times New Roman"/>
          <w:color w:val="000000"/>
          <w:sz w:val="20"/>
        </w:rPr>
        <w:t xml:space="preserve"> </w:t>
      </w:r>
      <w:r>
        <w:rPr>
          <w:rFonts w:ascii="Arial" w:hAnsi="Arial"/>
          <w:color w:val="000000"/>
          <w:sz w:val="20"/>
        </w:rPr>
        <w:t>the Company’s consolidated balance sheets.</w:t>
      </w:r>
    </w:p>
    <w:p>
      <w:pPr>
        <w:pStyle w:val="TextBody"/>
        <w:bidi w:val="0"/>
        <w:spacing w:before="180" w:after="283"/>
        <w:jc w:val="left"/>
        <w:rPr>
          <w:rFonts w:ascii="Times New Roman" w:hAnsi="Times New Roman"/>
          <w:sz w:val="20"/>
        </w:rPr>
      </w:pPr>
      <w:r>
        <w:rPr>
          <w:rFonts w:ascii="Arial" w:hAnsi="Arial"/>
          <w:color w:val="000000"/>
          <w:sz w:val="20"/>
        </w:rPr>
        <w:t>Interest expense is capitalized on the carrying value of assets under construction, in accordance with the authoritative guidance for the capitalization of interest (ASC 835-20).</w:t>
      </w:r>
      <w:r>
        <w:rPr>
          <w:rFonts w:ascii="Times New Roman" w:hAnsi="Times New Roman"/>
          <w:color w:val="000000"/>
          <w:sz w:val="20"/>
        </w:rPr>
        <w:t xml:space="preserve"> </w:t>
      </w:r>
      <w:r>
        <w:rPr>
          <w:rFonts w:ascii="Arial" w:hAnsi="Arial"/>
          <w:color w:val="000000"/>
          <w:sz w:val="20"/>
        </w:rPr>
        <w:t>With respect to the construction of satellites, gateway and networking equipment and other assets under construction, the Company capitalized</w:t>
      </w:r>
      <w:r>
        <w:rPr>
          <w:rFonts w:ascii="Times New Roman" w:hAnsi="Times New Roman"/>
          <w:color w:val="000000"/>
          <w:sz w:val="20"/>
        </w:rPr>
        <w:t xml:space="preserve"> </w:t>
      </w:r>
      <w:r>
        <w:rPr>
          <w:rFonts w:ascii="Arial" w:hAnsi="Arial"/>
          <w:color w:val="000000"/>
          <w:sz w:val="20"/>
        </w:rPr>
        <w:t>$240.7</w:t>
      </w:r>
      <w:r>
        <w:rPr>
          <w:rFonts w:ascii="Times New Roman" w:hAnsi="Times New Roman"/>
          <w:color w:val="000000"/>
          <w:sz w:val="20"/>
        </w:rPr>
        <w:t xml:space="preserve"> </w:t>
      </w:r>
      <w:r>
        <w:rPr>
          <w:rFonts w:ascii="Arial" w:hAnsi="Arial"/>
          <w:color w:val="000000"/>
          <w:sz w:val="20"/>
        </w:rPr>
        <w:t>million, $215.4</w:t>
      </w:r>
      <w:r>
        <w:rPr>
          <w:rFonts w:ascii="Times New Roman" w:hAnsi="Times New Roman"/>
          <w:color w:val="000000"/>
          <w:sz w:val="20"/>
        </w:rPr>
        <w:t xml:space="preserve"> </w:t>
      </w:r>
      <w:r>
        <w:rPr>
          <w:rFonts w:ascii="Arial" w:hAnsi="Arial"/>
          <w:color w:val="000000"/>
          <w:sz w:val="20"/>
        </w:rPr>
        <w:t>million and $227.5</w:t>
      </w:r>
      <w:r>
        <w:rPr>
          <w:rFonts w:ascii="Times New Roman" w:hAnsi="Times New Roman"/>
          <w:color w:val="000000"/>
          <w:sz w:val="20"/>
        </w:rPr>
        <w:t xml:space="preserve"> </w:t>
      </w:r>
      <w:r>
        <w:rPr>
          <w:rFonts w:ascii="Arial" w:hAnsi="Arial"/>
          <w:color w:val="000000"/>
          <w:sz w:val="20"/>
        </w:rPr>
        <w:t>million of interest expense during fiscal years 2026, 2025 and 2024, respectively.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As of March 31, 2026, the Company's complementary fleet of 23 in service or operational satellites spanned the Ka-, L- and S- bands, with 13 Ka-band satellites, eight high-availability L-band satellites (three of which are contingency L-band satellites that are operational but not currently in commercial service), an S-band satellite that supported the European Aviation Network to provide IFC services to commercial airlines in Europe, and a hybrid Ka-/L-band satellite. The second ViaSat-3 class satellite, ViaSat-3 F2, was launched into orbit in November 2025. Furthermore, as of March 31, 2026, the Company had eight additional geostationary earth orbit (GEO) satellites under construction or in preparation for launch: a high-capacity Ka-band GEO satellite (ViaSat-3 F3), three adaptive Ka-band GEO satellites (GX7, GX8 and GX9) and four Inmarsat-8 L-band GEO safety service satellites. Subsequent to fiscal year 2026, in April 2026, the Company launched the third ViaSat-3 class satellite, ViaSat-3 F3, into orbit with commercial service expected to commence by late summer 2026.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communication services segment, which are reflected in investing activities and property, equipment and satellites, net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March 31, 2026 were $522.9</w:t>
      </w:r>
      <w:r>
        <w:rPr>
          <w:rFonts w:ascii="Times New Roman" w:hAnsi="Times New Roman"/>
          <w:color w:val="000000"/>
          <w:sz w:val="20"/>
        </w:rPr>
        <w:t xml:space="preserve"> </w:t>
      </w:r>
      <w:r>
        <w:rPr>
          <w:rFonts w:ascii="Arial" w:hAnsi="Arial"/>
          <w:color w:val="000000"/>
          <w:sz w:val="20"/>
        </w:rPr>
        <w:t>million and $349.4</w:t>
      </w:r>
      <w:r>
        <w:rPr>
          <w:rFonts w:ascii="Times New Roman" w:hAnsi="Times New Roman"/>
          <w:color w:val="000000"/>
          <w:sz w:val="20"/>
        </w:rPr>
        <w:t xml:space="preserve"> </w:t>
      </w:r>
      <w:r>
        <w:rPr>
          <w:rFonts w:ascii="Arial" w:hAnsi="Arial"/>
          <w:color w:val="000000"/>
          <w:sz w:val="20"/>
        </w:rPr>
        <w:t>million, respectively. The total cost and accumulated depreciation of CPE units included in property, equipment and satellites, net, as of March 31, 2025 were $526.0</w:t>
      </w:r>
      <w:r>
        <w:rPr>
          <w:rFonts w:ascii="Times New Roman" w:hAnsi="Times New Roman"/>
          <w:color w:val="000000"/>
          <w:sz w:val="20"/>
        </w:rPr>
        <w:t xml:space="preserve"> </w:t>
      </w:r>
      <w:r>
        <w:rPr>
          <w:rFonts w:ascii="Arial" w:hAnsi="Arial"/>
          <w:color w:val="000000"/>
          <w:sz w:val="20"/>
        </w:rPr>
        <w:t>million and $328.0</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180" w:after="283"/>
        <w:jc w:val="left"/>
        <w:rPr>
          <w:rFonts w:ascii="Times New Roman" w:hAnsi="Times New Roman"/>
          <w:sz w:val="20"/>
        </w:rPr>
      </w:pPr>
      <w:r>
        <w:rPr>
          <w:rFonts w:ascii="Arial" w:hAnsi="Arial"/>
          <w:color w:val="000000"/>
          <w:sz w:val="20"/>
        </w:rPr>
        <w:t>As part of the Company's continued integration of its networks and related satellite portfolio, in the fourth quarter of fiscal year 2025, the Company determined that it would exit from certain locations in EMEA markets, dispose of certain related assets and terminate certain related long-term contracts. As a result, the Company recorded $169.4</w:t>
      </w:r>
      <w:r>
        <w:rPr>
          <w:rFonts w:ascii="Times New Roman" w:hAnsi="Times New Roman"/>
          <w:color w:val="000000"/>
          <w:sz w:val="20"/>
        </w:rPr>
        <w:t xml:space="preserve"> </w:t>
      </w:r>
      <w:r>
        <w:rPr>
          <w:rFonts w:ascii="Arial" w:hAnsi="Arial"/>
          <w:color w:val="000000"/>
          <w:sz w:val="20"/>
        </w:rPr>
        <w:t>million of impairment charges and other liabilities related to such exit activities in the fourth quarter of fiscal year 2025 in selling, general and administrative expenses in its communication services segment in the consolidated statements of operations and comprehensive income (loss).</w:t>
      </w:r>
    </w:p>
    <w:p>
      <w:pPr>
        <w:pStyle w:val="TextBody"/>
        <w:bidi w:val="0"/>
        <w:spacing w:before="180" w:after="283"/>
        <w:jc w:val="left"/>
        <w:rPr>
          <w:rFonts w:ascii="Times New Roman" w:hAnsi="Times New Roman"/>
          <w:sz w:val="20"/>
        </w:rPr>
      </w:pPr>
      <w:r>
        <w:rPr>
          <w:rFonts w:ascii="Arial" w:hAnsi="Arial"/>
          <w:color w:val="000000"/>
          <w:sz w:val="20"/>
        </w:rPr>
        <w:t>During fiscal year 2024, the Company reported a reflector deployment issue with the ViaSat-3 F1 satellite that resulted in the Company recovering less than 10% of the throughput on the ViaSat-3 F1 satellite, and reported a power subsystem anomaly suffered by the Inmarsat-6 F2 satellite during its orbit raising phase that caused the full carrying value of the Inmarsat-6 F2 satellite to not be recoverable. As a result of the anomalies experienced in the two satellites and integration impact related to the Inmarsat Acquisition (whereby the Company undertook extensive analysis of its existing integrated satellite fleet and ongoing satellites under construction projects, taking into account its anticipated future capacity needs, projected capital investment profile and access to third party satellites under existing bandwidth arrangements), the Company recorded a reduction to the carrying value of satellites under construction (including capitalized interest), of approximately $1.67</w:t>
      </w:r>
      <w:r>
        <w:rPr>
          <w:rFonts w:ascii="Times New Roman" w:hAnsi="Times New Roman"/>
          <w:color w:val="000000"/>
          <w:sz w:val="20"/>
        </w:rPr>
        <w:t xml:space="preserve"> </w:t>
      </w:r>
      <w:r>
        <w:rPr>
          <w:rFonts w:ascii="Arial" w:hAnsi="Arial"/>
          <w:color w:val="000000"/>
          <w:sz w:val="20"/>
        </w:rPr>
        <w:t>billion in fiscal year 2024 (based on the Company's originally estimated ViaSat-3 F1 satellite output capabilities compared to the anticipated potential and configured capacity of the ViaSat-3 F1 satellite, the full value of the Inmarsat-6 F2 satellite and the ViaSat-4 satellite program, each a separate asset group), which was partially offset by total insurance claim receivables of approximately $770.0</w:t>
      </w:r>
      <w:r>
        <w:rPr>
          <w:rFonts w:ascii="Times New Roman" w:hAnsi="Times New Roman"/>
          <w:color w:val="000000"/>
          <w:sz w:val="20"/>
        </w:rPr>
        <w:t xml:space="preserve"> </w:t>
      </w:r>
      <w:r>
        <w:rPr>
          <w:rFonts w:ascii="Arial" w:hAnsi="Arial"/>
          <w:color w:val="000000"/>
          <w:sz w:val="20"/>
        </w:rPr>
        <w:t>million. As a result, the Company recorded a net loss of approximately $905.5</w:t>
      </w:r>
      <w:r>
        <w:rPr>
          <w:rFonts w:ascii="Times New Roman" w:hAnsi="Times New Roman"/>
          <w:color w:val="000000"/>
          <w:sz w:val="20"/>
        </w:rPr>
        <w:t xml:space="preserve"> </w:t>
      </w:r>
      <w:r>
        <w:rPr>
          <w:rFonts w:ascii="Arial" w:hAnsi="Arial"/>
          <w:color w:val="000000"/>
          <w:sz w:val="20"/>
        </w:rPr>
        <w:t>million during fiscal year 2024, including liabilities associated with the termination of certain subcontractor agreements, in selling, general and administrative expenses in its communication services segment in the consolidated statements of operations and comprehensive income (loss). During fiscal years 2026, 2025 and 2024, the Company received approximately $10.0</w:t>
      </w:r>
      <w:r>
        <w:rPr>
          <w:rFonts w:ascii="Times New Roman" w:hAnsi="Times New Roman"/>
          <w:color w:val="000000"/>
          <w:sz w:val="20"/>
        </w:rPr>
        <w:t xml:space="preserve"> </w:t>
      </w:r>
      <w:r>
        <w:rPr>
          <w:rFonts w:ascii="Arial" w:hAnsi="Arial"/>
          <w:color w:val="000000"/>
          <w:sz w:val="20"/>
        </w:rPr>
        <w:t>million, $251.5</w:t>
      </w:r>
      <w:r>
        <w:rPr>
          <w:rFonts w:ascii="Times New Roman" w:hAnsi="Times New Roman"/>
          <w:color w:val="000000"/>
          <w:sz w:val="20"/>
        </w:rPr>
        <w:t xml:space="preserve"> </w:t>
      </w:r>
      <w:r>
        <w:rPr>
          <w:rFonts w:ascii="Arial" w:hAnsi="Arial"/>
          <w:color w:val="000000"/>
          <w:sz w:val="20"/>
        </w:rPr>
        <w:t>million and $508.6</w:t>
      </w:r>
      <w:r>
        <w:rPr>
          <w:rFonts w:ascii="Times New Roman" w:hAnsi="Times New Roman"/>
          <w:color w:val="000000"/>
          <w:sz w:val="20"/>
        </w:rPr>
        <w:t xml:space="preserve"> </w:t>
      </w:r>
      <w:r>
        <w:rPr>
          <w:rFonts w:ascii="Arial" w:hAnsi="Arial"/>
          <w:color w:val="000000"/>
          <w:sz w:val="20"/>
        </w:rPr>
        <w:t>million, respectively, in insurance recovery proceeds related to such claims, resulting in the full collection of all related insurance claims.</w:t>
      </w:r>
    </w:p>
    <w:p>
      <w:pPr>
        <w:pStyle w:val="TextBody"/>
        <w:bidi w:val="0"/>
        <w:spacing w:before="240" w:after="283"/>
        <w:jc w:val="center"/>
        <w:rPr>
          <w:rFonts w:ascii="Arial" w:hAnsi="Arial"/>
          <w:color w:val="000000"/>
          <w:sz w:val="20"/>
        </w:rPr>
      </w:pPr>
      <w:r>
        <w:rPr>
          <w:rFonts w:ascii="Arial" w:hAnsi="Arial"/>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20"/>
        </w:rPr>
        <w:t>Occasionally, the Company may enter into finance lease arrangements for various machinery, equipment, computer-related equipment, software, furniture, fixtures, or satellites. The Company records amortization of assets leased under finance lease arrangements (upon lease commencement) within depreciation expense (see Note 1 — The Company and a Summary of Its Significant Accounting Policies — Leases and Note 6 — Leases for more information).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b/>
          <w:i/>
          <w:color w:val="000000"/>
          <w:sz w:val="20"/>
        </w:rPr>
        <w:t>Cloud computing arrangements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implementation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consolidated balance sheets.</w:t>
      </w:r>
    </w:p>
    <w:p>
      <w:pPr>
        <w:pStyle w:val="TextBody"/>
        <w:bidi w:val="0"/>
        <w:spacing w:before="180" w:after="283"/>
        <w:jc w:val="left"/>
        <w:rPr>
          <w:rFonts w:ascii="Times New Roman" w:hAnsi="Times New Roman"/>
          <w:sz w:val="20"/>
        </w:rPr>
      </w:pPr>
      <w:r>
        <w:rPr>
          <w:rFonts w:ascii="Arial" w:hAnsi="Arial"/>
          <w:color w:val="000000"/>
          <w:sz w:val="20"/>
        </w:rPr>
        <w:t>The Company has entered into several cloud computing arrangements that are hosted services contracts mainly as part of projects related to the continuous transformation of technology, integration and implementation of an ERP system. As of March 31, 2026 and 2025, gross capitalized implementation costs incurred in cloud computing arrangements was $112.2</w:t>
      </w:r>
      <w:r>
        <w:rPr>
          <w:rFonts w:ascii="Times New Roman" w:hAnsi="Times New Roman"/>
          <w:color w:val="000000"/>
          <w:sz w:val="20"/>
        </w:rPr>
        <w:t xml:space="preserve"> </w:t>
      </w:r>
      <w:r>
        <w:rPr>
          <w:rFonts w:ascii="Arial" w:hAnsi="Arial"/>
          <w:color w:val="000000"/>
          <w:sz w:val="20"/>
        </w:rPr>
        <w:t>million and $88.7</w:t>
      </w:r>
      <w:r>
        <w:rPr>
          <w:rFonts w:ascii="Times New Roman" w:hAnsi="Times New Roman"/>
          <w:color w:val="000000"/>
          <w:sz w:val="20"/>
        </w:rPr>
        <w:t xml:space="preserve"> </w:t>
      </w:r>
      <w:r>
        <w:rPr>
          <w:rFonts w:ascii="Arial" w:hAnsi="Arial"/>
          <w:color w:val="000000"/>
          <w:sz w:val="20"/>
        </w:rPr>
        <w:t>million, respectively. As of March 31, 2026 and 2025, the related accumulated amortization was $29.0</w:t>
      </w:r>
      <w:r>
        <w:rPr>
          <w:rFonts w:ascii="Times New Roman" w:hAnsi="Times New Roman"/>
          <w:color w:val="000000"/>
          <w:sz w:val="20"/>
        </w:rPr>
        <w:t xml:space="preserve"> </w:t>
      </w:r>
      <w:r>
        <w:rPr>
          <w:rFonts w:ascii="Arial" w:hAnsi="Arial"/>
          <w:color w:val="000000"/>
          <w:sz w:val="20"/>
        </w:rPr>
        <w:t>million and $18.4</w:t>
      </w:r>
      <w:r>
        <w:rPr>
          <w:rFonts w:ascii="Times New Roman" w:hAnsi="Times New Roman"/>
          <w:color w:val="000000"/>
          <w:sz w:val="20"/>
        </w:rPr>
        <w:t xml:space="preserve"> </w:t>
      </w:r>
      <w:r>
        <w:rPr>
          <w:rFonts w:ascii="Arial" w:hAnsi="Arial"/>
          <w:color w:val="000000"/>
          <w:sz w:val="20"/>
        </w:rPr>
        <w:t>million, respectively. The Company recognized amortization of capitalized implementation costs of $10.5</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r>
        <w:rPr>
          <w:rFonts w:ascii="Arial" w:hAnsi="Arial"/>
          <w:color w:val="000000"/>
          <w:sz w:val="20"/>
        </w:rPr>
        <w:t>$8.8</w:t>
      </w:r>
      <w:r>
        <w:rPr>
          <w:rFonts w:ascii="Times New Roman" w:hAnsi="Times New Roman"/>
          <w:color w:val="000000"/>
          <w:sz w:val="20"/>
        </w:rPr>
        <w:t xml:space="preserve"> </w:t>
      </w:r>
      <w:r>
        <w:rPr>
          <w:rFonts w:ascii="Arial" w:hAnsi="Arial"/>
          <w:color w:val="000000"/>
          <w:sz w:val="20"/>
        </w:rPr>
        <w:t>million and $4.2</w:t>
      </w:r>
      <w:r>
        <w:rPr>
          <w:rFonts w:ascii="Times New Roman" w:hAnsi="Times New Roman"/>
          <w:color w:val="000000"/>
          <w:sz w:val="20"/>
        </w:rPr>
        <w:t xml:space="preserve"> </w:t>
      </w:r>
      <w:r>
        <w:rPr>
          <w:rFonts w:ascii="Arial" w:hAnsi="Arial"/>
          <w:color w:val="000000"/>
          <w:sz w:val="20"/>
        </w:rPr>
        <w:t>million during fiscal years 2026, 2025 and 2024, respectively.</w:t>
      </w:r>
    </w:p>
    <w:p>
      <w:pPr>
        <w:pStyle w:val="TextBody"/>
        <w:bidi w:val="0"/>
        <w:spacing w:before="180" w:after="283"/>
        <w:jc w:val="left"/>
        <w:rPr>
          <w:rFonts w:ascii="Arial" w:hAnsi="Arial"/>
          <w:b/>
          <w:i/>
          <w:color w:val="000000"/>
          <w:sz w:val="20"/>
        </w:rPr>
      </w:pPr>
      <w:r>
        <w:rPr>
          <w:rFonts w:ascii="Arial" w:hAnsi="Arial"/>
          <w:b/>
          <w:i/>
          <w:color w:val="000000"/>
          <w:sz w:val="20"/>
        </w:rPr>
        <w:t>Leases</w:t>
      </w:r>
    </w:p>
    <w:p>
      <w:pPr>
        <w:pStyle w:val="TextBody"/>
        <w:bidi w:val="0"/>
        <w:spacing w:before="180" w:after="283"/>
        <w:jc w:val="left"/>
        <w:rPr>
          <w:rFonts w:ascii="Arial" w:hAnsi="Arial"/>
          <w:i/>
          <w:color w:val="000000"/>
          <w:sz w:val="20"/>
        </w:rPr>
      </w:pPr>
      <w:r>
        <w:rPr>
          <w:rFonts w:ascii="Arial" w:hAnsi="Arial"/>
          <w:i/>
          <w:color w:val="000000"/>
          <w:sz w:val="20"/>
        </w:rPr>
        <w:t>Lessee accounting</w:t>
      </w:r>
    </w:p>
    <w:p>
      <w:pPr>
        <w:pStyle w:val="TextBody"/>
        <w:bidi w:val="0"/>
        <w:spacing w:before="90" w:after="283"/>
        <w:jc w:val="left"/>
        <w:rPr>
          <w:rFonts w:ascii="Times New Roman" w:hAnsi="Times New Roman"/>
          <w:sz w:val="20"/>
        </w:rPr>
      </w:pPr>
      <w:r>
        <w:rPr>
          <w:rFonts w:ascii="Arial" w:hAnsi="Arial"/>
          <w:color w:val="000000"/>
          <w:sz w:val="20"/>
        </w:rPr>
        <w:t>In accordance with the authoritative guidance for leases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Lease payments included in the measurement of lease liabilities consist of (1) fixed lease payments for the noncancelable lease term, (2) 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pStyle w:val="TextBody"/>
        <w:bidi w:val="0"/>
        <w:spacing w:before="240" w:after="283"/>
        <w:jc w:val="center"/>
        <w:rPr>
          <w:rFonts w:ascii="Arial" w:hAnsi="Arial"/>
          <w:color w:val="000000"/>
          <w:sz w:val="20"/>
        </w:rPr>
      </w:pPr>
      <w:r>
        <w:rPr>
          <w:rFonts w:ascii="Arial" w:hAnsi="Arial"/>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70" w:after="283"/>
        <w:jc w:val="left"/>
        <w:rPr>
          <w:rFonts w:ascii="Arial" w:hAnsi="Arial"/>
          <w:i/>
          <w:color w:val="000000"/>
          <w:sz w:val="20"/>
        </w:rPr>
      </w:pPr>
      <w:r>
        <w:rPr>
          <w:rFonts w:ascii="Arial" w:hAnsi="Arial"/>
          <w:i/>
          <w:color w:val="000000"/>
          <w:sz w:val="20"/>
        </w:rPr>
        <w:t>Lessor accounting</w:t>
      </w:r>
    </w:p>
    <w:p>
      <w:pPr>
        <w:pStyle w:val="TextBody"/>
        <w:bidi w:val="0"/>
        <w:spacing w:before="90" w:after="283"/>
        <w:jc w:val="left"/>
        <w:rPr>
          <w:rFonts w:ascii="Arial" w:hAnsi="Arial"/>
          <w:color w:val="000000"/>
          <w:sz w:val="20"/>
        </w:rPr>
      </w:pPr>
      <w:r>
        <w:rPr>
          <w:rFonts w:ascii="Arial" w:hAnsi="Arial"/>
          <w:color w:val="000000"/>
          <w:sz w:val="20"/>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pStyle w:val="TextBody"/>
        <w:bidi w:val="0"/>
        <w:spacing w:before="270" w:after="283"/>
        <w:jc w:val="left"/>
        <w:rPr>
          <w:rFonts w:ascii="Times New Roman" w:hAnsi="Times New Roman"/>
          <w:sz w:val="20"/>
        </w:rPr>
      </w:pPr>
      <w:r>
        <w:rPr>
          <w:rFonts w:ascii="Arial" w:hAnsi="Arial"/>
          <w:b/>
          <w:i/>
          <w:color w:val="000000"/>
          <w:sz w:val="20"/>
        </w:rPr>
        <w:t>Business combinations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pStyle w:val="TextBody"/>
        <w:bidi w:val="0"/>
        <w:spacing w:before="270" w:after="283"/>
        <w:jc w:val="left"/>
        <w:rPr>
          <w:rFonts w:ascii="Times New Roman" w:hAnsi="Times New Roman"/>
          <w:sz w:val="20"/>
        </w:rPr>
      </w:pPr>
      <w:r>
        <w:rPr>
          <w:rFonts w:ascii="Arial" w:hAnsi="Arial"/>
          <w:b/>
          <w:i/>
          <w:color w:val="000000"/>
          <w:sz w:val="20"/>
        </w:rPr>
        <w:t>Goodwill and intangible assets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authoritative guidance for business combinations (ASC 805)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Patents, orbital slots and other licenses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orbital slots and other licenses of $144.5</w:t>
      </w:r>
      <w:r>
        <w:rPr>
          <w:rFonts w:ascii="Times New Roman" w:hAnsi="Times New Roman"/>
          <w:color w:val="000000"/>
          <w:sz w:val="20"/>
        </w:rPr>
        <w:t xml:space="preserve"> </w:t>
      </w:r>
      <w:r>
        <w:rPr>
          <w:rFonts w:ascii="Arial" w:hAnsi="Arial"/>
          <w:color w:val="000000"/>
          <w:sz w:val="20"/>
        </w:rPr>
        <w:t>million and $129.4</w:t>
      </w:r>
      <w:r>
        <w:rPr>
          <w:rFonts w:ascii="Times New Roman" w:hAnsi="Times New Roman"/>
          <w:color w:val="000000"/>
          <w:sz w:val="20"/>
        </w:rPr>
        <w:t xml:space="preserve"> </w:t>
      </w:r>
      <w:r>
        <w:rPr>
          <w:rFonts w:ascii="Arial" w:hAnsi="Arial"/>
          <w:color w:val="000000"/>
          <w:sz w:val="20"/>
        </w:rPr>
        <w:t>million were included in other assets as of March 31, 2026 and 2025, respectively. Accumulated amortization related to these assets was $24.3</w:t>
      </w:r>
      <w:r>
        <w:rPr>
          <w:rFonts w:ascii="Times New Roman" w:hAnsi="Times New Roman"/>
          <w:color w:val="000000"/>
          <w:sz w:val="20"/>
        </w:rPr>
        <w:t xml:space="preserve"> </w:t>
      </w:r>
      <w:r>
        <w:rPr>
          <w:rFonts w:ascii="Arial" w:hAnsi="Arial"/>
          <w:color w:val="000000"/>
          <w:sz w:val="20"/>
        </w:rPr>
        <w:t>million and $10.2</w:t>
      </w:r>
      <w:r>
        <w:rPr>
          <w:rFonts w:ascii="Times New Roman" w:hAnsi="Times New Roman"/>
          <w:color w:val="000000"/>
          <w:sz w:val="20"/>
        </w:rPr>
        <w:t xml:space="preserve"> </w:t>
      </w:r>
      <w:r>
        <w:rPr>
          <w:rFonts w:ascii="Arial" w:hAnsi="Arial"/>
          <w:color w:val="000000"/>
          <w:sz w:val="20"/>
        </w:rPr>
        <w:t>million as of March 31, 2026 and 2025, respectively. Amortization expense related to these assets was $14.1</w:t>
      </w:r>
      <w:r>
        <w:rPr>
          <w:rFonts w:ascii="Times New Roman" w:hAnsi="Times New Roman"/>
          <w:color w:val="000000"/>
          <w:sz w:val="20"/>
        </w:rPr>
        <w:t xml:space="preserve"> </w:t>
      </w:r>
      <w:r>
        <w:rPr>
          <w:rFonts w:ascii="Arial" w:hAnsi="Arial"/>
          <w:color w:val="000000"/>
          <w:sz w:val="20"/>
        </w:rPr>
        <w:t>million for fiscal year 2026, and an insignificant amount for each of fiscal years 2025 and 2024. If a patent, orbital slot or other license is rejected, abandoned or otherwise invalidated, the unamortized cost is expensed in that period. During fiscal years 2026, 2025 and 2024, the Company did not write off any significant costs due to abandonment or impairment.</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Debt issuance costs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Debt issuance costs are amortized and recognized as interest expense using the effective interest rate method, or, when the results are not materially different, on a straight-line basis over the expected term of the related debt. The Company capitalized $5.1</w:t>
      </w:r>
      <w:r>
        <w:rPr>
          <w:rFonts w:ascii="Times New Roman" w:hAnsi="Times New Roman"/>
          <w:color w:val="000000"/>
          <w:sz w:val="20"/>
        </w:rPr>
        <w:t xml:space="preserve"> </w:t>
      </w:r>
      <w:r>
        <w:rPr>
          <w:rFonts w:ascii="Arial" w:hAnsi="Arial"/>
          <w:color w:val="000000"/>
          <w:sz w:val="20"/>
        </w:rPr>
        <w:t>million, $35.6</w:t>
      </w:r>
      <w:r>
        <w:rPr>
          <w:rFonts w:ascii="Times New Roman" w:hAnsi="Times New Roman"/>
          <w:color w:val="000000"/>
          <w:sz w:val="20"/>
        </w:rPr>
        <w:t xml:space="preserve"> </w:t>
      </w:r>
      <w:r>
        <w:rPr>
          <w:rFonts w:ascii="Arial" w:hAnsi="Arial"/>
          <w:color w:val="000000"/>
          <w:sz w:val="20"/>
        </w:rPr>
        <w:t>million and $53.9</w:t>
      </w:r>
      <w:r>
        <w:rPr>
          <w:rFonts w:ascii="Times New Roman" w:hAnsi="Times New Roman"/>
          <w:color w:val="000000"/>
          <w:sz w:val="20"/>
        </w:rPr>
        <w:t xml:space="preserve"> </w:t>
      </w:r>
      <w:r>
        <w:rPr>
          <w:rFonts w:ascii="Arial" w:hAnsi="Arial"/>
          <w:color w:val="000000"/>
          <w:sz w:val="20"/>
        </w:rPr>
        <w:t>million of debt issuance costs during fiscal years 2026, 2025 and 2024, respectively. Unamortized debt issuance costs related to extinguished debt are expensed at the time the debt is extinguished and recorded in loss on extinguishment of debt in the consolidated statements of operations and comprehensive income (loss).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Debt issuance costs related to the Company's revolving credit facilities (collectively, the Revolving Credit Facilities) are recorded in other long-term assets in the consolidated balance sheets in accordance with the authoritative guidance for imputation of interest (ASC 835-30). Debt issuance costs related to the Company’s senior secured and senior unsecured notes (collectively, the Notes) and senior secured term loan credit facilities (together with the Revolving Credit Facilities, the Credit Facilities) are recorded as a direct deduction from the carrying amount of the related debt, consistent with debt discounts, in accordance with ASC 835-30.</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i/>
          <w:color w:val="000000"/>
          <w:sz w:val="20"/>
        </w:rPr>
        <w:t>Software development</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Costs of developing software for sale are charged to independent research and development (IR&amp;D)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As of March 31, 2026 and 2025, the Company had $871.1</w:t>
      </w:r>
      <w:r>
        <w:rPr>
          <w:rFonts w:ascii="Times New Roman" w:hAnsi="Times New Roman"/>
          <w:color w:val="000000"/>
          <w:sz w:val="20"/>
        </w:rPr>
        <w:t xml:space="preserve"> </w:t>
      </w:r>
      <w:r>
        <w:rPr>
          <w:rFonts w:ascii="Arial" w:hAnsi="Arial"/>
          <w:color w:val="000000"/>
          <w:sz w:val="20"/>
        </w:rPr>
        <w:t>million and $780.3</w:t>
      </w:r>
      <w:r>
        <w:rPr>
          <w:rFonts w:ascii="Times New Roman" w:hAnsi="Times New Roman"/>
          <w:color w:val="000000"/>
          <w:sz w:val="20"/>
        </w:rPr>
        <w:t xml:space="preserve"> </w:t>
      </w:r>
      <w:r>
        <w:rPr>
          <w:rFonts w:ascii="Arial" w:hAnsi="Arial"/>
          <w:color w:val="000000"/>
          <w:sz w:val="20"/>
        </w:rPr>
        <w:t>million, respectively, of capitalized costs related to software developed for resale. Accumulated amortization related to these assets was $554.2</w:t>
      </w:r>
      <w:r>
        <w:rPr>
          <w:rFonts w:ascii="Times New Roman" w:hAnsi="Times New Roman"/>
          <w:color w:val="000000"/>
          <w:sz w:val="20"/>
        </w:rPr>
        <w:t xml:space="preserve"> </w:t>
      </w:r>
      <w:r>
        <w:rPr>
          <w:rFonts w:ascii="Arial" w:hAnsi="Arial"/>
          <w:color w:val="000000"/>
          <w:sz w:val="20"/>
        </w:rPr>
        <w:t>million and $515.8</w:t>
      </w:r>
      <w:r>
        <w:rPr>
          <w:rFonts w:ascii="Times New Roman" w:hAnsi="Times New Roman"/>
          <w:color w:val="000000"/>
          <w:sz w:val="20"/>
        </w:rPr>
        <w:t xml:space="preserve"> </w:t>
      </w:r>
      <w:r>
        <w:rPr>
          <w:rFonts w:ascii="Arial" w:hAnsi="Arial"/>
          <w:color w:val="000000"/>
          <w:sz w:val="20"/>
        </w:rPr>
        <w:t>million as of March 31, 2026 and 2025, respectively. The Company capitalized $95.7</w:t>
      </w:r>
      <w:r>
        <w:rPr>
          <w:rFonts w:ascii="Times New Roman" w:hAnsi="Times New Roman"/>
          <w:color w:val="000000"/>
          <w:sz w:val="20"/>
        </w:rPr>
        <w:t xml:space="preserve"> </w:t>
      </w:r>
      <w:r>
        <w:rPr>
          <w:rFonts w:ascii="Arial" w:hAnsi="Arial"/>
          <w:color w:val="000000"/>
          <w:sz w:val="20"/>
        </w:rPr>
        <w:t>million and $78.4</w:t>
      </w:r>
      <w:r>
        <w:rPr>
          <w:rFonts w:ascii="Times New Roman" w:hAnsi="Times New Roman"/>
          <w:color w:val="000000"/>
          <w:sz w:val="20"/>
        </w:rPr>
        <w:t xml:space="preserve"> </w:t>
      </w:r>
      <w:r>
        <w:rPr>
          <w:rFonts w:ascii="Arial" w:hAnsi="Arial"/>
          <w:color w:val="000000"/>
          <w:sz w:val="20"/>
        </w:rPr>
        <w:t>million of costs related to software developed for resale during the fiscal years ended March 31, 2026 and 2025, respectively. Amortization expense for capitalized software development costs was $41.1</w:t>
      </w:r>
      <w:r>
        <w:rPr>
          <w:rFonts w:ascii="Times New Roman" w:hAnsi="Times New Roman"/>
          <w:color w:val="000000"/>
          <w:sz w:val="20"/>
        </w:rPr>
        <w:t xml:space="preserve"> </w:t>
      </w:r>
      <w:r>
        <w:rPr>
          <w:rFonts w:ascii="Arial" w:hAnsi="Arial"/>
          <w:color w:val="000000"/>
          <w:sz w:val="20"/>
        </w:rPr>
        <w:t>million, $54.5</w:t>
      </w:r>
      <w:r>
        <w:rPr>
          <w:rFonts w:ascii="Times New Roman" w:hAnsi="Times New Roman"/>
          <w:color w:val="000000"/>
          <w:sz w:val="20"/>
        </w:rPr>
        <w:t xml:space="preserve"> </w:t>
      </w:r>
      <w:r>
        <w:rPr>
          <w:rFonts w:ascii="Arial" w:hAnsi="Arial"/>
          <w:color w:val="000000"/>
          <w:sz w:val="20"/>
        </w:rPr>
        <w:t>million and $59.1</w:t>
      </w:r>
      <w:r>
        <w:rPr>
          <w:rFonts w:ascii="Times New Roman" w:hAnsi="Times New Roman"/>
          <w:color w:val="000000"/>
          <w:sz w:val="20"/>
        </w:rPr>
        <w:t xml:space="preserve"> </w:t>
      </w:r>
      <w:r>
        <w:rPr>
          <w:rFonts w:ascii="Arial" w:hAnsi="Arial"/>
          <w:color w:val="000000"/>
          <w:sz w:val="20"/>
        </w:rPr>
        <w:t>million during fiscal years 2026, 2025 and 2024, respectively. The estimated aggregate amortization expense related to these assets for each of the next five fiscal years is $58.8</w:t>
      </w:r>
      <w:r>
        <w:rPr>
          <w:rFonts w:ascii="Times New Roman" w:hAnsi="Times New Roman"/>
          <w:color w:val="000000"/>
          <w:sz w:val="20"/>
        </w:rPr>
        <w:t xml:space="preserve"> </w:t>
      </w:r>
      <w:r>
        <w:rPr>
          <w:rFonts w:ascii="Arial" w:hAnsi="Arial"/>
          <w:color w:val="000000"/>
          <w:sz w:val="20"/>
        </w:rPr>
        <w:t>million for fiscal year 2027, $74.0</w:t>
      </w:r>
      <w:r>
        <w:rPr>
          <w:rFonts w:ascii="Times New Roman" w:hAnsi="Times New Roman"/>
          <w:color w:val="000000"/>
          <w:sz w:val="20"/>
        </w:rPr>
        <w:t xml:space="preserve"> </w:t>
      </w:r>
      <w:r>
        <w:rPr>
          <w:rFonts w:ascii="Arial" w:hAnsi="Arial"/>
          <w:color w:val="000000"/>
          <w:sz w:val="20"/>
        </w:rPr>
        <w:t>million for fiscal year 2028, $63.1</w:t>
      </w:r>
      <w:r>
        <w:rPr>
          <w:rFonts w:ascii="Times New Roman" w:hAnsi="Times New Roman"/>
          <w:color w:val="000000"/>
          <w:sz w:val="20"/>
        </w:rPr>
        <w:t xml:space="preserve"> </w:t>
      </w:r>
      <w:r>
        <w:rPr>
          <w:rFonts w:ascii="Arial" w:hAnsi="Arial"/>
          <w:color w:val="000000"/>
          <w:sz w:val="20"/>
        </w:rPr>
        <w:t>million for fiscal year 2029, $45.1</w:t>
      </w:r>
      <w:r>
        <w:rPr>
          <w:rFonts w:ascii="Times New Roman" w:hAnsi="Times New Roman"/>
          <w:color w:val="000000"/>
          <w:sz w:val="20"/>
        </w:rPr>
        <w:t xml:space="preserve"> </w:t>
      </w:r>
      <w:r>
        <w:rPr>
          <w:rFonts w:ascii="Arial" w:hAnsi="Arial"/>
          <w:color w:val="000000"/>
          <w:sz w:val="20"/>
        </w:rPr>
        <w:t>million for fiscal year 2030</w:t>
      </w:r>
      <w:r>
        <w:rPr>
          <w:rFonts w:ascii="Times New Roman" w:hAnsi="Times New Roman"/>
          <w:color w:val="000000"/>
          <w:sz w:val="20"/>
        </w:rPr>
        <w:t xml:space="preserve"> </w:t>
      </w:r>
      <w:r>
        <w:rPr>
          <w:rFonts w:ascii="Arial" w:hAnsi="Arial"/>
          <w:color w:val="000000"/>
          <w:sz w:val="20"/>
        </w:rPr>
        <w:t>and $27.4</w:t>
      </w:r>
      <w:r>
        <w:rPr>
          <w:rFonts w:ascii="Times New Roman" w:hAnsi="Times New Roman"/>
          <w:color w:val="000000"/>
          <w:sz w:val="20"/>
        </w:rPr>
        <w:t xml:space="preserve"> </w:t>
      </w:r>
      <w:r>
        <w:rPr>
          <w:rFonts w:ascii="Arial" w:hAnsi="Arial"/>
          <w:color w:val="000000"/>
          <w:sz w:val="20"/>
        </w:rPr>
        <w:t>million for fiscal year 2031.</w:t>
      </w:r>
    </w:p>
    <w:p>
      <w:pPr>
        <w:pStyle w:val="TextBody"/>
        <w:bidi w:val="0"/>
        <w:spacing w:before="270" w:after="283"/>
        <w:jc w:val="left"/>
        <w:rPr>
          <w:rFonts w:ascii="Times New Roman" w:hAnsi="Times New Roman"/>
          <w:sz w:val="20"/>
        </w:rPr>
      </w:pPr>
      <w:r>
        <w:rPr>
          <w:rFonts w:ascii="Arial" w:hAnsi="Arial"/>
          <w:b/>
          <w:i/>
          <w:color w:val="000000"/>
          <w:sz w:val="20"/>
        </w:rPr>
        <w:t>Impairment of long-lived and other long-term assets (property, equipment and satellites, and other assets, including goodwill)</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the Company's exit from certain locations in EMEA markets, disposal of certain related assets and termination of certain related long-term contracts in the fourth quarter of fiscal year 2025 and the impairment related to certain of the Company's satellites under construction and satellite programs in the second and third quarters of fiscal year 2024 (as discussed in Note 1 — The Company and a Summary of Its Significant Accounting Policies — Property, equipment and satellites above), no</w:t>
      </w:r>
      <w:r>
        <w:rPr>
          <w:rFonts w:ascii="Times New Roman" w:hAnsi="Times New Roman"/>
          <w:color w:val="000000"/>
          <w:sz w:val="20"/>
        </w:rPr>
        <w:t xml:space="preserve"> </w:t>
      </w:r>
      <w:r>
        <w:rPr>
          <w:rFonts w:ascii="Arial" w:hAnsi="Arial"/>
          <w:color w:val="000000"/>
          <w:sz w:val="20"/>
        </w:rPr>
        <w:t>other material impairments were recorded by the Company for fiscal years 2026, 2025 and 2024.</w:t>
      </w:r>
    </w:p>
    <w:p>
      <w:pPr>
        <w:pStyle w:val="TextBody"/>
        <w:bidi w:val="0"/>
        <w:spacing w:before="180" w:after="283"/>
        <w:jc w:val="left"/>
        <w:rPr>
          <w:rFonts w:ascii="Times New Roman" w:hAnsi="Times New Roman"/>
          <w:sz w:val="20"/>
        </w:rPr>
      </w:pPr>
      <w:r>
        <w:rPr>
          <w:rFonts w:ascii="Arial" w:hAnsi="Arial"/>
          <w:color w:val="000000"/>
          <w:sz w:val="20"/>
        </w:rPr>
        <w:t>The Company accounts for its goodwill under ASC 350. Current authoritative guidance allows the Company to first assess qualitative factors to determine whether it is necessary to perform the quantitative goodwill impairment test. If, after completing the qualitative assessment, the Company determines that it is more likely than not that the estimated fair value is greater than the carrying value, the Company concludes that no impairment exists. Alternatively, if the Company determines in the qualitative assessment that it is more likely than not that the fair value is less than its carrying value, then the Company performs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The Company tests goodwill for impairment during the fourth quarter every fiscal year and when an event occurs or circumstances change such that it is reasonably possible that an impairment may exist.</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In accordance with ASC 350, the Company assesses qualitative factors to determine whether goodwill is impaired. 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pStyle w:val="TextBody"/>
        <w:bidi w:val="0"/>
        <w:spacing w:before="180" w:after="283"/>
        <w:jc w:val="left"/>
        <w:rPr>
          <w:rFonts w:ascii="Times New Roman" w:hAnsi="Times New Roman"/>
          <w:sz w:val="20"/>
        </w:rPr>
      </w:pPr>
      <w:r>
        <w:rPr>
          <w:rFonts w:ascii="Arial" w:hAnsi="Arial"/>
          <w:color w:val="000000"/>
          <w:sz w:val="20"/>
        </w:rPr>
        <w:t>Based on the Company’s qualitative assessment performed during the fourth quarter of fiscal year 2026, the Company concluded that it was more likely than not that the estimated fair value of each of the Company’s reporting units exceeded their related carrying value as of March 31, 2026, and therefore, determined it was not necessary to perform a quantitative impairment analysis. No</w:t>
      </w:r>
      <w:r>
        <w:rPr>
          <w:rFonts w:ascii="Times New Roman" w:hAnsi="Times New Roman"/>
          <w:color w:val="000000"/>
          <w:sz w:val="20"/>
        </w:rPr>
        <w:t xml:space="preserve"> </w:t>
      </w:r>
      <w:r>
        <w:rPr>
          <w:rFonts w:ascii="Arial" w:hAnsi="Arial"/>
          <w:color w:val="000000"/>
          <w:sz w:val="20"/>
        </w:rPr>
        <w:t>impairments were recorded by the Company related to goodwill and other intangible assets for fiscal years 2026, 2025 and 2024.</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i/>
          <w:color w:val="000000"/>
          <w:sz w:val="20"/>
        </w:rPr>
        <w:t>Fair value of financial instruments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carrying amounts of the Company’s financial instruments, including cash equivalents, receivables, accounts payable and accrued liabilities, approximate their fair values due to their short-term maturities. The estimated fair value of the Company’s long-term borrowings and other long-term interest bearing liabilities is determined by using available market information for those securities or similar financial instruments (see Note 3 — Fair Value Measurements).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Self-insurance and post-retirement medical benefit liabilities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recorded self-insurance liability for its plans of $5.6</w:t>
      </w:r>
      <w:r>
        <w:rPr>
          <w:rFonts w:ascii="Times New Roman" w:hAnsi="Times New Roman"/>
          <w:color w:val="000000"/>
          <w:sz w:val="20"/>
        </w:rPr>
        <w:t xml:space="preserve"> </w:t>
      </w:r>
      <w:r>
        <w:rPr>
          <w:rFonts w:ascii="Arial" w:hAnsi="Arial"/>
          <w:color w:val="000000"/>
          <w:sz w:val="20"/>
        </w:rPr>
        <w:t>million and $5.9</w:t>
      </w:r>
      <w:r>
        <w:rPr>
          <w:rFonts w:ascii="Times New Roman" w:hAnsi="Times New Roman"/>
          <w:color w:val="000000"/>
          <w:sz w:val="20"/>
        </w:rPr>
        <w:t xml:space="preserve"> </w:t>
      </w:r>
      <w:r>
        <w:rPr>
          <w:rFonts w:ascii="Arial" w:hAnsi="Arial"/>
          <w:color w:val="000000"/>
          <w:sz w:val="20"/>
        </w:rPr>
        <w:t>million as of March 31, 2026 and 2025,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the consolidated balance sheets in accordance with the estimated timing of the projected payments.</w:t>
      </w:r>
    </w:p>
    <w:p>
      <w:pPr>
        <w:pStyle w:val="TextBody"/>
        <w:bidi w:val="0"/>
        <w:spacing w:before="90" w:after="283"/>
        <w:jc w:val="left"/>
        <w:rPr>
          <w:rFonts w:ascii="Times New Roman" w:hAnsi="Times New Roman"/>
          <w:sz w:val="20"/>
        </w:rPr>
      </w:pPr>
      <w:r>
        <w:rPr>
          <w:rFonts w:ascii="Arial" w:hAnsi="Arial"/>
          <w:color w:val="000000"/>
          <w:sz w:val="20"/>
        </w:rPr>
        <w:t>As a part of the Inmarsat Acquisition, the Company assumed a post-retirement medical benefit plan for retired employees (and their dependents) who were employed by Inmarsat before January 1, 1998. The plan is funded by the Company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Indemnification provisions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2026 and 2025, no</w:t>
      </w:r>
      <w:r>
        <w:rPr>
          <w:rFonts w:ascii="Times New Roman" w:hAnsi="Times New Roman"/>
          <w:color w:val="000000"/>
          <w:sz w:val="20"/>
        </w:rPr>
        <w:t xml:space="preserve"> </w:t>
      </w:r>
      <w:r>
        <w:rPr>
          <w:rFonts w:ascii="Arial" w:hAnsi="Arial"/>
          <w:color w:val="000000"/>
          <w:sz w:val="20"/>
        </w:rPr>
        <w:t>such amounts were accrued related to the aforementioned provisions.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Noncontrolling interests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In June 2025, TrellisWare declared a cash dividend for a total of $155.7</w:t>
      </w:r>
      <w:r>
        <w:rPr>
          <w:rFonts w:ascii="Times New Roman" w:hAnsi="Times New Roman"/>
          <w:color w:val="000000"/>
          <w:sz w:val="20"/>
        </w:rPr>
        <w:t xml:space="preserve"> </w:t>
      </w:r>
      <w:r>
        <w:rPr>
          <w:rFonts w:ascii="Arial" w:hAnsi="Arial"/>
          <w:color w:val="000000"/>
          <w:sz w:val="20"/>
        </w:rPr>
        <w:t>million. The Company's share of this dividend was $96.0</w:t>
      </w:r>
      <w:r>
        <w:rPr>
          <w:rFonts w:ascii="Times New Roman" w:hAnsi="Times New Roman"/>
          <w:color w:val="000000"/>
          <w:sz w:val="20"/>
        </w:rPr>
        <w:t xml:space="preserve"> </w:t>
      </w:r>
      <w:r>
        <w:rPr>
          <w:rFonts w:ascii="Arial" w:hAnsi="Arial"/>
          <w:color w:val="000000"/>
          <w:sz w:val="20"/>
        </w:rPr>
        <w:t>million. The remaining $59.7</w:t>
      </w:r>
      <w:r>
        <w:rPr>
          <w:rFonts w:ascii="Times New Roman" w:hAnsi="Times New Roman"/>
          <w:color w:val="000000"/>
          <w:sz w:val="20"/>
        </w:rPr>
        <w:t xml:space="preserve"> </w:t>
      </w:r>
      <w:r>
        <w:rPr>
          <w:rFonts w:ascii="Arial" w:hAnsi="Arial"/>
          <w:color w:val="000000"/>
          <w:sz w:val="20"/>
        </w:rPr>
        <w:t>million was recorded as a reduction to noncontrolling interest in subsidiary and was paid to minority shareholders during fiscal year 2026.</w:t>
      </w:r>
    </w:p>
    <w:p>
      <w:pPr>
        <w:pStyle w:val="TextBody"/>
        <w:bidi w:val="0"/>
        <w:spacing w:before="240" w:after="283"/>
        <w:jc w:val="center"/>
        <w:rPr>
          <w:rFonts w:ascii="Arial" w:hAnsi="Arial"/>
          <w:color w:val="000000"/>
          <w:sz w:val="20"/>
        </w:rPr>
      </w:pPr>
      <w:r>
        <w:rPr>
          <w:rFonts w:ascii="Arial" w:hAnsi="Arial"/>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i/>
          <w:color w:val="000000"/>
          <w:sz w:val="20"/>
        </w:rPr>
        <w:t>Common stock held in treasury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As of March 31, 2026 and 2025, the Company had zero</w:t>
      </w:r>
      <w:r>
        <w:rPr>
          <w:rFonts w:ascii="Times New Roman" w:hAnsi="Times New Roman"/>
          <w:color w:val="000000"/>
          <w:sz w:val="20"/>
        </w:rPr>
        <w:t xml:space="preserve"> </w:t>
      </w:r>
      <w:r>
        <w:rPr>
          <w:rFonts w:ascii="Arial" w:hAnsi="Arial"/>
          <w:color w:val="000000"/>
          <w:sz w:val="20"/>
        </w:rPr>
        <w:t>shares of common stock held in treasury.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During fiscal years 2026, 2025 and 2024, the Company issued 2,499,417</w:t>
      </w:r>
      <w:r>
        <w:rPr>
          <w:rFonts w:ascii="Times New Roman" w:hAnsi="Times New Roman"/>
          <w:color w:val="000000"/>
          <w:sz w:val="20"/>
        </w:rPr>
        <w:t xml:space="preserve"> </w:t>
      </w:r>
      <w:r>
        <w:rPr>
          <w:rFonts w:ascii="Arial" w:hAnsi="Arial"/>
          <w:color w:val="000000"/>
          <w:sz w:val="20"/>
        </w:rPr>
        <w:t>shares, 1,575,356</w:t>
      </w:r>
      <w:r>
        <w:rPr>
          <w:rFonts w:ascii="Times New Roman" w:hAnsi="Times New Roman"/>
          <w:color w:val="000000"/>
          <w:sz w:val="20"/>
        </w:rPr>
        <w:t xml:space="preserve"> </w:t>
      </w:r>
      <w:r>
        <w:rPr>
          <w:rFonts w:ascii="Arial" w:hAnsi="Arial"/>
          <w:color w:val="000000"/>
          <w:sz w:val="20"/>
        </w:rPr>
        <w:t>shares and 1,547,027</w:t>
      </w:r>
      <w:r>
        <w:rPr>
          <w:rFonts w:ascii="Times New Roman" w:hAnsi="Times New Roman"/>
          <w:color w:val="000000"/>
          <w:sz w:val="20"/>
        </w:rPr>
        <w:t xml:space="preserve"> </w:t>
      </w:r>
      <w:r>
        <w:rPr>
          <w:rFonts w:ascii="Arial" w:hAnsi="Arial"/>
          <w:color w:val="000000"/>
          <w:sz w:val="20"/>
        </w:rPr>
        <w:t>shares of common stock, respectively, based on the vesting terms of certain restricted stock unit (RSU) and performance-based RSU (PSU) agreements. In order for employees to satisfy minimum statutory employee tax withholding requirements related to the issuance of common stock underlying these RSU and PSU agreements, the Company repurchased 932,878</w:t>
      </w:r>
      <w:r>
        <w:rPr>
          <w:rFonts w:ascii="Times New Roman" w:hAnsi="Times New Roman"/>
          <w:color w:val="000000"/>
          <w:sz w:val="20"/>
        </w:rPr>
        <w:t xml:space="preserve"> </w:t>
      </w:r>
      <w:r>
        <w:rPr>
          <w:rFonts w:ascii="Arial" w:hAnsi="Arial"/>
          <w:color w:val="000000"/>
          <w:sz w:val="20"/>
        </w:rPr>
        <w:t>shares, 553,495</w:t>
      </w:r>
      <w:r>
        <w:rPr>
          <w:rFonts w:ascii="Times New Roman" w:hAnsi="Times New Roman"/>
          <w:color w:val="000000"/>
          <w:sz w:val="20"/>
        </w:rPr>
        <w:t xml:space="preserve"> </w:t>
      </w:r>
      <w:r>
        <w:rPr>
          <w:rFonts w:ascii="Arial" w:hAnsi="Arial"/>
          <w:color w:val="000000"/>
          <w:sz w:val="20"/>
        </w:rPr>
        <w:t>shares and 531,091</w:t>
      </w:r>
      <w:r>
        <w:rPr>
          <w:rFonts w:ascii="Times New Roman" w:hAnsi="Times New Roman"/>
          <w:color w:val="000000"/>
          <w:sz w:val="20"/>
        </w:rPr>
        <w:t xml:space="preserve"> </w:t>
      </w:r>
      <w:r>
        <w:rPr>
          <w:rFonts w:ascii="Arial" w:hAnsi="Arial"/>
          <w:color w:val="000000"/>
          <w:sz w:val="20"/>
        </w:rPr>
        <w:t>shares of common stock at cost and with a total value of $18.3</w:t>
      </w:r>
      <w:r>
        <w:rPr>
          <w:rFonts w:ascii="Times New Roman" w:hAnsi="Times New Roman"/>
          <w:color w:val="000000"/>
          <w:sz w:val="20"/>
        </w:rPr>
        <w:t xml:space="preserve"> </w:t>
      </w:r>
      <w:r>
        <w:rPr>
          <w:rFonts w:ascii="Arial" w:hAnsi="Arial"/>
          <w:color w:val="000000"/>
          <w:sz w:val="20"/>
        </w:rPr>
        <w:t>million, $5.5</w:t>
      </w:r>
      <w:r>
        <w:rPr>
          <w:rFonts w:ascii="Times New Roman" w:hAnsi="Times New Roman"/>
          <w:color w:val="000000"/>
          <w:sz w:val="20"/>
        </w:rPr>
        <w:t xml:space="preserve"> </w:t>
      </w:r>
      <w:r>
        <w:rPr>
          <w:rFonts w:ascii="Arial" w:hAnsi="Arial"/>
          <w:color w:val="000000"/>
          <w:sz w:val="20"/>
        </w:rPr>
        <w:t>million and $11.7</w:t>
      </w:r>
      <w:r>
        <w:rPr>
          <w:rFonts w:ascii="Times New Roman" w:hAnsi="Times New Roman"/>
          <w:color w:val="000000"/>
          <w:sz w:val="20"/>
        </w:rPr>
        <w:t xml:space="preserve"> </w:t>
      </w:r>
      <w:r>
        <w:rPr>
          <w:rFonts w:ascii="Arial" w:hAnsi="Arial"/>
          <w:color w:val="000000"/>
          <w:sz w:val="20"/>
        </w:rPr>
        <w:t>million during fiscal years 2026, 2025 and 2024,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RSUs and PSUs. These retired shares remain as authorized stock and are considered to be unissued. The retirement of treasury stock had no impact on the Company’s total consolidated stockholders’ equity.</w:t>
      </w:r>
      <w:r>
        <w:rPr>
          <w:rFonts w:ascii="Times New Roman" w:hAnsi="Times New Roman"/>
          <w:color w:val="000000"/>
          <w:sz w:val="20"/>
        </w:rPr>
        <w:t xml:space="preserve"> </w:t>
      </w:r>
    </w:p>
    <w:p>
      <w:pPr>
        <w:pStyle w:val="TextBody"/>
        <w:bidi w:val="0"/>
        <w:spacing w:before="270" w:after="283"/>
        <w:jc w:val="left"/>
        <w:rPr>
          <w:rFonts w:ascii="Arial" w:hAnsi="Arial"/>
          <w:b/>
          <w:i/>
          <w:color w:val="000000"/>
          <w:sz w:val="20"/>
        </w:rPr>
      </w:pPr>
      <w:r>
        <w:rPr>
          <w:rFonts w:ascii="Arial" w:hAnsi="Arial"/>
          <w:b/>
          <w:i/>
          <w:color w:val="000000"/>
          <w:sz w:val="20"/>
        </w:rPr>
        <w:t>Derivatives</w:t>
      </w:r>
    </w:p>
    <w:p>
      <w:pPr>
        <w:pStyle w:val="TextBody"/>
        <w:bidi w:val="0"/>
        <w:spacing w:before="90" w:after="283"/>
        <w:jc w:val="left"/>
        <w:rPr>
          <w:rFonts w:ascii="Arial" w:hAnsi="Arial"/>
          <w:color w:val="000000"/>
          <w:sz w:val="20"/>
        </w:rPr>
      </w:pPr>
      <w:r>
        <w:rPr>
          <w:rFonts w:ascii="Arial" w:hAnsi="Arial"/>
          <w:color w:val="000000"/>
          <w:sz w:val="20"/>
        </w:rPr>
        <w:t>As a result of the Inmarsat Acquisition, the Company assumed interest rate cap contracts to hedge the variable interest rate under Inmarsat's senior secured term loan facilities. The interest rate cap contracts provided protection from Compound SOFR rates over 2%, covered the total nominal amount of Inmarsat's senior secured term loan facilities of $1.6 billion, and matured in February 2025. At the time of the acquisition, the Company continued to account for the interest rate cap contracts as cash-flow hedges. Upon amendment of Inmarsat's senior secured term loan facilities in March 2024 (see Note 7 — Senior Notes and Other Long-Term Debt for more information), the portion of the interest rate cap contracts related to Inmarsat's $1.3 billion senior secured term loan facility (the Inmarsat Term Loan Facility) continued to be accounted for as cash-flow hedges, as the interest rate cap contracts remained in place with their original maturity date.</w:t>
      </w:r>
    </w:p>
    <w:p>
      <w:pPr>
        <w:pStyle w:val="TextBody"/>
        <w:bidi w:val="0"/>
        <w:spacing w:before="180" w:after="283"/>
        <w:jc w:val="left"/>
        <w:rPr>
          <w:rFonts w:ascii="Arial" w:hAnsi="Arial"/>
          <w:color w:val="000000"/>
          <w:sz w:val="20"/>
        </w:rPr>
      </w:pPr>
      <w:r>
        <w:rPr>
          <w:rFonts w:ascii="Arial" w:hAnsi="Arial"/>
          <w:color w:val="000000"/>
          <w:sz w:val="20"/>
        </w:rPr>
        <w:t>The Company did not use this instrument, or these types of instruments in general, for speculative or trading purposes. The Company’s objective was to reduce the risk to earnings and cash flows associated with changes in debt with variable interest rates. Derivative instruments are recognized as either assets or liabilities in the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pStyle w:val="TextBody"/>
        <w:bidi w:val="0"/>
        <w:spacing w:before="180" w:after="283"/>
        <w:jc w:val="left"/>
        <w:rPr>
          <w:rFonts w:ascii="Arial" w:hAnsi="Arial"/>
          <w:color w:val="000000"/>
          <w:sz w:val="20"/>
        </w:rPr>
      </w:pPr>
      <w:r>
        <w:rPr>
          <w:rFonts w:ascii="Arial" w:hAnsi="Arial"/>
          <w:color w:val="000000"/>
          <w:sz w:val="20"/>
        </w:rPr>
        <w:t>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 The Company may designate a derivative with periodic cash settlements and a non-zero fair value at hedge inception as the hedging instrument in a qualifying cash flow hedging relationship. The non-zero fair value of cash flow hedges on the designation date is recognized into income under a systematic and rational method over the life of the hedging instrument and in the same line item in the consolidated statements of operations and comprehensive income (loss) as the earnings of the hedge item, with the offset recorded to other comprehensive income (loss).</w:t>
      </w:r>
    </w:p>
    <w:p>
      <w:pPr>
        <w:pStyle w:val="TextBody"/>
        <w:bidi w:val="0"/>
        <w:spacing w:before="180" w:after="283"/>
        <w:jc w:val="left"/>
        <w:rPr>
          <w:rFonts w:ascii="Times New Roman" w:hAnsi="Times New Roman"/>
          <w:sz w:val="20"/>
        </w:rPr>
      </w:pPr>
      <w:r>
        <w:rPr>
          <w:rFonts w:ascii="Arial" w:hAnsi="Arial"/>
          <w:color w:val="000000"/>
          <w:sz w:val="20"/>
        </w:rPr>
        <w:t>During fiscal years 2025 and 2024, the Company recognized a gain of an insignificant amount (and related tax expense of an insignificant amount) and a gain of $20.2</w:t>
      </w:r>
      <w:r>
        <w:rPr>
          <w:rFonts w:ascii="Times New Roman" w:hAnsi="Times New Roman"/>
          <w:color w:val="000000"/>
          <w:sz w:val="20"/>
        </w:rPr>
        <w:t xml:space="preserve"> </w:t>
      </w:r>
      <w:r>
        <w:rPr>
          <w:rFonts w:ascii="Arial" w:hAnsi="Arial"/>
          <w:color w:val="000000"/>
          <w:sz w:val="20"/>
        </w:rPr>
        <w:t>million (and related tax expense of $5.1</w:t>
      </w:r>
      <w:r>
        <w:rPr>
          <w:rFonts w:ascii="Times New Roman" w:hAnsi="Times New Roman"/>
          <w:color w:val="000000"/>
          <w:sz w:val="20"/>
        </w:rPr>
        <w:t xml:space="preserve"> </w:t>
      </w:r>
      <w:r>
        <w:rPr>
          <w:rFonts w:ascii="Arial" w:hAnsi="Arial"/>
          <w:color w:val="000000"/>
          <w:sz w:val="20"/>
        </w:rPr>
        <w:t>million), respectively, in other comprehensive income arising from changes in the fair value of the interest rate cap contracts (designated as cash-flow hedging instruments) related to Inmarsat's senior secured term loan facilities. During fiscal years 2025 and 2024, the Company recorded a decrease of $15.9</w:t>
      </w:r>
      <w:r>
        <w:rPr>
          <w:rFonts w:ascii="Times New Roman" w:hAnsi="Times New Roman"/>
          <w:color w:val="000000"/>
          <w:sz w:val="20"/>
        </w:rPr>
        <w:t xml:space="preserve"> </w:t>
      </w:r>
      <w:r>
        <w:rPr>
          <w:rFonts w:ascii="Arial" w:hAnsi="Arial"/>
          <w:color w:val="000000"/>
          <w:sz w:val="20"/>
        </w:rPr>
        <w:t>million (and related tax benefit of $4.0</w:t>
      </w:r>
      <w:r>
        <w:rPr>
          <w:rFonts w:ascii="Times New Roman" w:hAnsi="Times New Roman"/>
          <w:color w:val="000000"/>
          <w:sz w:val="20"/>
        </w:rPr>
        <w:t xml:space="preserve"> </w:t>
      </w:r>
      <w:r>
        <w:rPr>
          <w:rFonts w:ascii="Arial" w:hAnsi="Arial"/>
          <w:color w:val="000000"/>
          <w:sz w:val="20"/>
        </w:rPr>
        <w:t>million) and a decrease of $5.5</w:t>
      </w:r>
      <w:r>
        <w:rPr>
          <w:rFonts w:ascii="Times New Roman" w:hAnsi="Times New Roman"/>
          <w:color w:val="000000"/>
          <w:sz w:val="20"/>
        </w:rPr>
        <w:t xml:space="preserve"> </w:t>
      </w:r>
      <w:r>
        <w:rPr>
          <w:rFonts w:ascii="Arial" w:hAnsi="Arial"/>
          <w:color w:val="000000"/>
          <w:sz w:val="20"/>
        </w:rPr>
        <w:t>million (and related tax benefit of an insignificant amount), respectively, to other comprehensive income and interest expense, net of the recognition into income of the non-zero hedge inception fair value (based on the nature of the underlying transaction). During fiscal years 2025 and 2024, the Company received $46.3</w:t>
      </w:r>
      <w:r>
        <w:rPr>
          <w:rFonts w:ascii="Times New Roman" w:hAnsi="Times New Roman"/>
          <w:color w:val="000000"/>
          <w:sz w:val="20"/>
        </w:rPr>
        <w:t xml:space="preserve"> </w:t>
      </w:r>
      <w:r>
        <w:rPr>
          <w:rFonts w:ascii="Arial" w:hAnsi="Arial"/>
          <w:color w:val="000000"/>
          <w:sz w:val="20"/>
        </w:rPr>
        <w:t>million and $45.6</w:t>
      </w:r>
      <w:r>
        <w:rPr>
          <w:rFonts w:ascii="Times New Roman" w:hAnsi="Times New Roman"/>
          <w:color w:val="000000"/>
          <w:sz w:val="20"/>
        </w:rPr>
        <w:t xml:space="preserve"> </w:t>
      </w:r>
      <w:r>
        <w:rPr>
          <w:rFonts w:ascii="Arial" w:hAnsi="Arial"/>
          <w:color w:val="000000"/>
          <w:sz w:val="20"/>
        </w:rPr>
        <w:t>million in cash, respectively, as a result of periodic cash settlements, which were included in operating cash flows in the consolidated statements of cash flows.</w:t>
      </w:r>
    </w:p>
    <w:p>
      <w:pPr>
        <w:pStyle w:val="TextBody"/>
        <w:bidi w:val="0"/>
        <w:spacing w:before="240" w:after="283"/>
        <w:jc w:val="center"/>
        <w:rPr>
          <w:rFonts w:ascii="Arial" w:hAnsi="Arial"/>
          <w:color w:val="000000"/>
          <w:sz w:val="20"/>
        </w:rPr>
      </w:pPr>
      <w:r>
        <w:rPr>
          <w:rFonts w:ascii="Arial" w:hAnsi="Arial"/>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i/>
          <w:color w:val="000000"/>
          <w:sz w:val="20"/>
        </w:rPr>
        <w:t>Foreign currency</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The Company operates internationally through various subsidiaries whose functional currencies are generally the local country’s currency, with few exceptions of subsidiaries using a functional currency that is different than their local currency. The assets and liabilities of these foreign subsidiaries are translated into U.S. dollars using exchange rates at the end of the reporting period. Revenue and other expenses are recorded using average exchange rates for the period. Resulting foreign currency translation adjustments are recorded as a component of accumulated other comprehensive income (loss) in the consolidated financial statements.</w:t>
      </w:r>
    </w:p>
    <w:p>
      <w:pPr>
        <w:pStyle w:val="TextBody"/>
        <w:bidi w:val="0"/>
        <w:spacing w:before="180" w:after="283"/>
        <w:jc w:val="left"/>
        <w:rPr>
          <w:rFonts w:ascii="Times New Roman" w:hAnsi="Times New Roman"/>
          <w:sz w:val="20"/>
        </w:rPr>
      </w:pPr>
      <w:r>
        <w:rPr>
          <w:rFonts w:ascii="Arial" w:hAnsi="Arial"/>
          <w:color w:val="000000"/>
          <w:sz w:val="20"/>
        </w:rPr>
        <w:t>Other comprehensive income or loss related to foreign currency translation adjustments attributable to Viasat, Inc. during fiscal years 2026, 2025 and 2024</w:t>
      </w:r>
      <w:r>
        <w:rPr>
          <w:rFonts w:ascii="Times New Roman" w:hAnsi="Times New Roman"/>
          <w:color w:val="000000"/>
          <w:sz w:val="20"/>
        </w:rPr>
        <w:t xml:space="preserve"> </w:t>
      </w:r>
      <w:r>
        <w:rPr>
          <w:rFonts w:ascii="Arial" w:hAnsi="Arial"/>
          <w:color w:val="000000"/>
          <w:sz w:val="20"/>
        </w:rPr>
        <w:t>was a gain of $22.3</w:t>
      </w:r>
      <w:r>
        <w:rPr>
          <w:rFonts w:ascii="Times New Roman" w:hAnsi="Times New Roman"/>
          <w:color w:val="000000"/>
          <w:sz w:val="20"/>
        </w:rPr>
        <w:t xml:space="preserve"> </w:t>
      </w:r>
      <w:r>
        <w:rPr>
          <w:rFonts w:ascii="Arial" w:hAnsi="Arial"/>
          <w:color w:val="000000"/>
          <w:sz w:val="20"/>
        </w:rPr>
        <w:t>million (net of an insignificant amount of tax), a loss of $9.3</w:t>
      </w:r>
      <w:r>
        <w:rPr>
          <w:rFonts w:ascii="Times New Roman" w:hAnsi="Times New Roman"/>
          <w:color w:val="000000"/>
          <w:sz w:val="20"/>
        </w:rPr>
        <w:t xml:space="preserve"> </w:t>
      </w:r>
      <w:r>
        <w:rPr>
          <w:rFonts w:ascii="Arial" w:hAnsi="Arial"/>
          <w:color w:val="000000"/>
          <w:sz w:val="20"/>
        </w:rPr>
        <w:t>million (net of an insignificant amount of tax), and a gain of $3.0</w:t>
      </w:r>
      <w:r>
        <w:rPr>
          <w:rFonts w:ascii="Times New Roman" w:hAnsi="Times New Roman"/>
          <w:color w:val="000000"/>
          <w:sz w:val="20"/>
        </w:rPr>
        <w:t xml:space="preserve"> </w:t>
      </w:r>
      <w:r>
        <w:rPr>
          <w:rFonts w:ascii="Arial" w:hAnsi="Arial"/>
          <w:color w:val="000000"/>
          <w:sz w:val="20"/>
        </w:rPr>
        <w:t>million (net of an insignificant amount of tax), respectively.</w:t>
      </w:r>
    </w:p>
    <w:p>
      <w:pPr>
        <w:pStyle w:val="TextBody"/>
        <w:bidi w:val="0"/>
        <w:spacing w:before="270" w:after="283"/>
        <w:jc w:val="left"/>
        <w:rPr>
          <w:rFonts w:ascii="Times New Roman" w:hAnsi="Times New Roman"/>
          <w:sz w:val="20"/>
        </w:rPr>
      </w:pPr>
      <w:r>
        <w:rPr>
          <w:rFonts w:ascii="Arial" w:hAnsi="Arial"/>
          <w:b/>
          <w:i/>
          <w:color w:val="000000"/>
          <w:sz w:val="20"/>
        </w:rPr>
        <w:t>Revenue recognition</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In accordance with the authoritative guidance for revenue from contracts with customers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the Company’s revenues, such as sales taxes and value added taxes, are excluded from net sales.</w:t>
      </w:r>
    </w:p>
    <w:p>
      <w:pPr>
        <w:pStyle w:val="TextBody"/>
        <w:bidi w:val="0"/>
        <w:spacing w:before="180" w:after="283"/>
        <w:jc w:val="left"/>
        <w:rPr>
          <w:rFonts w:ascii="Arial" w:hAnsi="Arial"/>
          <w:color w:val="000000"/>
          <w:sz w:val="20"/>
        </w:rPr>
      </w:pPr>
      <w:r>
        <w:rPr>
          <w:rFonts w:ascii="Arial" w:hAnsi="Arial"/>
          <w:color w:val="000000"/>
          <w:sz w:val="20"/>
        </w:rPr>
        <w:t>Furthermore, from time to time, the Company participates in U.S. federal and state programs under which the government funds part of the costs of providing services in targeted locations such as unserved or under-served high cost or rural areas, or for certain types of customers. The Company accounts for funds received from the government by analogy to International Accounting Standards (IAS) 20, Accounting for Government Grants and Disclosure of Government Assistance, and recognizes funds received in the consolidated statement of operations and comprehensive income (loss) when there is reasonable assurance that it will comply with the conditions associated with the grant and the grant will be received. Recognition occurs on a systematic basis over the periods in which the entity recognizes as expenses the related costs for which the grant is intended to compensate. During the fiscal years ended March 31, 2026, 2025 and 2024, the amounts recorded in the Company’s consolidated financial statements related to these types of arrangements were not material.</w:t>
      </w:r>
    </w:p>
    <w:p>
      <w:pPr>
        <w:pStyle w:val="TextBody"/>
        <w:bidi w:val="0"/>
        <w:spacing w:before="270" w:after="283"/>
        <w:jc w:val="left"/>
        <w:rPr>
          <w:rFonts w:ascii="Arial" w:hAnsi="Arial"/>
          <w:i/>
          <w:color w:val="000000"/>
          <w:sz w:val="20"/>
        </w:rPr>
      </w:pPr>
      <w:r>
        <w:rPr>
          <w:rFonts w:ascii="Arial" w:hAnsi="Arial"/>
          <w:i/>
          <w:color w:val="000000"/>
          <w:sz w:val="20"/>
        </w:rPr>
        <w:t>Performance obligations</w:t>
      </w:r>
    </w:p>
    <w:p>
      <w:pPr>
        <w:pStyle w:val="TextBody"/>
        <w:bidi w:val="0"/>
        <w:spacing w:before="90" w:after="283"/>
        <w:jc w:val="left"/>
        <w:rPr>
          <w:rFonts w:ascii="Arial" w:hAnsi="Arial"/>
          <w:color w:val="000000"/>
          <w:sz w:val="20"/>
        </w:rPr>
      </w:pPr>
      <w:r>
        <w:rPr>
          <w:rFonts w:ascii="Arial" w:hAnsi="Arial"/>
          <w:color w:val="000000"/>
          <w:sz w:val="20"/>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 842. As discussed above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pStyle w:val="TextBody"/>
        <w:bidi w:val="0"/>
        <w:spacing w:before="180" w:after="283"/>
        <w:jc w:val="left"/>
        <w:rPr>
          <w:rFonts w:ascii="Arial" w:hAnsi="Arial"/>
          <w:color w:val="000000"/>
          <w:sz w:val="20"/>
        </w:rPr>
      </w:pPr>
      <w:r>
        <w:rPr>
          <w:rFonts w:ascii="Arial" w:hAnsi="Arial"/>
          <w:color w:val="000000"/>
          <w:sz w:val="20"/>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pStyle w:val="TextBody"/>
        <w:bidi w:val="0"/>
        <w:spacing w:before="240" w:after="283"/>
        <w:jc w:val="center"/>
        <w:rPr>
          <w:rFonts w:ascii="Arial" w:hAnsi="Arial"/>
          <w:color w:val="000000"/>
          <w:sz w:val="20"/>
        </w:rPr>
      </w:pPr>
      <w:r>
        <w:rPr>
          <w:rFonts w:ascii="Arial" w:hAnsi="Arial"/>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color w:val="000000"/>
          <w:sz w:val="20"/>
        </w:rPr>
      </w:pPr>
      <w:r>
        <w:rPr>
          <w:rFonts w:ascii="Arial" w:hAnsi="Arial"/>
          <w:color w:val="000000"/>
          <w:sz w:val="20"/>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pStyle w:val="TextBody"/>
        <w:bidi w:val="0"/>
        <w:spacing w:before="180" w:after="283"/>
        <w:jc w:val="left"/>
        <w:rPr>
          <w:rFonts w:ascii="Times New Roman" w:hAnsi="Times New Roman"/>
          <w:sz w:val="20"/>
        </w:rPr>
      </w:pPr>
      <w:r>
        <w:rPr>
          <w:rFonts w:ascii="Arial" w:hAnsi="Arial"/>
          <w:color w:val="000000"/>
          <w:sz w:val="20"/>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Contract costs on U.S. Government contracts are subject to audit and review by the Defense Contract Management Agency (DCMA), the Defense Contract Audit Agency (DCAA), and other U.S. Government agencies, as well as negotiations with U.S. Government representatives. As of March 31, 2026, the DCMA had approved the Company’s incurred costs through fiscal year 2022. The DCAA is currently auditing the Company's fiscal year 2025 recurring incurred cost submission. The Company's cost accounting practices are examined for compliance with the applicable Cost Accounting Standards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$15.1</w:t>
      </w:r>
      <w:r>
        <w:rPr>
          <w:rFonts w:ascii="Times New Roman" w:hAnsi="Times New Roman"/>
          <w:color w:val="000000"/>
          <w:sz w:val="20"/>
        </w:rPr>
        <w:t xml:space="preserve"> </w:t>
      </w:r>
      <w:r>
        <w:rPr>
          <w:rFonts w:ascii="Arial" w:hAnsi="Arial"/>
          <w:color w:val="000000"/>
          <w:sz w:val="20"/>
        </w:rPr>
        <w:t>million and $14.8</w:t>
      </w:r>
      <w:r>
        <w:rPr>
          <w:rFonts w:ascii="Times New Roman" w:hAnsi="Times New Roman"/>
          <w:color w:val="000000"/>
          <w:sz w:val="20"/>
        </w:rPr>
        <w:t xml:space="preserve"> </w:t>
      </w:r>
      <w:r>
        <w:rPr>
          <w:rFonts w:ascii="Arial" w:hAnsi="Arial"/>
          <w:color w:val="000000"/>
          <w:sz w:val="20"/>
        </w:rPr>
        <w:t>million as of March 31, 2026 and March 31, 2025, respectively, in contract-related reserves for its estimate of potential refunds to customers for potential cost adjustments on several multi-year U.S. Government cost reimbursable contracts (see Note 14 — Contingencies for more information).</w:t>
      </w:r>
    </w:p>
    <w:p>
      <w:pPr>
        <w:pStyle w:val="TextBody"/>
        <w:bidi w:val="0"/>
        <w:spacing w:before="240" w:after="283"/>
        <w:jc w:val="center"/>
        <w:rPr>
          <w:rFonts w:ascii="Arial" w:hAnsi="Arial"/>
          <w:color w:val="000000"/>
          <w:sz w:val="20"/>
        </w:rPr>
      </w:pPr>
      <w:r>
        <w:rPr>
          <w:rFonts w:ascii="Arial" w:hAnsi="Arial"/>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70" w:after="283"/>
        <w:jc w:val="left"/>
        <w:rPr>
          <w:rFonts w:ascii="Arial" w:hAnsi="Arial"/>
          <w:i/>
          <w:color w:val="000000"/>
          <w:sz w:val="20"/>
        </w:rPr>
      </w:pPr>
      <w:r>
        <w:rPr>
          <w:rFonts w:ascii="Arial" w:hAnsi="Arial"/>
          <w:i/>
          <w:color w:val="000000"/>
          <w:sz w:val="20"/>
        </w:rPr>
        <w:t>Evaluation of transaction price</w:t>
      </w:r>
    </w:p>
    <w:p>
      <w:pPr>
        <w:pStyle w:val="TextBody"/>
        <w:bidi w:val="0"/>
        <w:spacing w:before="90" w:after="283"/>
        <w:jc w:val="left"/>
        <w:rPr>
          <w:rFonts w:ascii="Arial" w:hAnsi="Arial"/>
          <w:color w:val="000000"/>
          <w:sz w:val="20"/>
        </w:rPr>
      </w:pPr>
      <w:r>
        <w:rPr>
          <w:rFonts w:ascii="Arial" w:hAnsi="Arial"/>
          <w:color w:val="000000"/>
          <w:sz w:val="20"/>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pStyle w:val="TextBody"/>
        <w:bidi w:val="0"/>
        <w:spacing w:before="180" w:after="283"/>
        <w:jc w:val="left"/>
        <w:rPr>
          <w:rFonts w:ascii="Arial" w:hAnsi="Arial"/>
          <w:color w:val="000000"/>
          <w:sz w:val="20"/>
        </w:rPr>
      </w:pPr>
      <w:r>
        <w:rPr>
          <w:rFonts w:ascii="Arial" w:hAnsi="Arial"/>
          <w:color w:val="000000"/>
          <w:sz w:val="20"/>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pStyle w:val="TextBody"/>
        <w:bidi w:val="0"/>
        <w:spacing w:before="270" w:after="283"/>
        <w:jc w:val="left"/>
        <w:rPr>
          <w:rFonts w:ascii="Arial" w:hAnsi="Arial"/>
          <w:i/>
          <w:color w:val="000000"/>
          <w:sz w:val="20"/>
        </w:rPr>
      </w:pPr>
      <w:r>
        <w:rPr>
          <w:rFonts w:ascii="Arial" w:hAnsi="Arial"/>
          <w:i/>
          <w:color w:val="000000"/>
          <w:sz w:val="20"/>
        </w:rPr>
        <w:t>Transaction price allocated to remaining performance obligations</w:t>
      </w:r>
    </w:p>
    <w:p>
      <w:pPr>
        <w:pStyle w:val="TextBody"/>
        <w:bidi w:val="0"/>
        <w:spacing w:before="90" w:after="283"/>
        <w:jc w:val="left"/>
        <w:rPr>
          <w:rFonts w:ascii="Times New Roman" w:hAnsi="Times New Roman"/>
          <w:sz w:val="20"/>
        </w:rPr>
      </w:pPr>
      <w:r>
        <w:rPr>
          <w:rFonts w:ascii="Arial" w:hAnsi="Arial"/>
          <w:color w:val="000000"/>
          <w:sz w:val="20"/>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residential and enterprise fixed broadband services in its communication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IFC service contracts in its communication services segment do not have minimum service purchase requirements and therefore are not included in the Company’s remaining performance obligations. As of March 31, 2026, the aggregate amount of the transaction price allocated to remaining performance obligations was $4.1</w:t>
      </w:r>
      <w:r>
        <w:rPr>
          <w:rFonts w:ascii="Times New Roman" w:hAnsi="Times New Roman"/>
          <w:color w:val="000000"/>
          <w:sz w:val="20"/>
        </w:rPr>
        <w:t xml:space="preserve"> </w:t>
      </w:r>
      <w:r>
        <w:rPr>
          <w:rFonts w:ascii="Arial" w:hAnsi="Arial"/>
          <w:color w:val="000000"/>
          <w:sz w:val="20"/>
        </w:rPr>
        <w:t>billion, of which the Company expects to recognize a little less than half over the next 12 months, with the balance recognized thereafter.</w:t>
      </w:r>
    </w:p>
    <w:p>
      <w:pPr>
        <w:pStyle w:val="TextBody"/>
        <w:bidi w:val="0"/>
        <w:spacing w:before="270" w:after="283"/>
        <w:jc w:val="left"/>
        <w:rPr>
          <w:rFonts w:ascii="Arial" w:hAnsi="Arial"/>
          <w:i/>
          <w:color w:val="000000"/>
          <w:sz w:val="20"/>
        </w:rPr>
      </w:pPr>
      <w:r>
        <w:rPr>
          <w:rFonts w:ascii="Arial" w:hAnsi="Arial"/>
          <w:i/>
          <w:color w:val="000000"/>
          <w:sz w:val="20"/>
        </w:rPr>
        <w:t>Disaggregation of revenue</w:t>
      </w:r>
    </w:p>
    <w:p>
      <w:pPr>
        <w:pStyle w:val="TextBody"/>
        <w:bidi w:val="0"/>
        <w:spacing w:before="90" w:after="283"/>
        <w:jc w:val="left"/>
        <w:rPr>
          <w:rFonts w:ascii="Times New Roman" w:hAnsi="Times New Roman"/>
          <w:sz w:val="20"/>
        </w:rPr>
      </w:pPr>
      <w:r>
        <w:rPr>
          <w:rFonts w:ascii="Arial" w:hAnsi="Arial"/>
          <w:color w:val="000000"/>
          <w:sz w:val="20"/>
        </w:rPr>
        <w:t>The Company operates and manages its business in two</w:t>
      </w:r>
      <w:r>
        <w:rPr>
          <w:rFonts w:ascii="Times New Roman" w:hAnsi="Times New Roman"/>
          <w:color w:val="000000"/>
          <w:sz w:val="20"/>
        </w:rPr>
        <w:t xml:space="preserve"> </w:t>
      </w:r>
      <w:r>
        <w:rPr>
          <w:rFonts w:ascii="Arial" w:hAnsi="Arial"/>
          <w:color w:val="000000"/>
          <w:sz w:val="20"/>
        </w:rPr>
        <w:t>reportable segments: communication services and defense and advanced technologies. Revenue is disaggregated by products and services, customer type, contract type, business line and geographic area, as the Company believes this approach best depicts how the nature, amount, timing and uncertainty of its revenue and cash flows are affected by economic factors. See Note 16 — Segment Information for disaggregation of revenue by business line and additional disaggregated revenue disclosures.</w:t>
      </w:r>
    </w:p>
    <w:p>
      <w:pPr>
        <w:pStyle w:val="TextBody"/>
        <w:bidi w:val="0"/>
        <w:spacing w:before="240" w:after="283"/>
        <w:jc w:val="center"/>
        <w:rPr>
          <w:rFonts w:ascii="Arial" w:hAnsi="Arial"/>
          <w:color w:val="000000"/>
          <w:sz w:val="20"/>
        </w:rPr>
      </w:pPr>
      <w:r>
        <w:rPr>
          <w:rFonts w:ascii="Arial" w:hAnsi="Arial"/>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color w:val="000000"/>
          <w:sz w:val="20"/>
        </w:rPr>
      </w:pPr>
      <w:r>
        <w:rPr>
          <w:rFonts w:ascii="Arial" w:hAnsi="Arial"/>
          <w:color w:val="000000"/>
          <w:sz w:val="20"/>
        </w:rPr>
        <w:t>The following sets forth disaggregated reported revenue by segment and products and services for the fiscal years ended March 31, 2026, 2025 and 2024:</w:t>
      </w:r>
    </w:p>
    <w:p>
      <w:pPr>
        <w:pStyle w:val="TextBody"/>
        <w:bidi w:val="0"/>
        <w:jc w:val="left"/>
        <w:rPr/>
      </w:pPr>
      <w:r>
        <w:rPr/>
        <w:t> </w:t>
      </w:r>
    </w:p>
    <w:tbl>
      <w:tblPr>
        <w:tblW w:w="9052" w:type="dxa"/>
        <w:jc w:val="left"/>
        <w:tblInd w:w="0" w:type="dxa"/>
        <w:tblLayout w:type="fixed"/>
        <w:tblCellMar>
          <w:top w:w="28" w:type="dxa"/>
          <w:left w:w="28" w:type="dxa"/>
          <w:bottom w:w="28" w:type="dxa"/>
          <w:right w:w="28" w:type="dxa"/>
        </w:tblCellMar>
      </w:tblPr>
      <w:tblGrid>
        <w:gridCol w:w="1651"/>
        <w:gridCol w:w="146"/>
        <w:gridCol w:w="374"/>
        <w:gridCol w:w="1711"/>
        <w:gridCol w:w="146"/>
        <w:gridCol w:w="146"/>
        <w:gridCol w:w="549"/>
        <w:gridCol w:w="2511"/>
        <w:gridCol w:w="146"/>
        <w:gridCol w:w="146"/>
        <w:gridCol w:w="240"/>
        <w:gridCol w:w="1095"/>
        <w:gridCol w:w="191"/>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3,057,223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217,200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3,274,423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242,428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1,123,429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1,365,857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3,299,651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1,340,629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4,640,280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3,225,776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1,017,656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1,293,795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3,298,485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1,221,086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4,519,571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 March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Communication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Defense and Advanced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Revenues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Service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2,798,512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3,004,594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Product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343,028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936,136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1,279,164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3,141,540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1,142,218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4,283,758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Revenues from the U.S. Government as an individual customer comprised approximately 16%, 18%</w:t>
      </w:r>
      <w:r>
        <w:rPr>
          <w:rFonts w:ascii="Times New Roman" w:hAnsi="Times New Roman"/>
          <w:color w:val="000000"/>
          <w:sz w:val="20"/>
        </w:rPr>
        <w:t xml:space="preserve"> </w:t>
      </w:r>
      <w:r>
        <w:rPr>
          <w:rFonts w:ascii="Arial" w:hAnsi="Arial"/>
          <w:color w:val="000000"/>
          <w:sz w:val="20"/>
        </w:rPr>
        <w:t>and 17%</w:t>
      </w:r>
      <w:r>
        <w:rPr>
          <w:rFonts w:ascii="Times New Roman" w:hAnsi="Times New Roman"/>
          <w:color w:val="000000"/>
          <w:sz w:val="20"/>
        </w:rPr>
        <w:t xml:space="preserve"> </w:t>
      </w:r>
      <w:r>
        <w:rPr>
          <w:rFonts w:ascii="Arial" w:hAnsi="Arial"/>
          <w:color w:val="000000"/>
          <w:sz w:val="20"/>
        </w:rPr>
        <w:t>of total revenues for fiscal years 2026, 2025 and 2024, respectively. Revenues from the U.S. Government were attributable to each of the Company's two segments, with higher revenues from the U.S. Government reported within the Company's communication services segment for fiscal year 2026, and approximately half of such revenues reported within each of the Company's two segments for each of fiscal years 2025 and 2024.</w:t>
      </w:r>
    </w:p>
    <w:p>
      <w:pPr>
        <w:pStyle w:val="TextBody"/>
        <w:bidi w:val="0"/>
        <w:spacing w:before="180" w:after="283"/>
        <w:jc w:val="left"/>
        <w:rPr>
          <w:rFonts w:ascii="Arial" w:hAnsi="Arial"/>
          <w:color w:val="000000"/>
          <w:sz w:val="20"/>
        </w:rPr>
      </w:pPr>
      <w:r>
        <w:rPr>
          <w:rFonts w:ascii="Arial" w:hAnsi="Arial"/>
          <w:color w:val="000000"/>
          <w:sz w:val="20"/>
        </w:rPr>
        <w:t>Almost all of the Company's revenues are derived from fixed-price contracts (which require the Company to provide products and services under a contract at a specified price), which are reported in both of the Company's segments. The remainder of the Company's revenues is primarily from cost-reimbursement contracts (under which the Company is reimbursed for all actual costs incurred in performing the contract to the extent such costs are within the contract ceiling and allowable under the terms of the contract, plus a fee or profit), which are mainly reported within the Company's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A portion of the Company’s revenues is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11%, 11% and 12% of its total revenues for fiscal years 2026, 2025 and 2024, respectively, mainly reported within the Company's defense and advanced technologies segment.</w:t>
      </w:r>
    </w:p>
    <w:p>
      <w:pPr>
        <w:pStyle w:val="TextBody"/>
        <w:bidi w:val="0"/>
        <w:spacing w:before="270" w:after="283"/>
        <w:jc w:val="left"/>
        <w:rPr>
          <w:rFonts w:ascii="Arial" w:hAnsi="Arial"/>
          <w:i/>
          <w:color w:val="000000"/>
          <w:sz w:val="20"/>
        </w:rPr>
      </w:pPr>
      <w:r>
        <w:rPr>
          <w:rFonts w:ascii="Arial" w:hAnsi="Arial"/>
          <w:i/>
          <w:color w:val="000000"/>
          <w:sz w:val="20"/>
        </w:rPr>
        <w:t>Contract balances</w:t>
      </w:r>
    </w:p>
    <w:p>
      <w:pPr>
        <w:pStyle w:val="TextBody"/>
        <w:bidi w:val="0"/>
        <w:spacing w:before="90" w:after="283"/>
        <w:jc w:val="left"/>
        <w:rPr>
          <w:rFonts w:ascii="Times New Roman" w:hAnsi="Times New Roman"/>
          <w:sz w:val="20"/>
        </w:rPr>
      </w:pPr>
      <w:r>
        <w:rPr>
          <w:rFonts w:ascii="Arial" w:hAnsi="Arial"/>
          <w:color w:val="000000"/>
          <w:sz w:val="20"/>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color w:val="000000"/>
          <w:sz w:val="20"/>
        </w:rPr>
      </w:pPr>
      <w:r>
        <w:rPr>
          <w:rFonts w:ascii="Arial" w:hAnsi="Arial"/>
          <w:color w:val="000000"/>
          <w:sz w:val="20"/>
        </w:rPr>
        <w:t>When consideration is received in advance of the delivery of goods or services, a contract liability, or with respect to the Company, collections in excess of revenues and deferred revenues, is recorded. Reductions in the collections in excess of revenues and deferred revenues will be recorded as the Company satisfies the performance obligations.</w:t>
      </w:r>
    </w:p>
    <w:p>
      <w:pPr>
        <w:pStyle w:val="TextBody"/>
        <w:bidi w:val="0"/>
        <w:spacing w:before="180" w:after="283"/>
        <w:jc w:val="left"/>
        <w:rPr>
          <w:rFonts w:ascii="Times New Roman" w:hAnsi="Times New Roman"/>
          <w:sz w:val="20"/>
        </w:rPr>
      </w:pPr>
      <w:r>
        <w:rPr>
          <w:rFonts w:ascii="Arial" w:hAnsi="Arial"/>
          <w:color w:val="000000"/>
          <w:sz w:val="20"/>
        </w:rPr>
        <w:t>The following table presents contract assets and liabilities as of March 31, 2026 and March 31, 2025:</w:t>
      </w:r>
      <w:r>
        <w:rPr>
          <w:rFonts w:ascii="Times New Roman" w:hAnsi="Times New Roman"/>
          <w:color w:val="000000"/>
          <w:sz w:val="20"/>
        </w:rPr>
        <w:t xml:space="preserve"> </w:t>
      </w:r>
    </w:p>
    <w:p>
      <w:pPr>
        <w:pStyle w:val="TextBody"/>
        <w:bidi w:val="0"/>
        <w:jc w:val="left"/>
        <w:rPr/>
      </w:pPr>
      <w:r>
        <w:rPr/>
        <w:t> </w:t>
      </w:r>
    </w:p>
    <w:tbl>
      <w:tblPr>
        <w:tblW w:w="8205" w:type="dxa"/>
        <w:jc w:val="left"/>
        <w:tblInd w:w="0" w:type="dxa"/>
        <w:tblLayout w:type="fixed"/>
        <w:tblCellMar>
          <w:top w:w="28" w:type="dxa"/>
          <w:left w:w="28" w:type="dxa"/>
          <w:bottom w:w="28" w:type="dxa"/>
          <w:right w:w="28" w:type="dxa"/>
        </w:tblCellMar>
      </w:tblPr>
      <w:tblGrid>
        <w:gridCol w:w="5056"/>
        <w:gridCol w:w="146"/>
        <w:gridCol w:w="227"/>
        <w:gridCol w:w="1033"/>
        <w:gridCol w:w="146"/>
        <w:gridCol w:w="146"/>
        <w:gridCol w:w="264"/>
        <w:gridCol w:w="996"/>
        <w:gridCol w:w="191"/>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Unbilled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180,871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Collections in excess of revenues and 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1,064,261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786,710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Unbilled accounts receivable increased by $47.0</w:t>
      </w:r>
      <w:r>
        <w:rPr>
          <w:rFonts w:ascii="Times New Roman" w:hAnsi="Times New Roman"/>
          <w:color w:val="000000"/>
          <w:sz w:val="20"/>
        </w:rPr>
        <w:t xml:space="preserve"> </w:t>
      </w:r>
      <w:r>
        <w:rPr>
          <w:rFonts w:ascii="Arial" w:hAnsi="Arial"/>
          <w:color w:val="000000"/>
          <w:sz w:val="20"/>
        </w:rPr>
        <w:t>million during fiscal year 2026, driven by revenue recognized in excess of billings related to the Company's IFC business and for certain larger development projects.</w:t>
      </w:r>
    </w:p>
    <w:p>
      <w:pPr>
        <w:pStyle w:val="TextBody"/>
        <w:bidi w:val="0"/>
        <w:spacing w:before="180" w:after="283"/>
        <w:jc w:val="left"/>
        <w:rPr>
          <w:rFonts w:ascii="Arial" w:hAnsi="Arial"/>
          <w:color w:val="000000"/>
          <w:sz w:val="20"/>
        </w:rPr>
      </w:pPr>
      <w:r>
        <w:rPr>
          <w:rFonts w:ascii="Arial" w:hAnsi="Arial"/>
          <w:color w:val="000000"/>
          <w:sz w:val="20"/>
        </w:rPr>
        <w:t>Collections in excess of revenues and deferred revenues decreased by an insignificant amount during fiscal year 2026, primarily driven by revenue recognized in excess of advances on goods or services received.</w:t>
      </w:r>
    </w:p>
    <w:p>
      <w:pPr>
        <w:pStyle w:val="TextBody"/>
        <w:bidi w:val="0"/>
        <w:spacing w:before="180" w:after="283"/>
        <w:jc w:val="left"/>
        <w:rPr>
          <w:rFonts w:ascii="Times New Roman" w:hAnsi="Times New Roman"/>
          <w:sz w:val="20"/>
        </w:rPr>
      </w:pPr>
      <w:r>
        <w:rPr>
          <w:rFonts w:ascii="Arial" w:hAnsi="Arial"/>
          <w:color w:val="000000"/>
          <w:sz w:val="20"/>
        </w:rPr>
        <w:t>During fiscal year 2026, the Company recognized revenue of $270.8</w:t>
      </w:r>
      <w:r>
        <w:rPr>
          <w:rFonts w:ascii="Times New Roman" w:hAnsi="Times New Roman"/>
          <w:color w:val="000000"/>
          <w:sz w:val="20"/>
        </w:rPr>
        <w:t xml:space="preserve"> </w:t>
      </w:r>
      <w:r>
        <w:rPr>
          <w:rFonts w:ascii="Arial" w:hAnsi="Arial"/>
          <w:color w:val="000000"/>
          <w:sz w:val="20"/>
        </w:rPr>
        <w:t>million that was previously included in the Company’s collections in excess of revenues and deferred revenues at March 31, 2025. During fiscal year 2025, the Company recognized revenue of $238.6</w:t>
      </w:r>
      <w:r>
        <w:rPr>
          <w:rFonts w:ascii="Times New Roman" w:hAnsi="Times New Roman"/>
          <w:color w:val="000000"/>
          <w:sz w:val="20"/>
        </w:rPr>
        <w:t xml:space="preserve"> </w:t>
      </w:r>
      <w:r>
        <w:rPr>
          <w:rFonts w:ascii="Arial" w:hAnsi="Arial"/>
          <w:color w:val="000000"/>
          <w:sz w:val="20"/>
        </w:rPr>
        <w:t>million that was previously included in the Company’s collections in excess of revenues and deferred revenues at March 31, 2024.</w:t>
      </w:r>
    </w:p>
    <w:p>
      <w:pPr>
        <w:pStyle w:val="TextBody"/>
        <w:bidi w:val="0"/>
        <w:spacing w:before="270" w:after="283"/>
        <w:jc w:val="both"/>
        <w:rPr>
          <w:rFonts w:ascii="Arial" w:hAnsi="Arial"/>
          <w:i/>
          <w:color w:val="000000"/>
          <w:sz w:val="20"/>
        </w:rPr>
      </w:pPr>
      <w:r>
        <w:rPr>
          <w:rFonts w:ascii="Arial" w:hAnsi="Arial"/>
          <w:i/>
          <w:color w:val="000000"/>
          <w:sz w:val="20"/>
        </w:rPr>
        <w:t>Other assets and deferred costs – contracts with customers</w:t>
      </w:r>
    </w:p>
    <w:p>
      <w:pPr>
        <w:pStyle w:val="TextBody"/>
        <w:bidi w:val="0"/>
        <w:spacing w:before="90" w:after="283"/>
        <w:jc w:val="left"/>
        <w:rPr>
          <w:rFonts w:ascii="Times New Roman" w:hAnsi="Times New Roman"/>
          <w:sz w:val="20"/>
        </w:rPr>
      </w:pPr>
      <w:r>
        <w:rPr>
          <w:rFonts w:ascii="Arial" w:hAnsi="Arial"/>
          <w:color w:val="000000"/>
          <w:sz w:val="20"/>
        </w:rPr>
        <w:t>Per ASC 340-40, Other Assets and Deferred Costs – Contracts with Customers, the Company recognizes an asset from the incremental costs of obtaining a contract with a customer if the Company expects to recover those costs. The incremental costs of obtaining a contract are those costs that the Company incurs to obtain a contract with a customer that it would not have incurred if the contract had not been obtained. ASC 340-40 also requires the recognition of an asset from the costs incurred to fulfill a contract when (1) the costs relate directly to a contract or to an anticipated contract that the Company can specifically identify, (2) the costs generate or enhance resources of the Company that will be used in satisfying (or in continuing to satisfy) performance obligations in the future, and (3) the costs are expected to be recovered. In accordance with the guidance, the Company recognizes an asset related to commission costs incurred, primarily in the Company’s communication services segment, and recognizes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the Company elected the practical expedient and expenses incremental costs immediately.</w:t>
      </w:r>
      <w:r>
        <w:rPr>
          <w:rFonts w:ascii="Times New Roman" w:hAnsi="Times New Roman"/>
          <w:color w:val="000000"/>
          <w:sz w:val="20"/>
        </w:rPr>
        <w:t xml:space="preserve"> </w:t>
      </w:r>
      <w:r>
        <w:rPr>
          <w:rFonts w:ascii="Arial" w:hAnsi="Arial"/>
          <w:color w:val="000000"/>
          <w:sz w:val="20"/>
        </w:rPr>
        <w:t>The Company’s deferred customer contract acquisition costs and costs to fulfill contract balances were $8.2</w:t>
      </w:r>
      <w:r>
        <w:rPr>
          <w:rFonts w:ascii="Times New Roman" w:hAnsi="Times New Roman"/>
          <w:color w:val="000000"/>
          <w:sz w:val="20"/>
        </w:rPr>
        <w:t xml:space="preserve"> </w:t>
      </w:r>
      <w:r>
        <w:rPr>
          <w:rFonts w:ascii="Arial" w:hAnsi="Arial"/>
          <w:color w:val="000000"/>
          <w:sz w:val="20"/>
        </w:rPr>
        <w:t>million and $72.9</w:t>
      </w:r>
      <w:r>
        <w:rPr>
          <w:rFonts w:ascii="Times New Roman" w:hAnsi="Times New Roman"/>
          <w:color w:val="000000"/>
          <w:sz w:val="20"/>
        </w:rPr>
        <w:t xml:space="preserve"> </w:t>
      </w:r>
      <w:r>
        <w:rPr>
          <w:rFonts w:ascii="Arial" w:hAnsi="Arial"/>
          <w:color w:val="000000"/>
          <w:sz w:val="20"/>
        </w:rPr>
        <w:t>million, respectively, as of March 31, 2026. Of the Company’s total deferred customer contract acquisition costs and costs to fulfill contracts, $25.0</w:t>
      </w:r>
      <w:r>
        <w:rPr>
          <w:rFonts w:ascii="Times New Roman" w:hAnsi="Times New Roman"/>
          <w:color w:val="000000"/>
          <w:sz w:val="20"/>
        </w:rPr>
        <w:t xml:space="preserve"> </w:t>
      </w:r>
      <w:r>
        <w:rPr>
          <w:rFonts w:ascii="Arial" w:hAnsi="Arial"/>
          <w:color w:val="000000"/>
          <w:sz w:val="20"/>
        </w:rPr>
        <w:t>million was included in other current assets within the prepaid expenses and other current assets caption on the Company’s consolidated balance sheets and $56.1</w:t>
      </w:r>
      <w:r>
        <w:rPr>
          <w:rFonts w:ascii="Times New Roman" w:hAnsi="Times New Roman"/>
          <w:color w:val="000000"/>
          <w:sz w:val="20"/>
        </w:rPr>
        <w:t xml:space="preserve"> </w:t>
      </w:r>
      <w:r>
        <w:rPr>
          <w:rFonts w:ascii="Arial" w:hAnsi="Arial"/>
          <w:color w:val="000000"/>
          <w:sz w:val="20"/>
        </w:rPr>
        <w:t>million was included in other assets on the Company’s consolidated balance sheets as of March 31, 2026. The Company’s deferred customer contract acquisition costs and costs to fulfill contract balances were $13.0</w:t>
      </w:r>
      <w:r>
        <w:rPr>
          <w:rFonts w:ascii="Times New Roman" w:hAnsi="Times New Roman"/>
          <w:color w:val="000000"/>
          <w:sz w:val="20"/>
        </w:rPr>
        <w:t xml:space="preserve"> </w:t>
      </w:r>
      <w:r>
        <w:rPr>
          <w:rFonts w:ascii="Arial" w:hAnsi="Arial"/>
          <w:color w:val="000000"/>
          <w:sz w:val="20"/>
        </w:rPr>
        <w:t>million and $56.4</w:t>
      </w:r>
      <w:r>
        <w:rPr>
          <w:rFonts w:ascii="Times New Roman" w:hAnsi="Times New Roman"/>
          <w:color w:val="000000"/>
          <w:sz w:val="20"/>
        </w:rPr>
        <w:t xml:space="preserve"> </w:t>
      </w:r>
      <w:r>
        <w:rPr>
          <w:rFonts w:ascii="Arial" w:hAnsi="Arial"/>
          <w:color w:val="000000"/>
          <w:sz w:val="20"/>
        </w:rPr>
        <w:t>million, respectively, as of March 31, 2025. Of the Company’s total deferred customer contract acquisition costs and costs to fulfill contracts, $15.2</w:t>
      </w:r>
      <w:r>
        <w:rPr>
          <w:rFonts w:ascii="Times New Roman" w:hAnsi="Times New Roman"/>
          <w:color w:val="000000"/>
          <w:sz w:val="20"/>
        </w:rPr>
        <w:t xml:space="preserve"> </w:t>
      </w:r>
      <w:r>
        <w:rPr>
          <w:rFonts w:ascii="Arial" w:hAnsi="Arial"/>
          <w:color w:val="000000"/>
          <w:sz w:val="20"/>
        </w:rPr>
        <w:t>million was included in other current assets within the prepaid expenses and other current assets caption on the Company’s consolidated balance sheets and $54.2</w:t>
      </w:r>
      <w:r>
        <w:rPr>
          <w:rFonts w:ascii="Times New Roman" w:hAnsi="Times New Roman"/>
          <w:color w:val="000000"/>
          <w:sz w:val="20"/>
        </w:rPr>
        <w:t xml:space="preserve"> </w:t>
      </w:r>
      <w:r>
        <w:rPr>
          <w:rFonts w:ascii="Arial" w:hAnsi="Arial"/>
          <w:color w:val="000000"/>
          <w:sz w:val="20"/>
        </w:rPr>
        <w:t>million was included in other assets on the Company’s consolidated balance sheets as of March 31, 2025. For total deferred customer contract acquisition costs and contract fulfillment costs, the Company’s amortization and reduction of carrying value associated with contract termination was $23.7</w:t>
      </w:r>
      <w:r>
        <w:rPr>
          <w:rFonts w:ascii="Times New Roman" w:hAnsi="Times New Roman"/>
          <w:color w:val="000000"/>
          <w:sz w:val="20"/>
        </w:rPr>
        <w:t xml:space="preserve"> </w:t>
      </w:r>
      <w:r>
        <w:rPr>
          <w:rFonts w:ascii="Arial" w:hAnsi="Arial"/>
          <w:color w:val="000000"/>
          <w:sz w:val="20"/>
        </w:rPr>
        <w:t>million, $33.1</w:t>
      </w:r>
      <w:r>
        <w:rPr>
          <w:rFonts w:ascii="Times New Roman" w:hAnsi="Times New Roman"/>
          <w:color w:val="000000"/>
          <w:sz w:val="20"/>
        </w:rPr>
        <w:t xml:space="preserve"> </w:t>
      </w:r>
      <w:r>
        <w:rPr>
          <w:rFonts w:ascii="Arial" w:hAnsi="Arial"/>
          <w:color w:val="000000"/>
          <w:sz w:val="20"/>
        </w:rPr>
        <w:t>million and $40.4</w:t>
      </w:r>
      <w:r>
        <w:rPr>
          <w:rFonts w:ascii="Times New Roman" w:hAnsi="Times New Roman"/>
          <w:color w:val="000000"/>
          <w:sz w:val="20"/>
        </w:rPr>
        <w:t xml:space="preserve"> </w:t>
      </w:r>
      <w:r>
        <w:rPr>
          <w:rFonts w:ascii="Arial" w:hAnsi="Arial"/>
          <w:color w:val="000000"/>
          <w:sz w:val="20"/>
        </w:rPr>
        <w:t>million for fiscal years 2026, 2025 and 2024, respectively.</w:t>
      </w:r>
    </w:p>
    <w:p>
      <w:pPr>
        <w:pStyle w:val="TextBody"/>
        <w:bidi w:val="0"/>
        <w:spacing w:before="270" w:after="283"/>
        <w:jc w:val="left"/>
        <w:rPr>
          <w:rFonts w:ascii="Times New Roman" w:hAnsi="Times New Roman"/>
          <w:sz w:val="20"/>
        </w:rPr>
      </w:pPr>
      <w:r>
        <w:rPr>
          <w:rFonts w:ascii="Arial" w:hAnsi="Arial"/>
          <w:b/>
          <w:i/>
          <w:color w:val="000000"/>
          <w:sz w:val="20"/>
        </w:rPr>
        <w:t>Advertising costs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In accordance with the authoritative guidance for advertising costs (ASC 720-35), advertising costs are expensed as incurred and included in selling, general and administrative expenses in the consolidated statements of operations and comprehensive income (loss). Advertising expenses for fiscal years 2026, 2025 and 2024 were $20.7</w:t>
      </w:r>
      <w:r>
        <w:rPr>
          <w:rFonts w:ascii="Times New Roman" w:hAnsi="Times New Roman"/>
          <w:color w:val="000000"/>
          <w:sz w:val="20"/>
        </w:rPr>
        <w:t xml:space="preserve"> </w:t>
      </w:r>
      <w:r>
        <w:rPr>
          <w:rFonts w:ascii="Arial" w:hAnsi="Arial"/>
          <w:color w:val="000000"/>
          <w:sz w:val="20"/>
        </w:rPr>
        <w:t>million, $19.2</w:t>
      </w:r>
      <w:r>
        <w:rPr>
          <w:rFonts w:ascii="Times New Roman" w:hAnsi="Times New Roman"/>
          <w:color w:val="000000"/>
          <w:sz w:val="20"/>
        </w:rPr>
        <w:t xml:space="preserve"> </w:t>
      </w:r>
      <w:r>
        <w:rPr>
          <w:rFonts w:ascii="Arial" w:hAnsi="Arial"/>
          <w:color w:val="000000"/>
          <w:sz w:val="20"/>
        </w:rPr>
        <w:t>million and $26.4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center"/>
        <w:rPr>
          <w:rFonts w:ascii="Arial" w:hAnsi="Arial"/>
          <w:color w:val="000000"/>
          <w:sz w:val="20"/>
        </w:rPr>
      </w:pPr>
      <w:r>
        <w:rPr>
          <w:rFonts w:ascii="Arial" w:hAnsi="Arial"/>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70" w:after="283"/>
        <w:jc w:val="left"/>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In accordance with the authoritative guidance for share-based payments (ASC 718), the Company measures stock-based compensation cost at the grant date, based on the estimated fair value of the award. Expense for RSUs and stock options is recognized on a straight-line basis over the employee’s requisite service period. Expense for market-based performance stock options (PSOs) that vest is recognized regardless of the actual outcome achieved and is recognized on a graded-vesting basis. Expense for PSUs with a market condition (such as a stock price milestone) (market condition PSUs) that vest is recognized regardless of the actual outcome achieved and is recognized on a graded-vesting basis. Expense for PSUs with a performance condition (such as an operational milestone) (performance condition PSUs) that vest is recorded each period based on a probability assessment of the expected outcome of the performance metric with a final adjustment upon measurement at the end of the performance period and is recognized on a graded-vesting basis. The Company accounts for forfeitures as they occur. The Company recognizes excess tax benefits or deficiencies on vesting or settlement of awards as discrete items within income tax benefit or provision within net income (loss) and the related cash flows are classified within operating activities. The Company also has an insignificant amount of long-term cash awards, or liability awards, which are remeasured at fair value each reporting period until the awards are settled.</w:t>
      </w:r>
    </w:p>
    <w:p>
      <w:pPr>
        <w:pStyle w:val="TextBody"/>
        <w:bidi w:val="0"/>
        <w:spacing w:before="270" w:after="283"/>
        <w:jc w:val="left"/>
        <w:rPr>
          <w:rFonts w:ascii="Times New Roman" w:hAnsi="Times New Roman"/>
          <w:sz w:val="20"/>
        </w:rPr>
      </w:pPr>
      <w:r>
        <w:rPr>
          <w:rFonts w:ascii="Arial" w:hAnsi="Arial"/>
          <w:b/>
          <w:i/>
          <w:color w:val="000000"/>
          <w:sz w:val="20"/>
        </w:rPr>
        <w:t>Independent research and development</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IR&amp;D, which is not directly funded by a third party, is expensed as incurred. IR&amp;D expenses consist primarily of salaries and other personnel-related expenses, supplies, prototype materials and other expenses related to research and development (R&amp;D) programs.</w:t>
      </w:r>
      <w:r>
        <w:rPr>
          <w:rFonts w:ascii="Times New Roman" w:hAnsi="Times New Roman"/>
          <w:color w:val="000000"/>
          <w:sz w:val="20"/>
        </w:rPr>
        <w:t xml:space="preserve"> </w:t>
      </w:r>
    </w:p>
    <w:p>
      <w:pPr>
        <w:pStyle w:val="TextBody"/>
        <w:bidi w:val="0"/>
        <w:spacing w:before="270" w:after="283"/>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ASC 740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The Company’s analysis of the need for a valuation allowance on deferred tax assets considered historical as well as forecasted future operating results, the reversal of temporary differences, taxable income in prior carryback years (if permitted), and the availability of tax planning strategies.</w:t>
      </w:r>
    </w:p>
    <w:p>
      <w:pPr>
        <w:pStyle w:val="TextBody"/>
        <w:bidi w:val="0"/>
        <w:spacing w:before="270" w:after="283"/>
        <w:jc w:val="left"/>
        <w:rPr>
          <w:rFonts w:ascii="Times New Roman" w:hAnsi="Times New Roman"/>
          <w:sz w:val="20"/>
        </w:rPr>
      </w:pPr>
      <w:r>
        <w:rPr>
          <w:rFonts w:ascii="Arial" w:hAnsi="Arial"/>
          <w:b/>
          <w:i/>
          <w:color w:val="000000"/>
          <w:sz w:val="20"/>
        </w:rPr>
        <w:t>Earnings per share</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which are included in the earnings per share calculations using the treasury stock method. Potential common stock includes options granted (including PSOs), RSUs (other than PSUs), market condition PSUs and performance condition PSUs awarded under the Company’s equity compensation plan, common shares expected to be issued under the Company’s employee stock purchase plan, and shares potentially issuable under the Viasat 401(k) Profit Sharing Plan in connection with the Company’s decision to pay a discretionary match in common stock or cash.</w:t>
      </w:r>
    </w:p>
    <w:p>
      <w:pPr>
        <w:pStyle w:val="TextBody"/>
        <w:bidi w:val="0"/>
        <w:spacing w:before="270" w:after="283"/>
        <w:jc w:val="left"/>
        <w:rPr>
          <w:rFonts w:ascii="Times New Roman" w:hAnsi="Times New Roman"/>
          <w:sz w:val="20"/>
        </w:rPr>
      </w:pPr>
      <w:r>
        <w:rPr>
          <w:rFonts w:ascii="Arial" w:hAnsi="Arial"/>
          <w:b/>
          <w:i/>
          <w:color w:val="000000"/>
          <w:sz w:val="20"/>
        </w:rPr>
        <w:t>Segment reporting</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Company reports its results in two separate segments consisting of communication services and defense and advanced technologies. The Company's segments are determined consistent with the way management currently organizes and evaluates financial information internally for making operating decisions and assessing performance.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90" w:after="283"/>
        <w:jc w:val="left"/>
        <w:rPr>
          <w:rFonts w:ascii="Arial" w:hAnsi="Arial"/>
          <w:color w:val="000000"/>
          <w:sz w:val="20"/>
        </w:rPr>
      </w:pPr>
      <w:r>
        <w:rPr>
          <w:rFonts w:ascii="Arial" w:hAnsi="Arial"/>
          <w:color w:val="000000"/>
          <w:sz w:val="20"/>
        </w:rPr>
        <w:t>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p>
    <w:p>
      <w:pPr>
        <w:pStyle w:val="TextBody"/>
        <w:bidi w:val="0"/>
        <w:spacing w:before="90" w:after="283"/>
        <w:jc w:val="left"/>
        <w:rPr>
          <w:rFonts w:ascii="Arial" w:hAnsi="Arial"/>
          <w:color w:val="000000"/>
          <w:sz w:val="20"/>
        </w:rPr>
      </w:pPr>
      <w:r>
        <w:rPr>
          <w:rFonts w:ascii="Arial" w:hAnsi="Arial"/>
          <w:color w:val="000000"/>
          <w:sz w:val="20"/>
        </w:rPr>
        <w:t>The Company’s communication services segment provides a wide range of broadband and narrowband communications solutions across government and commercial mobility markets, as well as for residential and enterprise fixed broadband customers. The Company’s defense and advanced technologies segment develops and offers a diverse array of resilient, vertically integrated solutions to government and commercial customers, leveraging the Company’s technical competencies in encryption, cyber security, tactical gateways, modems and waveforms. The more regulated government environment for defense, encryption and other products is subject to unique contractual requirements and possesses economic characteristics that differ from the communication services segment.</w:t>
      </w:r>
    </w:p>
    <w:p>
      <w:pPr>
        <w:pStyle w:val="TextBody"/>
        <w:bidi w:val="0"/>
        <w:spacing w:before="270" w:after="283"/>
        <w:jc w:val="left"/>
        <w:rPr>
          <w:rFonts w:ascii="Arial" w:hAnsi="Arial"/>
          <w:b/>
          <w:i/>
          <w:color w:val="000000"/>
          <w:sz w:val="20"/>
        </w:rPr>
      </w:pPr>
      <w:r>
        <w:rPr>
          <w:rFonts w:ascii="Arial" w:hAnsi="Arial"/>
          <w:b/>
          <w:i/>
          <w:color w:val="000000"/>
          <w:sz w:val="20"/>
        </w:rPr>
        <w:t>Recent authoritative guidance</w:t>
      </w:r>
    </w:p>
    <w:p>
      <w:pPr>
        <w:pStyle w:val="TextBody"/>
        <w:bidi w:val="0"/>
        <w:spacing w:before="180" w:after="283"/>
        <w:jc w:val="left"/>
        <w:rPr>
          <w:rFonts w:ascii="Arial" w:hAnsi="Arial"/>
          <w:color w:val="000000"/>
          <w:sz w:val="20"/>
        </w:rPr>
      </w:pPr>
      <w:r>
        <w:rPr>
          <w:rFonts w:ascii="Arial" w:hAnsi="Arial"/>
          <w:color w:val="000000"/>
          <w:sz w:val="20"/>
        </w:rPr>
        <w:t>In October 2023, the Financial Accounting Standards Board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December 2023, the FASB issued ASU 2023-09, Income Taxes (Topic 740): Improvements to Income Tax Disclosures. ASU 2023-09 enhances annual income tax disclosures by requiring disclosure of specific categories in the income tax rate reconciliation table and disaggregation of income taxes paid. Beginning with the annual reporting of fiscal year 2026, the Company adopted the new guidance on a prospective basis and applied its provisions to the Company's income tax disclosures. See Note 10 — Income Taxes for additional information.</w:t>
      </w:r>
    </w:p>
    <w:p>
      <w:pPr>
        <w:pStyle w:val="TextBody"/>
        <w:bidi w:val="0"/>
        <w:spacing w:before="180" w:after="283"/>
        <w:jc w:val="left"/>
        <w:rPr>
          <w:rFonts w:ascii="Arial" w:hAnsi="Arial"/>
          <w:color w:val="000000"/>
          <w:sz w:val="20"/>
        </w:rPr>
      </w:pPr>
      <w:r>
        <w:rPr>
          <w:rFonts w:ascii="Arial" w:hAnsi="Arial"/>
          <w:color w:val="000000"/>
          <w:sz w:val="20"/>
        </w:rPr>
        <w:t>In March 2024, the FASB issued ASU 2024-02, Codification Improvements – Amendments to Remove References to the Concepts Statements. This update contains amendments to the Codification that remove references to various Concepts Statements. The amendments in this update are not intended to result in significant accounting changes for most entities. The Company adopted the new guidance on a prospective basis in the first quarter of fiscal year 2026 and the guidance did not have an impact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2024, the FASB issued ASU 2024-03, Income Statement – Reporting Comprehensive Income – Expense Disaggregation Disclosures (Subtopic 220-40): Disaggregation of Income Statement Expenses. This ASU requires additional disclosures about certain categories of costs and expenses in the notes to financial statements. As clarified in ASU 2025-01, Income Statement – Reporting Comprehensive Income – Expense Disaggregation Disclosures (Subtopic 220-40): Clarifying the Effective Date, the new standard will become effective for the Company’s annual disclosures beginning in fiscal year 2028 and for interim disclosures beginning in fiscal year 2029. Early adoption is permitted and the amendments should be applied either prospectively to financial statements issued for reporting periods after the effective date of the ASU or retrospectively to any or all periods presented in the financial statements.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May 2025, the FASB issued ASU 2025-04, Compensation – Stock Compensation (Topic 718) and Revenue from Contracts with Customers (Topic 606): Clarifications to Share-Based Consideration Payable to a Customer. The purpose of this ASU is to reduce diversity in practice and improve the decision usefulness and operability of the guidance for share-based consideration payable to a customer in conjunction with selling goods or services. The new standard will become effective for the Company's interim and annual disclosures beginning in fiscal year 2028. Early adoption is permitted and the new guidance should be applied either on a modified retrospective or a retrospective basis. The Company is currently evaluating the impact of this standard on its consolidated financial statements and disclosures.</w:t>
      </w:r>
    </w:p>
    <w:p>
      <w:pPr>
        <w:pStyle w:val="TextBody"/>
        <w:bidi w:val="0"/>
        <w:spacing w:before="240" w:after="283"/>
        <w:jc w:val="center"/>
        <w:rPr>
          <w:rFonts w:ascii="Arial" w:hAnsi="Arial"/>
          <w:color w:val="000000"/>
          <w:sz w:val="20"/>
        </w:rPr>
      </w:pPr>
      <w:r>
        <w:rPr>
          <w:rFonts w:ascii="Arial" w:hAnsi="Arial"/>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color w:val="000000"/>
          <w:sz w:val="20"/>
        </w:rPr>
      </w:pPr>
      <w:r>
        <w:rPr>
          <w:rFonts w:ascii="Arial" w:hAnsi="Arial"/>
          <w:color w:val="000000"/>
          <w:sz w:val="20"/>
        </w:rPr>
        <w:t>In July 2025, the FASB issued ASU 2025-05, Financial Instruments – Credit Losses (Topic 326): Measurement of Credit Losses for Accounts Receivable and Contract Assets. The purpose of this ASU is to allow entities to apply a practical expedient when estimating expected credit losses for current accounts receivable and current contract assets that arise from transactions accounted for under Topic 606. The new standard will become effective for the Company's interim and annual disclosures beginning in fiscal year 2027. Early adoption is permitted and the new guidance should be applied prospectively.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September 2025, the FASB issued ASU 2025-06, Intangibles – Goodwill and Other – Internal-Use Software (Subtopic 350-40): Targeted Improvements to the Accounting for Internal-Use Software. The purpose of this ASU is to modernize the accounting guidance for the costs to develop software for internal use by removing all references to prescriptive and sequential software development project stages and providing further guidance on when an entity is required to start capitalizing eligible costs. The new standard will become effective for the Company's interim and annual disclosures beginning in fiscal year 2029. Early adoption is permitted and the new guidance should be applied either on a prospective transition, a modified transition or a retrospective transition approach.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September 2025, the FASB issued ASU 2025-07, Derivative and Hedging (Topic 815) and Revenue from Contracts with Customers (Topic 606): Derivatives Scope Refinements and Scope Clarification for Share-Based Noncash Consideration from a Customer in a Revenue Contract. This ASU expands the scope exception in Topic 815 and clarifies the guidance on share-based noncash consideration from a customer in Topic 606. The new standard will become effective for the Company's interim and annual disclosures beginning in fiscal year 2028. Early adoption is permitted and the new guidance should be applied either on a prospective or a modified retrospective basis.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2025, the FASB issued ASU 2025-08, Financial Instruments - Credit Losses (Topic 326): Purchased Loans. This ASU expands the population of acquired financial assets subject to the gross-up approach to include purchased seasoned loans. The new standard will become effective for the Company's interim and annual disclosures beginning in fiscal year 2028. Early adoption is permitted and the new guidance should be applied prospectively.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November 2025, the FASB issued ASU 2025-09, Derivatives and Hedging (Topic 815): Hedge Accounting Improvements. This ASU includes five targeted amendments intended to more closely align hedge accounting with the underlying economics of entities' risk management activities. The new standard will become effective for the Company's interim and annual disclosures beginning in fiscal year 2028. Early adoption is permitted and the new guidance should be applied prospectively.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December 2025, the FASB issued ASU 2025-10, Government Grants (Topic 832): Accounting for Government Grants Received by Business Entities. The purpose of this ASU is to reduce diversity in practice by establishing accounting guidance for recognition, measurement and presentation of a government grant received by a business entity. The new standard will become effective for the Company's interim and annual disclosures beginning in fiscal year 2030. Early adoption is permitted and the new guidance should be applied either on a modified prospective, a modified retrospective or a full retrospective basis. The Company is currently evaluating the impact of this standard on its consolidated financial statements and disclosures.</w:t>
      </w:r>
    </w:p>
    <w:p>
      <w:pPr>
        <w:pStyle w:val="TextBody"/>
        <w:bidi w:val="0"/>
        <w:spacing w:before="180" w:after="283"/>
        <w:jc w:val="left"/>
        <w:rPr>
          <w:rFonts w:ascii="Arial" w:hAnsi="Arial"/>
          <w:color w:val="000000"/>
          <w:sz w:val="20"/>
        </w:rPr>
      </w:pPr>
      <w:r>
        <w:rPr>
          <w:rFonts w:ascii="Arial" w:hAnsi="Arial"/>
          <w:color w:val="000000"/>
          <w:sz w:val="20"/>
        </w:rPr>
        <w:t>In December 2025, the FASB issued ASU 2025-11, Interim Reporting (Topic 270): Narrow-Scope Improvements. This ASU provides a comprehensive list of interim disclosures that are required by GAAP and clarifies the applicability of Topic 270, as well as a requirement to disclose events since the end of the last annual reporting period that have a material impact on the entity. The new standard will become effective for the Company's interim disclosures beginning in fiscal year 2029. Early adoption is permitted and the new guidance should be applied prospectively or retrospectively to any or all prior periods presented in the financial statements. The Company is currently evaluating the impact of this standard on its consolidated financial statements and disclosures.</w:t>
      </w:r>
    </w:p>
    <w:p>
      <w:pPr>
        <w:pStyle w:val="TextBody"/>
        <w:bidi w:val="0"/>
        <w:spacing w:before="240" w:after="283"/>
        <w:jc w:val="center"/>
        <w:rPr>
          <w:rFonts w:ascii="Arial" w:hAnsi="Arial"/>
          <w:color w:val="000000"/>
          <w:sz w:val="20"/>
        </w:rPr>
      </w:pPr>
      <w:r>
        <w:rPr>
          <w:rFonts w:ascii="Arial" w:hAnsi="Arial"/>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color w:val="000000"/>
          <w:sz w:val="20"/>
        </w:rPr>
      </w:pPr>
      <w:r>
        <w:rPr>
          <w:rFonts w:ascii="Arial" w:hAnsi="Arial"/>
          <w:color w:val="000000"/>
          <w:sz w:val="20"/>
        </w:rPr>
        <w:t>In December 2025, the FASB issued ASU 2025-12, Codification Improvements. This ASU includes amendments to the FASB Accounting Standards Codification for a broad range of topics arising from technical corrections, unintended application of the Codification, clarifications, and other minor improvements. These amendments are not expected to have a significant effect on current accounting practice for most entities. The new standard will become effective for the Company's interim and annual reporting periods beginning in fiscal year 2028. Early adoption is permitted on an issue-by-issue basis and the new guidance should be applied prospectively or retrospectively on an issue-by-issue basis. The Company is currently evaluating the impact of this standard on its consolidated financial statements and disclosures.</w:t>
      </w:r>
    </w:p>
    <w:p>
      <w:pPr>
        <w:pStyle w:val="TextBody"/>
        <w:bidi w:val="0"/>
        <w:spacing w:before="240" w:after="283"/>
        <w:jc w:val="center"/>
        <w:rPr>
          <w:rFonts w:ascii="Arial" w:hAnsi="Arial"/>
          <w:color w:val="000000"/>
          <w:sz w:val="20"/>
        </w:rPr>
      </w:pPr>
      <w:r>
        <w:rPr>
          <w:rFonts w:ascii="Arial" w:hAnsi="Arial"/>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0"/>
        </w:rPr>
        <w:t>Note 2 — Composition of Certain Balance Sheet Captions</w:t>
      </w:r>
      <w:r>
        <w:rPr>
          <w:rFonts w:ascii="Times New Roman" w:hAnsi="Times New Roman"/>
          <w:color w:val="000000"/>
          <w:sz w:val="20"/>
        </w:rPr>
        <w:t xml:space="preserve"> </w:t>
      </w:r>
    </w:p>
    <w:p>
      <w:pPr>
        <w:pStyle w:val="TextBody"/>
        <w:bidi w:val="0"/>
        <w:jc w:val="left"/>
        <w:rPr/>
      </w:pPr>
      <w:r>
        <w:rPr/>
        <w:t> </w:t>
      </w:r>
    </w:p>
    <w:tbl>
      <w:tblPr>
        <w:tblW w:w="10099" w:type="dxa"/>
        <w:jc w:val="left"/>
        <w:tblInd w:w="0" w:type="dxa"/>
        <w:tblLayout w:type="fixed"/>
        <w:tblCellMar>
          <w:top w:w="28" w:type="dxa"/>
          <w:left w:w="28" w:type="dxa"/>
          <w:bottom w:w="28" w:type="dxa"/>
          <w:right w:w="28" w:type="dxa"/>
        </w:tblCellMar>
      </w:tblPr>
      <w:tblGrid>
        <w:gridCol w:w="7026"/>
        <w:gridCol w:w="146"/>
        <w:gridCol w:w="196"/>
        <w:gridCol w:w="916"/>
        <w:gridCol w:w="166"/>
        <w:gridCol w:w="146"/>
        <w:gridCol w:w="196"/>
        <w:gridCol w:w="916"/>
        <w:gridCol w:w="391"/>
      </w:tblGrid>
      <w:tr>
        <w:trPr/>
        <w:tc>
          <w:tcPr>
            <w:tcW w:w="7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As of</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As of</w:t>
              <w:b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Billed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539,758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539,522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Unbilled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227,840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180,871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(20,841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753,430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699,552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108,697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96,893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Work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25,054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19,761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147,469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177,289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281,220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293,943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179,081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176,694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163,441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105,649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342,522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282,343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Property, equipment and satellites,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7"/>
              </w:rPr>
              <w:t>Equipment and software (estimated useful life of 3-10</w:t>
            </w:r>
            <w:r>
              <w:rPr>
                <w:rFonts w:ascii="Times New Roman" w:hAnsi="Times New Roman"/>
                <w:color w:val="000000"/>
                <w:sz w:val="20"/>
              </w:rPr>
              <w:t> </w:t>
            </w:r>
            <w:r>
              <w:rPr>
                <w:rFonts w:ascii="Arial" w:hAnsi="Arial"/>
                <w:color w:val="000000"/>
                <w:sz w:val="17"/>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4,298,300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3,837,083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7"/>
              </w:rPr>
              <w:t>CPE leased equipment (estimated useful life of 3-7</w:t>
            </w:r>
            <w:r>
              <w:rPr>
                <w:rFonts w:ascii="Times New Roman" w:hAnsi="Times New Roman"/>
                <w:color w:val="000000"/>
                <w:sz w:val="20"/>
              </w:rPr>
              <w:t> </w:t>
            </w:r>
            <w:r>
              <w:rPr>
                <w:rFonts w:ascii="Arial" w:hAnsi="Arial"/>
                <w:color w:val="000000"/>
                <w:sz w:val="17"/>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522,882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525,972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7"/>
              </w:rPr>
              <w:t>Furniture and fixtures (estimated useful life of 7-10</w:t>
            </w:r>
            <w:r>
              <w:rPr>
                <w:rFonts w:ascii="Times New Roman" w:hAnsi="Times New Roman"/>
                <w:color w:val="000000"/>
                <w:sz w:val="20"/>
              </w:rPr>
              <w:t> </w:t>
            </w:r>
            <w:r>
              <w:rPr>
                <w:rFonts w:ascii="Arial" w:hAnsi="Arial"/>
                <w:color w:val="000000"/>
                <w:sz w:val="17"/>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54,185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58,153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7"/>
              </w:rPr>
              <w:t>Leasehold improvements (estimated useful life of 2-20</w:t>
            </w:r>
            <w:r>
              <w:rPr>
                <w:rFonts w:ascii="Times New Roman" w:hAnsi="Times New Roman"/>
                <w:color w:val="000000"/>
                <w:sz w:val="20"/>
              </w:rPr>
              <w:t> </w:t>
            </w:r>
            <w:r>
              <w:rPr>
                <w:rFonts w:ascii="Arial" w:hAnsi="Arial"/>
                <w:color w:val="000000"/>
                <w:sz w:val="17"/>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325,087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313,249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7"/>
              </w:rPr>
              <w:t>Buildings (estimated useful life of 20-38</w:t>
            </w:r>
            <w:r>
              <w:rPr>
                <w:rFonts w:ascii="Times New Roman" w:hAnsi="Times New Roman"/>
                <w:color w:val="000000"/>
                <w:sz w:val="20"/>
              </w:rPr>
              <w:t> </w:t>
            </w:r>
            <w:r>
              <w:rPr>
                <w:rFonts w:ascii="Arial" w:hAnsi="Arial"/>
                <w:color w:val="000000"/>
                <w:sz w:val="17"/>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15,388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19,661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662,841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722,194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7"/>
              </w:rPr>
              <w:t>Satellites (estimated useful life of 7-17</w:t>
            </w:r>
            <w:r>
              <w:rPr>
                <w:rFonts w:ascii="Times New Roman" w:hAnsi="Times New Roman"/>
                <w:color w:val="000000"/>
                <w:sz w:val="20"/>
              </w:rPr>
              <w:t> </w:t>
            </w:r>
            <w:r>
              <w:rPr>
                <w:rFonts w:ascii="Arial" w:hAnsi="Arial"/>
                <w:color w:val="000000"/>
                <w:sz w:val="17"/>
              </w:rPr>
              <w:t>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3,410,741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3,405,067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w:hAnsi="Arial"/>
                <w:color w:val="000000"/>
                <w:sz w:val="17"/>
              </w:rPr>
              <w:t>Satellite Ka-band capacity obtained under finance leases (estimated useful life of 7-15</w:t>
            </w:r>
            <w:r>
              <w:rPr>
                <w:rFonts w:ascii="Times New Roman" w:hAnsi="Times New Roman"/>
                <w:color w:val="000000"/>
                <w:sz w:val="20"/>
              </w:rPr>
              <w:t> </w:t>
            </w:r>
            <w:r>
              <w:rPr>
                <w:rFonts w:ascii="Arial" w:hAnsi="Arial"/>
                <w:color w:val="000000"/>
                <w:sz w:val="17"/>
              </w:rPr>
              <w:t>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339,428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338,201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Satellites under construction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2,644,050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2,205,305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12,283,827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11,440,273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(5,011,190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(4,034,609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7,272,637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7,405,664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68,699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160,452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Capitalized software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316,947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264,492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Patents, orbital slots and other licenses,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120,194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119,193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273,669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301,641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779,509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845,778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Collections in excess of revenues and 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292,592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294,034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Accrued 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207,741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185,556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60,879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65,310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Interest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34,064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52,183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355,916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311,446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951,192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908,529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Deferred revenues,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1,064,261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786,710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1,016,850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1,069,717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7"/>
              </w:rPr>
            </w:pPr>
            <w:r>
              <w:rPr>
                <w:rFonts w:ascii="Arial" w:hAnsi="Arial"/>
                <w:color w:val="000000"/>
                <w:sz w:val="17"/>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298,190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324,726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2,379,301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2,181,153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b/>
          <w:color w:val="000000"/>
          <w:sz w:val="20"/>
        </w:rPr>
        <w:t>Note 3 — Fair Value Measurements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r>
        <w:rPr>
          <w:rFonts w:ascii="Times New Roman" w:hAnsi="Times New Roman"/>
          <w:color w:val="000000"/>
          <w:sz w:val="20"/>
        </w:rPr>
        <w:t xml:space="preserve">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Level 1 — Inputs based on quoted market prices for identical assets or liabilities in active markets at the measurement date.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 </w:t>
      </w:r>
    </w:p>
    <w:p>
      <w:pPr>
        <w:pStyle w:val="TextBody"/>
        <w:bidi w:val="0"/>
        <w:spacing w:before="90" w:after="283"/>
        <w:jc w:val="left"/>
        <w:rPr>
          <w:color w:val="000000"/>
        </w:rPr>
      </w:pPr>
      <w:r>
        <w:rPr>
          <w:color w:val="000000"/>
        </w:rPr>
        <w:t>•</w:t>
      </w:r>
    </w:p>
    <w:p>
      <w:pPr>
        <w:pStyle w:val="TextBody"/>
        <w:bidi w:val="0"/>
        <w:spacing w:before="90" w:after="283"/>
        <w:jc w:val="left"/>
        <w:rPr>
          <w:rFonts w:ascii="Arial" w:hAnsi="Arial"/>
          <w:color w:val="000000"/>
          <w:sz w:val="20"/>
        </w:rPr>
      </w:pPr>
      <w:r>
        <w:rPr>
          <w:rFonts w:ascii="Arial" w:hAnsi="Arial"/>
          <w:color w:val="000000"/>
          <w:sz w:val="20"/>
        </w:rPr>
        <w:t xml:space="preserve">Level 3 — Inputs which reflect management’s best estimate of what market participants would use in pricing the asset or liability at the measurement date. The inputs are unobservable in the market and significant to the instrument’s valuation. </w:t>
      </w:r>
    </w:p>
    <w:p>
      <w:pPr>
        <w:pStyle w:val="TextBody"/>
        <w:bidi w:val="0"/>
        <w:spacing w:before="180" w:after="283"/>
        <w:jc w:val="left"/>
        <w:rPr>
          <w:rFonts w:ascii="Times New Roman" w:hAnsi="Times New Roman"/>
          <w:sz w:val="20"/>
        </w:rPr>
      </w:pPr>
      <w:r>
        <w:rPr>
          <w:rFonts w:ascii="Arial" w:hAnsi="Arial"/>
          <w:color w:val="000000"/>
          <w:sz w:val="20"/>
        </w:rPr>
        <w:t>The following tables present the Company's hierarchy for its assets measured at fair value on a recurring basis as of March 31, 2026 and March 31, 2025. The Company had no</w:t>
      </w:r>
      <w:r>
        <w:rPr>
          <w:rFonts w:ascii="Times New Roman" w:hAnsi="Times New Roman"/>
          <w:color w:val="000000"/>
          <w:sz w:val="20"/>
        </w:rPr>
        <w:t xml:space="preserve"> </w:t>
      </w:r>
      <w:r>
        <w:rPr>
          <w:rFonts w:ascii="Arial" w:hAnsi="Arial"/>
          <w:color w:val="000000"/>
          <w:sz w:val="20"/>
        </w:rPr>
        <w:t>liabilities measured at fair value on a recurring basis as of both March 31, 2026 and March 31, 2025.</w:t>
      </w:r>
    </w:p>
    <w:p>
      <w:pPr>
        <w:pStyle w:val="TextBody"/>
        <w:bidi w:val="0"/>
        <w:spacing w:before="90" w:after="283"/>
        <w:jc w:val="left"/>
        <w:rPr/>
      </w:pPr>
      <w:r>
        <w:rPr/>
        <w:t> </w:t>
      </w:r>
    </w:p>
    <w:tbl>
      <w:tblPr>
        <w:tblW w:w="10106" w:type="dxa"/>
        <w:jc w:val="left"/>
        <w:tblInd w:w="0" w:type="dxa"/>
        <w:tblLayout w:type="fixed"/>
        <w:tblCellMar>
          <w:top w:w="28" w:type="dxa"/>
          <w:left w:w="28" w:type="dxa"/>
          <w:bottom w:w="28" w:type="dxa"/>
          <w:right w:w="28" w:type="dxa"/>
        </w:tblCellMar>
      </w:tblPr>
      <w:tblGrid>
        <w:gridCol w:w="4966"/>
        <w:gridCol w:w="146"/>
        <w:gridCol w:w="276"/>
        <w:gridCol w:w="1044"/>
        <w:gridCol w:w="146"/>
        <w:gridCol w:w="146"/>
        <w:gridCol w:w="211"/>
        <w:gridCol w:w="796"/>
        <w:gridCol w:w="146"/>
        <w:gridCol w:w="146"/>
        <w:gridCol w:w="250"/>
        <w:gridCol w:w="410"/>
        <w:gridCol w:w="146"/>
        <w:gridCol w:w="146"/>
        <w:gridCol w:w="250"/>
        <w:gridCol w:w="410"/>
        <w:gridCol w:w="47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748,495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as of</w:t>
              <w:b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23"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 measured at fair value on a recurring basis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r>
        <w:rPr>
          <w:rFonts w:ascii="Arial" w:hAnsi="Arial"/>
          <w:color w:val="000000"/>
          <w:sz w:val="20"/>
        </w:rPr>
        <w:t>The following section describes the valuation methodologies the Company uses to measure financial instruments at fair value: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Cash equivalents</w:t>
      </w:r>
      <w:r>
        <w:rPr>
          <w:rFonts w:ascii="Times New Roman" w:hAnsi="Times New Roman"/>
          <w:color w:val="000000"/>
          <w:sz w:val="20"/>
        </w:rPr>
        <w:t xml:space="preserve"> — </w:t>
      </w:r>
      <w:r>
        <w:rPr>
          <w:rFonts w:ascii="Arial" w:hAnsi="Arial"/>
          <w:color w:val="000000"/>
          <w:sz w:val="20"/>
        </w:rPr>
        <w:t>The Company’s cash equivalents consist of money market funds, with a significant portion held in U.S. government-backed securities and treasuries.</w:t>
      </w:r>
    </w:p>
    <w:p>
      <w:pPr>
        <w:pStyle w:val="TextBody"/>
        <w:bidi w:val="0"/>
        <w:spacing w:before="240" w:after="283"/>
        <w:jc w:val="center"/>
        <w:rPr>
          <w:rFonts w:ascii="Arial" w:hAnsi="Arial"/>
          <w:color w:val="000000"/>
          <w:sz w:val="20"/>
        </w:rPr>
      </w:pPr>
      <w:r>
        <w:rPr>
          <w:rFonts w:ascii="Arial" w:hAnsi="Arial"/>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i/>
          <w:color w:val="000000"/>
          <w:sz w:val="20"/>
        </w:rPr>
        <w:t>Long-term debt</w:t>
      </w:r>
      <w:r>
        <w:rPr>
          <w:rFonts w:ascii="Times New Roman" w:hAnsi="Times New Roman"/>
          <w:color w:val="000000"/>
          <w:sz w:val="20"/>
        </w:rPr>
        <w:t xml:space="preserve"> — </w:t>
      </w:r>
      <w:r>
        <w:rPr>
          <w:rFonts w:ascii="Arial" w:hAnsi="Arial"/>
          <w:color w:val="000000"/>
          <w:sz w:val="20"/>
        </w:rPr>
        <w:t>As of March 31, 2026, the Company’s long-term debt (including current portion) was comprised of (1) $600.0 million in aggregate principal amount of Viasat's 5.625% Senior Secured Notes due 2027 (the 2027 Notes), $400.0 million in aggregate principal amount of Viasat's 6.500% Senior Notes due 2028 (the 2028 Notes), $1.975 billion in aggregate principal amount of Inmarsat's 9.000% Senior Secured Notes due 2029 (the Inmarsat 2029 Notes), and $733.4 million in aggregate principal amount of Viasat’s 7.500% Senior Notes due 2031 (the 2031 Notes), (2) borrowings under Viasat’s $700.0 million senior secured term loan facility (the 2022 Term Loan Facility), borrowings under Viasat’s $616.7 million senior secured term loan facility (the 2023 Term Loan Facility), borrowings under the Inmarsat Term Loan Facility and borrowings under Viasat’s direct loan facility (the Ex-Im Credit Facility) with the Export-Import Bank of the United States (Ex-Im Bank), and (3) finance lease obligations reported at the present value of future minimum lease payments with current accrued interest. Long-term debt related</w:t>
      </w:r>
      <w:r>
        <w:rPr>
          <w:rFonts w:ascii="Times New Roman" w:hAnsi="Times New Roman"/>
          <w:color w:val="000000"/>
          <w:sz w:val="20"/>
        </w:rPr>
        <w:t xml:space="preserve"> </w:t>
      </w:r>
      <w:r>
        <w:rPr>
          <w:rFonts w:ascii="Arial" w:hAnsi="Arial"/>
          <w:color w:val="000000"/>
          <w:sz w:val="20"/>
        </w:rPr>
        <w:t>to the Revolving Credit Facilities is reported at the outstanding principal amount of borrowings, while long-term debt related to the Company's other Credit Facilities and the Notes is reported at amortized cost. However, for disclosure purposes, the Company is required to measure the fair value of outstanding debt on a recurring basis. The fair value of the Company’s long-term debt related to the Company's variable rate Credit Facilities approximates its carrying amount due to its variable interest rate, which approximates a market interest rate. The estimated fair value of Viasat's former direct loan facility (the Former Ex-Im Credit Facility) with Ex-Im Bank, which was fully repaid at maturity in October 2025, was Level 2 and $19.2</w:t>
      </w:r>
      <w:r>
        <w:rPr>
          <w:rFonts w:ascii="Times New Roman" w:hAnsi="Times New Roman"/>
          <w:color w:val="000000"/>
          <w:sz w:val="20"/>
        </w:rPr>
        <w:t xml:space="preserve"> </w:t>
      </w:r>
      <w:r>
        <w:rPr>
          <w:rFonts w:ascii="Arial" w:hAnsi="Arial"/>
          <w:color w:val="000000"/>
          <w:sz w:val="20"/>
        </w:rPr>
        <w:t>million as of March 31, 2025. The estimated fair value of the Company's long-term debt related to the Ex-Im Credit Facility was Level 2 and was $186.2</w:t>
      </w:r>
      <w:r>
        <w:rPr>
          <w:rFonts w:ascii="Times New Roman" w:hAnsi="Times New Roman"/>
          <w:color w:val="000000"/>
          <w:sz w:val="20"/>
        </w:rPr>
        <w:t xml:space="preserve"> </w:t>
      </w:r>
      <w:r>
        <w:rPr>
          <w:rFonts w:ascii="Arial" w:hAnsi="Arial"/>
          <w:color w:val="000000"/>
          <w:sz w:val="20"/>
        </w:rPr>
        <w:t>million as of March 31, 2026. As of March 31, 2026 and 2025, the estimated fair value of the Company’s outstanding long-term debt related to each series of Notes was Level 2 and was $597.8</w:t>
      </w:r>
      <w:r>
        <w:rPr>
          <w:rFonts w:ascii="Times New Roman" w:hAnsi="Times New Roman"/>
          <w:color w:val="000000"/>
          <w:sz w:val="20"/>
        </w:rPr>
        <w:t xml:space="preserve"> </w:t>
      </w:r>
      <w:r>
        <w:rPr>
          <w:rFonts w:ascii="Arial" w:hAnsi="Arial"/>
          <w:color w:val="000000"/>
          <w:sz w:val="20"/>
        </w:rPr>
        <w:t>million and $575.0</w:t>
      </w:r>
      <w:r>
        <w:rPr>
          <w:rFonts w:ascii="Times New Roman" w:hAnsi="Times New Roman"/>
          <w:color w:val="000000"/>
          <w:sz w:val="20"/>
        </w:rPr>
        <w:t xml:space="preserve"> </w:t>
      </w:r>
      <w:r>
        <w:rPr>
          <w:rFonts w:ascii="Arial" w:hAnsi="Arial"/>
          <w:color w:val="000000"/>
          <w:sz w:val="20"/>
        </w:rPr>
        <w:t>million, respectively, for the 2027 Notes, $395.0</w:t>
      </w:r>
      <w:r>
        <w:rPr>
          <w:rFonts w:ascii="Times New Roman" w:hAnsi="Times New Roman"/>
          <w:color w:val="000000"/>
          <w:sz w:val="20"/>
        </w:rPr>
        <w:t xml:space="preserve"> </w:t>
      </w:r>
      <w:r>
        <w:rPr>
          <w:rFonts w:ascii="Arial" w:hAnsi="Arial"/>
          <w:color w:val="000000"/>
          <w:sz w:val="20"/>
        </w:rPr>
        <w:t>million and $350.0</w:t>
      </w:r>
      <w:r>
        <w:rPr>
          <w:rFonts w:ascii="Times New Roman" w:hAnsi="Times New Roman"/>
          <w:color w:val="000000"/>
          <w:sz w:val="20"/>
        </w:rPr>
        <w:t xml:space="preserve"> </w:t>
      </w:r>
      <w:r>
        <w:rPr>
          <w:rFonts w:ascii="Arial" w:hAnsi="Arial"/>
          <w:color w:val="000000"/>
          <w:sz w:val="20"/>
        </w:rPr>
        <w:t>million, respectively, for the 2028 Notes, $2.07</w:t>
      </w:r>
      <w:r>
        <w:rPr>
          <w:rFonts w:ascii="Times New Roman" w:hAnsi="Times New Roman"/>
          <w:color w:val="000000"/>
          <w:sz w:val="20"/>
        </w:rPr>
        <w:t xml:space="preserve"> </w:t>
      </w:r>
      <w:r>
        <w:rPr>
          <w:rFonts w:ascii="Arial" w:hAnsi="Arial"/>
          <w:color w:val="000000"/>
          <w:sz w:val="20"/>
        </w:rPr>
        <w:t>billion and $1.82</w:t>
      </w:r>
      <w:r>
        <w:rPr>
          <w:rFonts w:ascii="Times New Roman" w:hAnsi="Times New Roman"/>
          <w:color w:val="000000"/>
          <w:sz w:val="20"/>
        </w:rPr>
        <w:t xml:space="preserve"> </w:t>
      </w:r>
      <w:r>
        <w:rPr>
          <w:rFonts w:ascii="Arial" w:hAnsi="Arial"/>
          <w:color w:val="000000"/>
          <w:sz w:val="20"/>
        </w:rPr>
        <w:t>billion for the Inmarsat 2029 Notes, and $724.9</w:t>
      </w:r>
      <w:r>
        <w:rPr>
          <w:rFonts w:ascii="Times New Roman" w:hAnsi="Times New Roman"/>
          <w:color w:val="000000"/>
          <w:sz w:val="20"/>
        </w:rPr>
        <w:t xml:space="preserve"> </w:t>
      </w:r>
      <w:r>
        <w:rPr>
          <w:rFonts w:ascii="Arial" w:hAnsi="Arial"/>
          <w:color w:val="000000"/>
          <w:sz w:val="20"/>
        </w:rPr>
        <w:t>million and $552.8</w:t>
      </w:r>
      <w:r>
        <w:rPr>
          <w:rFonts w:ascii="Times New Roman" w:hAnsi="Times New Roman"/>
          <w:color w:val="000000"/>
          <w:sz w:val="20"/>
        </w:rPr>
        <w:t xml:space="preserve"> </w:t>
      </w:r>
      <w:r>
        <w:rPr>
          <w:rFonts w:ascii="Arial" w:hAnsi="Arial"/>
          <w:color w:val="000000"/>
          <w:sz w:val="20"/>
        </w:rPr>
        <w:t>million, respectively, for the 2031 Notes. During the first quarter of fiscal year 2026, Viasat's 5.625% Senior Notes due 2025 (the 2025 Notes) were redeemed in full, and as of March 31, 2025, their estimated fair value was Level 2 and $438.6</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Times New Roman" w:hAnsi="Times New Roman"/>
          <w:sz w:val="20"/>
        </w:rPr>
      </w:pPr>
      <w:r>
        <w:rPr>
          <w:rFonts w:ascii="Arial" w:hAnsi="Arial"/>
          <w:i/>
          <w:color w:val="000000"/>
          <w:sz w:val="20"/>
        </w:rPr>
        <w:t>Satellite performance incentive obligations</w:t>
      </w:r>
      <w:r>
        <w:rPr>
          <w:rFonts w:ascii="Times New Roman" w:hAnsi="Times New Roman"/>
          <w:color w:val="000000"/>
          <w:sz w:val="20"/>
        </w:rPr>
        <w:t xml:space="preserve"> — </w:t>
      </w:r>
      <w:r>
        <w:rPr>
          <w:rFonts w:ascii="Arial" w:hAnsi="Arial"/>
          <w:color w:val="000000"/>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March 31, 2026 and 2025, the Company’s estimated satellite performance incentive obligations relating to certain satellites in commercial service, including accrued interest, were $6.1</w:t>
      </w:r>
      <w:r>
        <w:rPr>
          <w:rFonts w:ascii="Times New Roman" w:hAnsi="Times New Roman"/>
          <w:color w:val="000000"/>
          <w:sz w:val="20"/>
        </w:rPr>
        <w:t xml:space="preserve"> </w:t>
      </w:r>
      <w:r>
        <w:rPr>
          <w:rFonts w:ascii="Arial" w:hAnsi="Arial"/>
          <w:color w:val="000000"/>
          <w:sz w:val="20"/>
        </w:rPr>
        <w:t>million and $11.4</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Contingencies</w:t>
      </w:r>
      <w:r>
        <w:rPr>
          <w:rFonts w:ascii="Times New Roman" w:hAnsi="Times New Roman"/>
          <w:color w:val="000000"/>
          <w:sz w:val="20"/>
        </w:rPr>
        <w:t xml:space="preserve"> — </w:t>
      </w:r>
      <w:r>
        <w:rPr>
          <w:rFonts w:ascii="Arial" w:hAnsi="Arial"/>
          <w:color w:val="000000"/>
          <w:sz w:val="20"/>
        </w:rPr>
        <w:t>In connection with the acquisition of the remaining 51% interest in Euro Broadband Infrastructure Sàrl (EBI) on April 30, 2021, part of the purchase price consideration was determined approximately two years after the closing date, and as a result, the Company received €20.0 million, or approximately $22.0 million, in cash and recorded a gain of approximately $18.1 million in the second quarter of fiscal year 2024 in selling, general and administrative expenses in the consolidated statements of operations and comprehensive income (loss).</w:t>
      </w:r>
      <w:r>
        <w:rPr>
          <w:rFonts w:ascii="Times New Roman" w:hAnsi="Times New Roman"/>
          <w:color w:val="000000"/>
          <w:sz w:val="20"/>
        </w:rPr>
        <w:t xml:space="preserve"> </w:t>
      </w:r>
      <w:r>
        <w:rPr>
          <w:rFonts w:ascii="Arial" w:hAnsi="Arial"/>
          <w:color w:val="000000"/>
          <w:sz w:val="20"/>
        </w:rPr>
        <w:t>The consideration paid was contingent based on certain outcomes as defined in the acquisition agreement. For each applicable reporting period, the Company estimated the fair value of the contingent consideration based on unobservable inputs and probability weightings using standard valuation techniques (Level 3). For fiscal year 2024, the change in fair value of the contingent consideration was immaterial.</w:t>
      </w:r>
    </w:p>
    <w:p>
      <w:pPr>
        <w:pStyle w:val="TextBody"/>
        <w:bidi w:val="0"/>
        <w:spacing w:before="180" w:after="283"/>
        <w:jc w:val="left"/>
        <w:rPr>
          <w:rFonts w:ascii="Arial" w:hAnsi="Arial"/>
          <w:b/>
          <w:color w:val="000000"/>
          <w:sz w:val="20"/>
        </w:rPr>
      </w:pPr>
      <w:r>
        <w:rPr>
          <w:rFonts w:ascii="Arial" w:hAnsi="Arial"/>
          <w:b/>
          <w:color w:val="000000"/>
          <w:sz w:val="20"/>
        </w:rPr>
        <w:t>Note 4 — Acquisition</w:t>
      </w:r>
    </w:p>
    <w:p>
      <w:pPr>
        <w:pStyle w:val="TextBody"/>
        <w:bidi w:val="0"/>
        <w:spacing w:before="90" w:after="283"/>
        <w:jc w:val="left"/>
        <w:rPr>
          <w:rFonts w:ascii="Times New Roman" w:hAnsi="Times New Roman"/>
          <w:sz w:val="20"/>
        </w:rPr>
      </w:pPr>
      <w:r>
        <w:rPr>
          <w:rFonts w:ascii="Arial" w:hAnsi="Arial"/>
          <w:color w:val="000000"/>
          <w:sz w:val="20"/>
        </w:rPr>
        <w:t>In May 2023, the Company completed the acquisition of all outstanding shares of Inmarsat Holdings, a privately held leading provider of global mobile satellite communications services. The Inmarsat Acquisition positions the Company as a leading global communications innovator with enhanced scale and scope to connect the world affordably, securely and reliably. The complementary assets and resources of the combined company position the Company to provide advanced new services in mobile and fixed segments, driving greater customer choice in broadband communications and narrowband services (including the Internet of Things (IoT)). These benefits and additional opportunities were among the factors that contributed to a purchase price resulting in the recognition of goodwill of $1.5</w:t>
      </w:r>
      <w:r>
        <w:rPr>
          <w:rFonts w:ascii="Times New Roman" w:hAnsi="Times New Roman"/>
          <w:color w:val="000000"/>
          <w:sz w:val="20"/>
        </w:rPr>
        <w:t xml:space="preserve"> </w:t>
      </w:r>
      <w:r>
        <w:rPr>
          <w:rFonts w:ascii="Arial" w:hAnsi="Arial"/>
          <w:color w:val="000000"/>
          <w:sz w:val="20"/>
        </w:rPr>
        <w:t>billion which was recognized in the Company's communication services segment. The goodwill recognized was not deductible for U.S. and foreign income tax purposes.</w:t>
      </w:r>
    </w:p>
    <w:p>
      <w:pPr>
        <w:pStyle w:val="TextBody"/>
        <w:bidi w:val="0"/>
        <w:spacing w:before="240" w:after="283"/>
        <w:jc w:val="center"/>
        <w:rPr>
          <w:rFonts w:ascii="Arial" w:hAnsi="Arial"/>
          <w:color w:val="000000"/>
          <w:sz w:val="20"/>
        </w:rPr>
      </w:pPr>
      <w:r>
        <w:rPr>
          <w:rFonts w:ascii="Arial" w:hAnsi="Arial"/>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90" w:after="283"/>
        <w:jc w:val="left"/>
        <w:rPr>
          <w:rFonts w:ascii="Times New Roman" w:hAnsi="Times New Roman"/>
          <w:sz w:val="20"/>
        </w:rPr>
      </w:pPr>
      <w:r>
        <w:rPr>
          <w:rFonts w:ascii="Arial" w:hAnsi="Arial"/>
          <w:color w:val="000000"/>
          <w:sz w:val="20"/>
        </w:rPr>
        <w:t>The consideration transferred of approximately $2.7</w:t>
      </w:r>
      <w:r>
        <w:rPr>
          <w:rFonts w:ascii="Times New Roman" w:hAnsi="Times New Roman"/>
          <w:color w:val="000000"/>
          <w:sz w:val="20"/>
        </w:rPr>
        <w:t xml:space="preserve"> </w:t>
      </w:r>
      <w:r>
        <w:rPr>
          <w:rFonts w:ascii="Arial" w:hAnsi="Arial"/>
          <w:color w:val="000000"/>
          <w:sz w:val="20"/>
        </w:rPr>
        <w:t>billion was comprised of $2.1</w:t>
      </w:r>
      <w:r>
        <w:rPr>
          <w:rFonts w:ascii="Times New Roman" w:hAnsi="Times New Roman"/>
          <w:color w:val="000000"/>
          <w:sz w:val="20"/>
        </w:rPr>
        <w:t xml:space="preserve"> </w:t>
      </w:r>
      <w:r>
        <w:rPr>
          <w:rFonts w:ascii="Arial" w:hAnsi="Arial"/>
          <w:color w:val="000000"/>
          <w:sz w:val="20"/>
        </w:rPr>
        <w:t>billion of the fair value of approximately 46.36</w:t>
      </w:r>
      <w:r>
        <w:rPr>
          <w:rFonts w:ascii="Times New Roman" w:hAnsi="Times New Roman"/>
          <w:color w:val="000000"/>
          <w:sz w:val="20"/>
        </w:rPr>
        <w:t xml:space="preserve"> </w:t>
      </w:r>
      <w:r>
        <w:rPr>
          <w:rFonts w:ascii="Arial" w:hAnsi="Arial"/>
          <w:color w:val="000000"/>
          <w:sz w:val="20"/>
        </w:rPr>
        <w:t>million shares of the Company’s common stock issued at the closing of the transaction and $550.7</w:t>
      </w:r>
      <w:r>
        <w:rPr>
          <w:rFonts w:ascii="Times New Roman" w:hAnsi="Times New Roman"/>
          <w:color w:val="000000"/>
          <w:sz w:val="20"/>
        </w:rPr>
        <w:t xml:space="preserve"> </w:t>
      </w:r>
      <w:r>
        <w:rPr>
          <w:rFonts w:ascii="Arial" w:hAnsi="Arial"/>
          <w:color w:val="000000"/>
          <w:sz w:val="20"/>
        </w:rPr>
        <w:t>million in cash consideration. In connection with the Inmarsat Acquisition, the Company recorded acquisition-related transaction costs of $31.3</w:t>
      </w:r>
      <w:r>
        <w:rPr>
          <w:rFonts w:ascii="Times New Roman" w:hAnsi="Times New Roman"/>
          <w:color w:val="000000"/>
          <w:sz w:val="20"/>
        </w:rPr>
        <w:t xml:space="preserve"> </w:t>
      </w:r>
      <w:r>
        <w:rPr>
          <w:rFonts w:ascii="Arial" w:hAnsi="Arial"/>
          <w:color w:val="000000"/>
          <w:sz w:val="20"/>
        </w:rPr>
        <w:t>million during fiscal year 2024, included in selling, general and administrative expenses.</w:t>
      </w:r>
    </w:p>
    <w:p>
      <w:pPr>
        <w:pStyle w:val="TextBody"/>
        <w:bidi w:val="0"/>
        <w:spacing w:before="180" w:after="283"/>
        <w:jc w:val="left"/>
        <w:rPr>
          <w:rFonts w:ascii="Arial" w:hAnsi="Arial"/>
          <w:color w:val="000000"/>
          <w:sz w:val="20"/>
        </w:rPr>
      </w:pPr>
      <w:r>
        <w:rPr>
          <w:rFonts w:ascii="Arial" w:hAnsi="Arial"/>
          <w:color w:val="000000"/>
          <w:sz w:val="20"/>
        </w:rPr>
        <w:t>The purchase price allocation of the acquired assets and assumed liabilities in the Inmarsat Acquisition based on the estimated fair values as of May 30, 2023, adjusted since the closing of the Inmarsat Acquisition, primarily between property, equipment and satellites, identifiable intangible assets, deferred tax liabilities and goodwill, was as follows:</w:t>
      </w:r>
    </w:p>
    <w:p>
      <w:pPr>
        <w:pStyle w:val="TextBody"/>
        <w:bidi w:val="0"/>
        <w:spacing w:before="90" w:after="283"/>
        <w:jc w:val="left"/>
        <w:rPr/>
      </w:pPr>
      <w:r>
        <w:rPr/>
        <w:t> </w:t>
      </w:r>
    </w:p>
    <w:tbl>
      <w:tblPr>
        <w:tblW w:w="5873" w:type="dxa"/>
        <w:jc w:val="left"/>
        <w:tblInd w:w="0" w:type="dxa"/>
        <w:tblLayout w:type="fixed"/>
        <w:tblCellMar>
          <w:top w:w="28" w:type="dxa"/>
          <w:left w:w="28" w:type="dxa"/>
          <w:bottom w:w="28" w:type="dxa"/>
          <w:right w:w="28" w:type="dxa"/>
        </w:tblCellMar>
      </w:tblPr>
      <w:tblGrid>
        <w:gridCol w:w="3961"/>
        <w:gridCol w:w="146"/>
        <w:gridCol w:w="218"/>
        <w:gridCol w:w="1057"/>
        <w:gridCol w:w="4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641,893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equipment and satellites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4,363,049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Identifiable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2,570,000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388,745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assets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7,963,687</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(598,296</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Long-term debt, excluding short-term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(3,519,774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(2,629,406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liabilities assumed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(6,747,476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1,462,881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consideration transferred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2,679,092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r>
        <w:rPr>
          <w:rFonts w:ascii="Arial" w:hAnsi="Arial"/>
          <w:color w:val="000000"/>
          <w:sz w:val="20"/>
        </w:rPr>
        <w:t>Current liabilities and other long-term liabilities included approximately $29.6</w:t>
      </w:r>
      <w:r>
        <w:rPr>
          <w:rFonts w:ascii="Times New Roman" w:hAnsi="Times New Roman"/>
          <w:color w:val="000000"/>
          <w:sz w:val="20"/>
        </w:rPr>
        <w:t xml:space="preserve"> </w:t>
      </w:r>
      <w:r>
        <w:rPr>
          <w:rFonts w:ascii="Arial" w:hAnsi="Arial"/>
          <w:color w:val="000000"/>
          <w:sz w:val="20"/>
        </w:rPr>
        <w:t>million and $248.3</w:t>
      </w:r>
      <w:r>
        <w:rPr>
          <w:rFonts w:ascii="Times New Roman" w:hAnsi="Times New Roman"/>
          <w:color w:val="000000"/>
          <w:sz w:val="20"/>
        </w:rPr>
        <w:t xml:space="preserve"> </w:t>
      </w:r>
      <w:r>
        <w:rPr>
          <w:rFonts w:ascii="Arial" w:hAnsi="Arial"/>
          <w:color w:val="000000"/>
          <w:sz w:val="20"/>
        </w:rPr>
        <w:t>million, respectively, of unfavorable contract liabilities amortized into service revenue over a weighted average estimated useful life of approximately nine years. Amounts assigned to identifiable intangible assets are being amortized on a straight-line basis over their determined useful lives (which approximates the economic pattern of benefit) and were as follows as of May 30, 2023:</w:t>
      </w:r>
    </w:p>
    <w:p>
      <w:pPr>
        <w:pStyle w:val="TextBody"/>
        <w:bidi w:val="0"/>
        <w:spacing w:before="90" w:after="283"/>
        <w:jc w:val="left"/>
        <w:rPr/>
      </w:pPr>
      <w:r>
        <w:rPr/>
        <w:t> </w:t>
      </w:r>
    </w:p>
    <w:tbl>
      <w:tblPr>
        <w:tblW w:w="7425" w:type="dxa"/>
        <w:jc w:val="left"/>
        <w:tblInd w:w="0" w:type="dxa"/>
        <w:tblLayout w:type="fixed"/>
        <w:tblCellMar>
          <w:top w:w="28" w:type="dxa"/>
          <w:left w:w="28" w:type="dxa"/>
          <w:bottom w:w="28" w:type="dxa"/>
          <w:right w:w="28" w:type="dxa"/>
        </w:tblCellMar>
      </w:tblPr>
      <w:tblGrid>
        <w:gridCol w:w="3076"/>
        <w:gridCol w:w="146"/>
        <w:gridCol w:w="229"/>
        <w:gridCol w:w="1046"/>
        <w:gridCol w:w="146"/>
        <w:gridCol w:w="146"/>
        <w:gridCol w:w="771"/>
        <w:gridCol w:w="1674"/>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 Useful Life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Orbital slots and spectrum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identifiable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Arial" w:hAnsi="Arial"/>
          <w:color w:val="000000"/>
          <w:sz w:val="20"/>
        </w:rPr>
      </w:pPr>
      <w:r>
        <w:rPr>
          <w:rFonts w:ascii="Arial" w:hAnsi="Arial"/>
          <w:color w:val="000000"/>
          <w:sz w:val="20"/>
        </w:rPr>
        <w:t>Management determined the fair value of acquired customer relationships by applying the multi-period excess earnings method, which involved the use of significant judgments and assumptions related to revenue growth rates, customer attrition rates, discount rates, and contributory asset charges. Additionally, management determined the fair value of acquired orbital slots and spectrum assets using an avoided cost method, which involved the use of significant judgments and assumptions related to hypothetical lease payments, discount rates, and contributory asset charges.</w:t>
      </w:r>
    </w:p>
    <w:p>
      <w:pPr>
        <w:pStyle w:val="TextBody"/>
        <w:bidi w:val="0"/>
        <w:spacing w:before="180" w:after="283"/>
        <w:jc w:val="left"/>
        <w:rPr>
          <w:rFonts w:ascii="Arial" w:hAnsi="Arial"/>
          <w:color w:val="000000"/>
          <w:sz w:val="20"/>
        </w:rPr>
      </w:pPr>
      <w:r>
        <w:rPr>
          <w:rFonts w:ascii="Arial" w:hAnsi="Arial"/>
          <w:color w:val="000000"/>
          <w:sz w:val="20"/>
        </w:rPr>
        <w:t>The intangible assets acquired in the Inmarsat Acquisition were determined in accordance with ASC 805, based on estimated fair values using valuation techniques consistent with the market approach, income approach and/or cost approach to measure fair value.</w:t>
      </w:r>
    </w:p>
    <w:p>
      <w:pPr>
        <w:pStyle w:val="TextBody"/>
        <w:bidi w:val="0"/>
        <w:spacing w:before="90" w:after="283"/>
        <w:jc w:val="left"/>
        <w:rPr>
          <w:rFonts w:ascii="Times New Roman" w:hAnsi="Times New Roman"/>
          <w:sz w:val="20"/>
        </w:rPr>
      </w:pPr>
      <w:r>
        <w:rPr>
          <w:rFonts w:ascii="Arial" w:hAnsi="Arial"/>
          <w:color w:val="000000"/>
          <w:sz w:val="20"/>
        </w:rPr>
        <w:t>The consolidated financial statements include the operating results of Inmarsat from the date of acquisition. The Company recorded approximately $1.4</w:t>
      </w:r>
      <w:r>
        <w:rPr>
          <w:rFonts w:ascii="Times New Roman" w:hAnsi="Times New Roman"/>
          <w:color w:val="000000"/>
          <w:sz w:val="20"/>
        </w:rPr>
        <w:t xml:space="preserve"> </w:t>
      </w:r>
      <w:r>
        <w:rPr>
          <w:rFonts w:ascii="Arial" w:hAnsi="Arial"/>
          <w:color w:val="000000"/>
          <w:sz w:val="20"/>
        </w:rPr>
        <w:t>billion in revenue and $214.6</w:t>
      </w:r>
      <w:r>
        <w:rPr>
          <w:rFonts w:ascii="Times New Roman" w:hAnsi="Times New Roman"/>
          <w:color w:val="000000"/>
          <w:sz w:val="20"/>
        </w:rPr>
        <w:t xml:space="preserve"> </w:t>
      </w:r>
      <w:r>
        <w:rPr>
          <w:rFonts w:ascii="Arial" w:hAnsi="Arial"/>
          <w:color w:val="000000"/>
          <w:sz w:val="20"/>
        </w:rPr>
        <w:t>million of net loss during fiscal year 2024 from the Inmarsat business following the acquisition date, which were recorded in the Company's communication services segment in the consolidated statements of operations and comprehensive income (loss).</w:t>
      </w:r>
    </w:p>
    <w:p>
      <w:pPr>
        <w:pStyle w:val="TextBody"/>
        <w:bidi w:val="0"/>
        <w:spacing w:before="240" w:after="283"/>
        <w:jc w:val="center"/>
        <w:rPr>
          <w:rFonts w:ascii="Arial" w:hAnsi="Arial"/>
          <w:color w:val="000000"/>
          <w:sz w:val="20"/>
        </w:rPr>
      </w:pPr>
      <w:r>
        <w:rPr>
          <w:rFonts w:ascii="Arial" w:hAnsi="Arial"/>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90" w:after="283"/>
        <w:jc w:val="left"/>
        <w:rPr>
          <w:rFonts w:ascii="Times New Roman" w:hAnsi="Times New Roman"/>
          <w:sz w:val="20"/>
        </w:rPr>
      </w:pPr>
      <w:r>
        <w:rPr>
          <w:rFonts w:ascii="Arial" w:hAnsi="Arial"/>
          <w:color w:val="000000"/>
          <w:sz w:val="20"/>
        </w:rPr>
        <w:t>In November 2023, as a part of an important milestone in the Company’s integration program following the Inmarsat Acquisition and as part of the Company’s ongoing strategy to streamline operations and better serve the Company’s growing customer base, the Company completed work on the rationalization of roles in the Company’s global business, which was intended to achieve both operational and cost efficiencies. As part of the role rationalization, the Company reduced its global workforce and recorded total costs (primarily related to employee severance payments, benefits and related termination costs) of approximately $48</w:t>
      </w:r>
      <w:r>
        <w:rPr>
          <w:rFonts w:ascii="Times New Roman" w:hAnsi="Times New Roman"/>
          <w:color w:val="000000"/>
          <w:sz w:val="20"/>
        </w:rPr>
        <w:t xml:space="preserve"> </w:t>
      </w:r>
      <w:r>
        <w:rPr>
          <w:rFonts w:ascii="Arial" w:hAnsi="Arial"/>
          <w:color w:val="000000"/>
          <w:sz w:val="20"/>
        </w:rPr>
        <w:t>million during fiscal year 2024. These one-time costs were recorded within operating expenses in the Company’s consolidated statements of operations and comprehensive income (loss) in both of the Company’s segments.</w:t>
      </w:r>
    </w:p>
    <w:p>
      <w:pPr>
        <w:pStyle w:val="TextBody"/>
        <w:bidi w:val="0"/>
        <w:spacing w:before="180" w:after="283"/>
        <w:jc w:val="left"/>
        <w:rPr>
          <w:rFonts w:ascii="Arial" w:hAnsi="Arial"/>
          <w:i/>
          <w:color w:val="000000"/>
          <w:sz w:val="20"/>
        </w:rPr>
      </w:pPr>
      <w:r>
        <w:rPr>
          <w:rFonts w:ascii="Arial" w:hAnsi="Arial"/>
          <w:i/>
          <w:color w:val="000000"/>
          <w:sz w:val="20"/>
        </w:rPr>
        <w:t>Unaudited Pro Forma Financial Information</w:t>
      </w:r>
    </w:p>
    <w:p>
      <w:pPr>
        <w:pStyle w:val="TextBody"/>
        <w:bidi w:val="0"/>
        <w:spacing w:before="90" w:after="283"/>
        <w:jc w:val="left"/>
        <w:rPr>
          <w:rFonts w:ascii="Arial" w:hAnsi="Arial"/>
          <w:color w:val="000000"/>
          <w:sz w:val="20"/>
        </w:rPr>
      </w:pPr>
      <w:r>
        <w:rPr>
          <w:rFonts w:ascii="Arial" w:hAnsi="Arial"/>
          <w:color w:val="000000"/>
          <w:sz w:val="20"/>
        </w:rPr>
        <w:t>The unaudited financial information in the table below summarizes the combined results of operations for the Company and Inmarsat on a pro forma basis, as though the companies had been combined as of the beginning of fiscal year 2023, April 1, 2022. The pro forma information is presented for informational purposes only and may not be indicative of the results of operations that would have been achieved if the acquisition had taken place at the beginning of the related fiscal period. The pro forma financial information for fiscal year 2024 includes the business combination accounting effects primarily related to the amortization and depreciation changes from acquired intangible and tangible assets, interest expense from the debt issued to finance the acquisition, acquisition-related transaction costs and related tax effects.</w:t>
      </w:r>
    </w:p>
    <w:p>
      <w:pPr>
        <w:pStyle w:val="TextBody"/>
        <w:bidi w:val="0"/>
        <w:spacing w:before="90" w:after="283"/>
        <w:jc w:val="left"/>
        <w:rPr/>
      </w:pPr>
      <w:r>
        <w:rPr/>
        <w:t> </w:t>
      </w:r>
    </w:p>
    <w:tbl>
      <w:tblPr>
        <w:tblW w:w="5833" w:type="dxa"/>
        <w:jc w:val="left"/>
        <w:tblInd w:w="0" w:type="dxa"/>
        <w:tblLayout w:type="fixed"/>
        <w:tblCellMar>
          <w:top w:w="28" w:type="dxa"/>
          <w:left w:w="28" w:type="dxa"/>
          <w:bottom w:w="28" w:type="dxa"/>
          <w:right w:w="28" w:type="dxa"/>
        </w:tblCellMar>
      </w:tblPr>
      <w:tblGrid>
        <w:gridCol w:w="3961"/>
        <w:gridCol w:w="146"/>
        <w:gridCol w:w="259"/>
        <w:gridCol w:w="1256"/>
        <w:gridCol w:w="21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4,565,433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attributable to Viasat,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(1,014,047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Note 5 — Goodwill and Acquired Intangible Assets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During fiscal years 2026 and 2025, the Company’s goodwill remained flat.</w:t>
      </w:r>
    </w:p>
    <w:p>
      <w:pPr>
        <w:pStyle w:val="TextBody"/>
        <w:bidi w:val="0"/>
        <w:spacing w:before="180" w:after="283"/>
        <w:jc w:val="left"/>
        <w:rPr>
          <w:rFonts w:ascii="Times New Roman" w:hAnsi="Times New Roman"/>
          <w:sz w:val="20"/>
        </w:rPr>
      </w:pPr>
      <w:r>
        <w:rPr>
          <w:rFonts w:ascii="Arial" w:hAnsi="Arial"/>
          <w:color w:val="000000"/>
          <w:sz w:val="20"/>
        </w:rPr>
        <w:t>Goodwill by segment as of March 31, 2026 and 2025 was as follows:</w:t>
      </w:r>
      <w:r>
        <w:rPr>
          <w:rFonts w:ascii="Times New Roman" w:hAnsi="Times New Roman"/>
          <w:color w:val="000000"/>
          <w:sz w:val="20"/>
        </w:rPr>
        <w:t xml:space="preserve"> </w:t>
      </w:r>
    </w:p>
    <w:p>
      <w:pPr>
        <w:pStyle w:val="TextBody"/>
        <w:bidi w:val="0"/>
        <w:jc w:val="left"/>
        <w:rPr/>
      </w:pPr>
      <w:r>
        <w:rPr/>
        <w:t> </w:t>
      </w:r>
    </w:p>
    <w:tbl>
      <w:tblPr>
        <w:tblW w:w="6420" w:type="dxa"/>
        <w:jc w:val="left"/>
        <w:tblInd w:w="0" w:type="dxa"/>
        <w:tblLayout w:type="fixed"/>
        <w:tblCellMar>
          <w:top w:w="28" w:type="dxa"/>
          <w:left w:w="28" w:type="dxa"/>
          <w:bottom w:w="28" w:type="dxa"/>
          <w:right w:w="28" w:type="dxa"/>
        </w:tblCellMar>
      </w:tblPr>
      <w:tblGrid>
        <w:gridCol w:w="3271"/>
        <w:gridCol w:w="146"/>
        <w:gridCol w:w="227"/>
        <w:gridCol w:w="1033"/>
        <w:gridCol w:w="146"/>
        <w:gridCol w:w="146"/>
        <w:gridCol w:w="227"/>
        <w:gridCol w:w="1033"/>
        <w:gridCol w:w="191"/>
      </w:tblGrid>
      <w:tr>
        <w:trPr/>
        <w:tc>
          <w:tcPr>
            <w:tcW w:w="3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Communication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1,582,083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Defense and advanced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1,625,013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1,622,132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sz w:val="20"/>
        </w:rPr>
      </w:pPr>
      <w:r>
        <w:rPr>
          <w:rFonts w:ascii="Arial" w:hAnsi="Arial"/>
          <w:color w:val="000000"/>
          <w:sz w:val="20"/>
        </w:rPr>
        <w:t>Acquired intangible assets are amortized using the straight-line method over their estimated useful lives of two to 12 years (which approximates the economic pattern of benefit).</w:t>
      </w:r>
      <w:r>
        <w:rPr>
          <w:rFonts w:ascii="Times New Roman" w:hAnsi="Times New Roman"/>
          <w:color w:val="000000"/>
          <w:sz w:val="20"/>
        </w:rPr>
        <w:t xml:space="preserve"> </w:t>
      </w:r>
      <w:r>
        <w:rPr>
          <w:rFonts w:ascii="Arial" w:hAnsi="Arial"/>
          <w:color w:val="000000"/>
          <w:sz w:val="20"/>
        </w:rPr>
        <w:t>Amortization expense related to acquired intangible assets was $260.7</w:t>
      </w:r>
      <w:r>
        <w:rPr>
          <w:rFonts w:ascii="Times New Roman" w:hAnsi="Times New Roman"/>
          <w:color w:val="000000"/>
          <w:sz w:val="20"/>
        </w:rPr>
        <w:t xml:space="preserve"> </w:t>
      </w:r>
      <w:r>
        <w:rPr>
          <w:rFonts w:ascii="Arial" w:hAnsi="Arial"/>
          <w:color w:val="000000"/>
          <w:sz w:val="20"/>
        </w:rPr>
        <w:t>million, $263.9</w:t>
      </w:r>
      <w:r>
        <w:rPr>
          <w:rFonts w:ascii="Times New Roman" w:hAnsi="Times New Roman"/>
          <w:color w:val="000000"/>
          <w:sz w:val="20"/>
        </w:rPr>
        <w:t xml:space="preserve"> </w:t>
      </w:r>
      <w:r>
        <w:rPr>
          <w:rFonts w:ascii="Arial" w:hAnsi="Arial"/>
          <w:color w:val="000000"/>
          <w:sz w:val="20"/>
        </w:rPr>
        <w:t>million and $227.2</w:t>
      </w:r>
      <w:r>
        <w:rPr>
          <w:rFonts w:ascii="Times New Roman" w:hAnsi="Times New Roman"/>
          <w:color w:val="000000"/>
          <w:sz w:val="20"/>
        </w:rPr>
        <w:t xml:space="preserve"> </w:t>
      </w:r>
      <w:r>
        <w:rPr>
          <w:rFonts w:ascii="Arial" w:hAnsi="Arial"/>
          <w:color w:val="000000"/>
          <w:sz w:val="20"/>
        </w:rPr>
        <w:t>million for fiscal years 2026, 2025 and 2024, respectively.</w:t>
      </w:r>
    </w:p>
    <w:p>
      <w:pPr>
        <w:pStyle w:val="TextBody"/>
        <w:bidi w:val="0"/>
        <w:spacing w:before="180" w:after="283"/>
        <w:jc w:val="left"/>
        <w:rPr>
          <w:rFonts w:ascii="Times New Roman" w:hAnsi="Times New Roman"/>
          <w:sz w:val="20"/>
        </w:rPr>
      </w:pPr>
      <w:r>
        <w:rPr>
          <w:rFonts w:ascii="Arial" w:hAnsi="Arial"/>
          <w:color w:val="000000"/>
          <w:sz w:val="20"/>
        </w:rPr>
        <w:t>Acquired intangible assets and the related accumulated amortization as of March 31, 2026 and 2025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2"/>
        <w:gridCol w:w="146"/>
        <w:gridCol w:w="263"/>
        <w:gridCol w:w="519"/>
        <w:gridCol w:w="146"/>
        <w:gridCol w:w="146"/>
        <w:gridCol w:w="196"/>
        <w:gridCol w:w="826"/>
        <w:gridCol w:w="146"/>
        <w:gridCol w:w="146"/>
        <w:gridCol w:w="220"/>
        <w:gridCol w:w="846"/>
        <w:gridCol w:w="166"/>
        <w:gridCol w:w="146"/>
        <w:gridCol w:w="196"/>
        <w:gridCol w:w="826"/>
        <w:gridCol w:w="146"/>
        <w:gridCol w:w="146"/>
        <w:gridCol w:w="196"/>
        <w:gridCol w:w="826"/>
        <w:gridCol w:w="146"/>
        <w:gridCol w:w="146"/>
        <w:gridCol w:w="220"/>
        <w:gridCol w:w="846"/>
        <w:gridCol w:w="166"/>
        <w:gridCol w:w="146"/>
        <w:gridCol w:w="196"/>
        <w:gridCol w:w="826"/>
        <w:gridCol w:w="193"/>
      </w:tblGrid>
      <w:tr>
        <w:trPr/>
        <w:tc>
          <w:tcPr>
            <w:tcW w:w="1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1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As of March 31,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Weighted</w:t>
              <w:br/>
              <w:t>Average</w:t>
              <w:br/>
              <w:t>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Net Book</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b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Net Book</w:t>
              <w:br/>
              <w:t>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20"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 thousands)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Contracts and 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1,432,934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(413,945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1,018,989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1,432,562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(280,309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1,152,253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Orbital slots and spectrum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1,088,600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(173,600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915,000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116,116</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Trade names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116,949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78,496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8,912</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other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2,879,053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(881,617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1,997,436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2,904,049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(633,272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2,270,777</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F-29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20"/>
        </w:rPr>
        <w:t>The expected amortization expense of amortizable acquired intangible assets may change due to the effects of foreign currency fluctuations as a result of international businesses acquired.</w:t>
      </w:r>
      <w:r>
        <w:rPr>
          <w:rFonts w:ascii="Times New Roman" w:hAnsi="Times New Roman"/>
          <w:color w:val="000000"/>
          <w:sz w:val="20"/>
        </w:rPr>
        <w:t xml:space="preserve"> </w:t>
      </w:r>
      <w:r>
        <w:rPr>
          <w:rFonts w:ascii="Arial" w:hAnsi="Arial"/>
          <w:color w:val="000000"/>
          <w:sz w:val="20"/>
        </w:rPr>
        <w:t>Expected amortization expense for acquired intangible assets for each of the following periods is as follows:</w:t>
      </w:r>
    </w:p>
    <w:tbl>
      <w:tblPr>
        <w:tblW w:w="4283" w:type="dxa"/>
        <w:jc w:val="left"/>
        <w:tblInd w:w="0" w:type="dxa"/>
        <w:tblLayout w:type="fixed"/>
        <w:tblCellMar>
          <w:top w:w="28" w:type="dxa"/>
          <w:left w:w="28" w:type="dxa"/>
          <w:bottom w:w="28" w:type="dxa"/>
          <w:right w:w="28" w:type="dxa"/>
        </w:tblCellMar>
      </w:tblPr>
      <w:tblGrid>
        <w:gridCol w:w="2671"/>
        <w:gridCol w:w="146"/>
        <w:gridCol w:w="229"/>
        <w:gridCol w:w="1046"/>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Amortization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263,329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263,291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262,266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247,160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234,951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726,439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1,997,436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pPr>
      <w:r>
        <w:rPr/>
        <w:t> </w:t>
      </w:r>
    </w:p>
    <w:p>
      <w:pPr>
        <w:pStyle w:val="TextBody"/>
        <w:bidi w:val="0"/>
        <w:spacing w:before="180" w:after="283"/>
        <w:jc w:val="left"/>
        <w:rPr>
          <w:rFonts w:ascii="Arial" w:hAnsi="Arial"/>
          <w:b/>
          <w:color w:val="000000"/>
          <w:sz w:val="20"/>
        </w:rPr>
      </w:pPr>
      <w:r>
        <w:rPr>
          <w:rFonts w:ascii="Arial" w:hAnsi="Arial"/>
          <w:b/>
          <w:color w:val="000000"/>
          <w:sz w:val="20"/>
        </w:rPr>
        <w:t>Note 6 — Leases</w:t>
      </w:r>
    </w:p>
    <w:p>
      <w:pPr>
        <w:pStyle w:val="TextBody"/>
        <w:bidi w:val="0"/>
        <w:spacing w:before="90" w:after="283"/>
        <w:jc w:val="left"/>
        <w:rPr>
          <w:rFonts w:ascii="Times New Roman" w:hAnsi="Times New Roman"/>
          <w:sz w:val="20"/>
        </w:rPr>
      </w:pPr>
      <w:r>
        <w:rPr>
          <w:rFonts w:ascii="Arial" w:hAnsi="Arial"/>
          <w:color w:val="000000"/>
          <w:sz w:val="20"/>
        </w:rPr>
        <w:t>The Company’s operating leases consist primarily of leases for office space, data centers and satellite ground facilities and have remaining terms that typically range</w:t>
      </w:r>
      <w:r>
        <w:rPr>
          <w:rFonts w:ascii="Times New Roman" w:hAnsi="Times New Roman"/>
          <w:color w:val="000000"/>
          <w:sz w:val="20"/>
        </w:rPr>
        <w:t xml:space="preserve"> </w:t>
      </w:r>
      <w:r>
        <w:rPr>
          <w:rFonts w:ascii="Arial" w:hAnsi="Arial"/>
          <w:color w:val="000000"/>
          <w:sz w:val="20"/>
        </w:rPr>
        <w:t>from less than one year</w:t>
      </w:r>
      <w:r>
        <w:rPr>
          <w:rFonts w:ascii="Times New Roman" w:hAnsi="Times New Roman"/>
          <w:color w:val="000000"/>
          <w:sz w:val="20"/>
        </w:rPr>
        <w:t xml:space="preserve"> </w:t>
      </w:r>
      <w:r>
        <w:rPr>
          <w:rFonts w:ascii="Arial" w:hAnsi="Arial"/>
          <w:color w:val="000000"/>
          <w:sz w:val="20"/>
        </w:rPr>
        <w:t>to 16 years, some of which include renewal options, and some of which include options to terminate the leases within one year.</w:t>
      </w:r>
      <w:r>
        <w:rPr>
          <w:rFonts w:ascii="Times New Roman" w:hAnsi="Times New Roman"/>
          <w:color w:val="000000"/>
          <w:sz w:val="20"/>
        </w:rPr>
        <w:t xml:space="preserve"> </w:t>
      </w:r>
      <w:r>
        <w:rPr>
          <w:rFonts w:ascii="Arial" w:hAnsi="Arial"/>
          <w:color w:val="000000"/>
          <w:sz w:val="20"/>
        </w:rPr>
        <w:t>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 in the consolidated balance sheets.</w:t>
      </w:r>
    </w:p>
    <w:p>
      <w:pPr>
        <w:pStyle w:val="TextBody"/>
        <w:bidi w:val="0"/>
        <w:spacing w:before="180" w:after="283"/>
        <w:jc w:val="left"/>
        <w:rPr>
          <w:rFonts w:ascii="Times New Roman" w:hAnsi="Times New Roman"/>
          <w:sz w:val="20"/>
        </w:rPr>
      </w:pPr>
      <w:r>
        <w:rPr>
          <w:rFonts w:ascii="Arial" w:hAnsi="Arial"/>
          <w:color w:val="000000"/>
          <w:sz w:val="20"/>
        </w:rPr>
        <w:t>The Company’s finance leases consist primarily of satellite lifetime Ka-band capacity leases and have remaining terms from less than one year</w:t>
      </w:r>
      <w:r>
        <w:rPr>
          <w:rFonts w:ascii="Times New Roman" w:hAnsi="Times New Roman"/>
          <w:color w:val="000000"/>
          <w:sz w:val="20"/>
        </w:rPr>
        <w:t xml:space="preserve"> </w:t>
      </w:r>
      <w:r>
        <w:rPr>
          <w:rFonts w:ascii="Arial" w:hAnsi="Arial"/>
          <w:color w:val="000000"/>
          <w:sz w:val="20"/>
        </w:rPr>
        <w:t>to 14 years. The Company reports assets obtained under finance leases in property, equipment and satellites, net and the current and non-current portions of its finance lease liabilities in current portion of long-term debt and other long-term debt, respectively, in the consolidated balance sheets.</w:t>
      </w:r>
    </w:p>
    <w:p>
      <w:pPr>
        <w:pStyle w:val="TextBody"/>
        <w:bidi w:val="0"/>
        <w:spacing w:before="240" w:after="283"/>
        <w:jc w:val="center"/>
        <w:rPr>
          <w:rFonts w:ascii="Arial" w:hAnsi="Arial"/>
          <w:color w:val="000000"/>
          <w:sz w:val="20"/>
        </w:rPr>
      </w:pPr>
      <w:r>
        <w:rPr>
          <w:rFonts w:ascii="Arial" w:hAnsi="Arial"/>
          <w:color w:val="000000"/>
          <w:sz w:val="20"/>
        </w:rPr>
        <w:t>F-30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color w:val="000000"/>
          <w:sz w:val="20"/>
        </w:rPr>
      </w:pPr>
      <w:r>
        <w:rPr>
          <w:rFonts w:ascii="Arial" w:hAnsi="Arial"/>
          <w:color w:val="000000"/>
          <w:sz w:val="20"/>
        </w:rPr>
        <w:t>The components of the Company's lease costs, weighted average lease terms and discount rates are presented in the tables below:</w:t>
      </w:r>
    </w:p>
    <w:p>
      <w:pPr>
        <w:pStyle w:val="TextBody"/>
        <w:bidi w:val="0"/>
        <w:jc w:val="left"/>
        <w:rPr/>
      </w:pPr>
      <w:r>
        <w:rPr/>
        <w:t> </w:t>
      </w:r>
    </w:p>
    <w:tbl>
      <w:tblPr>
        <w:tblW w:w="9987" w:type="dxa"/>
        <w:jc w:val="left"/>
        <w:tblInd w:w="0" w:type="dxa"/>
        <w:tblLayout w:type="fixed"/>
        <w:tblCellMar>
          <w:top w:w="28" w:type="dxa"/>
          <w:left w:w="28" w:type="dxa"/>
          <w:bottom w:w="28" w:type="dxa"/>
          <w:right w:w="28" w:type="dxa"/>
        </w:tblCellMar>
      </w:tblPr>
      <w:tblGrid>
        <w:gridCol w:w="5006"/>
        <w:gridCol w:w="146"/>
        <w:gridCol w:w="264"/>
        <w:gridCol w:w="996"/>
        <w:gridCol w:w="146"/>
        <w:gridCol w:w="146"/>
        <w:gridCol w:w="264"/>
        <w:gridCol w:w="996"/>
        <w:gridCol w:w="146"/>
        <w:gridCol w:w="146"/>
        <w:gridCol w:w="264"/>
        <w:gridCol w:w="996"/>
        <w:gridCol w:w="471"/>
      </w:tblGrid>
      <w:tr>
        <w:trPr/>
        <w:tc>
          <w:tcPr>
            <w:tcW w:w="5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105,365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Depreciation of assets obtained under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11,824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13,990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13,214</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176,460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146,411</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87" w:type="dxa"/>
        <w:jc w:val="left"/>
        <w:tblInd w:w="0" w:type="dxa"/>
        <w:tblLayout w:type="fixed"/>
        <w:tblCellMar>
          <w:top w:w="28" w:type="dxa"/>
          <w:left w:w="28" w:type="dxa"/>
          <w:bottom w:w="28" w:type="dxa"/>
          <w:right w:w="28" w:type="dxa"/>
        </w:tblCellMar>
      </w:tblPr>
      <w:tblGrid>
        <w:gridCol w:w="4486"/>
        <w:gridCol w:w="146"/>
        <w:gridCol w:w="293"/>
        <w:gridCol w:w="967"/>
        <w:gridCol w:w="286"/>
        <w:gridCol w:w="146"/>
        <w:gridCol w:w="293"/>
        <w:gridCol w:w="967"/>
        <w:gridCol w:w="286"/>
        <w:gridCol w:w="146"/>
        <w:gridCol w:w="350"/>
        <w:gridCol w:w="910"/>
        <w:gridCol w:w="6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Lease term and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The following table details components of the consolidated statements of cash flows for operating and finance leases: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59"/>
        <w:gridCol w:w="146"/>
        <w:gridCol w:w="273"/>
        <w:gridCol w:w="899"/>
        <w:gridCol w:w="146"/>
        <w:gridCol w:w="146"/>
        <w:gridCol w:w="251"/>
        <w:gridCol w:w="947"/>
        <w:gridCol w:w="146"/>
        <w:gridCol w:w="146"/>
        <w:gridCol w:w="273"/>
        <w:gridCol w:w="899"/>
        <w:gridCol w:w="474"/>
      </w:tblGrid>
      <w:tr>
        <w:trPr/>
        <w:tc>
          <w:tcPr>
            <w:tcW w:w="5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5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4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93,350</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4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2,074</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4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11,941</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Right-of-use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45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29,035</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45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1,946</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F-31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The following table presents maturities of the Company’s lease liabilities as of March 31, 2026:</w:t>
      </w:r>
    </w:p>
    <w:p>
      <w:pPr>
        <w:pStyle w:val="TextBody"/>
        <w:bidi w:val="0"/>
        <w:jc w:val="left"/>
        <w:rPr/>
      </w:pPr>
      <w:r>
        <w:rPr/>
        <w:t> </w:t>
      </w:r>
    </w:p>
    <w:tbl>
      <w:tblPr>
        <w:tblW w:w="6765" w:type="dxa"/>
        <w:jc w:val="left"/>
        <w:tblInd w:w="0" w:type="dxa"/>
        <w:tblLayout w:type="fixed"/>
        <w:tblCellMar>
          <w:top w:w="28" w:type="dxa"/>
          <w:left w:w="28" w:type="dxa"/>
          <w:bottom w:w="28" w:type="dxa"/>
          <w:right w:w="28" w:type="dxa"/>
        </w:tblCellMar>
      </w:tblPr>
      <w:tblGrid>
        <w:gridCol w:w="3301"/>
        <w:gridCol w:w="146"/>
        <w:gridCol w:w="314"/>
        <w:gridCol w:w="1186"/>
        <w:gridCol w:w="146"/>
        <w:gridCol w:w="146"/>
        <w:gridCol w:w="279"/>
        <w:gridCol w:w="1056"/>
        <w:gridCol w:w="1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Operating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Leases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for fiscal year 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225,868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157,785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lease payments required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258,946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119,994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490,961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138,952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March 31, 2026, the Company had additional operating and finance leases that have not yet commenced, with total lease obligations of approximately $92.7</w:t>
      </w:r>
      <w:r>
        <w:rPr>
          <w:rFonts w:ascii="Times New Roman" w:hAnsi="Times New Roman"/>
          <w:color w:val="000000"/>
          <w:sz w:val="20"/>
        </w:rPr>
        <w:t xml:space="preserve"> </w:t>
      </w:r>
      <w:r>
        <w:rPr>
          <w:rFonts w:ascii="Arial" w:hAnsi="Arial"/>
          <w:color w:val="000000"/>
          <w:sz w:val="20"/>
        </w:rPr>
        <w:t>million. These operating and finance leases will commence between fiscal year 2027 and fiscal year 2030 with lease terms of three to 16 years.</w:t>
      </w:r>
    </w:p>
    <w:p>
      <w:pPr>
        <w:pStyle w:val="TextBody"/>
        <w:bidi w:val="0"/>
        <w:spacing w:before="240" w:after="283"/>
        <w:jc w:val="center"/>
        <w:rPr>
          <w:rFonts w:ascii="Arial" w:hAnsi="Arial"/>
          <w:color w:val="000000"/>
          <w:sz w:val="20"/>
        </w:rPr>
      </w:pPr>
      <w:r>
        <w:rPr>
          <w:rFonts w:ascii="Arial" w:hAnsi="Arial"/>
          <w:color w:val="000000"/>
          <w:sz w:val="20"/>
        </w:rPr>
        <w:t>F-32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b/>
          <w:color w:val="000000"/>
          <w:sz w:val="20"/>
        </w:rPr>
        <w:t>Note 7 — Senior Notes and Other Long-Term Debt</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Total long-term debt consisted of the following as of March 31, 2026 and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8"/>
        <w:gridCol w:w="146"/>
        <w:gridCol w:w="223"/>
        <w:gridCol w:w="1015"/>
        <w:gridCol w:w="166"/>
        <w:gridCol w:w="146"/>
        <w:gridCol w:w="223"/>
        <w:gridCol w:w="1015"/>
        <w:gridCol w:w="213"/>
      </w:tblGrid>
      <w:tr>
        <w:trPr/>
        <w:tc>
          <w:tcPr>
            <w:tcW w:w="7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br/>
              <w:t>March 31, 2025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2022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673,750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680,750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2023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607,450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Original Inmarsat Term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Term Loan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1,287,000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Ex-Im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Former Ex-Im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19,652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Viasat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2025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442,550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600,000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400,000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Inmarsat 2029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733,400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Finance lease obligations</w:t>
            </w:r>
            <w:r>
              <w:rPr>
                <w:rFonts w:ascii="Times New Roman" w:hAnsi="Times New Roman"/>
                <w:color w:val="000000"/>
                <w:sz w:val="20"/>
              </w:rPr>
              <w:t> </w:t>
            </w:r>
            <w:r>
              <w:rPr>
                <w:rFonts w:ascii="Arial" w:hAnsi="Arial"/>
                <w:color w:val="000000"/>
                <w:sz w:val="20"/>
              </w:rPr>
              <w:t>(see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138,952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158,473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6,585,115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7,204,275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discount, debt issuance costs and fair value adjustments made in purchase accounting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(168,166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503,825</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6,390,852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6,532,284</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estimated aggregate amounts and timing of payments on the Company’s long-term debt obligations as of March 31, 2026 for the next five fiscal years and thereafter were as follows (excluding the effects of discount accretion under the Notes, the Term Loan Facilities and the Ex-Im Credit Facility):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576"/>
        <w:gridCol w:w="146"/>
        <w:gridCol w:w="228"/>
        <w:gridCol w:w="1042"/>
        <w:gridCol w:w="213"/>
      </w:tblGrid>
      <w:tr>
        <w:trPr/>
        <w:tc>
          <w:tcPr>
            <w:tcW w:w="8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For the Fiscal Years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57,753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655,322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1,108,693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3,246,671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1,341,337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175,339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85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6,585,115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discount, debt issuance costs and fair value adjustments made in purchase accounting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(136,510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85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6,448,605</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F-33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90" w:after="283"/>
        <w:jc w:val="left"/>
        <w:rPr>
          <w:rFonts w:ascii="Times New Roman" w:hAnsi="Times New Roman"/>
          <w:sz w:val="20"/>
        </w:rPr>
      </w:pPr>
      <w:r>
        <w:rPr>
          <w:rFonts w:ascii="Arial" w:hAnsi="Arial"/>
          <w:b/>
          <w:i/>
          <w:color w:val="000000"/>
          <w:sz w:val="20"/>
        </w:rPr>
        <w:t>2022 Term Loan Facility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In March 2022, the Company entered into the $700.0</w:t>
      </w:r>
      <w:r>
        <w:rPr>
          <w:rFonts w:ascii="Times New Roman" w:hAnsi="Times New Roman"/>
          <w:color w:val="000000"/>
          <w:sz w:val="20"/>
        </w:rPr>
        <w:t xml:space="preserve"> </w:t>
      </w:r>
      <w:r>
        <w:rPr>
          <w:rFonts w:ascii="Arial" w:hAnsi="Arial"/>
          <w:color w:val="000000"/>
          <w:sz w:val="20"/>
        </w:rPr>
        <w:t>million 2022 Term Loan Facility, which was fully drawn at closing and matures on March 4, 2029. At March 31, 2026, the Company had $673.8</w:t>
      </w:r>
      <w:r>
        <w:rPr>
          <w:rFonts w:ascii="Times New Roman" w:hAnsi="Times New Roman"/>
          <w:color w:val="000000"/>
          <w:sz w:val="20"/>
        </w:rPr>
        <w:t xml:space="preserve"> </w:t>
      </w:r>
      <w:r>
        <w:rPr>
          <w:rFonts w:ascii="Arial" w:hAnsi="Arial"/>
          <w:color w:val="000000"/>
          <w:sz w:val="20"/>
        </w:rPr>
        <w:t>million in principal amount of outstanding borrowings under the 2022 Term Loan Facility.</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required to be repaid in quarterly installments of $1.75</w:t>
      </w:r>
      <w:r>
        <w:rPr>
          <w:rFonts w:ascii="Times New Roman" w:hAnsi="Times New Roman"/>
          <w:color w:val="000000"/>
          <w:sz w:val="20"/>
        </w:rPr>
        <w:t xml:space="preserve"> </w:t>
      </w:r>
      <w:r>
        <w:rPr>
          <w:rFonts w:ascii="Arial" w:hAnsi="Arial"/>
          <w:color w:val="000000"/>
          <w:sz w:val="20"/>
        </w:rPr>
        <w:t>million each, which commenced on September 30, 2022, followed by a final installment of $654.5</w:t>
      </w:r>
      <w:r>
        <w:rPr>
          <w:rFonts w:ascii="Times New Roman" w:hAnsi="Times New Roman"/>
          <w:color w:val="000000"/>
          <w:sz w:val="20"/>
        </w:rPr>
        <w:t xml:space="preserve"> </w:t>
      </w:r>
      <w:r>
        <w:rPr>
          <w:rFonts w:ascii="Arial" w:hAnsi="Arial"/>
          <w:color w:val="000000"/>
          <w:sz w:val="20"/>
        </w:rPr>
        <w:t>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March 31, 2026, the effective interest rate on the Company’s outstanding borrowings under the 2022 Term Loan Facility was 8.82%. The 2022 Term Loan Facility is required to be guaranteed by certain significant domestic subsidiaries of the Company (as defined in the 2022 Term Loan Facility) and secured by substantially all of the Company’s and any such subsidiaries’ assets. As of March 31, 2026, none of the Company’s subsidiaries guaranteed the 2022 Term Loan Facility.</w:t>
      </w:r>
    </w:p>
    <w:p>
      <w:pPr>
        <w:pStyle w:val="TextBody"/>
        <w:bidi w:val="0"/>
        <w:spacing w:before="180" w:after="283"/>
        <w:jc w:val="left"/>
        <w:rPr>
          <w:rFonts w:ascii="Arial" w:hAnsi="Arial"/>
          <w:color w:val="000000"/>
          <w:sz w:val="20"/>
        </w:rPr>
      </w:pPr>
      <w:r>
        <w:rPr>
          <w:rFonts w:ascii="Arial" w:hAnsi="Arial"/>
          <w:color w:val="000000"/>
          <w:sz w:val="20"/>
        </w:rPr>
        <w:t>The 2022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covenants under the 2022 Term Loan Facility as of March 31, 2026.</w:t>
      </w:r>
    </w:p>
    <w:p>
      <w:pPr>
        <w:pStyle w:val="TextBody"/>
        <w:bidi w:val="0"/>
        <w:spacing w:before="180" w:after="283"/>
        <w:jc w:val="left"/>
        <w:rPr>
          <w:rFonts w:ascii="Times New Roman" w:hAnsi="Times New Roman"/>
          <w:sz w:val="20"/>
        </w:rPr>
      </w:pPr>
      <w:r>
        <w:rPr>
          <w:rFonts w:ascii="Arial" w:hAnsi="Arial"/>
          <w:color w:val="000000"/>
          <w:sz w:val="20"/>
        </w:rPr>
        <w:t>Borrowings under the 2022 Term Loan Facility are recorded as current portion of long-term debt and as other long-term debt, net of unamortized discount and debt issuance costs, in the Company’s consolidated financial statements. The 2022 Term Loan Facility was issued with an original issue discount of 2.00%, or $14.0</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pStyle w:val="TextBody"/>
        <w:bidi w:val="0"/>
        <w:spacing w:before="270" w:after="283"/>
        <w:jc w:val="left"/>
        <w:rPr>
          <w:rFonts w:ascii="Arial" w:hAnsi="Arial"/>
          <w:b/>
          <w:i/>
          <w:color w:val="000000"/>
          <w:sz w:val="20"/>
        </w:rPr>
      </w:pPr>
      <w:r>
        <w:rPr>
          <w:rFonts w:ascii="Arial" w:hAnsi="Arial"/>
          <w:b/>
          <w:i/>
          <w:color w:val="000000"/>
          <w:sz w:val="20"/>
        </w:rPr>
        <w:t>2023 Term Loan Facility</w:t>
      </w:r>
    </w:p>
    <w:p>
      <w:pPr>
        <w:pStyle w:val="TextBody"/>
        <w:bidi w:val="0"/>
        <w:spacing w:before="90" w:after="283"/>
        <w:jc w:val="left"/>
        <w:rPr>
          <w:rFonts w:ascii="Times New Roman" w:hAnsi="Times New Roman"/>
          <w:sz w:val="20"/>
        </w:rPr>
      </w:pPr>
      <w:r>
        <w:rPr>
          <w:rFonts w:ascii="Arial" w:hAnsi="Arial"/>
          <w:color w:val="000000"/>
          <w:sz w:val="20"/>
        </w:rPr>
        <w:t>In connection with the closing of the Inmarsat Acquisition, in May 2023, the Company entered into the $616.7</w:t>
      </w:r>
      <w:r>
        <w:rPr>
          <w:rFonts w:ascii="Times New Roman" w:hAnsi="Times New Roman"/>
          <w:color w:val="000000"/>
          <w:sz w:val="20"/>
        </w:rPr>
        <w:t xml:space="preserve"> </w:t>
      </w:r>
      <w:r>
        <w:rPr>
          <w:rFonts w:ascii="Arial" w:hAnsi="Arial"/>
          <w:color w:val="000000"/>
          <w:sz w:val="20"/>
        </w:rPr>
        <w:t>million 2023 Term Loan Facility, which was fully drawn at closing and matures on May 30, 2030. At March 31, 2026, the Company had $601.3</w:t>
      </w:r>
      <w:r>
        <w:rPr>
          <w:rFonts w:ascii="Times New Roman" w:hAnsi="Times New Roman"/>
          <w:color w:val="000000"/>
          <w:sz w:val="20"/>
        </w:rPr>
        <w:t xml:space="preserve"> </w:t>
      </w:r>
      <w:r>
        <w:rPr>
          <w:rFonts w:ascii="Arial" w:hAnsi="Arial"/>
          <w:color w:val="000000"/>
          <w:sz w:val="20"/>
        </w:rPr>
        <w:t>million in principal amount of outstanding borrowings under the 2023 Term Loan Facility.</w:t>
      </w:r>
    </w:p>
    <w:p>
      <w:pPr>
        <w:pStyle w:val="TextBody"/>
        <w:bidi w:val="0"/>
        <w:spacing w:before="90" w:after="283"/>
        <w:jc w:val="left"/>
        <w:rPr>
          <w:rFonts w:ascii="Times New Roman" w:hAnsi="Times New Roman"/>
          <w:sz w:val="20"/>
        </w:rPr>
      </w:pPr>
      <w:r>
        <w:rPr>
          <w:rFonts w:ascii="Arial" w:hAnsi="Arial"/>
          <w:color w:val="000000"/>
          <w:sz w:val="20"/>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March 31, 2026, the effective interest rate on the Company’s outstanding borrowings under the 2023 Term Loan Facility was 9.29%.</w:t>
      </w:r>
      <w:r>
        <w:rPr>
          <w:rFonts w:ascii="Times New Roman" w:hAnsi="Times New Roman"/>
          <w:color w:val="000000"/>
          <w:sz w:val="20"/>
        </w:rPr>
        <w:t xml:space="preserve"> </w:t>
      </w:r>
      <w:r>
        <w:rPr>
          <w:rFonts w:ascii="Arial" w:hAnsi="Arial"/>
          <w:color w:val="000000"/>
          <w:sz w:val="20"/>
        </w:rPr>
        <w:t>The 2023 Term Loan Facility is required to be guaranteed by certain significant domestic subsidiaries of the Company (as defined in the 2023 Term Loan Facility) and secured by substantially all of the Company’s assets and any such subsidiaries' assets. As of March 31, 2026, none of the Company’s subsidiaries guaranteed the 2023 Term Loan Facility.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2023 Term Loan Facility contains covenants that restrict, among other things, the ability of Company and its restricted subsidiaries to incur additional debt, grant liens, sell assets, make investments, pay dividends and make certain other restricted payments.</w:t>
      </w:r>
      <w:r>
        <w:rPr>
          <w:rFonts w:ascii="Times New Roman" w:hAnsi="Times New Roman"/>
          <w:color w:val="000000"/>
          <w:sz w:val="20"/>
        </w:rPr>
        <w:t xml:space="preserve"> </w:t>
      </w:r>
      <w:r>
        <w:rPr>
          <w:rFonts w:ascii="Arial" w:hAnsi="Arial"/>
          <w:color w:val="000000"/>
          <w:sz w:val="20"/>
        </w:rPr>
        <w:t>The Company was in compliance with its covenants under the 2023 Term Loan Facility as of March 31, 2026.</w:t>
      </w:r>
    </w:p>
    <w:p>
      <w:pPr>
        <w:pStyle w:val="TextBody"/>
        <w:bidi w:val="0"/>
        <w:spacing w:before="90" w:after="283"/>
        <w:jc w:val="left"/>
        <w:rPr>
          <w:rFonts w:ascii="Times New Roman" w:hAnsi="Times New Roman"/>
          <w:sz w:val="20"/>
        </w:rPr>
      </w:pPr>
      <w:r>
        <w:rPr>
          <w:rFonts w:ascii="Arial" w:hAnsi="Arial"/>
          <w:color w:val="000000"/>
          <w:sz w:val="20"/>
        </w:rPr>
        <w:t>Borrowings under the 2023 Term Loan Facility are recorded as current portion of long-term debt and as other long-term debt, net of unamortized discount and debt issuance costs, in the Company’s consolidated financial statements. The 2023 Term Loan Facility was issued with an original issue discount of 2.50%, or $15.4</w:t>
      </w:r>
      <w:r>
        <w:rPr>
          <w:rFonts w:ascii="Times New Roman" w:hAnsi="Times New Roman"/>
          <w:color w:val="000000"/>
          <w:sz w:val="20"/>
        </w:rPr>
        <w:t xml:space="preserve"> </w:t>
      </w:r>
      <w:r>
        <w:rPr>
          <w:rFonts w:ascii="Arial" w:hAnsi="Arial"/>
          <w:color w:val="000000"/>
          <w:sz w:val="20"/>
        </w:rPr>
        <w:t>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pStyle w:val="TextBody"/>
        <w:bidi w:val="0"/>
        <w:spacing w:before="240" w:after="283"/>
        <w:jc w:val="center"/>
        <w:rPr>
          <w:rFonts w:ascii="Arial" w:hAnsi="Arial"/>
          <w:color w:val="000000"/>
          <w:sz w:val="20"/>
        </w:rPr>
      </w:pPr>
      <w:r>
        <w:rPr>
          <w:rFonts w:ascii="Arial" w:hAnsi="Arial"/>
          <w:color w:val="000000"/>
          <w:sz w:val="20"/>
        </w:rPr>
        <w:t>F-34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80" w:after="283"/>
        <w:jc w:val="left"/>
        <w:rPr>
          <w:rFonts w:ascii="Arial" w:hAnsi="Arial"/>
          <w:b/>
          <w:i/>
          <w:color w:val="000000"/>
          <w:sz w:val="20"/>
        </w:rPr>
      </w:pPr>
      <w:r>
        <w:rPr>
          <w:rFonts w:ascii="Arial" w:hAnsi="Arial"/>
          <w:b/>
          <w:i/>
          <w:color w:val="000000"/>
          <w:sz w:val="20"/>
        </w:rPr>
        <w:t>Inmarsat Secured Credit Facilities</w:t>
      </w:r>
    </w:p>
    <w:p>
      <w:pPr>
        <w:pStyle w:val="TextBody"/>
        <w:bidi w:val="0"/>
        <w:spacing w:before="80" w:after="283"/>
        <w:jc w:val="left"/>
        <w:rPr>
          <w:rFonts w:ascii="Arial" w:hAnsi="Arial"/>
          <w:color w:val="000000"/>
          <w:sz w:val="20"/>
        </w:rPr>
      </w:pPr>
      <w:r>
        <w:rPr>
          <w:rFonts w:ascii="Arial" w:hAnsi="Arial"/>
          <w:color w:val="000000"/>
          <w:sz w:val="20"/>
        </w:rPr>
        <w:t xml:space="preserve">In March 2024, Inmarsat amended its then-existing senior secured credit facilities to (among other matters): (1) establish the $1.3 billion Inmarsat Term Loan Facility, the proceeds of which, together with cash on hand, were used to repay approximately $1.38 billion of the outstanding borrowings under the Original Inmarsat Term Loan Facility, resulting in $300.0 million in principal amount of borrowings remaining outstanding under the Original Inmarsat Term Loan Facility at the closing of the amendment, and (2) replace the prior $700.0 million revolving credit facility with a new $550.0 million revolving line of credit (including up to $100.0 million of letters of credit) (the Inmarsat Revolving Credit Facility and, together with the Inmarsat Term Loan Facility, the Inmarsat Secured Credit Facilities). </w:t>
      </w:r>
    </w:p>
    <w:p>
      <w:pPr>
        <w:pStyle w:val="TextBody"/>
        <w:bidi w:val="0"/>
        <w:spacing w:before="80" w:after="283"/>
        <w:jc w:val="left"/>
        <w:rPr>
          <w:rFonts w:ascii="Times New Roman" w:hAnsi="Times New Roman"/>
          <w:sz w:val="20"/>
        </w:rPr>
      </w:pPr>
      <w:r>
        <w:rPr>
          <w:rFonts w:ascii="Arial" w:hAnsi="Arial"/>
          <w:color w:val="000000"/>
          <w:sz w:val="20"/>
        </w:rPr>
        <w:t>In November 2025, the Company repaid early all of the $300.0</w:t>
      </w:r>
      <w:r>
        <w:rPr>
          <w:rFonts w:ascii="Times New Roman" w:hAnsi="Times New Roman"/>
          <w:color w:val="000000"/>
          <w:sz w:val="20"/>
        </w:rPr>
        <w:t xml:space="preserve"> </w:t>
      </w:r>
      <w:r>
        <w:rPr>
          <w:rFonts w:ascii="Arial" w:hAnsi="Arial"/>
          <w:color w:val="000000"/>
          <w:sz w:val="20"/>
        </w:rPr>
        <w:t>million in principal amount of outstanding borrowings under the Original Inmarsat Term Loan Facility plus accrued and unpaid interest thereon. As a result of the repayment of the Original Inmarsat Term Loan Facility, during fiscal year 2026, the Company recorded a loss of $11.6</w:t>
      </w:r>
      <w:r>
        <w:rPr>
          <w:rFonts w:ascii="Times New Roman" w:hAnsi="Times New Roman"/>
          <w:color w:val="000000"/>
          <w:sz w:val="20"/>
        </w:rPr>
        <w:t xml:space="preserve"> </w:t>
      </w:r>
      <w:r>
        <w:rPr>
          <w:rFonts w:ascii="Arial" w:hAnsi="Arial"/>
          <w:color w:val="000000"/>
          <w:sz w:val="20"/>
        </w:rPr>
        <w:t>million in loss (gain) on extinguishment of debt, net in the consolidated statement of operations and comprehensive income (loss) related to an unamortized fair value adjustment made in purchase accounting. Borrowings under the Original Inmarsat Term Loan Facility were recorded as other long-term debt, net of unamortized discount, unamortized fair value adjustment made in purchase accounting and debt issuance costs, in the Company’s consolidated financial statements as of March 31, 2025.</w:t>
      </w:r>
    </w:p>
    <w:p>
      <w:pPr>
        <w:pStyle w:val="TextBody"/>
        <w:bidi w:val="0"/>
        <w:spacing w:before="80" w:after="283"/>
        <w:jc w:val="left"/>
        <w:rPr>
          <w:rFonts w:ascii="Times New Roman" w:hAnsi="Times New Roman"/>
          <w:sz w:val="20"/>
        </w:rPr>
      </w:pPr>
      <w:r>
        <w:rPr>
          <w:rFonts w:ascii="Arial" w:hAnsi="Arial"/>
          <w:color w:val="000000"/>
          <w:sz w:val="20"/>
        </w:rPr>
        <w:t>The maturity date for the Inmarsat Term Loan Facility is September 28, 2029</w:t>
      </w:r>
      <w:r>
        <w:rPr>
          <w:rFonts w:ascii="Times New Roman" w:hAnsi="Times New Roman"/>
          <w:color w:val="000000"/>
          <w:sz w:val="20"/>
        </w:rPr>
        <w:t xml:space="preserve"> </w:t>
      </w:r>
      <w:r>
        <w:rPr>
          <w:rFonts w:ascii="Arial" w:hAnsi="Arial"/>
          <w:color w:val="000000"/>
          <w:sz w:val="20"/>
        </w:rPr>
        <w:t>and for the Inmarsat Revolving Credit Facility is</w:t>
      </w:r>
      <w:r>
        <w:rPr>
          <w:rFonts w:ascii="Times New Roman" w:hAnsi="Times New Roman"/>
          <w:color w:val="000000"/>
          <w:sz w:val="20"/>
        </w:rPr>
        <w:t xml:space="preserve"> </w:t>
      </w:r>
      <w:r>
        <w:rPr>
          <w:rFonts w:ascii="Arial" w:hAnsi="Arial"/>
          <w:color w:val="000000"/>
          <w:sz w:val="20"/>
        </w:rPr>
        <w:t>March 28, 2027. As of March 31, 2026, Inmarsat had $1.3</w:t>
      </w:r>
      <w:r>
        <w:rPr>
          <w:rFonts w:ascii="Times New Roman" w:hAnsi="Times New Roman"/>
          <w:color w:val="000000"/>
          <w:sz w:val="20"/>
        </w:rPr>
        <w:t xml:space="preserve"> </w:t>
      </w:r>
      <w:r>
        <w:rPr>
          <w:rFonts w:ascii="Arial" w:hAnsi="Arial"/>
          <w:color w:val="000000"/>
          <w:sz w:val="20"/>
        </w:rPr>
        <w:t>billion in principal amount of outstanding borrowings under the Inmarsat Term Loan Facility, the Inmarsat Revolving Credit Facility was undrawn and there were no</w:t>
      </w:r>
      <w:r>
        <w:rPr>
          <w:rFonts w:ascii="Times New Roman" w:hAnsi="Times New Roman"/>
          <w:color w:val="000000"/>
          <w:sz w:val="20"/>
        </w:rPr>
        <w:t xml:space="preserve"> </w:t>
      </w:r>
      <w:r>
        <w:rPr>
          <w:rFonts w:ascii="Arial" w:hAnsi="Arial"/>
          <w:color w:val="000000"/>
          <w:sz w:val="20"/>
        </w:rPr>
        <w:t>amounts outstanding under standby letters of credit, leaving borrowing availability under the Inmarsat Revolving Credit Facility of $550.0</w:t>
      </w:r>
      <w:r>
        <w:rPr>
          <w:rFonts w:ascii="Times New Roman" w:hAnsi="Times New Roman"/>
          <w:color w:val="000000"/>
          <w:sz w:val="20"/>
        </w:rPr>
        <w:t xml:space="preserve"> </w:t>
      </w:r>
      <w:r>
        <w:rPr>
          <w:rFonts w:ascii="Arial" w:hAnsi="Arial"/>
          <w:color w:val="000000"/>
          <w:sz w:val="20"/>
        </w:rPr>
        <w:t>million.</w:t>
      </w:r>
    </w:p>
    <w:p>
      <w:pPr>
        <w:pStyle w:val="TextBody"/>
        <w:bidi w:val="0"/>
        <w:spacing w:before="180" w:after="283"/>
        <w:jc w:val="left"/>
        <w:rPr>
          <w:rFonts w:ascii="Times New Roman" w:hAnsi="Times New Roman"/>
          <w:sz w:val="20"/>
        </w:rPr>
      </w:pPr>
      <w:r>
        <w:rPr>
          <w:rFonts w:ascii="Arial" w:hAnsi="Arial"/>
          <w:color w:val="000000"/>
          <w:sz w:val="20"/>
        </w:rPr>
        <w:t>Borrowings under the Inmarsat Term Loan Facility are required to be repaid in quarterly installments of $3.25</w:t>
      </w:r>
      <w:r>
        <w:rPr>
          <w:rFonts w:ascii="Times New Roman" w:hAnsi="Times New Roman"/>
          <w:color w:val="000000"/>
          <w:sz w:val="20"/>
        </w:rPr>
        <w:t xml:space="preserve"> </w:t>
      </w:r>
      <w:r>
        <w:rPr>
          <w:rFonts w:ascii="Arial" w:hAnsi="Arial"/>
          <w:color w:val="000000"/>
          <w:sz w:val="20"/>
        </w:rPr>
        <w:t>million each, which commenced in June 2024, followed by a final installment of $1.23</w:t>
      </w:r>
      <w:r>
        <w:rPr>
          <w:rFonts w:ascii="Times New Roman" w:hAnsi="Times New Roman"/>
          <w:color w:val="000000"/>
          <w:sz w:val="20"/>
        </w:rPr>
        <w:t xml:space="preserve"> </w:t>
      </w:r>
      <w:r>
        <w:rPr>
          <w:rFonts w:ascii="Arial" w:hAnsi="Arial"/>
          <w:color w:val="000000"/>
          <w:sz w:val="20"/>
        </w:rPr>
        <w:t>billion at maturity.</w:t>
      </w:r>
    </w:p>
    <w:p>
      <w:pPr>
        <w:pStyle w:val="TextBody"/>
        <w:bidi w:val="0"/>
        <w:spacing w:before="180" w:after="283"/>
        <w:jc w:val="left"/>
        <w:rPr>
          <w:rFonts w:ascii="Arial" w:hAnsi="Arial"/>
          <w:color w:val="000000"/>
          <w:sz w:val="20"/>
        </w:rPr>
      </w:pPr>
      <w:r>
        <w:rPr>
          <w:rFonts w:ascii="Arial" w:hAnsi="Arial"/>
          <w:color w:val="000000"/>
          <w:sz w:val="20"/>
        </w:rPr>
        <w:t>Borrowings under the Inmarsat Secured Credit Facilities: (1) in the case of borrowings denominated in U.S. Dollars, bear interest, at Inmarsat's option, at either (i) the highest of (x) the federal funds rate plus 0.50%, (y) the forward-looking one-month term SOFR rate plus 1.00% or (z) the administrative agent's prime rate as announced from time to time, or (ii) the forward-looking term SOFR rate for the applicable interest period (subject to, in the case of the Inmarsat Term Loan Facility, a floor of 0.50% per annum and, in the case of the Inmarsat Revolving Credit Facility, a floor of 0.00% per annum), and (2) in the case of borrowings denominated in available currencies other than U.S. Dollars, bear interest based upon the applicable benchmark for such currencies (as described in the Inmarsat Secured Credit Facilities) plus, in all cases, an applicable margin. The applicable margin for the Inmarsat Term Loan Facility is 3.50% per annum for base rate loans and 4.50% per annum for SOFR loans. The applicable margin for borrowings under the Inmarsat Revolving Credit Facility is based on Inmarsat’s total net leverage ratio and ranges between 1.50% and 2.25% per annum for base rate loans and 2.50% and 3.25% per annum for SOFR loans. As of March 31, 2026, the effective interest rate on the Company's outstanding borrowings under the Inmarsat Term Loan Facility was 9.11%. The Inmarsat Secured Credit Facilities are required to be guaranteed by certain material Inmarsat subsidiaries and secured by substantially all of the assets of the Inmarsat borrowers and subsidiary guarantors.</w:t>
      </w:r>
    </w:p>
    <w:p>
      <w:pPr>
        <w:pStyle w:val="TextBody"/>
        <w:bidi w:val="0"/>
        <w:spacing w:before="180" w:after="283"/>
        <w:jc w:val="left"/>
        <w:rPr>
          <w:rFonts w:ascii="Arial" w:hAnsi="Arial"/>
          <w:color w:val="000000"/>
          <w:sz w:val="20"/>
        </w:rPr>
      </w:pPr>
      <w:r>
        <w:rPr>
          <w:rFonts w:ascii="Arial" w:hAnsi="Arial"/>
          <w:color w:val="000000"/>
          <w:sz w:val="20"/>
        </w:rPr>
        <w:t>The Inmarsat Secured Credit Facilities contain covenants that restrict, among other things, Inmarsat’s ability to incur additional debt, grant liens, sell assets, make investments and acquisitions, pay dividends and make certain other restricted payments. In addition, covenants regarding Inmarsat’s total net leverage ratio and interest coverage ratio apply to the Inmarsat Revolving Credit Facility. The borrowers under the Inmarsat Secured Credit Facilities were in compliance with the covenants under the Inmarsat Secured Credit Facilities as of March 31, 2026.</w:t>
      </w:r>
    </w:p>
    <w:p>
      <w:pPr>
        <w:pStyle w:val="TextBody"/>
        <w:bidi w:val="0"/>
        <w:spacing w:before="180" w:after="283"/>
        <w:jc w:val="left"/>
        <w:rPr>
          <w:rFonts w:ascii="Arial" w:hAnsi="Arial"/>
          <w:color w:val="000000"/>
          <w:sz w:val="20"/>
        </w:rPr>
      </w:pPr>
      <w:r>
        <w:rPr>
          <w:rFonts w:ascii="Arial" w:hAnsi="Arial"/>
          <w:color w:val="000000"/>
          <w:sz w:val="20"/>
        </w:rPr>
        <w:t>Borrowings under the Inmarsat Term Loan Facility are recorded as current portion of long-term debt and as other long-term debt, net of unamortized discount, unamortized fair value adjustment made in purchase accounting and debt issuance costs, in the Company’s consolidated financial statements. The Inmarsat Term Loan Facility was issued with an original issue discount of 2.00%.</w:t>
      </w:r>
    </w:p>
    <w:p>
      <w:pPr>
        <w:pStyle w:val="TextBody"/>
        <w:bidi w:val="0"/>
        <w:spacing w:before="240" w:after="283"/>
        <w:jc w:val="center"/>
        <w:rPr>
          <w:rFonts w:ascii="Arial" w:hAnsi="Arial"/>
          <w:color w:val="000000"/>
          <w:sz w:val="20"/>
        </w:rPr>
      </w:pPr>
      <w:r>
        <w:rPr>
          <w:rFonts w:ascii="Arial" w:hAnsi="Arial"/>
          <w:color w:val="000000"/>
          <w:sz w:val="20"/>
        </w:rPr>
        <w:t>F-35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80" w:after="283"/>
        <w:jc w:val="left"/>
        <w:rPr>
          <w:rFonts w:ascii="Times New Roman" w:hAnsi="Times New Roman"/>
          <w:sz w:val="20"/>
        </w:rPr>
      </w:pPr>
      <w:r>
        <w:rPr>
          <w:rFonts w:ascii="Arial" w:hAnsi="Arial"/>
          <w:b/>
          <w:i/>
          <w:color w:val="000000"/>
          <w:sz w:val="20"/>
        </w:rPr>
        <w:t>Former Ex-Im Credit Facility</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Arial" w:hAnsi="Arial"/>
          <w:color w:val="000000"/>
          <w:sz w:val="20"/>
        </w:rPr>
        <w:t>The Former Ex-Im Credit Facility provided a $362.4</w:t>
      </w:r>
      <w:r>
        <w:rPr>
          <w:rFonts w:ascii="Times New Roman" w:hAnsi="Times New Roman"/>
          <w:color w:val="000000"/>
          <w:sz w:val="20"/>
        </w:rPr>
        <w:t xml:space="preserve"> </w:t>
      </w:r>
      <w:r>
        <w:rPr>
          <w:rFonts w:ascii="Arial" w:hAnsi="Arial"/>
          <w:color w:val="000000"/>
          <w:sz w:val="20"/>
        </w:rPr>
        <w:t>million senior secured direct loan facility, $321.2</w:t>
      </w:r>
      <w:r>
        <w:rPr>
          <w:rFonts w:ascii="Times New Roman" w:hAnsi="Times New Roman"/>
          <w:color w:val="000000"/>
          <w:sz w:val="20"/>
        </w:rPr>
        <w:t xml:space="preserve"> </w:t>
      </w:r>
      <w:r>
        <w:rPr>
          <w:rFonts w:ascii="Arial" w:hAnsi="Arial"/>
          <w:color w:val="000000"/>
          <w:sz w:val="20"/>
        </w:rPr>
        <w:t>million of which was used to finance up to 85% of the costs of construction, launch and insurance of the ViaSat-2 satellite and related goods and services, with the remaining $41.2</w:t>
      </w:r>
      <w:r>
        <w:rPr>
          <w:rFonts w:ascii="Times New Roman" w:hAnsi="Times New Roman"/>
          <w:color w:val="000000"/>
          <w:sz w:val="20"/>
        </w:rPr>
        <w:t xml:space="preserve"> </w:t>
      </w:r>
      <w:r>
        <w:rPr>
          <w:rFonts w:ascii="Arial" w:hAnsi="Arial"/>
          <w:color w:val="000000"/>
          <w:sz w:val="20"/>
        </w:rPr>
        <w:t>million used to finance the total exposure fees incurred under the Former Ex-Im Credit Facility. Borrowings under the Former Ex-Im Credit Facility bore interest at a fixed rate of 2.38%, payable semi-annually in arrears. The effective interest rate on the Company’s outstanding borrowings under the Former Ex-Im Credit Facility, which took into account timing and amount of borrowings and payments, exposure fees, debt issuance costs and other fees, was 4.54%. The Former Ex-Im Credit Facility was fully repaid and discharged at maturity on October 15, 2025. Borrowings under the Former Ex-Im Credit Facility were recorded as current portion of long-term debt, net of unamortized discount and debt issuance costs, in the Company’s consolidated financial statements as of March 31, 2025. The discount of $42.3</w:t>
      </w:r>
      <w:r>
        <w:rPr>
          <w:rFonts w:ascii="Times New Roman" w:hAnsi="Times New Roman"/>
          <w:color w:val="000000"/>
          <w:sz w:val="20"/>
        </w:rPr>
        <w:t xml:space="preserve"> </w:t>
      </w:r>
      <w:r>
        <w:rPr>
          <w:rFonts w:ascii="Arial" w:hAnsi="Arial"/>
          <w:color w:val="000000"/>
          <w:sz w:val="20"/>
        </w:rPr>
        <w:t>million (consisting of the initial $6.0</w:t>
      </w:r>
      <w:r>
        <w:rPr>
          <w:rFonts w:ascii="Times New Roman" w:hAnsi="Times New Roman"/>
          <w:color w:val="000000"/>
          <w:sz w:val="20"/>
        </w:rPr>
        <w:t xml:space="preserve"> </w:t>
      </w:r>
      <w:r>
        <w:rPr>
          <w:rFonts w:ascii="Arial" w:hAnsi="Arial"/>
          <w:color w:val="000000"/>
          <w:sz w:val="20"/>
        </w:rPr>
        <w:t>million pre-exposure fee, $35.3</w:t>
      </w:r>
      <w:r>
        <w:rPr>
          <w:rFonts w:ascii="Times New Roman" w:hAnsi="Times New Roman"/>
          <w:color w:val="000000"/>
          <w:sz w:val="20"/>
        </w:rPr>
        <w:t xml:space="preserve"> </w:t>
      </w:r>
      <w:r>
        <w:rPr>
          <w:rFonts w:ascii="Arial" w:hAnsi="Arial"/>
          <w:color w:val="000000"/>
          <w:sz w:val="20"/>
        </w:rPr>
        <w:t>million of completion exposure fees, and other customary fees) and deferred financing cost associated with the issuance of the borrowings under the Former Ex-Im Credit Facility were amortized to interest expense on an effective interest rate basis over the weighted average term of the Former Ex-Im Credit Facility and in accordance with the related payment obligations.</w:t>
      </w:r>
    </w:p>
    <w:p>
      <w:pPr>
        <w:pStyle w:val="TextBody"/>
        <w:bidi w:val="0"/>
        <w:spacing w:before="270" w:after="283"/>
        <w:jc w:val="left"/>
        <w:rPr>
          <w:rFonts w:ascii="Times New Roman" w:hAnsi="Times New Roman"/>
          <w:sz w:val="20"/>
        </w:rPr>
      </w:pPr>
      <w:r>
        <w:rPr>
          <w:rFonts w:ascii="Arial" w:hAnsi="Arial"/>
          <w:b/>
          <w:i/>
          <w:color w:val="000000"/>
          <w:sz w:val="20"/>
        </w:rPr>
        <w:t>Ex-Im Credit Facility</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Ex-Im Credit Facility provided a $188.7</w:t>
      </w:r>
      <w:r>
        <w:rPr>
          <w:rFonts w:ascii="Times New Roman" w:hAnsi="Times New Roman"/>
          <w:color w:val="000000"/>
          <w:sz w:val="20"/>
        </w:rPr>
        <w:t xml:space="preserve"> </w:t>
      </w:r>
      <w:r>
        <w:rPr>
          <w:rFonts w:ascii="Arial" w:hAnsi="Arial"/>
          <w:color w:val="000000"/>
          <w:sz w:val="20"/>
        </w:rPr>
        <w:t>million senior secured direct loan facility, which was fully drawn. Of the $188.7</w:t>
      </w:r>
      <w:r>
        <w:rPr>
          <w:rFonts w:ascii="Times New Roman" w:hAnsi="Times New Roman"/>
          <w:color w:val="000000"/>
          <w:sz w:val="20"/>
        </w:rPr>
        <w:t xml:space="preserve"> </w:t>
      </w:r>
      <w:r>
        <w:rPr>
          <w:rFonts w:ascii="Arial" w:hAnsi="Arial"/>
          <w:color w:val="000000"/>
          <w:sz w:val="20"/>
        </w:rPr>
        <w:t>million in principal amount of borrowings made under the Ex-Im Credit Facility, $175.8</w:t>
      </w:r>
      <w:r>
        <w:rPr>
          <w:rFonts w:ascii="Times New Roman" w:hAnsi="Times New Roman"/>
          <w:color w:val="000000"/>
          <w:sz w:val="20"/>
        </w:rPr>
        <w:t xml:space="preserve"> </w:t>
      </w:r>
      <w:r>
        <w:rPr>
          <w:rFonts w:ascii="Arial" w:hAnsi="Arial"/>
          <w:color w:val="000000"/>
          <w:sz w:val="20"/>
        </w:rPr>
        <w:t>million was used to finance up to 85% of the costs of launch and insurance of the ViaSat-3 F1 satellite and related goods and services, with the remainder used to finance the total exposure fees incurred under the Ex-Im Credit Facility of $12.9</w:t>
      </w:r>
      <w:r>
        <w:rPr>
          <w:rFonts w:ascii="Times New Roman" w:hAnsi="Times New Roman"/>
          <w:color w:val="000000"/>
          <w:sz w:val="20"/>
        </w:rPr>
        <w:t xml:space="preserve"> </w:t>
      </w:r>
      <w:r>
        <w:rPr>
          <w:rFonts w:ascii="Arial" w:hAnsi="Arial"/>
          <w:color w:val="000000"/>
          <w:sz w:val="20"/>
        </w:rPr>
        <w:t>million. As of March 31, 2026, the Company had $188.7</w:t>
      </w:r>
      <w:r>
        <w:rPr>
          <w:rFonts w:ascii="Times New Roman" w:hAnsi="Times New Roman"/>
          <w:color w:val="000000"/>
          <w:sz w:val="20"/>
        </w:rPr>
        <w:t xml:space="preserve"> </w:t>
      </w:r>
      <w:r>
        <w:rPr>
          <w:rFonts w:ascii="Arial" w:hAnsi="Arial"/>
          <w:color w:val="000000"/>
          <w:sz w:val="20"/>
        </w:rPr>
        <w:t>million in principal amount of outstanding borrowings under the Ex-Im Credit Facility.</w:t>
      </w:r>
    </w:p>
    <w:p>
      <w:pPr>
        <w:pStyle w:val="TextBody"/>
        <w:bidi w:val="0"/>
        <w:spacing w:before="180" w:after="283"/>
        <w:jc w:val="left"/>
        <w:rPr>
          <w:rFonts w:ascii="Times New Roman" w:hAnsi="Times New Roman"/>
          <w:sz w:val="20"/>
        </w:rPr>
      </w:pPr>
      <w:r>
        <w:rPr>
          <w:rFonts w:ascii="Arial" w:hAnsi="Arial"/>
          <w:color w:val="000000"/>
          <w:sz w:val="20"/>
        </w:rPr>
        <w:t>Borrowings under the Ex-Im Credit Facility bear interest at a fixed rate equal to</w:t>
      </w:r>
      <w:r>
        <w:rPr>
          <w:rFonts w:ascii="Times New Roman" w:hAnsi="Times New Roman"/>
          <w:color w:val="000000"/>
          <w:sz w:val="20"/>
        </w:rPr>
        <w:t xml:space="preserve"> </w:t>
      </w:r>
      <w:r>
        <w:rPr>
          <w:rFonts w:ascii="Arial" w:hAnsi="Arial"/>
          <w:color w:val="000000"/>
          <w:sz w:val="20"/>
        </w:rPr>
        <w:t>4.78% per annum, payable semi-annually in arrears. The effective interest rate on the Company’s outstanding borrowings under the Ex-Im Credit Facility, which takes into account exposure fees and debt issuance costs, is 7.52%. Borrowings under the Ex-Im Credit Facility are required to be repaid in 16</w:t>
      </w:r>
      <w:r>
        <w:rPr>
          <w:rFonts w:ascii="Times New Roman" w:hAnsi="Times New Roman"/>
          <w:color w:val="000000"/>
          <w:sz w:val="20"/>
        </w:rPr>
        <w:t xml:space="preserve"> </w:t>
      </w:r>
      <w:r>
        <w:rPr>
          <w:rFonts w:ascii="Arial" w:hAnsi="Arial"/>
          <w:color w:val="000000"/>
          <w:sz w:val="20"/>
        </w:rPr>
        <w:t>semi-annual principal installments, which commenced in May 2026, with a maturity date of</w:t>
      </w:r>
      <w:r>
        <w:rPr>
          <w:rFonts w:ascii="Times New Roman" w:hAnsi="Times New Roman"/>
          <w:color w:val="000000"/>
          <w:sz w:val="20"/>
        </w:rPr>
        <w:t xml:space="preserve"> </w:t>
      </w:r>
      <w:r>
        <w:rPr>
          <w:rFonts w:ascii="Arial" w:hAnsi="Arial"/>
          <w:color w:val="000000"/>
          <w:sz w:val="20"/>
        </w:rPr>
        <w:t>November 25, 2033. The Ex-Im Credit Facility is guaranteed by Viasat and is secured by first-priority liens on the ViaSat-2 satellite and related assets, as well as a pledge of the capital stock of the borrower under the facility.</w:t>
      </w:r>
    </w:p>
    <w:p>
      <w:pPr>
        <w:pStyle w:val="TextBody"/>
        <w:bidi w:val="0"/>
        <w:spacing w:before="180" w:after="283"/>
        <w:jc w:val="left"/>
        <w:rPr>
          <w:rFonts w:ascii="Arial" w:hAnsi="Arial"/>
          <w:color w:val="000000"/>
          <w:sz w:val="20"/>
        </w:rPr>
      </w:pPr>
      <w:r>
        <w:rPr>
          <w:rFonts w:ascii="Arial" w:hAnsi="Arial"/>
          <w:color w:val="000000"/>
          <w:sz w:val="20"/>
        </w:rPr>
        <w:t>The Ex-Im Credit Facility contains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covenants under the Ex-Im Credit Facility as of March 31, 2026.</w:t>
      </w:r>
    </w:p>
    <w:p>
      <w:pPr>
        <w:pStyle w:val="TextBody"/>
        <w:bidi w:val="0"/>
        <w:spacing w:before="180" w:after="283"/>
        <w:jc w:val="left"/>
        <w:rPr>
          <w:rFonts w:ascii="Times New Roman" w:hAnsi="Times New Roman"/>
          <w:sz w:val="20"/>
        </w:rPr>
      </w:pPr>
      <w:r>
        <w:rPr>
          <w:rFonts w:ascii="Arial" w:hAnsi="Arial"/>
          <w:color w:val="000000"/>
          <w:sz w:val="20"/>
        </w:rPr>
        <w:t>Borrowings under the Ex-Im Credit Facility are recorded as current portion of long-term debt and as other long-term debt, net of unamortized discount and debt issuance costs, in the Company’s consolidated financial statements. The discount of $12.9</w:t>
      </w:r>
      <w:r>
        <w:rPr>
          <w:rFonts w:ascii="Times New Roman" w:hAnsi="Times New Roman"/>
          <w:color w:val="000000"/>
          <w:sz w:val="20"/>
        </w:rPr>
        <w:t xml:space="preserve"> </w:t>
      </w:r>
      <w:r>
        <w:rPr>
          <w:rFonts w:ascii="Arial" w:hAnsi="Arial"/>
          <w:color w:val="000000"/>
          <w:sz w:val="20"/>
        </w:rPr>
        <w:t>million (comprised of the exposure fees) and deferred financing cost associated with the issuance of the borrowings under the Ex-Im Credit Facility are amortized to interest expense on a straight-line basis over the term of the Ex-Im Credit Facility, the results of which are not materially different from the effective interest rate basis.</w:t>
      </w:r>
    </w:p>
    <w:p>
      <w:pPr>
        <w:pStyle w:val="TextBody"/>
        <w:bidi w:val="0"/>
        <w:spacing w:before="270" w:after="283"/>
        <w:jc w:val="left"/>
        <w:rPr>
          <w:rFonts w:ascii="Arial" w:hAnsi="Arial"/>
          <w:b/>
          <w:i/>
          <w:color w:val="000000"/>
          <w:sz w:val="20"/>
        </w:rPr>
      </w:pPr>
      <w:r>
        <w:rPr>
          <w:rFonts w:ascii="Arial" w:hAnsi="Arial"/>
          <w:b/>
          <w:i/>
          <w:color w:val="000000"/>
          <w:sz w:val="20"/>
        </w:rPr>
        <w:t>Viasat Revolving Credit Facility</w:t>
      </w:r>
    </w:p>
    <w:p>
      <w:pPr>
        <w:pStyle w:val="TextBody"/>
        <w:bidi w:val="0"/>
        <w:spacing w:before="90" w:after="283"/>
        <w:jc w:val="left"/>
        <w:rPr>
          <w:rFonts w:ascii="Times New Roman" w:hAnsi="Times New Roman"/>
          <w:sz w:val="20"/>
        </w:rPr>
      </w:pPr>
      <w:r>
        <w:rPr>
          <w:rFonts w:ascii="Arial" w:hAnsi="Arial"/>
          <w:color w:val="000000"/>
          <w:sz w:val="20"/>
        </w:rPr>
        <w:t>As of March 31, 2026, Viasat's revolving credit facility (the Viasat Revolving Credit Facility) provided a $647.5</w:t>
      </w:r>
      <w:r>
        <w:rPr>
          <w:rFonts w:ascii="Times New Roman" w:hAnsi="Times New Roman"/>
          <w:color w:val="000000"/>
          <w:sz w:val="20"/>
        </w:rPr>
        <w:t xml:space="preserve"> </w:t>
      </w:r>
      <w:r>
        <w:rPr>
          <w:rFonts w:ascii="Arial" w:hAnsi="Arial"/>
          <w:color w:val="000000"/>
          <w:sz w:val="20"/>
        </w:rPr>
        <w:t>million revolving line of credit (including up to $150.0</w:t>
      </w:r>
      <w:r>
        <w:rPr>
          <w:rFonts w:ascii="Times New Roman" w:hAnsi="Times New Roman"/>
          <w:color w:val="000000"/>
          <w:sz w:val="20"/>
        </w:rPr>
        <w:t xml:space="preserve"> </w:t>
      </w:r>
      <w:r>
        <w:rPr>
          <w:rFonts w:ascii="Arial" w:hAnsi="Arial"/>
          <w:color w:val="000000"/>
          <w:sz w:val="20"/>
        </w:rPr>
        <w:t>million of letters of credit), with a maturity date of the earliest of (A) August 24, 2028</w:t>
      </w:r>
      <w:r>
        <w:rPr>
          <w:rFonts w:ascii="Times New Roman" w:hAnsi="Times New Roman"/>
          <w:color w:val="000000"/>
          <w:sz w:val="20"/>
        </w:rPr>
        <w:t xml:space="preserve"> </w:t>
      </w:r>
      <w:r>
        <w:rPr>
          <w:rFonts w:ascii="Arial" w:hAnsi="Arial"/>
          <w:color w:val="000000"/>
          <w:sz w:val="20"/>
        </w:rPr>
        <w:t>and (B) the springing maturity date (as defined in the Viasat Revolving Credit Agreement, which is effectively 91 days prior to the maturity date of certain material debt for borrowed money of Viasat and its subsidiaries to the extent certain conditions have not been satisfied as of such date). At March 31, 2026, the Viasat Revolving Credit Facility was undrawn and there was $49.3</w:t>
      </w:r>
      <w:r>
        <w:rPr>
          <w:rFonts w:ascii="Times New Roman" w:hAnsi="Times New Roman"/>
          <w:color w:val="000000"/>
          <w:sz w:val="20"/>
        </w:rPr>
        <w:t xml:space="preserve"> </w:t>
      </w:r>
      <w:r>
        <w:rPr>
          <w:rFonts w:ascii="Arial" w:hAnsi="Arial"/>
          <w:color w:val="000000"/>
          <w:sz w:val="20"/>
        </w:rPr>
        <w:t>million outstanding under standby letters of credit, leaving borrowing availability under the Viasat Revolving Credit Facility of $598.2</w:t>
      </w:r>
      <w:r>
        <w:rPr>
          <w:rFonts w:ascii="Times New Roman" w:hAnsi="Times New Roman"/>
          <w:color w:val="000000"/>
          <w:sz w:val="20"/>
        </w:rPr>
        <w:t xml:space="preserve"> </w:t>
      </w:r>
      <w:r>
        <w:rPr>
          <w:rFonts w:ascii="Arial" w:hAnsi="Arial"/>
          <w:color w:val="000000"/>
          <w:sz w:val="20"/>
        </w:rPr>
        <w:t>million.</w:t>
      </w:r>
    </w:p>
    <w:p>
      <w:pPr>
        <w:pStyle w:val="TextBody"/>
        <w:bidi w:val="0"/>
        <w:spacing w:before="240" w:after="283"/>
        <w:jc w:val="center"/>
        <w:rPr>
          <w:rFonts w:ascii="Arial" w:hAnsi="Arial"/>
          <w:color w:val="000000"/>
          <w:sz w:val="20"/>
        </w:rPr>
      </w:pPr>
      <w:r>
        <w:rPr>
          <w:rFonts w:ascii="Arial" w:hAnsi="Arial"/>
          <w:color w:val="000000"/>
          <w:sz w:val="20"/>
        </w:rPr>
        <w:t>F-36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20"/>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w:t>
      </w:r>
      <w:r>
        <w:rPr>
          <w:rFonts w:ascii="Times New Roman" w:hAnsi="Times New Roman"/>
          <w:color w:val="000000"/>
          <w:sz w:val="20"/>
        </w:rPr>
        <w:t xml:space="preserve"> </w:t>
      </w:r>
      <w:r>
        <w:rPr>
          <w:rFonts w:ascii="Arial" w:hAnsi="Arial"/>
          <w:color w:val="000000"/>
          <w:sz w:val="20"/>
        </w:rPr>
        <w:t>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March 31, 2026, none of the Company’s subsidiaries guaranteed the Viasat Revolving Credit Facility.</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The Viasat Revolving Credit Facility contains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covenants under the Viasat Revolving Credit Facility as of March 31, 2026.</w:t>
      </w:r>
    </w:p>
    <w:p>
      <w:pPr>
        <w:pStyle w:val="TextBody"/>
        <w:bidi w:val="0"/>
        <w:spacing w:before="270" w:after="283"/>
        <w:jc w:val="left"/>
        <w:rPr>
          <w:rFonts w:ascii="Times New Roman" w:hAnsi="Times New Roman"/>
          <w:sz w:val="20"/>
        </w:rPr>
      </w:pPr>
      <w:r>
        <w:rPr>
          <w:rFonts w:ascii="Arial" w:hAnsi="Arial"/>
          <w:b/>
          <w:i/>
          <w:color w:val="000000"/>
          <w:sz w:val="20"/>
        </w:rPr>
        <w:t>Senior Notes</w:t>
      </w:r>
      <w:r>
        <w:rPr>
          <w:rFonts w:ascii="Times New Roman" w:hAnsi="Times New Roman"/>
          <w:color w:val="000000"/>
          <w:sz w:val="20"/>
        </w:rPr>
        <w:t xml:space="preserve"> </w:t>
      </w:r>
    </w:p>
    <w:p>
      <w:pPr>
        <w:pStyle w:val="TextBody"/>
        <w:bidi w:val="0"/>
        <w:spacing w:before="90" w:after="283"/>
        <w:jc w:val="left"/>
        <w:rPr>
          <w:rFonts w:ascii="Arial" w:hAnsi="Arial"/>
          <w:i/>
          <w:color w:val="000000"/>
          <w:sz w:val="20"/>
        </w:rPr>
      </w:pPr>
      <w:r>
        <w:rPr>
          <w:rFonts w:ascii="Arial" w:hAnsi="Arial"/>
          <w:i/>
          <w:color w:val="000000"/>
          <w:sz w:val="20"/>
        </w:rPr>
        <w:t>Senior Notes due 2025; Discharge of Indenture and Gain (Loss) on Extinguishment of Debt</w:t>
      </w:r>
    </w:p>
    <w:p>
      <w:pPr>
        <w:pStyle w:val="TextBody"/>
        <w:bidi w:val="0"/>
        <w:spacing w:before="80" w:after="283"/>
        <w:jc w:val="left"/>
        <w:rPr>
          <w:rFonts w:ascii="Times New Roman" w:hAnsi="Times New Roman"/>
          <w:sz w:val="20"/>
        </w:rPr>
      </w:pPr>
      <w:r>
        <w:rPr>
          <w:rFonts w:ascii="Arial" w:hAnsi="Arial"/>
          <w:color w:val="000000"/>
          <w:sz w:val="20"/>
        </w:rPr>
        <w:t>In September 2017, the Company issued $700.0</w:t>
      </w:r>
      <w:r>
        <w:rPr>
          <w:rFonts w:ascii="Times New Roman" w:hAnsi="Times New Roman"/>
          <w:color w:val="000000"/>
          <w:sz w:val="20"/>
        </w:rPr>
        <w:t xml:space="preserve"> </w:t>
      </w:r>
      <w:r>
        <w:rPr>
          <w:rFonts w:ascii="Arial" w:hAnsi="Arial"/>
          <w:color w:val="000000"/>
          <w:sz w:val="20"/>
        </w:rPr>
        <w:t>million in principal amount of 2025</w:t>
      </w:r>
      <w:r>
        <w:rPr>
          <w:rFonts w:ascii="Times New Roman" w:hAnsi="Times New Roman"/>
          <w:color w:val="000000"/>
          <w:sz w:val="20"/>
        </w:rPr>
        <w:t xml:space="preserve"> </w:t>
      </w:r>
      <w:r>
        <w:rPr>
          <w:rFonts w:ascii="Arial" w:hAnsi="Arial"/>
          <w:color w:val="000000"/>
          <w:sz w:val="20"/>
        </w:rPr>
        <w:t>Notes in a private placement to institutional buyers. During fiscal year 2025, the Company repurchased $257.5</w:t>
      </w:r>
      <w:r>
        <w:rPr>
          <w:rFonts w:ascii="Times New Roman" w:hAnsi="Times New Roman"/>
          <w:color w:val="000000"/>
          <w:sz w:val="20"/>
        </w:rPr>
        <w:t xml:space="preserve"> </w:t>
      </w:r>
      <w:r>
        <w:rPr>
          <w:rFonts w:ascii="Arial" w:hAnsi="Arial"/>
          <w:color w:val="000000"/>
          <w:sz w:val="20"/>
        </w:rPr>
        <w:t>million in aggregate principal amount of 2025 Notes in open market transactions, and during fiscal year 2026, the Company redeemed all of the remaining $442.6</w:t>
      </w:r>
      <w:r>
        <w:rPr>
          <w:rFonts w:ascii="Times New Roman" w:hAnsi="Times New Roman"/>
          <w:color w:val="000000"/>
          <w:sz w:val="20"/>
        </w:rPr>
        <w:t xml:space="preserve"> </w:t>
      </w:r>
      <w:r>
        <w:rPr>
          <w:rFonts w:ascii="Arial" w:hAnsi="Arial"/>
          <w:color w:val="000000"/>
          <w:sz w:val="20"/>
        </w:rPr>
        <w:t>million in principal amount of 2025 Notes at a redemption price of 100% of the principal amount so redeemed plus accrued and unpaid interest thereon to the redemption date, and the indenture governing the 2025 Notes was satisfied and discharged in accordance with its terms. As a result, the Company recorded an insignificant amount in loss (gain) on extinguishment of debt, net in the consolidated statement of operations and comprehensive income (loss) during fiscal years 2026 and 2025. The 2025 Notes bore interest at the rate of 5.625% per year, payable semi-annually in cash in arrears, and were recorded as current portion of long-term debt, net of debt issuance costs, in the Company's consolidated financial statements as of March 31, 2025.</w:t>
      </w:r>
    </w:p>
    <w:p>
      <w:pPr>
        <w:pStyle w:val="TextBody"/>
        <w:bidi w:val="0"/>
        <w:spacing w:before="270" w:after="283"/>
        <w:jc w:val="left"/>
        <w:rPr>
          <w:rFonts w:ascii="Arial" w:hAnsi="Arial"/>
          <w:i/>
          <w:color w:val="000000"/>
          <w:sz w:val="20"/>
        </w:rPr>
      </w:pPr>
      <w:r>
        <w:rPr>
          <w:rFonts w:ascii="Arial" w:hAnsi="Arial"/>
          <w:i/>
          <w:color w:val="000000"/>
          <w:sz w:val="20"/>
        </w:rPr>
        <w:t>Inmarsat Senior Secured Notes due 2026; Discharge of Indenture and Loss on Extinguishment of Debt</w:t>
      </w:r>
    </w:p>
    <w:p>
      <w:pPr>
        <w:pStyle w:val="TextBody"/>
        <w:bidi w:val="0"/>
        <w:spacing w:before="80" w:after="283"/>
        <w:jc w:val="left"/>
        <w:rPr>
          <w:rFonts w:ascii="Times New Roman" w:hAnsi="Times New Roman"/>
          <w:sz w:val="20"/>
        </w:rPr>
      </w:pPr>
      <w:r>
        <w:rPr>
          <w:rFonts w:ascii="Arial" w:hAnsi="Arial"/>
          <w:color w:val="000000"/>
          <w:sz w:val="20"/>
        </w:rPr>
        <w:t>In October 2019, certain subsidiaries of Inmarsat Holdings issued $2.08</w:t>
      </w:r>
      <w:r>
        <w:rPr>
          <w:rFonts w:ascii="Times New Roman" w:hAnsi="Times New Roman"/>
          <w:color w:val="000000"/>
          <w:sz w:val="20"/>
        </w:rPr>
        <w:t xml:space="preserve"> </w:t>
      </w:r>
      <w:r>
        <w:rPr>
          <w:rFonts w:ascii="Arial" w:hAnsi="Arial"/>
          <w:color w:val="000000"/>
          <w:sz w:val="20"/>
        </w:rPr>
        <w:t>billion in principal amount of Inmarsat 2026</w:t>
      </w:r>
      <w:r>
        <w:rPr>
          <w:rFonts w:ascii="Times New Roman" w:hAnsi="Times New Roman"/>
          <w:color w:val="000000"/>
          <w:sz w:val="20"/>
        </w:rPr>
        <w:t xml:space="preserve"> </w:t>
      </w:r>
      <w:r>
        <w:rPr>
          <w:rFonts w:ascii="Arial" w:hAnsi="Arial"/>
          <w:color w:val="000000"/>
          <w:sz w:val="20"/>
        </w:rPr>
        <w:t>Notes in a private placement to institutional buyers. During fiscal year 2025, Inmarsat repurchased $101.7</w:t>
      </w:r>
      <w:r>
        <w:rPr>
          <w:rFonts w:ascii="Times New Roman" w:hAnsi="Times New Roman"/>
          <w:color w:val="000000"/>
          <w:sz w:val="20"/>
        </w:rPr>
        <w:t xml:space="preserve"> </w:t>
      </w:r>
      <w:r>
        <w:rPr>
          <w:rFonts w:ascii="Arial" w:hAnsi="Arial"/>
          <w:color w:val="000000"/>
          <w:sz w:val="20"/>
        </w:rPr>
        <w:t>million in aggregate principal amount of Inmarsat 2026 Notes in open market transactions and subsequently, Inmarsat used the net proceeds from the issuance of the Inmarsat 2029 Notes, together with cash on hand, to redeem all of the remaining $1.97</w:t>
      </w:r>
      <w:r>
        <w:rPr>
          <w:rFonts w:ascii="Times New Roman" w:hAnsi="Times New Roman"/>
          <w:color w:val="000000"/>
          <w:sz w:val="20"/>
        </w:rPr>
        <w:t xml:space="preserve"> </w:t>
      </w:r>
      <w:r>
        <w:rPr>
          <w:rFonts w:ascii="Arial" w:hAnsi="Arial"/>
          <w:color w:val="000000"/>
          <w:sz w:val="20"/>
        </w:rPr>
        <w:t>billion in principal amount of Inmarsat 2026 Notes at a redemption price of 100% of the principal amount so redeemed plus accrued and unpaid interest thereon to the redemption date, and the indenture governing the Inmarsat 2026 Notes was satisfied and discharged in accordance with its terms. As a result, the Company recorded a loss of $100.3</w:t>
      </w:r>
      <w:r>
        <w:rPr>
          <w:rFonts w:ascii="Times New Roman" w:hAnsi="Times New Roman"/>
          <w:color w:val="000000"/>
          <w:sz w:val="20"/>
        </w:rPr>
        <w:t xml:space="preserve"> </w:t>
      </w:r>
      <w:r>
        <w:rPr>
          <w:rFonts w:ascii="Arial" w:hAnsi="Arial"/>
          <w:color w:val="000000"/>
          <w:sz w:val="20"/>
        </w:rPr>
        <w:t>million in fiscal year 2025 in (loss) gain on extinguishment of debt, net in the consolidated statement of operations and comprehensive income (loss), related to an unamortized fair value adjustment made in purchase accounting.</w:t>
      </w:r>
      <w:r>
        <w:rPr>
          <w:rFonts w:ascii="Times New Roman" w:hAnsi="Times New Roman"/>
          <w:color w:val="000000"/>
          <w:sz w:val="20"/>
        </w:rPr>
        <w:t xml:space="preserve"> </w:t>
      </w:r>
      <w:r>
        <w:rPr>
          <w:rFonts w:ascii="Arial" w:hAnsi="Arial"/>
          <w:color w:val="000000"/>
          <w:sz w:val="20"/>
        </w:rPr>
        <w:t>The Inmarsat 2026 Notes bore interest at the rate of 6.750% per year, payable semi-annually in cash in arrears.</w:t>
      </w:r>
    </w:p>
    <w:p>
      <w:pPr>
        <w:pStyle w:val="TextBody"/>
        <w:bidi w:val="0"/>
        <w:spacing w:before="270" w:after="283"/>
        <w:jc w:val="left"/>
        <w:rPr>
          <w:rFonts w:ascii="Arial" w:hAnsi="Arial"/>
          <w:i/>
          <w:color w:val="000000"/>
          <w:sz w:val="20"/>
        </w:rPr>
      </w:pPr>
      <w:r>
        <w:rPr>
          <w:rFonts w:ascii="Arial" w:hAnsi="Arial"/>
          <w:i/>
          <w:color w:val="000000"/>
          <w:sz w:val="20"/>
        </w:rPr>
        <w:t>Senior Secured Notes due 2027</w:t>
      </w:r>
    </w:p>
    <w:p>
      <w:pPr>
        <w:pStyle w:val="TextBody"/>
        <w:bidi w:val="0"/>
        <w:spacing w:before="90" w:after="283"/>
        <w:jc w:val="left"/>
        <w:rPr>
          <w:rFonts w:ascii="Times New Roman" w:hAnsi="Times New Roman"/>
          <w:sz w:val="20"/>
        </w:rPr>
      </w:pPr>
      <w:r>
        <w:rPr>
          <w:rFonts w:ascii="Arial" w:hAnsi="Arial"/>
          <w:color w:val="000000"/>
          <w:sz w:val="20"/>
        </w:rPr>
        <w:t>In March 2019, the Company issued $600.0</w:t>
      </w:r>
      <w:r>
        <w:rPr>
          <w:rFonts w:ascii="Times New Roman" w:hAnsi="Times New Roman"/>
          <w:color w:val="000000"/>
          <w:sz w:val="20"/>
        </w:rPr>
        <w:t xml:space="preserve"> </w:t>
      </w:r>
      <w:r>
        <w:rPr>
          <w:rFonts w:ascii="Arial" w:hAnsi="Arial"/>
          <w:color w:val="000000"/>
          <w:sz w:val="20"/>
        </w:rPr>
        <w:t>million in principal amount of 2027</w:t>
      </w:r>
      <w:r>
        <w:rPr>
          <w:rFonts w:ascii="Times New Roman" w:hAnsi="Times New Roman"/>
          <w:color w:val="000000"/>
          <w:sz w:val="20"/>
        </w:rPr>
        <w:t xml:space="preserve"> </w:t>
      </w:r>
      <w:r>
        <w:rPr>
          <w:rFonts w:ascii="Arial" w:hAnsi="Arial"/>
          <w:color w:val="000000"/>
          <w:sz w:val="20"/>
        </w:rPr>
        <w:t>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2027 Notes are required to be guaranteed on a senior secured basis by each of the Company’s existing and future subsidiaries that guarantees the Viasat Revolving Credit Facility. As of March 31, 2026,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F-37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color w:val="000000"/>
          <w:sz w:val="20"/>
        </w:rPr>
      </w:pPr>
      <w:r>
        <w:rPr>
          <w:rFonts w:ascii="Arial" w:hAnsi="Arial"/>
          <w:color w:val="000000"/>
          <w:sz w:val="20"/>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2029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pStyle w:val="TextBody"/>
        <w:bidi w:val="0"/>
        <w:spacing w:before="180" w:after="283"/>
        <w:jc w:val="left"/>
        <w:rPr>
          <w:rFonts w:ascii="Times New Roman" w:hAnsi="Times New Roman"/>
          <w:sz w:val="20"/>
        </w:rPr>
      </w:pPr>
      <w:r>
        <w:rPr>
          <w:rFonts w:ascii="Arial" w:hAnsi="Arial"/>
          <w:color w:val="000000"/>
          <w:sz w:val="20"/>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2027 Notes may be redeemed, in whole or in part, at any time at a redemption price of 100% plus accrued and unpaid interest, if any, thereon to the redemption date.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r>
        <w:rPr>
          <w:rFonts w:ascii="Times New Roman" w:hAnsi="Times New Roman"/>
          <w:color w:val="000000"/>
          <w:sz w:val="20"/>
        </w:rPr>
        <w:t xml:space="preserve"> </w:t>
      </w:r>
    </w:p>
    <w:p>
      <w:pPr>
        <w:pStyle w:val="TextBody"/>
        <w:bidi w:val="0"/>
        <w:spacing w:before="270" w:after="283"/>
        <w:jc w:val="left"/>
        <w:rPr>
          <w:rFonts w:ascii="Arial" w:hAnsi="Arial"/>
          <w:i/>
          <w:color w:val="000000"/>
          <w:sz w:val="20"/>
        </w:rPr>
      </w:pPr>
      <w:r>
        <w:rPr>
          <w:rFonts w:ascii="Arial" w:hAnsi="Arial"/>
          <w:i/>
          <w:color w:val="000000"/>
          <w:sz w:val="20"/>
        </w:rPr>
        <w:t>Senior Notes due 2028</w:t>
      </w:r>
    </w:p>
    <w:p>
      <w:pPr>
        <w:pStyle w:val="TextBody"/>
        <w:bidi w:val="0"/>
        <w:spacing w:before="90" w:after="283"/>
        <w:jc w:val="left"/>
        <w:rPr>
          <w:rFonts w:ascii="Times New Roman" w:hAnsi="Times New Roman"/>
          <w:sz w:val="20"/>
        </w:rPr>
      </w:pPr>
      <w:r>
        <w:rPr>
          <w:rFonts w:ascii="Arial" w:hAnsi="Arial"/>
          <w:color w:val="000000"/>
          <w:sz w:val="20"/>
        </w:rPr>
        <w:t>In June 2020, the Company issued $400.0</w:t>
      </w:r>
      <w:r>
        <w:rPr>
          <w:rFonts w:ascii="Times New Roman" w:hAnsi="Times New Roman"/>
          <w:color w:val="000000"/>
          <w:sz w:val="20"/>
        </w:rPr>
        <w:t xml:space="preserve"> </w:t>
      </w:r>
      <w:r>
        <w:rPr>
          <w:rFonts w:ascii="Arial" w:hAnsi="Arial"/>
          <w:color w:val="000000"/>
          <w:sz w:val="20"/>
        </w:rPr>
        <w:t>million in principal amount of 2028</w:t>
      </w:r>
      <w:r>
        <w:rPr>
          <w:rFonts w:ascii="Times New Roman" w:hAnsi="Times New Roman"/>
          <w:color w:val="000000"/>
          <w:sz w:val="20"/>
        </w:rPr>
        <w:t xml:space="preserve"> </w:t>
      </w:r>
      <w:r>
        <w:rPr>
          <w:rFonts w:ascii="Arial" w:hAnsi="Arial"/>
          <w:color w:val="000000"/>
          <w:sz w:val="20"/>
        </w:rPr>
        <w:t>Notes in a private placement to institutional buyers. The 2028 Notes were issued at face value and are recorded as long-term debt, net of debt issuance costs, in the Company’s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2028 Notes are required to be guaranteed on an unsecured senior basis by each of the Company’s existing and future subsidiaries that guarantees the Viasat Revolving Credit Facility. As of March 31, 2026,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pStyle w:val="TextBody"/>
        <w:bidi w:val="0"/>
        <w:spacing w:before="180" w:after="283"/>
        <w:jc w:val="left"/>
        <w:rPr>
          <w:rFonts w:ascii="Arial" w:hAnsi="Arial"/>
          <w:color w:val="000000"/>
          <w:sz w:val="20"/>
        </w:rPr>
      </w:pPr>
      <w:r>
        <w:rPr>
          <w:rFonts w:ascii="Arial" w:hAnsi="Arial"/>
          <w:color w:val="000000"/>
          <w:sz w:val="20"/>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Arial" w:hAnsi="Arial"/>
          <w:color w:val="000000"/>
          <w:sz w:val="20"/>
        </w:rPr>
      </w:pPr>
      <w:r>
        <w:rPr>
          <w:rFonts w:ascii="Arial" w:hAnsi="Arial"/>
          <w:color w:val="000000"/>
          <w:sz w:val="20"/>
        </w:rPr>
        <w:t>The 2028 Notes may be redeemed, in whole or in part, at any time at a redemption price of 100%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40" w:after="283"/>
        <w:jc w:val="center"/>
        <w:rPr>
          <w:rFonts w:ascii="Arial" w:hAnsi="Arial"/>
          <w:color w:val="000000"/>
          <w:sz w:val="20"/>
        </w:rPr>
      </w:pPr>
      <w:r>
        <w:rPr>
          <w:rFonts w:ascii="Arial" w:hAnsi="Arial"/>
          <w:color w:val="000000"/>
          <w:sz w:val="20"/>
        </w:rPr>
        <w:t>F-38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270" w:after="283"/>
        <w:jc w:val="left"/>
        <w:rPr>
          <w:rFonts w:ascii="Arial" w:hAnsi="Arial"/>
          <w:i/>
          <w:color w:val="000000"/>
          <w:sz w:val="20"/>
        </w:rPr>
      </w:pPr>
      <w:r>
        <w:rPr>
          <w:rFonts w:ascii="Arial" w:hAnsi="Arial"/>
          <w:i/>
          <w:color w:val="000000"/>
          <w:sz w:val="20"/>
        </w:rPr>
        <w:t>Inmarsat Senior Secured Notes due 2029</w:t>
      </w:r>
    </w:p>
    <w:p>
      <w:pPr>
        <w:pStyle w:val="TextBody"/>
        <w:bidi w:val="0"/>
        <w:spacing w:before="80" w:after="283"/>
        <w:jc w:val="left"/>
        <w:rPr>
          <w:rFonts w:ascii="Times New Roman" w:hAnsi="Times New Roman"/>
          <w:sz w:val="20"/>
        </w:rPr>
      </w:pPr>
      <w:r>
        <w:rPr>
          <w:rFonts w:ascii="Arial" w:hAnsi="Arial"/>
          <w:color w:val="000000"/>
          <w:sz w:val="20"/>
        </w:rPr>
        <w:t>In September 2024, certain subsidiaries of Inmarsat Holdings issued $1.975</w:t>
      </w:r>
      <w:r>
        <w:rPr>
          <w:rFonts w:ascii="Times New Roman" w:hAnsi="Times New Roman"/>
          <w:color w:val="000000"/>
          <w:sz w:val="20"/>
        </w:rPr>
        <w:t xml:space="preserve"> </w:t>
      </w:r>
      <w:r>
        <w:rPr>
          <w:rFonts w:ascii="Arial" w:hAnsi="Arial"/>
          <w:color w:val="000000"/>
          <w:sz w:val="20"/>
        </w:rPr>
        <w:t>billion in principal amount of Inmarsat 2029</w:t>
      </w:r>
      <w:r>
        <w:rPr>
          <w:rFonts w:ascii="Times New Roman" w:hAnsi="Times New Roman"/>
          <w:color w:val="000000"/>
          <w:sz w:val="20"/>
        </w:rPr>
        <w:t xml:space="preserve"> </w:t>
      </w:r>
      <w:r>
        <w:rPr>
          <w:rFonts w:ascii="Arial" w:hAnsi="Arial"/>
          <w:color w:val="000000"/>
          <w:sz w:val="20"/>
        </w:rPr>
        <w:t>Notes in a private placement to institutional buyers. The Inmarsat 2029 Notes were issued at face value and are recorded as long-term debt, net of debt issuance costs, in the Company’s consolidated financial statements. The Inmarsat 2029 Notes bear interest at the rate of 9.000% per year, payable semi-annually in cash in arrears, which interest payments commenced in March 2025. Debt issuance costs associated with the issuance of the Inmarsat 2029 Notes are amortized to interest expense on a straight-line basis over the term of the Inmarsat 2029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Inmarsat 2029 Notes are secured by pari passu first priority liens on the collateral securing the Inmarsat Secured Credit Facilities, and are required to be guaranteed on a senior secured basis by the subsidiaries of Inmarsat Holdings guaranteeing the Inmarsat Secured Credit Facilities.</w:t>
      </w:r>
    </w:p>
    <w:p>
      <w:pPr>
        <w:pStyle w:val="TextBody"/>
        <w:bidi w:val="0"/>
        <w:spacing w:before="180" w:after="283"/>
        <w:jc w:val="left"/>
        <w:rPr>
          <w:rFonts w:ascii="Arial" w:hAnsi="Arial"/>
          <w:color w:val="000000"/>
          <w:sz w:val="20"/>
        </w:rPr>
      </w:pPr>
      <w:r>
        <w:rPr>
          <w:rFonts w:ascii="Arial" w:hAnsi="Arial"/>
          <w:color w:val="000000"/>
          <w:sz w:val="20"/>
        </w:rPr>
        <w:t>The indenture governing the Inmarsat 2029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pStyle w:val="TextBody"/>
        <w:bidi w:val="0"/>
        <w:spacing w:before="180" w:after="283"/>
        <w:jc w:val="left"/>
        <w:rPr>
          <w:rFonts w:ascii="Times New Roman" w:hAnsi="Times New Roman"/>
          <w:sz w:val="20"/>
        </w:rPr>
      </w:pPr>
      <w:r>
        <w:rPr>
          <w:rFonts w:ascii="Arial" w:hAnsi="Arial"/>
          <w:color w:val="000000"/>
          <w:sz w:val="20"/>
        </w:rPr>
        <w:t>Prior to September 15, 2026, the issuers may redeem up to 40% of the Inmarsat 2029 Notes at a redemption price 109.000% of the principal amount thereof, plus accrued and unpaid interest, if any, thereon to the redemption date, from the net cash proceeds of specified equity offerings so long as at least 50% of the aggregate principal amount of the Inmarsat 2029 Notes originally issued remains outstanding after such redemptions.</w:t>
      </w:r>
      <w:r>
        <w:rPr>
          <w:rFonts w:ascii="Times New Roman" w:hAnsi="Times New Roman"/>
          <w:color w:val="000000"/>
          <w:sz w:val="20"/>
        </w:rPr>
        <w:t xml:space="preserve"> </w:t>
      </w:r>
      <w:r>
        <w:rPr>
          <w:rFonts w:ascii="Arial" w:hAnsi="Arial"/>
          <w:color w:val="000000"/>
          <w:sz w:val="20"/>
        </w:rPr>
        <w:t>The issuers may also redeem the Inmarsat 2029 Notes prior to September 15, 2026, in whole or in part, at a redemption price equal to 100% of the principal amount thereof plus a “make-whole” premium and any accrued and unpaid interest, if any, thereon to the redemption date.</w:t>
      </w:r>
      <w:r>
        <w:rPr>
          <w:rFonts w:ascii="Times New Roman" w:hAnsi="Times New Roman"/>
          <w:color w:val="000000"/>
          <w:sz w:val="20"/>
        </w:rPr>
        <w:t xml:space="preserve"> </w:t>
      </w:r>
      <w:r>
        <w:rPr>
          <w:rFonts w:ascii="Arial" w:hAnsi="Arial"/>
          <w:color w:val="000000"/>
          <w:sz w:val="20"/>
        </w:rPr>
        <w:t>The Inmarsat 2029 Notes may be redeemed, in whole or in part, at any time during the 12 months beginning on September 15, 2026 at a redemption price of 104.500%, at any time during the 12 months beginning on September 15, 2027 at a redemption price of 102.250%, and at any time on or after September 15, 2028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occurs (as defined in the indenture governing the Inmarsat 2029 Notes), each holder will have the right to require the issuers to repurchase all or a portion of such holder’s Inmarsat 2029 Notes at a purchase price in cash equal to 101% of the aggregate principal amount of the Inmarsat 2029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268" w:after="283"/>
        <w:jc w:val="left"/>
        <w:rPr>
          <w:rFonts w:ascii="Arial" w:hAnsi="Arial"/>
          <w:i/>
          <w:color w:val="000000"/>
          <w:sz w:val="20"/>
        </w:rPr>
      </w:pPr>
      <w:r>
        <w:rPr>
          <w:rFonts w:ascii="Arial" w:hAnsi="Arial"/>
          <w:i/>
          <w:color w:val="000000"/>
          <w:sz w:val="20"/>
        </w:rPr>
        <w:t>Senior Notes due 2031</w:t>
      </w:r>
    </w:p>
    <w:p>
      <w:pPr>
        <w:pStyle w:val="TextBody"/>
        <w:bidi w:val="0"/>
        <w:spacing w:before="80" w:after="283"/>
        <w:jc w:val="left"/>
        <w:rPr>
          <w:rFonts w:ascii="Times New Roman" w:hAnsi="Times New Roman"/>
          <w:sz w:val="20"/>
        </w:rPr>
      </w:pPr>
      <w:r>
        <w:rPr>
          <w:rFonts w:ascii="Arial" w:hAnsi="Arial"/>
          <w:color w:val="000000"/>
          <w:sz w:val="20"/>
        </w:rPr>
        <w:t>In September 2023, the Company issued $733.4</w:t>
      </w:r>
      <w:r>
        <w:rPr>
          <w:rFonts w:ascii="Times New Roman" w:hAnsi="Times New Roman"/>
          <w:color w:val="000000"/>
          <w:sz w:val="20"/>
        </w:rPr>
        <w:t xml:space="preserve"> </w:t>
      </w:r>
      <w:r>
        <w:rPr>
          <w:rFonts w:ascii="Arial" w:hAnsi="Arial"/>
          <w:color w:val="000000"/>
          <w:sz w:val="20"/>
        </w:rPr>
        <w:t>million in principal amount of 2031</w:t>
      </w:r>
      <w:r>
        <w:rPr>
          <w:rFonts w:ascii="Times New Roman" w:hAnsi="Times New Roman"/>
          <w:color w:val="000000"/>
          <w:sz w:val="20"/>
        </w:rPr>
        <w:t xml:space="preserve"> </w:t>
      </w:r>
      <w:r>
        <w:rPr>
          <w:rFonts w:ascii="Arial" w:hAnsi="Arial"/>
          <w:color w:val="000000"/>
          <w:sz w:val="20"/>
        </w:rPr>
        <w:t>Notes in a private placement to institutional buyers to replace the $733.4</w:t>
      </w:r>
      <w:r>
        <w:rPr>
          <w:rFonts w:ascii="Times New Roman" w:hAnsi="Times New Roman"/>
          <w:color w:val="000000"/>
          <w:sz w:val="20"/>
        </w:rPr>
        <w:t xml:space="preserve"> </w:t>
      </w:r>
      <w:r>
        <w:rPr>
          <w:rFonts w:ascii="Arial" w:hAnsi="Arial"/>
          <w:color w:val="000000"/>
          <w:sz w:val="20"/>
        </w:rPr>
        <w:t>million unsecured bridge loan facility that was entered into in connection with the closing of the Inmarsat Acquisition in May 2023. The 2031 Notes were issued at face value and are recorded as long-term debt, net of debt issuance costs, in the Company’s consolidated financial statements. The 2031 Notes bear interest at the rate of 7.500% per year, payable semi-annually in cash in arrears, which interest payments commenced in May 2024. Debt issuance costs associated with the issuance of the 2031 Notes are amortized to interest expense on a straight-line basis over the term of the 2031 Notes, the results of which are not materially different from the effective interest rate basis.</w:t>
      </w:r>
    </w:p>
    <w:p>
      <w:pPr>
        <w:pStyle w:val="TextBody"/>
        <w:bidi w:val="0"/>
        <w:spacing w:before="180" w:after="283"/>
        <w:jc w:val="left"/>
        <w:rPr>
          <w:rFonts w:ascii="Arial" w:hAnsi="Arial"/>
          <w:color w:val="000000"/>
          <w:sz w:val="20"/>
        </w:rPr>
      </w:pPr>
      <w:r>
        <w:rPr>
          <w:rFonts w:ascii="Arial" w:hAnsi="Arial"/>
          <w:color w:val="000000"/>
          <w:sz w:val="20"/>
        </w:rPr>
        <w:t>The 2031 Notes are required to be guaranteed on an unsecured senior basis by each of the Company’s existing and future subsidiaries that guarantees the Viasat Revolving Credit Facility. As of March 31, 2026,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pStyle w:val="TextBody"/>
        <w:bidi w:val="0"/>
        <w:spacing w:before="240" w:after="283"/>
        <w:jc w:val="center"/>
        <w:rPr>
          <w:rFonts w:ascii="Arial" w:hAnsi="Arial"/>
          <w:color w:val="000000"/>
          <w:sz w:val="20"/>
        </w:rPr>
      </w:pPr>
      <w:r>
        <w:rPr>
          <w:rFonts w:ascii="Arial" w:hAnsi="Arial"/>
          <w:color w:val="000000"/>
          <w:sz w:val="20"/>
        </w:rPr>
        <w:t>F-39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color w:val="000000"/>
          <w:sz w:val="20"/>
        </w:rPr>
      </w:pPr>
      <w:r>
        <w:rPr>
          <w:rFonts w:ascii="Arial" w:hAnsi="Arial"/>
          <w:color w:val="000000"/>
          <w:sz w:val="20"/>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pStyle w:val="TextBody"/>
        <w:bidi w:val="0"/>
        <w:spacing w:before="180" w:after="283"/>
        <w:jc w:val="left"/>
        <w:rPr>
          <w:rFonts w:ascii="Times New Roman" w:hAnsi="Times New Roman"/>
          <w:sz w:val="20"/>
        </w:rPr>
      </w:pPr>
      <w:r>
        <w:rPr>
          <w:rFonts w:ascii="Arial" w:hAnsi="Arial"/>
          <w:color w:val="000000"/>
          <w:sz w:val="20"/>
        </w:rPr>
        <w:t>Prior to May 30, 2026, the Company may redeem up to 40% of the 2031 Notes at a redemption price of 107.500% of the principal amount thereof, plus accrued and unpaid interest, if any, thereon to the redemption date, from the net cash proceeds of specified equity offerings.</w:t>
      </w:r>
      <w:r>
        <w:rPr>
          <w:rFonts w:ascii="Times New Roman" w:hAnsi="Times New Roman"/>
          <w:color w:val="000000"/>
          <w:sz w:val="20"/>
        </w:rPr>
        <w:t xml:space="preserve"> </w:t>
      </w:r>
      <w:r>
        <w:rPr>
          <w:rFonts w:ascii="Arial" w:hAnsi="Arial"/>
          <w:color w:val="000000"/>
          <w:sz w:val="20"/>
        </w:rPr>
        <w:t>The Company may also redeem the 2031 Notes prior to May 30, 2026, in whole or in part, at a redemption price equal to 100% of the principal amount thereof plus a “make whole” premium and any accrued and unpaid interest, if any, thereon to the redemption date.</w:t>
      </w:r>
      <w:r>
        <w:rPr>
          <w:rFonts w:ascii="Times New Roman" w:hAnsi="Times New Roman"/>
          <w:color w:val="000000"/>
          <w:sz w:val="20"/>
        </w:rPr>
        <w:t xml:space="preserve"> </w:t>
      </w:r>
      <w:r>
        <w:rPr>
          <w:rFonts w:ascii="Arial" w:hAnsi="Arial"/>
          <w:color w:val="000000"/>
          <w:sz w:val="20"/>
        </w:rPr>
        <w:t>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pStyle w:val="TextBody"/>
        <w:bidi w:val="0"/>
        <w:spacing w:before="180" w:after="283"/>
        <w:jc w:val="left"/>
        <w:rPr>
          <w:rFonts w:ascii="Arial" w:hAnsi="Arial"/>
          <w:color w:val="000000"/>
          <w:sz w:val="20"/>
        </w:rPr>
      </w:pPr>
      <w:r>
        <w:rPr>
          <w:rFonts w:ascii="Arial" w:hAnsi="Arial"/>
          <w:color w:val="000000"/>
          <w:sz w:val="20"/>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p>
    <w:p>
      <w:pPr>
        <w:pStyle w:val="TextBody"/>
        <w:bidi w:val="0"/>
        <w:spacing w:before="180" w:after="283"/>
        <w:jc w:val="left"/>
        <w:rPr>
          <w:rFonts w:ascii="Times New Roman" w:hAnsi="Times New Roman"/>
          <w:sz w:val="20"/>
        </w:rPr>
      </w:pPr>
      <w:r>
        <w:rPr>
          <w:rFonts w:ascii="Arial" w:hAnsi="Arial"/>
          <w:b/>
          <w:color w:val="000000"/>
          <w:sz w:val="20"/>
        </w:rPr>
        <w:t>Note 8 — Common Stock and Stock Plans</w:t>
      </w:r>
      <w:r>
        <w:rPr>
          <w:rFonts w:ascii="Times New Roman" w:hAnsi="Times New Roman"/>
          <w:color w:val="000000"/>
          <w:sz w:val="20"/>
        </w:rPr>
        <w:t xml:space="preserve"> </w:t>
      </w:r>
    </w:p>
    <w:p>
      <w:pPr>
        <w:pStyle w:val="TextBody"/>
        <w:bidi w:val="0"/>
        <w:spacing w:before="90" w:after="283"/>
        <w:jc w:val="left"/>
        <w:rPr>
          <w:rFonts w:ascii="Arial" w:hAnsi="Arial"/>
          <w:color w:val="000000"/>
          <w:sz w:val="20"/>
        </w:rPr>
      </w:pPr>
      <w:r>
        <w:rPr>
          <w:rFonts w:ascii="Arial" w:hAnsi="Arial"/>
          <w:color w:val="000000"/>
          <w:sz w:val="20"/>
        </w:rPr>
        <w:t>From time to time, the Company files universal shelf registration statements with the SEC for the future sale of an unlimited amount of common stock, preferred stock, debt securities, depositary shares, warrants and rights, which securities may be offered from time to time, separately or together, directly by the Company, by selling security holders, or through underwriters, dealers or agents at amounts, prices, interest rates and other terms to be determined at the time of the offering.</w:t>
      </w:r>
    </w:p>
    <w:p>
      <w:pPr>
        <w:pStyle w:val="TextBody"/>
        <w:bidi w:val="0"/>
        <w:spacing w:before="180" w:after="283"/>
        <w:jc w:val="left"/>
        <w:rPr>
          <w:rFonts w:ascii="Times New Roman" w:hAnsi="Times New Roman"/>
          <w:sz w:val="20"/>
        </w:rPr>
      </w:pPr>
      <w:r>
        <w:rPr>
          <w:rFonts w:ascii="Arial" w:hAnsi="Arial"/>
          <w:color w:val="000000"/>
          <w:sz w:val="20"/>
        </w:rPr>
        <w:t>In November 1996, the Company adopted the 1996 Equity Participation Plan (the Equity Participation Plan). The Equity Participation Plan provides for the grant to executive officers, other eligible employees, consultants and non-employee directors of the Company a broad variety of stock-based compensation alternatives such as nonqualified stock options, incentive stock options, RSUs and performance awards. Following the approval of the amended Equity Participation Plan at the 2025 Annual Meeting of Stockholders, the number of shares available for issuance under the amended Equity Participation Plan is (i) 6,410,000</w:t>
      </w:r>
      <w:r>
        <w:rPr>
          <w:rFonts w:ascii="Times New Roman" w:hAnsi="Times New Roman"/>
          <w:color w:val="000000"/>
          <w:sz w:val="20"/>
        </w:rPr>
        <w:t xml:space="preserve"> </w:t>
      </w:r>
      <w:r>
        <w:rPr>
          <w:rFonts w:ascii="Arial" w:hAnsi="Arial"/>
          <w:color w:val="000000"/>
          <w:sz w:val="20"/>
        </w:rPr>
        <w:t>shares, plus (ii) the number of shares, if any, subject to awards outstanding under the former Equity Participation Plan on July 1, 2025 or granted under the amended Equity Participation Plan after such date that again become available for issuance in accordance with the share counting provisions of the amended Equity Participation Plan, based on the deduction from the share reserve originally taken with respect to such awards. The Company believes that such awards align the interests of its executive officers, employees, consultants and non-employee directors with those of its stockholders. Shares of the Company’s common stock granted under the Equity Participation Plan in the form of stock options or stock appreciation right or as a stock appreciation right with a per share purchase price lower than 100% of fair market value on the date of grant are counted against the Equity Participation Plan share reserve on a one-for-one basis, and PSOs and PSUs are calculated assuming “maximum” performance.</w:t>
      </w:r>
    </w:p>
    <w:p>
      <w:pPr>
        <w:pStyle w:val="TextBody"/>
        <w:bidi w:val="0"/>
        <w:spacing w:before="180" w:after="283"/>
        <w:jc w:val="left"/>
        <w:rPr>
          <w:rFonts w:ascii="Arial" w:hAnsi="Arial"/>
          <w:color w:val="000000"/>
          <w:sz w:val="20"/>
        </w:rPr>
      </w:pPr>
      <w:r>
        <w:rPr>
          <w:rFonts w:ascii="Arial" w:hAnsi="Arial"/>
          <w:color w:val="000000"/>
          <w:sz w:val="20"/>
        </w:rPr>
        <w:t>In September 2024, the Company adopted the 2024 Employment Inducement Incentive Award Plan (the Inducement Plan). The Inducement Plan provided for RSU and market condition PSU grants to the Company's Senior Vice President and Chief Financial Officer. The maximum number of shares reserved for issuance under this plan is 377,500. Shares of the Company’s common stock granted under the Inducement Plan as RSUs are counted against the Inducement Plan share reserve on a one-for-one basis and market condition PSU grants are calculated assuming “maximum” performance.</w:t>
      </w:r>
    </w:p>
    <w:p>
      <w:pPr>
        <w:pStyle w:val="TextBody"/>
        <w:bidi w:val="0"/>
        <w:spacing w:before="240" w:after="283"/>
        <w:jc w:val="center"/>
        <w:rPr>
          <w:rFonts w:ascii="Arial" w:hAnsi="Arial"/>
          <w:color w:val="000000"/>
          <w:sz w:val="20"/>
        </w:rPr>
      </w:pPr>
      <w:r>
        <w:rPr>
          <w:rFonts w:ascii="Arial" w:hAnsi="Arial"/>
          <w:color w:val="000000"/>
          <w:sz w:val="20"/>
        </w:rPr>
        <w:t>F-40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20"/>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The number of shares reserved for issuance under the Employee Stock Purchase Plan</w:t>
      </w:r>
      <w:r>
        <w:rPr>
          <w:rFonts w:ascii="Times New Roman" w:hAnsi="Times New Roman"/>
          <w:color w:val="000000"/>
          <w:sz w:val="20"/>
        </w:rPr>
        <w:t xml:space="preserve"> </w:t>
      </w:r>
      <w:r>
        <w:rPr>
          <w:rFonts w:ascii="Arial" w:hAnsi="Arial"/>
          <w:color w:val="000000"/>
          <w:sz w:val="20"/>
        </w:rPr>
        <w:t>is 16,950,000</w:t>
      </w:r>
      <w:r>
        <w:rPr>
          <w:rFonts w:ascii="Times New Roman" w:hAnsi="Times New Roman"/>
          <w:color w:val="000000"/>
          <w:sz w:val="20"/>
        </w:rPr>
        <w:t xml:space="preserve"> </w:t>
      </w:r>
      <w:r>
        <w:rPr>
          <w:rFonts w:ascii="Arial" w:hAnsi="Arial"/>
          <w:color w:val="000000"/>
          <w:sz w:val="20"/>
        </w:rPr>
        <w:t>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Total stock-based compensation expense recognized in accordance with ASC 718 was as follows:</w:t>
      </w:r>
      <w:r>
        <w:rPr>
          <w:rFonts w:ascii="Times New Roman" w:hAnsi="Times New Roman"/>
          <w:color w:val="000000"/>
          <w:sz w:val="20"/>
        </w:rPr>
        <w:t xml:space="preserve"> </w:t>
      </w:r>
    </w:p>
    <w:p>
      <w:pPr>
        <w:pStyle w:val="TextBody"/>
        <w:bidi w:val="0"/>
        <w:jc w:val="left"/>
        <w:rPr/>
      </w:pPr>
      <w:r>
        <w:rPr/>
        <w:t> </w:t>
      </w:r>
    </w:p>
    <w:tbl>
      <w:tblPr>
        <w:tblW w:w="9202" w:type="dxa"/>
        <w:jc w:val="left"/>
        <w:tblInd w:w="0" w:type="dxa"/>
        <w:tblLayout w:type="fixed"/>
        <w:tblCellMar>
          <w:top w:w="28" w:type="dxa"/>
          <w:left w:w="28" w:type="dxa"/>
          <w:bottom w:w="28" w:type="dxa"/>
          <w:right w:w="28" w:type="dxa"/>
        </w:tblCellMar>
      </w:tblPr>
      <w:tblGrid>
        <w:gridCol w:w="4441"/>
        <w:gridCol w:w="146"/>
        <w:gridCol w:w="294"/>
        <w:gridCol w:w="966"/>
        <w:gridCol w:w="166"/>
        <w:gridCol w:w="146"/>
        <w:gridCol w:w="294"/>
        <w:gridCol w:w="966"/>
        <w:gridCol w:w="166"/>
        <w:gridCol w:w="146"/>
        <w:gridCol w:w="294"/>
        <w:gridCol w:w="966"/>
        <w:gridCol w:w="21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0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 expense before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Related income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 expense, net of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78,204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accordance with ASC 718, the Company recognizes excess tax benefits or deficiencies on vesting or settlement of awards as discrete items within income tax benefit or provision within net income (loss) and the related cash flows classified within operating activities.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compensation cost that has been charged against income for the Equity Participation Plan and Inducement Plan under ASC 718 was $73.5</w:t>
      </w:r>
      <w:r>
        <w:rPr>
          <w:rFonts w:ascii="Times New Roman" w:hAnsi="Times New Roman"/>
          <w:color w:val="000000"/>
          <w:sz w:val="20"/>
        </w:rPr>
        <w:t xml:space="preserve"> </w:t>
      </w:r>
      <w:r>
        <w:rPr>
          <w:rFonts w:ascii="Arial" w:hAnsi="Arial"/>
          <w:color w:val="000000"/>
          <w:sz w:val="20"/>
        </w:rPr>
        <w:t>million, $72.9</w:t>
      </w:r>
      <w:r>
        <w:rPr>
          <w:rFonts w:ascii="Times New Roman" w:hAnsi="Times New Roman"/>
          <w:color w:val="000000"/>
          <w:sz w:val="20"/>
        </w:rPr>
        <w:t xml:space="preserve"> </w:t>
      </w:r>
      <w:r>
        <w:rPr>
          <w:rFonts w:ascii="Arial" w:hAnsi="Arial"/>
          <w:color w:val="000000"/>
          <w:sz w:val="20"/>
        </w:rPr>
        <w:t>million and $75.6</w:t>
      </w:r>
      <w:r>
        <w:rPr>
          <w:rFonts w:ascii="Times New Roman" w:hAnsi="Times New Roman"/>
          <w:color w:val="000000"/>
          <w:sz w:val="20"/>
        </w:rPr>
        <w:t xml:space="preserve"> </w:t>
      </w:r>
      <w:r>
        <w:rPr>
          <w:rFonts w:ascii="Arial" w:hAnsi="Arial"/>
          <w:color w:val="000000"/>
          <w:sz w:val="20"/>
        </w:rPr>
        <w:t>million, and for the Employee Stock Purchase Plan was $7.5</w:t>
      </w:r>
      <w:r>
        <w:rPr>
          <w:rFonts w:ascii="Times New Roman" w:hAnsi="Times New Roman"/>
          <w:color w:val="000000"/>
          <w:sz w:val="20"/>
        </w:rPr>
        <w:t xml:space="preserve"> </w:t>
      </w:r>
      <w:r>
        <w:rPr>
          <w:rFonts w:ascii="Arial" w:hAnsi="Arial"/>
          <w:color w:val="000000"/>
          <w:sz w:val="20"/>
        </w:rPr>
        <w:t>million, $7.5</w:t>
      </w:r>
      <w:r>
        <w:rPr>
          <w:rFonts w:ascii="Times New Roman" w:hAnsi="Times New Roman"/>
          <w:color w:val="000000"/>
          <w:sz w:val="20"/>
        </w:rPr>
        <w:t xml:space="preserve"> </w:t>
      </w:r>
      <w:r>
        <w:rPr>
          <w:rFonts w:ascii="Arial" w:hAnsi="Arial"/>
          <w:color w:val="000000"/>
          <w:sz w:val="20"/>
        </w:rPr>
        <w:t>million and $8.0</w:t>
      </w:r>
      <w:r>
        <w:rPr>
          <w:rFonts w:ascii="Times New Roman" w:hAnsi="Times New Roman"/>
          <w:color w:val="000000"/>
          <w:sz w:val="20"/>
        </w:rPr>
        <w:t xml:space="preserve"> </w:t>
      </w:r>
      <w:r>
        <w:rPr>
          <w:rFonts w:ascii="Arial" w:hAnsi="Arial"/>
          <w:color w:val="000000"/>
          <w:sz w:val="20"/>
        </w:rPr>
        <w:t>million, for fiscal years 2026, 2025 and 2024, respectively. The Company capitalized $9.6</w:t>
      </w:r>
      <w:r>
        <w:rPr>
          <w:rFonts w:ascii="Times New Roman" w:hAnsi="Times New Roman"/>
          <w:color w:val="000000"/>
          <w:sz w:val="20"/>
        </w:rPr>
        <w:t xml:space="preserve"> </w:t>
      </w:r>
      <w:r>
        <w:rPr>
          <w:rFonts w:ascii="Arial" w:hAnsi="Arial"/>
          <w:color w:val="000000"/>
          <w:sz w:val="20"/>
        </w:rPr>
        <w:t>million, $8.1</w:t>
      </w:r>
      <w:r>
        <w:rPr>
          <w:rFonts w:ascii="Times New Roman" w:hAnsi="Times New Roman"/>
          <w:color w:val="000000"/>
          <w:sz w:val="20"/>
        </w:rPr>
        <w:t xml:space="preserve"> </w:t>
      </w:r>
      <w:r>
        <w:rPr>
          <w:rFonts w:ascii="Arial" w:hAnsi="Arial"/>
          <w:color w:val="000000"/>
          <w:sz w:val="20"/>
        </w:rPr>
        <w:t>million and $10.7</w:t>
      </w:r>
      <w:r>
        <w:rPr>
          <w:rFonts w:ascii="Times New Roman" w:hAnsi="Times New Roman"/>
          <w:color w:val="000000"/>
          <w:sz w:val="20"/>
        </w:rPr>
        <w:t xml:space="preserve"> </w:t>
      </w:r>
      <w:r>
        <w:rPr>
          <w:rFonts w:ascii="Arial" w:hAnsi="Arial"/>
          <w:color w:val="000000"/>
          <w:sz w:val="20"/>
        </w:rPr>
        <w:t>million of stock-based compensation expense as a part of property, equipment and satellites, net for fiscal years 2026, 2025 and 2024, respectively. During fiscal years 2026 and 2025, the Company modified certain RSUs, PSUs and PSOs in connection with termination of executives, resulting in an insignificant amount of incremental compensation expense for each of the periods.</w:t>
      </w:r>
    </w:p>
    <w:p>
      <w:pPr>
        <w:pStyle w:val="TextBody"/>
        <w:bidi w:val="0"/>
        <w:spacing w:before="180" w:after="283"/>
        <w:jc w:val="left"/>
        <w:rPr>
          <w:rFonts w:ascii="Times New Roman" w:hAnsi="Times New Roman"/>
          <w:sz w:val="20"/>
        </w:rPr>
      </w:pPr>
      <w:r>
        <w:rPr>
          <w:rFonts w:ascii="Arial" w:hAnsi="Arial"/>
          <w:color w:val="000000"/>
          <w:sz w:val="20"/>
        </w:rPr>
        <w:t>As of March 31, 2026, total unrecognized compensation cost related to unvested stock-based compensation arrangements granted under the Equity Participation Plan and Inducement Plan (including stock options, PSOs, RSUs and PSUs) and the Employee Stock Purchase</w:t>
      </w:r>
      <w:r>
        <w:rPr>
          <w:rFonts w:ascii="Times New Roman" w:hAnsi="Times New Roman"/>
          <w:color w:val="000000"/>
          <w:sz w:val="20"/>
        </w:rPr>
        <w:t xml:space="preserve"> </w:t>
      </w:r>
      <w:r>
        <w:rPr>
          <w:rFonts w:ascii="Arial" w:hAnsi="Arial"/>
          <w:color w:val="000000"/>
          <w:sz w:val="20"/>
        </w:rPr>
        <w:t>Plan was $159.2</w:t>
      </w:r>
      <w:r>
        <w:rPr>
          <w:rFonts w:ascii="Times New Roman" w:hAnsi="Times New Roman"/>
          <w:color w:val="000000"/>
          <w:sz w:val="20"/>
        </w:rPr>
        <w:t xml:space="preserve"> </w:t>
      </w:r>
      <w:r>
        <w:rPr>
          <w:rFonts w:ascii="Arial" w:hAnsi="Arial"/>
          <w:color w:val="000000"/>
          <w:sz w:val="20"/>
        </w:rPr>
        <w:t>million and $2.5</w:t>
      </w:r>
      <w:r>
        <w:rPr>
          <w:rFonts w:ascii="Times New Roman" w:hAnsi="Times New Roman"/>
          <w:color w:val="000000"/>
          <w:sz w:val="20"/>
        </w:rPr>
        <w:t xml:space="preserve"> </w:t>
      </w:r>
      <w:r>
        <w:rPr>
          <w:rFonts w:ascii="Arial" w:hAnsi="Arial"/>
          <w:color w:val="000000"/>
          <w:sz w:val="20"/>
        </w:rPr>
        <w:t>million, respectively. These costs are expected to be recognized over a weighted average period</w:t>
      </w:r>
      <w:r>
        <w:rPr>
          <w:rFonts w:ascii="Times New Roman" w:hAnsi="Times New Roman"/>
          <w:color w:val="000000"/>
          <w:sz w:val="20"/>
        </w:rPr>
        <w:t xml:space="preserve"> </w:t>
      </w:r>
      <w:r>
        <w:rPr>
          <w:rFonts w:ascii="Arial" w:hAnsi="Arial"/>
          <w:color w:val="000000"/>
          <w:sz w:val="20"/>
        </w:rPr>
        <w:t>of 2.1 years, 0.5</w:t>
      </w:r>
      <w:r>
        <w:rPr>
          <w:rFonts w:ascii="Times New Roman" w:hAnsi="Times New Roman"/>
          <w:color w:val="000000"/>
          <w:sz w:val="20"/>
        </w:rPr>
        <w:t xml:space="preserve"> </w:t>
      </w:r>
      <w:r>
        <w:rPr>
          <w:rFonts w:ascii="Arial" w:hAnsi="Arial"/>
          <w:color w:val="000000"/>
          <w:sz w:val="20"/>
        </w:rPr>
        <w:t>years, 1.8</w:t>
      </w:r>
      <w:r>
        <w:rPr>
          <w:rFonts w:ascii="Times New Roman" w:hAnsi="Times New Roman"/>
          <w:color w:val="000000"/>
          <w:sz w:val="20"/>
        </w:rPr>
        <w:t xml:space="preserve"> </w:t>
      </w:r>
      <w:r>
        <w:rPr>
          <w:rFonts w:ascii="Arial" w:hAnsi="Arial"/>
          <w:color w:val="000000"/>
          <w:sz w:val="20"/>
        </w:rPr>
        <w:t>years and 1.5</w:t>
      </w:r>
      <w:r>
        <w:rPr>
          <w:rFonts w:ascii="Times New Roman" w:hAnsi="Times New Roman"/>
          <w:color w:val="000000"/>
          <w:sz w:val="20"/>
        </w:rPr>
        <w:t xml:space="preserve"> </w:t>
      </w:r>
      <w:r>
        <w:rPr>
          <w:rFonts w:ascii="Arial" w:hAnsi="Arial"/>
          <w:color w:val="000000"/>
          <w:sz w:val="20"/>
        </w:rPr>
        <w:t>years, for stock options, PSOs, RSUs and PSUs, respectively, under the Equity Participation Plan and the Inducement Plan, and less than six months</w:t>
      </w:r>
      <w:r>
        <w:rPr>
          <w:rFonts w:ascii="Times New Roman" w:hAnsi="Times New Roman"/>
          <w:color w:val="000000"/>
          <w:sz w:val="20"/>
        </w:rPr>
        <w:t xml:space="preserve"> </w:t>
      </w:r>
      <w:r>
        <w:rPr>
          <w:rFonts w:ascii="Arial" w:hAnsi="Arial"/>
          <w:color w:val="000000"/>
          <w:sz w:val="20"/>
        </w:rPr>
        <w:t>under the Employee Stock Purchase Plan.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F-41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i/>
          <w:color w:val="000000"/>
          <w:sz w:val="20"/>
        </w:rPr>
        <w:t>Stock options, market-based performance stock options and employee stock purchase plan.</w:t>
      </w:r>
      <w:r>
        <w:rPr>
          <w:rFonts w:ascii="Times New Roman" w:hAnsi="Times New Roman"/>
          <w:color w:val="000000"/>
          <w:sz w:val="20"/>
        </w:rPr>
        <w:t xml:space="preserve"> </w:t>
      </w:r>
      <w:r>
        <w:rPr>
          <w:rFonts w:ascii="Arial" w:hAnsi="Arial"/>
          <w:color w:val="000000"/>
          <w:sz w:val="20"/>
        </w:rPr>
        <w:t>The Company’s stock options (primarily granted to the members of the Company's Board of Directors) typically have a simple one- or three-year</w:t>
      </w:r>
      <w:r>
        <w:rPr>
          <w:rFonts w:ascii="Times New Roman" w:hAnsi="Times New Roman"/>
          <w:color w:val="000000"/>
          <w:sz w:val="20"/>
        </w:rPr>
        <w:t xml:space="preserve"> </w:t>
      </w:r>
      <w:r>
        <w:rPr>
          <w:rFonts w:ascii="Arial" w:hAnsi="Arial"/>
          <w:color w:val="000000"/>
          <w:sz w:val="20"/>
        </w:rPr>
        <w:t>vesting schedule and a six-year</w:t>
      </w:r>
      <w:r>
        <w:rPr>
          <w:rFonts w:ascii="Times New Roman" w:hAnsi="Times New Roman"/>
          <w:color w:val="000000"/>
          <w:sz w:val="20"/>
        </w:rPr>
        <w:t xml:space="preserve"> </w:t>
      </w:r>
      <w:r>
        <w:rPr>
          <w:rFonts w:ascii="Arial" w:hAnsi="Arial"/>
          <w:color w:val="000000"/>
          <w:sz w:val="20"/>
        </w:rPr>
        <w:t>contractual term.</w:t>
      </w:r>
      <w:r>
        <w:rPr>
          <w:rFonts w:ascii="Times New Roman" w:hAnsi="Times New Roman"/>
          <w:color w:val="000000"/>
          <w:sz w:val="20"/>
        </w:rPr>
        <w:t xml:space="preserve"> </w:t>
      </w:r>
      <w:r>
        <w:rPr>
          <w:rFonts w:ascii="Arial" w:hAnsi="Arial"/>
          <w:color w:val="000000"/>
          <w:sz w:val="20"/>
        </w:rPr>
        <w:t>The Company grants total shareholder return (TSR) performance stock options to executive officers under the Equity Participation Plan. The number of shares of TSR PSOs that will become vested and exercisable will range from 0% to 175% of the target number of options based on the time-based vesting schedule described below and is based on a comparison over the performance period of the Company’s TSR to the TSR of the companies included in an index. The Company’s TSR PSOs have a four-year time-based vesting schedule and a six-year contractual term. The TSR PSOs must be vested under both the time-based vesting schedule and the performance-based vesting conditions in order to become exercisable. In fiscal year 2024, the Company granted price hurdle PSOs to executive officers and certain other high-level employees under the Equity Participation Plan. The price hurdle PSOs must be vested under both a three-year time-based vesting schedule and a market-based vesting condition in order to become exercisable and have a six-year contractual term. The number of options that may become vested and exercisable will range from 0% to 250% of the target number of options granted depending on whether the forty-five calendar day trailing average market closing price of the Company's common stock ending on and including such date equals or exceeds certain levels. The Company estimates the fair value of the TSR PSOs and the price hurdle PSOs (collectively, the PSOs) at the grant date using a Monte Carlo simulation.</w:t>
      </w:r>
      <w:r>
        <w:rPr>
          <w:rFonts w:ascii="Times New Roman" w:hAnsi="Times New Roman"/>
          <w:color w:val="000000"/>
          <w:sz w:val="20"/>
        </w:rPr>
        <w:t xml:space="preserve"> </w:t>
      </w:r>
      <w:r>
        <w:rPr>
          <w:rFonts w:ascii="Arial" w:hAnsi="Arial"/>
          <w:color w:val="000000"/>
          <w:sz w:val="20"/>
        </w:rPr>
        <w:t>Expense for vested PSOs with a market condition that vest is recognized regardless of the actual outcome achieved and is recognized on a graded-vesting basis.</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PSOs granted during fiscal years 2026 and 2025. The estimated weighted average fair value of PSOs granted during fiscal year 2024 was $16.01</w:t>
      </w:r>
      <w:r>
        <w:rPr>
          <w:rFonts w:ascii="Times New Roman" w:hAnsi="Times New Roman"/>
          <w:color w:val="000000"/>
          <w:sz w:val="20"/>
        </w:rPr>
        <w:t xml:space="preserve"> </w:t>
      </w:r>
      <w:r>
        <w:rPr>
          <w:rFonts w:ascii="Arial" w:hAnsi="Arial"/>
          <w:color w:val="000000"/>
          <w:sz w:val="20"/>
        </w:rPr>
        <w:t>using a Monte Carlo simulation.</w:t>
      </w:r>
    </w:p>
    <w:p>
      <w:pPr>
        <w:pStyle w:val="TextBody"/>
        <w:bidi w:val="0"/>
        <w:spacing w:before="180" w:after="283"/>
        <w:jc w:val="left"/>
        <w:rPr>
          <w:rFonts w:ascii="Times New Roman" w:hAnsi="Times New Roman"/>
          <w:sz w:val="20"/>
        </w:rPr>
      </w:pPr>
      <w:r>
        <w:rPr>
          <w:rFonts w:ascii="Arial" w:hAnsi="Arial"/>
          <w:color w:val="000000"/>
          <w:sz w:val="20"/>
        </w:rPr>
        <w:t>The weighted average estimated fair value of stock options granted and shares issued under the Employee Stock Purchase Plan during fiscal year 2026 was $5.79</w:t>
      </w:r>
      <w:r>
        <w:rPr>
          <w:rFonts w:ascii="Times New Roman" w:hAnsi="Times New Roman"/>
          <w:color w:val="000000"/>
          <w:sz w:val="20"/>
        </w:rPr>
        <w:t xml:space="preserve"> </w:t>
      </w:r>
      <w:r>
        <w:rPr>
          <w:rFonts w:ascii="Arial" w:hAnsi="Arial"/>
          <w:color w:val="000000"/>
          <w:sz w:val="20"/>
        </w:rPr>
        <w:t>and $9.31</w:t>
      </w:r>
      <w:r>
        <w:rPr>
          <w:rFonts w:ascii="Times New Roman" w:hAnsi="Times New Roman"/>
          <w:color w:val="000000"/>
          <w:sz w:val="20"/>
        </w:rPr>
        <w:t xml:space="preserve"> </w:t>
      </w:r>
      <w:r>
        <w:rPr>
          <w:rFonts w:ascii="Arial" w:hAnsi="Arial"/>
          <w:color w:val="000000"/>
          <w:sz w:val="20"/>
        </w:rPr>
        <w:t>per share, respectively, during fiscal year 2025</w:t>
      </w:r>
      <w:r>
        <w:rPr>
          <w:rFonts w:ascii="Times New Roman" w:hAnsi="Times New Roman"/>
          <w:color w:val="000000"/>
          <w:sz w:val="20"/>
        </w:rPr>
        <w:t xml:space="preserve"> </w:t>
      </w:r>
      <w:r>
        <w:rPr>
          <w:rFonts w:ascii="Arial" w:hAnsi="Arial"/>
          <w:color w:val="000000"/>
          <w:sz w:val="20"/>
        </w:rPr>
        <w:t>was $9.87</w:t>
      </w:r>
      <w:r>
        <w:rPr>
          <w:rFonts w:ascii="Times New Roman" w:hAnsi="Times New Roman"/>
          <w:color w:val="000000"/>
          <w:sz w:val="20"/>
        </w:rPr>
        <w:t xml:space="preserve"> </w:t>
      </w:r>
      <w:r>
        <w:rPr>
          <w:rFonts w:ascii="Arial" w:hAnsi="Arial"/>
          <w:color w:val="000000"/>
          <w:sz w:val="20"/>
        </w:rPr>
        <w:t>and $5.22</w:t>
      </w:r>
      <w:r>
        <w:rPr>
          <w:rFonts w:ascii="Times New Roman" w:hAnsi="Times New Roman"/>
          <w:color w:val="000000"/>
          <w:sz w:val="20"/>
        </w:rPr>
        <w:t xml:space="preserve"> </w:t>
      </w:r>
      <w:r>
        <w:rPr>
          <w:rFonts w:ascii="Arial" w:hAnsi="Arial"/>
          <w:color w:val="000000"/>
          <w:sz w:val="20"/>
        </w:rPr>
        <w:t>per share, respectively, and during fiscal year 2024</w:t>
      </w:r>
      <w:r>
        <w:rPr>
          <w:rFonts w:ascii="Times New Roman" w:hAnsi="Times New Roman"/>
          <w:color w:val="000000"/>
          <w:sz w:val="20"/>
        </w:rPr>
        <w:t xml:space="preserve"> </w:t>
      </w:r>
      <w:r>
        <w:rPr>
          <w:rFonts w:ascii="Arial" w:hAnsi="Arial"/>
          <w:color w:val="000000"/>
          <w:sz w:val="20"/>
        </w:rPr>
        <w:t>was $15.73</w:t>
      </w:r>
      <w:r>
        <w:rPr>
          <w:rFonts w:ascii="Times New Roman" w:hAnsi="Times New Roman"/>
          <w:color w:val="000000"/>
          <w:sz w:val="20"/>
        </w:rPr>
        <w:t xml:space="preserve"> </w:t>
      </w:r>
      <w:r>
        <w:rPr>
          <w:rFonts w:ascii="Arial" w:hAnsi="Arial"/>
          <w:color w:val="000000"/>
          <w:sz w:val="20"/>
        </w:rPr>
        <w:t>and $8.79</w:t>
      </w:r>
      <w:r>
        <w:rPr>
          <w:rFonts w:ascii="Times New Roman" w:hAnsi="Times New Roman"/>
          <w:color w:val="000000"/>
          <w:sz w:val="20"/>
        </w:rPr>
        <w:t xml:space="preserve"> </w:t>
      </w:r>
      <w:r>
        <w:rPr>
          <w:rFonts w:ascii="Arial" w:hAnsi="Arial"/>
          <w:color w:val="000000"/>
          <w:sz w:val="20"/>
        </w:rPr>
        <w:t>per share, respectively, using a Black-Scholes model.</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weighted average assumptions (annualized percentages) used in the Black-Scholes model and Monte Carlo simulation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4"/>
        <w:gridCol w:w="146"/>
        <w:gridCol w:w="263"/>
        <w:gridCol w:w="474"/>
        <w:gridCol w:w="226"/>
        <w:gridCol w:w="146"/>
        <w:gridCol w:w="263"/>
        <w:gridCol w:w="474"/>
        <w:gridCol w:w="226"/>
        <w:gridCol w:w="146"/>
        <w:gridCol w:w="263"/>
        <w:gridCol w:w="474"/>
        <w:gridCol w:w="226"/>
        <w:gridCol w:w="146"/>
        <w:gridCol w:w="626"/>
        <w:gridCol w:w="146"/>
        <w:gridCol w:w="626"/>
        <w:gridCol w:w="146"/>
        <w:gridCol w:w="263"/>
        <w:gridCol w:w="474"/>
        <w:gridCol w:w="226"/>
        <w:gridCol w:w="146"/>
        <w:gridCol w:w="263"/>
        <w:gridCol w:w="474"/>
        <w:gridCol w:w="227"/>
        <w:gridCol w:w="147"/>
        <w:gridCol w:w="263"/>
        <w:gridCol w:w="474"/>
        <w:gridCol w:w="227"/>
        <w:gridCol w:w="147"/>
        <w:gridCol w:w="263"/>
        <w:gridCol w:w="474"/>
        <w:gridCol w:w="276"/>
      </w:tblGrid>
      <w:tr>
        <w:trPr/>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8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Stock Options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PSOs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Employee Stock Purchase Plan</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Fiscal Year</w:t>
              <w:b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Fiscal Year</w:t>
              <w:b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Fiscal Year</w:t>
              <w:b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Fiscal Year</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Fiscal Year</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Fiscal Year</w:t>
              <w:b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Fiscal Year</w:t>
              <w:b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Fiscal Year</w:t>
              <w:b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Fiscal Year</w:t>
              <w:br/>
              <w:t>2024</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54.2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81.3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97.3</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66.6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8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4.6</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5.3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8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4"/>
              </w:rPr>
            </w:pPr>
            <w:r>
              <w:rPr>
                <w:rFonts w:ascii="Arial" w:hAnsi="Arial"/>
                <w:color w:val="000000"/>
                <w:sz w:val="14"/>
              </w:rPr>
              <w:t>0.0</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w:t>
            </w:r>
          </w:p>
        </w:tc>
      </w:tr>
      <w:tr>
        <w:trPr/>
        <w:tc>
          <w:tcPr>
            <w:tcW w:w="8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4"/>
              </w:rPr>
            </w:pPr>
            <w:r>
              <w:rPr>
                <w:rFonts w:ascii="Arial" w:hAnsi="Arial"/>
                <w:color w:val="000000"/>
                <w:sz w:val="14"/>
              </w:rPr>
              <w:t>Expected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4"/>
              </w:rPr>
              <w:t>5.0</w:t>
            </w:r>
            <w:r>
              <w:rPr>
                <w:rFonts w:ascii="Times New Roman" w:hAnsi="Times New Roman"/>
                <w:color w:val="000000"/>
                <w:sz w:val="20"/>
              </w:rPr>
              <w:t> </w:t>
            </w:r>
            <w:r>
              <w:rPr>
                <w:rFonts w:ascii="Arial" w:hAnsi="Arial"/>
                <w:color w:val="000000"/>
                <w:sz w:val="14"/>
              </w:rPr>
              <w:t>years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4"/>
              </w:rPr>
              <w:t>5.0</w:t>
            </w:r>
            <w:r>
              <w:rPr>
                <w:rFonts w:ascii="Times New Roman" w:hAnsi="Times New Roman"/>
                <w:color w:val="000000"/>
                <w:sz w:val="20"/>
              </w:rPr>
              <w:t> </w:t>
            </w:r>
            <w:r>
              <w:rPr>
                <w:rFonts w:ascii="Arial" w:hAnsi="Arial"/>
                <w:color w:val="000000"/>
                <w:sz w:val="14"/>
              </w:rPr>
              <w:t>years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4"/>
              </w:rPr>
              <w:t>5.0</w:t>
            </w:r>
            <w:r>
              <w:rPr>
                <w:rFonts w:ascii="Times New Roman" w:hAnsi="Times New Roman"/>
                <w:color w:val="000000"/>
                <w:sz w:val="20"/>
              </w:rPr>
              <w:t> </w:t>
            </w:r>
            <w:r>
              <w:rPr>
                <w:rFonts w:ascii="Arial" w:hAnsi="Arial"/>
                <w:color w:val="000000"/>
                <w:sz w:val="14"/>
              </w:rPr>
              <w:t>years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4"/>
              </w:rPr>
              <w:t>4.6</w:t>
            </w:r>
            <w:r>
              <w:rPr>
                <w:rFonts w:ascii="Times New Roman" w:hAnsi="Times New Roman"/>
                <w:color w:val="000000"/>
                <w:sz w:val="20"/>
              </w:rPr>
              <w:t> </w:t>
            </w:r>
            <w:r>
              <w:rPr>
                <w:rFonts w:ascii="Arial" w:hAnsi="Arial"/>
                <w:color w:val="000000"/>
                <w:sz w:val="14"/>
              </w:rPr>
              <w:t>years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4"/>
              </w:rPr>
              <w:t>0.5</w:t>
            </w:r>
            <w:r>
              <w:rPr>
                <w:rFonts w:ascii="Times New Roman" w:hAnsi="Times New Roman"/>
                <w:color w:val="000000"/>
                <w:sz w:val="20"/>
              </w:rPr>
              <w:t> </w:t>
            </w:r>
            <w:r>
              <w:rPr>
                <w:rFonts w:ascii="Arial" w:hAnsi="Arial"/>
                <w:color w:val="000000"/>
                <w:sz w:val="14"/>
              </w:rPr>
              <w:t>years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4"/>
              </w:rPr>
              <w:t>0.5</w:t>
            </w:r>
            <w:r>
              <w:rPr>
                <w:rFonts w:ascii="Times New Roman" w:hAnsi="Times New Roman"/>
                <w:color w:val="000000"/>
                <w:sz w:val="20"/>
              </w:rPr>
              <w:t> </w:t>
            </w:r>
            <w:r>
              <w:rPr>
                <w:rFonts w:ascii="Arial" w:hAnsi="Arial"/>
                <w:color w:val="000000"/>
                <w:sz w:val="14"/>
              </w:rPr>
              <w:t>years</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4"/>
              </w:rPr>
              <w:t>0.5</w:t>
            </w:r>
            <w:r>
              <w:rPr>
                <w:rFonts w:ascii="Times New Roman" w:hAnsi="Times New Roman"/>
                <w:color w:val="000000"/>
                <w:sz w:val="20"/>
              </w:rPr>
              <w:t> </w:t>
            </w:r>
            <w:r>
              <w:rPr>
                <w:rFonts w:ascii="Arial" w:hAnsi="Arial"/>
                <w:color w:val="000000"/>
                <w:sz w:val="14"/>
              </w:rPr>
              <w:t>years</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expected volatility is a measure of the amount by which its stock price is expected to fluctuate over the expected term of the stock-based award. The estimated volatilities for stock options and PSOs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terms or lives of stock options and PSOs represent the expected period of time from the date of grant to the estimated date that the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The total intrinsic value of stock options exercised during fiscal years 2026, 2025 and 2024</w:t>
      </w:r>
      <w:r>
        <w:rPr>
          <w:rFonts w:ascii="Times New Roman" w:hAnsi="Times New Roman"/>
          <w:color w:val="000000"/>
          <w:sz w:val="20"/>
        </w:rPr>
        <w:t xml:space="preserve"> </w:t>
      </w:r>
      <w:r>
        <w:rPr>
          <w:rFonts w:ascii="Arial" w:hAnsi="Arial"/>
          <w:color w:val="000000"/>
          <w:sz w:val="20"/>
        </w:rPr>
        <w:t>was an insignificant amount, zero</w:t>
      </w:r>
      <w:r>
        <w:rPr>
          <w:rFonts w:ascii="Times New Roman" w:hAnsi="Times New Roman"/>
          <w:color w:val="000000"/>
          <w:sz w:val="20"/>
        </w:rPr>
        <w:t xml:space="preserve"> </w:t>
      </w:r>
      <w:r>
        <w:rPr>
          <w:rFonts w:ascii="Arial" w:hAnsi="Arial"/>
          <w:color w:val="000000"/>
          <w:sz w:val="20"/>
        </w:rPr>
        <w:t>and an insignificant amount, respectively. The total intrinsic value of PSOs exercised during fiscal year 2026</w:t>
      </w:r>
      <w:r>
        <w:rPr>
          <w:rFonts w:ascii="Times New Roman" w:hAnsi="Times New Roman"/>
          <w:color w:val="000000"/>
          <w:sz w:val="20"/>
        </w:rPr>
        <w:t xml:space="preserve"> </w:t>
      </w:r>
      <w:r>
        <w:rPr>
          <w:rFonts w:ascii="Arial" w:hAnsi="Arial"/>
          <w:color w:val="000000"/>
          <w:sz w:val="20"/>
        </w:rPr>
        <w:t>was $3.7</w:t>
      </w:r>
      <w:r>
        <w:rPr>
          <w:rFonts w:ascii="Times New Roman" w:hAnsi="Times New Roman"/>
          <w:color w:val="000000"/>
          <w:sz w:val="20"/>
        </w:rPr>
        <w:t xml:space="preserve"> </w:t>
      </w:r>
      <w:r>
        <w:rPr>
          <w:rFonts w:ascii="Arial" w:hAnsi="Arial"/>
          <w:color w:val="000000"/>
          <w:sz w:val="20"/>
        </w:rPr>
        <w:t>million. All options issued under the Company’s Equity Participation Plan have an exercise price equal to the fair market value of the Company’s stock on the date of the grant. For all options exercised, the Company recorded no tax benefits during fiscal years 2026, 2025 and 2024.</w:t>
      </w:r>
    </w:p>
    <w:p>
      <w:pPr>
        <w:pStyle w:val="TextBody"/>
        <w:bidi w:val="0"/>
        <w:spacing w:before="240" w:after="283"/>
        <w:jc w:val="center"/>
        <w:rPr>
          <w:rFonts w:ascii="Arial" w:hAnsi="Arial"/>
          <w:color w:val="000000"/>
          <w:sz w:val="20"/>
        </w:rPr>
      </w:pPr>
      <w:r>
        <w:rPr>
          <w:rFonts w:ascii="Arial" w:hAnsi="Arial"/>
          <w:color w:val="000000"/>
          <w:sz w:val="20"/>
        </w:rPr>
        <w:t>F-42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20"/>
        </w:rPr>
        <w:t>A summary of stock option activity for fiscal year 2026 is presented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48"/>
        <w:gridCol w:w="146"/>
        <w:gridCol w:w="146"/>
        <w:gridCol w:w="798"/>
        <w:gridCol w:w="166"/>
        <w:gridCol w:w="146"/>
        <w:gridCol w:w="315"/>
        <w:gridCol w:w="878"/>
        <w:gridCol w:w="146"/>
        <w:gridCol w:w="146"/>
        <w:gridCol w:w="428"/>
        <w:gridCol w:w="1107"/>
        <w:gridCol w:w="146"/>
        <w:gridCol w:w="146"/>
        <w:gridCol w:w="335"/>
        <w:gridCol w:w="933"/>
        <w:gridCol w:w="475"/>
      </w:tblGrid>
      <w:tr>
        <w:trPr/>
        <w:tc>
          <w:tcPr>
            <w:tcW w:w="3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3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 thousands)</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4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48"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748"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1,952</w:t>
            </w:r>
          </w:p>
        </w:tc>
        <w:tc>
          <w:tcPr>
            <w:tcW w:w="4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106,561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1,302</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color w:val="000000"/>
          <w:sz w:val="20"/>
        </w:rPr>
        <w:t>A summary of PSO activity for fiscal year 2026 is presented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43"/>
        <w:gridCol w:w="146"/>
        <w:gridCol w:w="146"/>
        <w:gridCol w:w="961"/>
        <w:gridCol w:w="166"/>
        <w:gridCol w:w="146"/>
        <w:gridCol w:w="310"/>
        <w:gridCol w:w="866"/>
        <w:gridCol w:w="146"/>
        <w:gridCol w:w="146"/>
        <w:gridCol w:w="421"/>
        <w:gridCol w:w="1089"/>
        <w:gridCol w:w="146"/>
        <w:gridCol w:w="146"/>
        <w:gridCol w:w="292"/>
        <w:gridCol w:w="961"/>
        <w:gridCol w:w="474"/>
      </w:tblGrid>
      <w:tr>
        <w:trPr/>
        <w:tc>
          <w:tcPr>
            <w:tcW w:w="3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Number of</w:t>
              <w:br/>
              <w:t xml:space="preserve">Shares </w:t>
            </w:r>
            <w:r>
              <w:rPr>
                <w:rFonts w:ascii="Arial" w:hAnsi="Arial"/>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 thousands)</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2,563,005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6"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Performance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64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(134,872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1,537,326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30,244</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exercisable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8,975</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Number of PSOs granted is presented based on the target number of PSOs granted. Outstanding shares are adjusted when the final market condition has been achieved.</w:t>
      </w:r>
    </w:p>
    <w:p>
      <w:pPr>
        <w:pStyle w:val="TextBody"/>
        <w:bidi w:val="0"/>
        <w:spacing w:before="180" w:after="283"/>
        <w:jc w:val="left"/>
        <w:rPr>
          <w:rFonts w:ascii="Times New Roman" w:hAnsi="Times New Roman"/>
          <w:sz w:val="20"/>
        </w:rPr>
      </w:pPr>
      <w:r>
        <w:rPr>
          <w:rFonts w:ascii="Arial" w:hAnsi="Arial"/>
          <w:i/>
          <w:color w:val="000000"/>
          <w:sz w:val="20"/>
        </w:rPr>
        <w:t>Restricted stock units.</w:t>
      </w:r>
      <w:r>
        <w:rPr>
          <w:rFonts w:ascii="Times New Roman" w:hAnsi="Times New Roman"/>
          <w:color w:val="000000"/>
          <w:sz w:val="20"/>
        </w:rPr>
        <w:t xml:space="preserve"> </w:t>
      </w:r>
      <w:r>
        <w:rPr>
          <w:rFonts w:ascii="Arial" w:hAnsi="Arial"/>
          <w:color w:val="000000"/>
          <w:sz w:val="20"/>
        </w:rPr>
        <w:t>RSUs represent a right to receive shares of common stock at a future date determined in accordance with the participant’s award agreement. There is no exercise price and no monetary payment required for receipt of RSUs or the shares issued in settlement of the award. Instead, consideration is furnished in the form of the participant’s services to the Company. RSUs generally vest over three</w:t>
      </w:r>
      <w:r>
        <w:rPr>
          <w:rFonts w:ascii="Times New Roman" w:hAnsi="Times New Roman"/>
          <w:color w:val="000000"/>
          <w:sz w:val="20"/>
        </w:rPr>
        <w:t xml:space="preserve"> </w:t>
      </w:r>
      <w:r>
        <w:rPr>
          <w:rFonts w:ascii="Arial" w:hAnsi="Arial"/>
          <w:color w:val="000000"/>
          <w:sz w:val="20"/>
        </w:rPr>
        <w:t>or four years</w:t>
      </w:r>
      <w:r>
        <w:rPr>
          <w:rFonts w:ascii="Times New Roman" w:hAnsi="Times New Roman"/>
          <w:color w:val="000000"/>
          <w:sz w:val="20"/>
        </w:rPr>
        <w:t xml:space="preserve"> </w:t>
      </w:r>
      <w:r>
        <w:rPr>
          <w:rFonts w:ascii="Arial" w:hAnsi="Arial"/>
          <w:color w:val="000000"/>
          <w:sz w:val="20"/>
        </w:rPr>
        <w:t>(except for a one-year vesting schedule for RSUs granted to the members of the Company’s Board of Directors). Compensation cost for these awards is based on the fair value on the date of grant and is recognized as compensation expense on a straight-line basis over the requisite service period. For fiscal years 2026, 2025 and 2024, the Company recognized $67.0</w:t>
      </w:r>
      <w:r>
        <w:rPr>
          <w:rFonts w:ascii="Times New Roman" w:hAnsi="Times New Roman"/>
          <w:color w:val="000000"/>
          <w:sz w:val="20"/>
        </w:rPr>
        <w:t xml:space="preserve"> </w:t>
      </w:r>
      <w:r>
        <w:rPr>
          <w:rFonts w:ascii="Arial" w:hAnsi="Arial"/>
          <w:color w:val="000000"/>
          <w:sz w:val="20"/>
        </w:rPr>
        <w:t>million, $56.6</w:t>
      </w:r>
      <w:r>
        <w:rPr>
          <w:rFonts w:ascii="Times New Roman" w:hAnsi="Times New Roman"/>
          <w:color w:val="000000"/>
          <w:sz w:val="20"/>
        </w:rPr>
        <w:t xml:space="preserve"> </w:t>
      </w:r>
      <w:r>
        <w:rPr>
          <w:rFonts w:ascii="Arial" w:hAnsi="Arial"/>
          <w:color w:val="000000"/>
          <w:sz w:val="20"/>
        </w:rPr>
        <w:t>million and $57.4</w:t>
      </w:r>
      <w:r>
        <w:rPr>
          <w:rFonts w:ascii="Times New Roman" w:hAnsi="Times New Roman"/>
          <w:color w:val="000000"/>
          <w:sz w:val="20"/>
        </w:rPr>
        <w:t xml:space="preserve"> </w:t>
      </w:r>
      <w:r>
        <w:rPr>
          <w:rFonts w:ascii="Arial" w:hAnsi="Arial"/>
          <w:color w:val="000000"/>
          <w:sz w:val="20"/>
        </w:rPr>
        <w:t>million, respectively, in stock-based compensation expense related to RSU awards.</w:t>
      </w:r>
    </w:p>
    <w:p>
      <w:pPr>
        <w:pStyle w:val="TextBody"/>
        <w:bidi w:val="0"/>
        <w:spacing w:before="180" w:after="283"/>
        <w:jc w:val="left"/>
        <w:rPr>
          <w:rFonts w:ascii="Times New Roman" w:hAnsi="Times New Roman"/>
          <w:sz w:val="20"/>
        </w:rPr>
      </w:pPr>
      <w:r>
        <w:rPr>
          <w:rFonts w:ascii="Arial" w:hAnsi="Arial"/>
          <w:color w:val="000000"/>
          <w:sz w:val="20"/>
        </w:rPr>
        <w:t>The per unit weighted average grant date fair value of RSUs granted during fiscal years 2026, 2025 and 2024 was $27.49, $15.77</w:t>
      </w:r>
      <w:r>
        <w:rPr>
          <w:rFonts w:ascii="Times New Roman" w:hAnsi="Times New Roman"/>
          <w:color w:val="000000"/>
          <w:sz w:val="20"/>
        </w:rPr>
        <w:t xml:space="preserve"> </w:t>
      </w:r>
      <w:r>
        <w:rPr>
          <w:rFonts w:ascii="Arial" w:hAnsi="Arial"/>
          <w:color w:val="000000"/>
          <w:sz w:val="20"/>
        </w:rPr>
        <w:t>and $29.21, respectively.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A summary of RSU activity for fiscal year 2026 is presented below:</w:t>
      </w:r>
      <w:r>
        <w:rPr>
          <w:rFonts w:ascii="Times New Roman" w:hAnsi="Times New Roman"/>
          <w:color w:val="000000"/>
          <w:sz w:val="20"/>
        </w:rPr>
        <w:t xml:space="preserve"> </w:t>
      </w:r>
    </w:p>
    <w:p>
      <w:pPr>
        <w:pStyle w:val="TextBody"/>
        <w:bidi w:val="0"/>
        <w:jc w:val="left"/>
        <w:rPr/>
      </w:pPr>
      <w:r>
        <w:rPr/>
        <w:t> </w:t>
      </w:r>
    </w:p>
    <w:tbl>
      <w:tblPr>
        <w:tblW w:w="6897" w:type="dxa"/>
        <w:jc w:val="left"/>
        <w:tblInd w:w="0" w:type="dxa"/>
        <w:tblLayout w:type="fixed"/>
        <w:tblCellMar>
          <w:top w:w="28" w:type="dxa"/>
          <w:left w:w="28" w:type="dxa"/>
          <w:bottom w:w="28" w:type="dxa"/>
          <w:right w:w="28" w:type="dxa"/>
        </w:tblCellMar>
      </w:tblPr>
      <w:tblGrid>
        <w:gridCol w:w="3511"/>
        <w:gridCol w:w="146"/>
        <w:gridCol w:w="146"/>
        <w:gridCol w:w="1021"/>
        <w:gridCol w:w="166"/>
        <w:gridCol w:w="146"/>
        <w:gridCol w:w="340"/>
        <w:gridCol w:w="950"/>
        <w:gridCol w:w="471"/>
      </w:tblGrid>
      <w:tr>
        <w:trPr/>
        <w:tc>
          <w:tcPr>
            <w:tcW w:w="3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 Grant</w:t>
              <w:br/>
              <w:t>Date Fair Value</w:t>
              <w:br/>
              <w:t>per Share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5,758,553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5,378,977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22.15</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(2,314,111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26.60</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8,191,976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 and deferred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F-43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total fair value of shares vested related to RSUs during the fiscal years 2026, 2025 and 2024 was $47.3</w:t>
      </w:r>
      <w:r>
        <w:rPr>
          <w:rFonts w:ascii="Times New Roman" w:hAnsi="Times New Roman"/>
          <w:color w:val="000000"/>
          <w:sz w:val="20"/>
        </w:rPr>
        <w:t xml:space="preserve"> </w:t>
      </w:r>
      <w:r>
        <w:rPr>
          <w:rFonts w:ascii="Arial" w:hAnsi="Arial"/>
          <w:color w:val="000000"/>
          <w:sz w:val="20"/>
        </w:rPr>
        <w:t>million, $15.3</w:t>
      </w:r>
      <w:r>
        <w:rPr>
          <w:rFonts w:ascii="Times New Roman" w:hAnsi="Times New Roman"/>
          <w:color w:val="000000"/>
          <w:sz w:val="20"/>
        </w:rPr>
        <w:t xml:space="preserve"> </w:t>
      </w:r>
      <w:r>
        <w:rPr>
          <w:rFonts w:ascii="Arial" w:hAnsi="Arial"/>
          <w:color w:val="000000"/>
          <w:sz w:val="20"/>
        </w:rPr>
        <w:t>million and $34.1</w:t>
      </w:r>
      <w:r>
        <w:rPr>
          <w:rFonts w:ascii="Times New Roman" w:hAnsi="Times New Roman"/>
          <w:color w:val="000000"/>
          <w:sz w:val="20"/>
        </w:rPr>
        <w:t xml:space="preserve"> </w:t>
      </w:r>
      <w:r>
        <w:rPr>
          <w:rFonts w:ascii="Arial" w:hAnsi="Arial"/>
          <w:color w:val="000000"/>
          <w:sz w:val="20"/>
        </w:rPr>
        <w:t>million, respectively.</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i/>
          <w:color w:val="000000"/>
          <w:sz w:val="20"/>
        </w:rPr>
        <w:t>Performance-based restricted stock units</w:t>
      </w:r>
      <w:r>
        <w:rPr>
          <w:rFonts w:ascii="Arial" w:hAnsi="Arial"/>
          <w:color w:val="000000"/>
          <w:sz w:val="20"/>
        </w:rPr>
        <w:t>. Beginning fiscal year 2025, the Company granted performance-based restricted stock units with a market condition (such as stock price milestone) (market condition PSUs), performance-based restricted stock units with a performance condition (such as an operational milestone) (performance condition PSUs) and performance-based restricted stock units with a performance condition and TSR modifier (performance condition with TSR modifier PSUs) to executive officers and certain other high-level employees under the Equity Participation Plan and Inducement Plan. The Company’s PSUs have a one- or three-year</w:t>
      </w:r>
      <w:r>
        <w:rPr>
          <w:rFonts w:ascii="Times New Roman" w:hAnsi="Times New Roman"/>
          <w:color w:val="000000"/>
          <w:sz w:val="20"/>
        </w:rPr>
        <w:t xml:space="preserve"> </w:t>
      </w:r>
      <w:r>
        <w:rPr>
          <w:rFonts w:ascii="Arial" w:hAnsi="Arial"/>
          <w:color w:val="000000"/>
          <w:sz w:val="20"/>
        </w:rPr>
        <w:t>performance-based vesting period and generally time-vest over approximately three years.</w:t>
      </w:r>
      <w:r>
        <w:rPr>
          <w:rFonts w:ascii="Times New Roman" w:hAnsi="Times New Roman"/>
          <w:color w:val="000000"/>
          <w:sz w:val="20"/>
        </w:rPr>
        <w:t xml:space="preserve"> </w:t>
      </w:r>
      <w:r>
        <w:rPr>
          <w:rFonts w:ascii="Arial" w:hAnsi="Arial"/>
          <w:color w:val="000000"/>
          <w:sz w:val="20"/>
        </w:rPr>
        <w:t>The number of shares of PSUs that will become eligible to vest is somewhere in the range of 0% to 200% of the target number of PSUs based on either the comparison over the performance period of the Company’s TSR to the TSR of the companies included in an index and/or the Company's performance for a given fiscal year period against pre-established targets. PSUs must be vested under both the time-based vesting schedule and the performance-based vesting conditions in order to be issued. PSUs represent a right to receive shares of common stock at a future date determined in accordance with the participant’s award agreement and achievement of performance-based vesting conditions. There is no exercise price and no monetary payment required for receipt of PSUs or the shares issued in settlement of the award. Instead, consideration is furnished in the form of the participant’s services to the Company. The Company estimates the fair value of market condition PSUs at the grant date using a Monte Carlo simulation. The expense for market condition PSUs that vest is recognized regardless of the actual outcome achieved and is recognized on a graded-vesting basis. Compensation cost for performance condition PSUs is based on the fair value on the date of grant. Expense for performance condition PSUs that vest is recognized each period based on a probability assessment of the expected outcome of the performance targets with a final adjustment upon measurement at the end of the performance period and is recognized on a graded-vesting basis. During fiscal years 2026 and 2025, the Company recognized $3.9</w:t>
      </w:r>
      <w:r>
        <w:rPr>
          <w:rFonts w:ascii="Times New Roman" w:hAnsi="Times New Roman"/>
          <w:color w:val="000000"/>
          <w:sz w:val="20"/>
        </w:rPr>
        <w:t xml:space="preserve"> </w:t>
      </w:r>
      <w:r>
        <w:rPr>
          <w:rFonts w:ascii="Arial" w:hAnsi="Arial"/>
          <w:color w:val="000000"/>
          <w:sz w:val="20"/>
        </w:rPr>
        <w:t>million and</w:t>
      </w:r>
      <w:r>
        <w:rPr>
          <w:rFonts w:ascii="Times New Roman" w:hAnsi="Times New Roman"/>
          <w:color w:val="000000"/>
          <w:sz w:val="20"/>
        </w:rPr>
        <w:t xml:space="preserve"> </w:t>
      </w:r>
      <w:r>
        <w:rPr>
          <w:rFonts w:ascii="Arial" w:hAnsi="Arial"/>
          <w:color w:val="000000"/>
          <w:sz w:val="20"/>
        </w:rPr>
        <w:t>$5.1</w:t>
      </w:r>
      <w:r>
        <w:rPr>
          <w:rFonts w:ascii="Times New Roman" w:hAnsi="Times New Roman"/>
          <w:color w:val="000000"/>
          <w:sz w:val="20"/>
        </w:rPr>
        <w:t xml:space="preserve"> </w:t>
      </w:r>
      <w:r>
        <w:rPr>
          <w:rFonts w:ascii="Arial" w:hAnsi="Arial"/>
          <w:color w:val="000000"/>
          <w:sz w:val="20"/>
        </w:rPr>
        <w:t>million, respectively, in stock-based compensation expense related to PSUs.</w:t>
      </w:r>
    </w:p>
    <w:p>
      <w:pPr>
        <w:pStyle w:val="TextBody"/>
        <w:bidi w:val="0"/>
        <w:spacing w:before="180" w:after="283"/>
        <w:jc w:val="left"/>
        <w:rPr>
          <w:rFonts w:ascii="Times New Roman" w:hAnsi="Times New Roman"/>
          <w:sz w:val="20"/>
        </w:rPr>
      </w:pPr>
      <w:r>
        <w:rPr>
          <w:rFonts w:ascii="Arial" w:hAnsi="Arial"/>
          <w:color w:val="000000"/>
          <w:sz w:val="20"/>
        </w:rPr>
        <w:t>The per unit weighted average grant date fair value of PSUs granted during fiscal years 2026 and 2025 was $33.04</w:t>
      </w:r>
      <w:r>
        <w:rPr>
          <w:rFonts w:ascii="Times New Roman" w:hAnsi="Times New Roman"/>
          <w:color w:val="000000"/>
          <w:sz w:val="20"/>
        </w:rPr>
        <w:t xml:space="preserve"> </w:t>
      </w:r>
      <w:r>
        <w:rPr>
          <w:rFonts w:ascii="Arial" w:hAnsi="Arial"/>
          <w:color w:val="000000"/>
          <w:sz w:val="20"/>
        </w:rPr>
        <w:t>and $18.13, respectively.</w:t>
      </w:r>
    </w:p>
    <w:p>
      <w:pPr>
        <w:pStyle w:val="TextBody"/>
        <w:bidi w:val="0"/>
        <w:spacing w:before="180" w:after="283"/>
        <w:jc w:val="left"/>
        <w:rPr>
          <w:rFonts w:ascii="Arial" w:hAnsi="Arial"/>
          <w:color w:val="000000"/>
          <w:sz w:val="20"/>
        </w:rPr>
      </w:pPr>
      <w:r>
        <w:rPr>
          <w:rFonts w:ascii="Arial" w:hAnsi="Arial"/>
          <w:color w:val="000000"/>
          <w:sz w:val="20"/>
        </w:rPr>
        <w:t>A summary of PSU activity for fiscal year 2026 is presented below:</w:t>
      </w:r>
    </w:p>
    <w:p>
      <w:pPr>
        <w:pStyle w:val="TextBody"/>
        <w:bidi w:val="0"/>
        <w:jc w:val="left"/>
        <w:rPr/>
      </w:pPr>
      <w:r>
        <w:rPr/>
        <w:t> </w:t>
      </w:r>
    </w:p>
    <w:tbl>
      <w:tblPr>
        <w:tblW w:w="6027" w:type="dxa"/>
        <w:jc w:val="left"/>
        <w:tblInd w:w="0" w:type="dxa"/>
        <w:tblLayout w:type="fixed"/>
        <w:tblCellMar>
          <w:top w:w="28" w:type="dxa"/>
          <w:left w:w="28" w:type="dxa"/>
          <w:bottom w:w="28" w:type="dxa"/>
          <w:right w:w="28" w:type="dxa"/>
        </w:tblCellMar>
      </w:tblPr>
      <w:tblGrid>
        <w:gridCol w:w="2806"/>
        <w:gridCol w:w="146"/>
        <w:gridCol w:w="146"/>
        <w:gridCol w:w="856"/>
        <w:gridCol w:w="166"/>
        <w:gridCol w:w="146"/>
        <w:gridCol w:w="340"/>
        <w:gridCol w:w="950"/>
        <w:gridCol w:w="47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Number of</w:t>
              <w:br/>
              <w:t xml:space="preserve">Shares </w:t>
            </w:r>
            <w:r>
              <w:rPr>
                <w:rFonts w:ascii="Arial" w:hAnsi="Arial"/>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 Grant</w:t>
              <w:br/>
              <w:t>Date Fair Value</w:t>
              <w:br/>
              <w:t>per Share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609,738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18.13</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Awarded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308,460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Performance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16.09</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674,341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spacing w:before="0" w:after="0"/>
        <w:jc w:val="left"/>
        <w:rPr>
          <w:rFonts w:ascii="Arial" w:hAnsi="Arial"/>
          <w:color w:val="000000"/>
          <w:sz w:val="20"/>
        </w:rPr>
      </w:pPr>
      <w:r>
        <w:rPr>
          <w:rFonts w:ascii="Arial" w:hAnsi="Arial"/>
          <w:color w:val="000000"/>
          <w:sz w:val="20"/>
        </w:rPr>
        <w:t>(1)</w:t>
      </w:r>
    </w:p>
    <w:p>
      <w:pPr>
        <w:pStyle w:val="TextBody"/>
        <w:bidi w:val="0"/>
        <w:jc w:val="left"/>
        <w:rPr>
          <w:rFonts w:ascii="Arial" w:hAnsi="Arial"/>
          <w:color w:val="000000"/>
          <w:sz w:val="20"/>
        </w:rPr>
      </w:pPr>
      <w:r>
        <w:rPr>
          <w:rFonts w:ascii="Arial" w:hAnsi="Arial"/>
          <w:color w:val="000000"/>
          <w:sz w:val="20"/>
        </w:rPr>
        <w:t>Number of shares awarded is presented based on the target number of PSUs granted. Outstanding shares are adjusted when the final performance and/or market condition has been achieved.</w:t>
      </w:r>
    </w:p>
    <w:p>
      <w:pPr>
        <w:pStyle w:val="TextBody"/>
        <w:bidi w:val="0"/>
        <w:spacing w:before="180" w:after="283"/>
        <w:jc w:val="left"/>
        <w:rPr>
          <w:rFonts w:ascii="Arial" w:hAnsi="Arial"/>
          <w:color w:val="000000"/>
          <w:sz w:val="20"/>
        </w:rPr>
      </w:pPr>
      <w:r>
        <w:rPr>
          <w:rFonts w:ascii="Arial" w:hAnsi="Arial"/>
          <w:color w:val="000000"/>
          <w:sz w:val="20"/>
        </w:rPr>
        <w:t>The total fair value of shares vested related to PSUs during the fiscal year 2026 was an insignificant amount.</w:t>
      </w:r>
    </w:p>
    <w:p>
      <w:pPr>
        <w:pStyle w:val="TextBody"/>
        <w:bidi w:val="0"/>
        <w:spacing w:before="180" w:after="283"/>
        <w:jc w:val="left"/>
        <w:rPr>
          <w:rFonts w:ascii="Arial" w:hAnsi="Arial"/>
          <w:color w:val="000000"/>
          <w:sz w:val="20"/>
        </w:rPr>
      </w:pPr>
      <w:r>
        <w:rPr>
          <w:rFonts w:ascii="Arial" w:hAnsi="Arial"/>
          <w:color w:val="000000"/>
          <w:sz w:val="20"/>
        </w:rPr>
        <w:t>The weighted average assumptions (annualized percentages) used in the Monte Carlo simulation for market condition PSUs were as follows:</w:t>
      </w:r>
    </w:p>
    <w:p>
      <w:pPr>
        <w:pStyle w:val="TextBody"/>
        <w:bidi w:val="0"/>
        <w:jc w:val="left"/>
        <w:rPr/>
      </w:pPr>
      <w:r>
        <w:rPr/>
        <w:t> </w:t>
      </w:r>
    </w:p>
    <w:tbl>
      <w:tblPr>
        <w:tblW w:w="5635" w:type="dxa"/>
        <w:jc w:val="left"/>
        <w:tblInd w:w="0" w:type="dxa"/>
        <w:tblLayout w:type="fixed"/>
        <w:tblCellMar>
          <w:top w:w="28" w:type="dxa"/>
          <w:left w:w="28" w:type="dxa"/>
          <w:bottom w:w="28" w:type="dxa"/>
          <w:right w:w="28" w:type="dxa"/>
        </w:tblCellMar>
      </w:tblPr>
      <w:tblGrid>
        <w:gridCol w:w="1996"/>
        <w:gridCol w:w="146"/>
        <w:gridCol w:w="318"/>
        <w:gridCol w:w="1047"/>
        <w:gridCol w:w="286"/>
        <w:gridCol w:w="146"/>
        <w:gridCol w:w="318"/>
        <w:gridCol w:w="1047"/>
        <w:gridCol w:w="33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PSUs</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F-44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b/>
          <w:color w:val="000000"/>
          <w:sz w:val="20"/>
        </w:rPr>
      </w:pPr>
      <w:r>
        <w:rPr>
          <w:rFonts w:ascii="Arial" w:hAnsi="Arial"/>
          <w:b/>
          <w:color w:val="000000"/>
          <w:sz w:val="20"/>
        </w:rPr>
        <w:t>Note 9 — Shares Used In Computing Diluted Net Income (Loss) Per Share</w:t>
      </w:r>
    </w:p>
    <w:p>
      <w:pPr>
        <w:pStyle w:val="TextBody"/>
        <w:bidi w:val="0"/>
        <w:spacing w:before="90" w:after="283"/>
        <w:jc w:val="left"/>
        <w:rPr>
          <w:rFonts w:ascii="Times New Roman" w:hAnsi="Times New Roman"/>
          <w:sz w:val="20"/>
        </w:rPr>
      </w:pPr>
      <w:r>
        <w:rPr>
          <w:rFonts w:ascii="Arial" w:hAnsi="Arial"/>
          <w:color w:val="000000"/>
          <w:sz w:val="20"/>
        </w:rPr>
        <w:t>The weighted average number of shares used to calculate basic and diluted net loss per share attributable to Viasat, Inc. common stockholders was the same for fiscal years 2026, 2025 and 2024, as the Company incurred a net loss from continuing operations (excluding income (loss) from continuing operations attributable to the noncontrolling interest) for such periods and inclusion of potentially dilutive weighted average shares of common stock would be antidilutive.</w:t>
      </w:r>
      <w:r>
        <w:rPr>
          <w:rFonts w:ascii="Times New Roman" w:hAnsi="Times New Roman"/>
          <w:color w:val="000000"/>
          <w:sz w:val="20"/>
        </w:rPr>
        <w:t xml:space="preserve"> </w:t>
      </w:r>
    </w:p>
    <w:p>
      <w:pPr>
        <w:pStyle w:val="TextBody"/>
        <w:bidi w:val="0"/>
        <w:spacing w:before="180" w:after="283"/>
        <w:jc w:val="left"/>
        <w:rPr>
          <w:rFonts w:ascii="Times New Roman" w:hAnsi="Times New Roman"/>
          <w:sz w:val="20"/>
        </w:rPr>
      </w:pPr>
      <w:r>
        <w:rPr>
          <w:rFonts w:ascii="Arial" w:hAnsi="Arial"/>
          <w:color w:val="000000"/>
          <w:sz w:val="20"/>
        </w:rPr>
        <w:t>Potentially dilutive weighted average shares excluded from the calculation for fiscal years 2026, 2025 and 2024 consisted of 111,663</w:t>
      </w:r>
      <w:r>
        <w:rPr>
          <w:rFonts w:ascii="Times New Roman" w:hAnsi="Times New Roman"/>
          <w:color w:val="000000"/>
          <w:sz w:val="20"/>
        </w:rPr>
        <w:t xml:space="preserve"> </w:t>
      </w:r>
      <w:r>
        <w:rPr>
          <w:rFonts w:ascii="Arial" w:hAnsi="Arial"/>
          <w:color w:val="000000"/>
          <w:sz w:val="20"/>
        </w:rPr>
        <w:t>shares, 220,095</w:t>
      </w:r>
      <w:r>
        <w:rPr>
          <w:rFonts w:ascii="Times New Roman" w:hAnsi="Times New Roman"/>
          <w:color w:val="000000"/>
          <w:sz w:val="20"/>
        </w:rPr>
        <w:t xml:space="preserve"> </w:t>
      </w:r>
      <w:r>
        <w:rPr>
          <w:rFonts w:ascii="Arial" w:hAnsi="Arial"/>
          <w:color w:val="000000"/>
          <w:sz w:val="20"/>
        </w:rPr>
        <w:t>shares and 242,973</w:t>
      </w:r>
      <w:r>
        <w:rPr>
          <w:rFonts w:ascii="Times New Roman" w:hAnsi="Times New Roman"/>
          <w:color w:val="000000"/>
          <w:sz w:val="20"/>
        </w:rPr>
        <w:t xml:space="preserve"> </w:t>
      </w:r>
      <w:r>
        <w:rPr>
          <w:rFonts w:ascii="Arial" w:hAnsi="Arial"/>
          <w:color w:val="000000"/>
          <w:sz w:val="20"/>
        </w:rPr>
        <w:t>shares, respectively, related to stock options,</w:t>
      </w:r>
      <w:r>
        <w:rPr>
          <w:rFonts w:ascii="Times New Roman" w:hAnsi="Times New Roman"/>
          <w:color w:val="000000"/>
          <w:sz w:val="20"/>
        </w:rPr>
        <w:t xml:space="preserve"> </w:t>
      </w:r>
      <w:r>
        <w:rPr>
          <w:rFonts w:ascii="Arial" w:hAnsi="Arial"/>
          <w:color w:val="000000"/>
          <w:sz w:val="20"/>
        </w:rPr>
        <w:t>1,930,376</w:t>
      </w:r>
      <w:r>
        <w:rPr>
          <w:rFonts w:ascii="Times New Roman" w:hAnsi="Times New Roman"/>
          <w:color w:val="000000"/>
          <w:sz w:val="20"/>
        </w:rPr>
        <w:t xml:space="preserve"> </w:t>
      </w:r>
      <w:r>
        <w:rPr>
          <w:rFonts w:ascii="Arial" w:hAnsi="Arial"/>
          <w:color w:val="000000"/>
          <w:sz w:val="20"/>
        </w:rPr>
        <w:t>shares, zero</w:t>
      </w:r>
      <w:r>
        <w:rPr>
          <w:rFonts w:ascii="Times New Roman" w:hAnsi="Times New Roman"/>
          <w:color w:val="000000"/>
          <w:sz w:val="20"/>
        </w:rPr>
        <w:t xml:space="preserve"> </w:t>
      </w:r>
      <w:r>
        <w:rPr>
          <w:rFonts w:ascii="Arial" w:hAnsi="Arial"/>
          <w:color w:val="000000"/>
          <w:sz w:val="20"/>
        </w:rPr>
        <w:t>shares, and zero</w:t>
      </w:r>
      <w:r>
        <w:rPr>
          <w:rFonts w:ascii="Times New Roman" w:hAnsi="Times New Roman"/>
          <w:color w:val="000000"/>
          <w:sz w:val="20"/>
        </w:rPr>
        <w:t xml:space="preserve"> </w:t>
      </w:r>
      <w:r>
        <w:rPr>
          <w:rFonts w:ascii="Arial" w:hAnsi="Arial"/>
          <w:color w:val="000000"/>
          <w:sz w:val="20"/>
        </w:rPr>
        <w:t>shares, respectively, related to PSOs and market condition PSUs, 2,699,376</w:t>
      </w:r>
      <w:r>
        <w:rPr>
          <w:rFonts w:ascii="Times New Roman" w:hAnsi="Times New Roman"/>
          <w:color w:val="000000"/>
          <w:sz w:val="20"/>
        </w:rPr>
        <w:t xml:space="preserve"> </w:t>
      </w:r>
      <w:r>
        <w:rPr>
          <w:rFonts w:ascii="Arial" w:hAnsi="Arial"/>
          <w:color w:val="000000"/>
          <w:sz w:val="20"/>
        </w:rPr>
        <w:t>shares, 5,539,871</w:t>
      </w:r>
      <w:r>
        <w:rPr>
          <w:rFonts w:ascii="Times New Roman" w:hAnsi="Times New Roman"/>
          <w:color w:val="000000"/>
          <w:sz w:val="20"/>
        </w:rPr>
        <w:t xml:space="preserve"> </w:t>
      </w:r>
      <w:r>
        <w:rPr>
          <w:rFonts w:ascii="Arial" w:hAnsi="Arial"/>
          <w:color w:val="000000"/>
          <w:sz w:val="20"/>
        </w:rPr>
        <w:t>shares and 2,066,973</w:t>
      </w:r>
      <w:r>
        <w:rPr>
          <w:rFonts w:ascii="Times New Roman" w:hAnsi="Times New Roman"/>
          <w:color w:val="000000"/>
          <w:sz w:val="20"/>
        </w:rPr>
        <w:t xml:space="preserve"> </w:t>
      </w:r>
      <w:r>
        <w:rPr>
          <w:rFonts w:ascii="Arial" w:hAnsi="Arial"/>
          <w:color w:val="000000"/>
          <w:sz w:val="20"/>
        </w:rPr>
        <w:t>shares, respectively, related to RSUs, 175,721</w:t>
      </w:r>
      <w:r>
        <w:rPr>
          <w:rFonts w:ascii="Times New Roman" w:hAnsi="Times New Roman"/>
          <w:color w:val="000000"/>
          <w:sz w:val="20"/>
        </w:rPr>
        <w:t xml:space="preserve"> </w:t>
      </w:r>
      <w:r>
        <w:rPr>
          <w:rFonts w:ascii="Arial" w:hAnsi="Arial"/>
          <w:color w:val="000000"/>
          <w:sz w:val="20"/>
        </w:rPr>
        <w:t>shares, 165,498</w:t>
      </w:r>
      <w:r>
        <w:rPr>
          <w:rFonts w:ascii="Times New Roman" w:hAnsi="Times New Roman"/>
          <w:color w:val="000000"/>
          <w:sz w:val="20"/>
        </w:rPr>
        <w:t xml:space="preserve"> </w:t>
      </w:r>
      <w:r>
        <w:rPr>
          <w:rFonts w:ascii="Arial" w:hAnsi="Arial"/>
          <w:color w:val="000000"/>
          <w:sz w:val="20"/>
        </w:rPr>
        <w:t>shares, and zero</w:t>
      </w:r>
      <w:r>
        <w:rPr>
          <w:rFonts w:ascii="Times New Roman" w:hAnsi="Times New Roman"/>
          <w:color w:val="000000"/>
          <w:sz w:val="20"/>
        </w:rPr>
        <w:t xml:space="preserve"> </w:t>
      </w:r>
      <w:r>
        <w:rPr>
          <w:rFonts w:ascii="Arial" w:hAnsi="Arial"/>
          <w:color w:val="000000"/>
          <w:sz w:val="20"/>
        </w:rPr>
        <w:t>shares, respectively, related to performance condition PSUs, and 1,226,647</w:t>
      </w:r>
      <w:r>
        <w:rPr>
          <w:rFonts w:ascii="Times New Roman" w:hAnsi="Times New Roman"/>
          <w:color w:val="000000"/>
          <w:sz w:val="20"/>
        </w:rPr>
        <w:t xml:space="preserve"> </w:t>
      </w:r>
      <w:r>
        <w:rPr>
          <w:rFonts w:ascii="Arial" w:hAnsi="Arial"/>
          <w:color w:val="000000"/>
          <w:sz w:val="20"/>
        </w:rPr>
        <w:t>shares, 1,950,692</w:t>
      </w:r>
      <w:r>
        <w:rPr>
          <w:rFonts w:ascii="Times New Roman" w:hAnsi="Times New Roman"/>
          <w:color w:val="000000"/>
          <w:sz w:val="20"/>
        </w:rPr>
        <w:t xml:space="preserve"> </w:t>
      </w:r>
      <w:r>
        <w:rPr>
          <w:rFonts w:ascii="Arial" w:hAnsi="Arial"/>
          <w:color w:val="000000"/>
          <w:sz w:val="20"/>
        </w:rPr>
        <w:t>shares and 1,127,606</w:t>
      </w:r>
      <w:r>
        <w:rPr>
          <w:rFonts w:ascii="Times New Roman" w:hAnsi="Times New Roman"/>
          <w:color w:val="000000"/>
          <w:sz w:val="20"/>
        </w:rPr>
        <w:t xml:space="preserve"> </w:t>
      </w:r>
      <w:r>
        <w:rPr>
          <w:rFonts w:ascii="Arial" w:hAnsi="Arial"/>
          <w:color w:val="000000"/>
          <w:sz w:val="20"/>
        </w:rPr>
        <w:t>shares related to certain terms of the Viasat 401(k) Profit Sharing Plan and Employee Stock Purchase Plan.</w:t>
      </w:r>
    </w:p>
    <w:p>
      <w:pPr>
        <w:pStyle w:val="TextBody"/>
        <w:bidi w:val="0"/>
        <w:spacing w:before="180" w:after="283"/>
        <w:jc w:val="left"/>
        <w:rPr>
          <w:rFonts w:ascii="Times New Roman" w:hAnsi="Times New Roman"/>
          <w:sz w:val="20"/>
        </w:rPr>
      </w:pPr>
      <w:r>
        <w:rPr>
          <w:rFonts w:ascii="Arial" w:hAnsi="Arial"/>
          <w:b/>
          <w:color w:val="000000"/>
          <w:sz w:val="20"/>
        </w:rPr>
        <w:t>Note 10 — Income Taxes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components of income (loss) before income taxes by jurisdiction were as follows:</w:t>
      </w:r>
      <w:r>
        <w:rPr>
          <w:rFonts w:ascii="Times New Roman" w:hAnsi="Times New Roman"/>
          <w:color w:val="000000"/>
          <w:sz w:val="20"/>
        </w:rPr>
        <w:t xml:space="preserve"> </w:t>
      </w:r>
    </w:p>
    <w:p>
      <w:pPr>
        <w:pStyle w:val="TextBody"/>
        <w:bidi w:val="0"/>
        <w:jc w:val="left"/>
        <w:rPr/>
      </w:pPr>
      <w:r>
        <w:rPr/>
        <w:t> </w:t>
      </w:r>
    </w:p>
    <w:tbl>
      <w:tblPr>
        <w:tblW w:w="5653" w:type="dxa"/>
        <w:jc w:val="left"/>
        <w:tblInd w:w="0" w:type="dxa"/>
        <w:tblLayout w:type="fixed"/>
        <w:tblCellMar>
          <w:top w:w="28" w:type="dxa"/>
          <w:left w:w="28" w:type="dxa"/>
          <w:bottom w:w="28" w:type="dxa"/>
          <w:right w:w="28" w:type="dxa"/>
        </w:tblCellMar>
      </w:tblPr>
      <w:tblGrid>
        <w:gridCol w:w="1306"/>
        <w:gridCol w:w="146"/>
        <w:gridCol w:w="211"/>
        <w:gridCol w:w="856"/>
        <w:gridCol w:w="166"/>
        <w:gridCol w:w="146"/>
        <w:gridCol w:w="211"/>
        <w:gridCol w:w="856"/>
        <w:gridCol w:w="166"/>
        <w:gridCol w:w="146"/>
        <w:gridCol w:w="211"/>
        <w:gridCol w:w="1021"/>
        <w:gridCol w:w="21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9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(161,596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(859,006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(334,940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(545,294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(1,193,946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(provision for) benefit from income taxes included the following:</w:t>
      </w:r>
    </w:p>
    <w:p>
      <w:pPr>
        <w:pStyle w:val="TextBody"/>
        <w:bidi w:val="0"/>
        <w:jc w:val="left"/>
        <w:rPr/>
      </w:pPr>
      <w:r>
        <w:rPr/>
        <w:t> </w:t>
      </w:r>
    </w:p>
    <w:tbl>
      <w:tblPr>
        <w:tblW w:w="8528" w:type="dxa"/>
        <w:jc w:val="left"/>
        <w:tblInd w:w="0" w:type="dxa"/>
        <w:tblLayout w:type="fixed"/>
        <w:tblCellMar>
          <w:top w:w="28" w:type="dxa"/>
          <w:left w:w="28" w:type="dxa"/>
          <w:bottom w:w="28" w:type="dxa"/>
          <w:right w:w="28" w:type="dxa"/>
        </w:tblCellMar>
      </w:tblPr>
      <w:tblGrid>
        <w:gridCol w:w="4126"/>
        <w:gridCol w:w="146"/>
        <w:gridCol w:w="211"/>
        <w:gridCol w:w="856"/>
        <w:gridCol w:w="166"/>
        <w:gridCol w:w="146"/>
        <w:gridCol w:w="211"/>
        <w:gridCol w:w="856"/>
        <w:gridCol w:w="166"/>
        <w:gridCol w:w="146"/>
        <w:gridCol w:w="211"/>
        <w:gridCol w:w="796"/>
        <w:gridCol w:w="4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(12,128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(27,028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(40,166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74,404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132,223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100,070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(45,939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179,640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(provision for) benefit from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139,474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F-45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Significant components of the Company’s net deferred tax assets were as follows:</w:t>
      </w:r>
      <w:r>
        <w:rPr>
          <w:rFonts w:ascii="Times New Roman" w:hAnsi="Times New Roman"/>
          <w:color w:val="000000"/>
          <w:sz w:val="20"/>
        </w:rPr>
        <w:t xml:space="preserve"> </w:t>
      </w:r>
    </w:p>
    <w:p>
      <w:pPr>
        <w:pStyle w:val="TextBody"/>
        <w:bidi w:val="0"/>
        <w:jc w:val="left"/>
        <w:rPr/>
      </w:pPr>
      <w:r>
        <w:rPr/>
        <w:t> </w:t>
      </w:r>
    </w:p>
    <w:tbl>
      <w:tblPr>
        <w:tblW w:w="7669" w:type="dxa"/>
        <w:jc w:val="left"/>
        <w:tblInd w:w="0" w:type="dxa"/>
        <w:tblLayout w:type="fixed"/>
        <w:tblCellMar>
          <w:top w:w="28" w:type="dxa"/>
          <w:left w:w="28" w:type="dxa"/>
          <w:bottom w:w="28" w:type="dxa"/>
          <w:right w:w="28" w:type="dxa"/>
        </w:tblCellMar>
      </w:tblPr>
      <w:tblGrid>
        <w:gridCol w:w="4256"/>
        <w:gridCol w:w="146"/>
        <w:gridCol w:w="211"/>
        <w:gridCol w:w="1021"/>
        <w:gridCol w:w="166"/>
        <w:gridCol w:w="146"/>
        <w:gridCol w:w="211"/>
        <w:gridCol w:w="1021"/>
        <w:gridCol w:w="491"/>
      </w:tblGrid>
      <w:tr>
        <w:trPr/>
        <w:tc>
          <w:tcPr>
            <w:tcW w:w="4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252,589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Tax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159,806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Capitalized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136,191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99,877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Interest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105,182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198,071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(430,501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521,215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(533,515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(576,599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equipment and satellites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(776,440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(689,880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(88,083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(59,720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(75,918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25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(1,460,955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(1,430,480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deferred tax assets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(948,151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(909,265</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F-46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A reconciliation of the benefit from (provision for) income taxes to the amount computed by applying the statutory federal income tax rate to income (loss) before income taxes for the fiscal year ended March 31, 2026 is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19"/>
        <w:gridCol w:w="146"/>
        <w:gridCol w:w="250"/>
        <w:gridCol w:w="1015"/>
        <w:gridCol w:w="166"/>
        <w:gridCol w:w="146"/>
        <w:gridCol w:w="255"/>
        <w:gridCol w:w="736"/>
        <w:gridCol w:w="772"/>
      </w:tblGrid>
      <w:tr>
        <w:trPr/>
        <w:tc>
          <w:tcPr>
            <w:tcW w:w="6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Percentage</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 xml:space="preserve">State and local income taxes, net of federal income tax effect </w:t>
            </w:r>
            <w:r>
              <w:rPr>
                <w:rFonts w:ascii="Arial" w:hAnsi="Arial"/>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tax effects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Statutory tax rate difference between United Kingdom and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Interest on overpaid taxes, net of 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righ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Statutory tax rate difference between Canada and 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Local provincial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Capital gain partial exemption on sale of Navarino UK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Tax audit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foreign jurisdictions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changes in tax laws or rates enacted in the current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Effect of cross-border tax laws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Global intangible low-taxed income (GILTI)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Subpart F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Inclusion of foreign disregarded entities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valuation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Non-deductible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Changes in prior period worldwide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Unremitted subsidiary gains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71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sz w:val="20"/>
        </w:rPr>
      </w:pPr>
      <w:r>
        <w:rPr>
          <w:rFonts w:ascii="Arial" w:hAnsi="Arial"/>
          <w:color w:val="000000"/>
          <w:sz w:val="13"/>
        </w:rPr>
        <w:t>(1)</w:t>
      </w:r>
      <w:r>
        <w:rPr>
          <w:rFonts w:ascii="Times New Roman" w:hAnsi="Times New Roman"/>
          <w:color w:val="000000"/>
          <w:sz w:val="20"/>
        </w:rPr>
        <w:t xml:space="preserve"> </w:t>
      </w:r>
      <w:r>
        <w:rPr>
          <w:rFonts w:ascii="Arial" w:hAnsi="Arial"/>
          <w:color w:val="000000"/>
          <w:sz w:val="20"/>
        </w:rPr>
        <w:t>State taxes in Virginia and Maryland made up the majority (greater than 50 percent) of the tax effect in this category.</w:t>
      </w:r>
    </w:p>
    <w:p>
      <w:pPr>
        <w:pStyle w:val="TextBody"/>
        <w:bidi w:val="0"/>
        <w:spacing w:before="240" w:after="283"/>
        <w:jc w:val="center"/>
        <w:rPr>
          <w:rFonts w:ascii="Arial" w:hAnsi="Arial"/>
          <w:color w:val="000000"/>
          <w:sz w:val="20"/>
        </w:rPr>
      </w:pPr>
      <w:r>
        <w:rPr>
          <w:rFonts w:ascii="Arial" w:hAnsi="Arial"/>
          <w:color w:val="000000"/>
          <w:sz w:val="20"/>
        </w:rPr>
        <w:t>F-47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A reconciliation of the benefit from (provision for) income taxes to the amount computed by applying the statutory federal income tax rate to income (loss) before income taxes for the fiscal years ended March 31, 2025 and 2024 is as follows:</w:t>
      </w:r>
      <w:r>
        <w:rPr>
          <w:rFonts w:ascii="Times New Roman" w:hAnsi="Times New Roman"/>
          <w:color w:val="000000"/>
          <w:sz w:val="20"/>
        </w:rPr>
        <w:t xml:space="preserve"> </w:t>
      </w:r>
    </w:p>
    <w:p>
      <w:pPr>
        <w:pStyle w:val="TextBody"/>
        <w:bidi w:val="0"/>
        <w:jc w:val="left"/>
        <w:rPr/>
      </w:pPr>
      <w:r>
        <w:rPr/>
        <w:t> </w:t>
      </w:r>
    </w:p>
    <w:tbl>
      <w:tblPr>
        <w:tblW w:w="8369" w:type="dxa"/>
        <w:jc w:val="left"/>
        <w:tblInd w:w="0" w:type="dxa"/>
        <w:tblLayout w:type="fixed"/>
        <w:tblCellMar>
          <w:top w:w="28" w:type="dxa"/>
          <w:left w:w="28" w:type="dxa"/>
          <w:bottom w:w="28" w:type="dxa"/>
          <w:right w:w="28" w:type="dxa"/>
        </w:tblCellMar>
      </w:tblPr>
      <w:tblGrid>
        <w:gridCol w:w="5626"/>
        <w:gridCol w:w="146"/>
        <w:gridCol w:w="211"/>
        <w:gridCol w:w="796"/>
        <w:gridCol w:w="166"/>
        <w:gridCol w:w="146"/>
        <w:gridCol w:w="211"/>
        <w:gridCol w:w="856"/>
        <w:gridCol w:w="21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(provision) benefit at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State tax provision,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28,574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federal valuation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(105,968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state valuation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Non-deductible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Non-deductible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Non-deductible meals and entertainment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Change in state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Base Erosion and Anti-Abuse Tax (BEAT)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 effective tax rate differential, net of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Unremitted subsidiary gains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Withholding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(provision for) benefit from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139,474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March 31, 2026, the Company had federal and state R&amp;D tax credit carryforwards of $157.3</w:t>
      </w:r>
      <w:r>
        <w:rPr>
          <w:rFonts w:ascii="Times New Roman" w:hAnsi="Times New Roman"/>
          <w:color w:val="000000"/>
          <w:sz w:val="20"/>
        </w:rPr>
        <w:t xml:space="preserve"> </w:t>
      </w:r>
      <w:r>
        <w:rPr>
          <w:rFonts w:ascii="Arial" w:hAnsi="Arial"/>
          <w:color w:val="000000"/>
          <w:sz w:val="20"/>
        </w:rPr>
        <w:t>million and $217.6</w:t>
      </w:r>
      <w:r>
        <w:rPr>
          <w:rFonts w:ascii="Times New Roman" w:hAnsi="Times New Roman"/>
          <w:color w:val="000000"/>
          <w:sz w:val="20"/>
        </w:rPr>
        <w:t xml:space="preserve"> </w:t>
      </w:r>
      <w:r>
        <w:rPr>
          <w:rFonts w:ascii="Arial" w:hAnsi="Arial"/>
          <w:color w:val="000000"/>
          <w:sz w:val="20"/>
        </w:rPr>
        <w:t>million, respectively, which begin to expire in fiscal year 2040</w:t>
      </w:r>
      <w:r>
        <w:rPr>
          <w:rFonts w:ascii="Times New Roman" w:hAnsi="Times New Roman"/>
          <w:color w:val="000000"/>
          <w:sz w:val="20"/>
        </w:rPr>
        <w:t xml:space="preserve"> </w:t>
      </w:r>
      <w:r>
        <w:rPr>
          <w:rFonts w:ascii="Arial" w:hAnsi="Arial"/>
          <w:color w:val="000000"/>
          <w:sz w:val="20"/>
        </w:rPr>
        <w:t>and fiscal year 2027, respectively. As of March 31, 2026, the Company had federal and state net operating loss carryforwards of $1,296.2</w:t>
      </w:r>
      <w:r>
        <w:rPr>
          <w:rFonts w:ascii="Times New Roman" w:hAnsi="Times New Roman"/>
          <w:color w:val="000000"/>
          <w:sz w:val="20"/>
        </w:rPr>
        <w:t xml:space="preserve"> </w:t>
      </w:r>
      <w:r>
        <w:rPr>
          <w:rFonts w:ascii="Arial" w:hAnsi="Arial"/>
          <w:color w:val="000000"/>
          <w:sz w:val="20"/>
        </w:rPr>
        <w:t>million and $673.0</w:t>
      </w:r>
      <w:r>
        <w:rPr>
          <w:rFonts w:ascii="Times New Roman" w:hAnsi="Times New Roman"/>
          <w:color w:val="000000"/>
          <w:sz w:val="20"/>
        </w:rPr>
        <w:t xml:space="preserve"> </w:t>
      </w:r>
      <w:r>
        <w:rPr>
          <w:rFonts w:ascii="Arial" w:hAnsi="Arial"/>
          <w:color w:val="000000"/>
          <w:sz w:val="20"/>
        </w:rPr>
        <w:t>million, respectively, which begin to expire in fiscal year 2029</w:t>
      </w:r>
      <w:r>
        <w:rPr>
          <w:rFonts w:ascii="Times New Roman" w:hAnsi="Times New Roman"/>
          <w:color w:val="000000"/>
          <w:sz w:val="20"/>
        </w:rPr>
        <w:t xml:space="preserve"> </w:t>
      </w:r>
      <w:r>
        <w:rPr>
          <w:rFonts w:ascii="Arial" w:hAnsi="Arial"/>
          <w:color w:val="000000"/>
          <w:sz w:val="20"/>
        </w:rPr>
        <w:t>and fiscal year 2027, respectively. However, the majority of the federal net operating loss carryforwards do not expire.</w:t>
      </w:r>
    </w:p>
    <w:p>
      <w:pPr>
        <w:pStyle w:val="TextBody"/>
        <w:bidi w:val="0"/>
        <w:spacing w:before="180" w:after="283"/>
        <w:jc w:val="left"/>
        <w:rPr>
          <w:rFonts w:ascii="Times New Roman" w:hAnsi="Times New Roman"/>
          <w:sz w:val="20"/>
        </w:rPr>
      </w:pPr>
      <w:r>
        <w:rPr>
          <w:rFonts w:ascii="Arial" w:hAnsi="Arial"/>
          <w:color w:val="000000"/>
          <w:sz w:val="20"/>
        </w:rPr>
        <w:t>As of March 31, 2026, the Company's deferred tax assets for net operating loss carryforwards included $64.2</w:t>
      </w:r>
      <w:r>
        <w:rPr>
          <w:rFonts w:ascii="Times New Roman" w:hAnsi="Times New Roman"/>
          <w:color w:val="000000"/>
          <w:sz w:val="20"/>
        </w:rPr>
        <w:t xml:space="preserve"> </w:t>
      </w:r>
      <w:r>
        <w:rPr>
          <w:rFonts w:ascii="Arial" w:hAnsi="Arial"/>
          <w:color w:val="000000"/>
          <w:sz w:val="20"/>
        </w:rPr>
        <w:t>million of UK capital loss carryforwards, which can only be offset against future UK capital gains. A full valuation allowance has been established against the capital loss carryforwards, as no capital gains are expected. With limited exceptions, the Company's foreign net operating loss and interest carryforwards do not expire. However, certain transactions or material changes to the Company's global financing arrangements could limit the Company's right to use its foreign deferred tax assets and make netting against deferred tax liabilities inappropriate, resulting in an increase to the valuation allowance and income tax expense.</w:t>
      </w:r>
    </w:p>
    <w:p>
      <w:pPr>
        <w:pStyle w:val="TextBody"/>
        <w:bidi w:val="0"/>
        <w:spacing w:before="180" w:after="283"/>
        <w:jc w:val="left"/>
        <w:rPr>
          <w:rFonts w:ascii="Times New Roman" w:hAnsi="Times New Roman"/>
          <w:sz w:val="20"/>
        </w:rPr>
      </w:pPr>
      <w:r>
        <w:rPr>
          <w:rFonts w:ascii="Arial" w:hAnsi="Arial"/>
          <w:color w:val="000000"/>
          <w:sz w:val="20"/>
        </w:rPr>
        <w:t>In accordance with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$435.0</w:t>
      </w:r>
      <w:r>
        <w:rPr>
          <w:rFonts w:ascii="Times New Roman" w:hAnsi="Times New Roman"/>
          <w:color w:val="000000"/>
          <w:sz w:val="20"/>
        </w:rPr>
        <w:t xml:space="preserve"> </w:t>
      </w:r>
      <w:r>
        <w:rPr>
          <w:rFonts w:ascii="Arial" w:hAnsi="Arial"/>
          <w:color w:val="000000"/>
          <w:sz w:val="20"/>
        </w:rPr>
        <w:t>million at March 31, 2026</w:t>
      </w:r>
      <w:r>
        <w:rPr>
          <w:rFonts w:ascii="Times New Roman" w:hAnsi="Times New Roman"/>
          <w:color w:val="000000"/>
          <w:sz w:val="20"/>
        </w:rPr>
        <w:t xml:space="preserve"> </w:t>
      </w:r>
      <w:r>
        <w:rPr>
          <w:rFonts w:ascii="Arial" w:hAnsi="Arial"/>
          <w:color w:val="000000"/>
          <w:sz w:val="20"/>
        </w:rPr>
        <w:t>and $430.5</w:t>
      </w:r>
      <w:r>
        <w:rPr>
          <w:rFonts w:ascii="Times New Roman" w:hAnsi="Times New Roman"/>
          <w:color w:val="000000"/>
          <w:sz w:val="20"/>
        </w:rPr>
        <w:t xml:space="preserve"> </w:t>
      </w:r>
      <w:r>
        <w:rPr>
          <w:rFonts w:ascii="Arial" w:hAnsi="Arial"/>
          <w:color w:val="000000"/>
          <w:sz w:val="20"/>
        </w:rPr>
        <w:t>million at March 31, 2025 has been established relating to carryforwards of federal, state and foreign net operating losses, federal and state R&amp;D tax credits, and foreign tax credits, and to other federal and state net deferred tax assets for cumulative timing differences that, based on management’s estimate of future taxable income attributable to such jurisdictions and generation of additional research credits, are considered more likely than not to expire unused.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F-48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20"/>
        </w:rPr>
        <w:t>In July 2025, the One Big Beautiful Bill Act (OBBBA) was enacted in the U.S. The OBBBA includes a broad range of material business tax reforms, such as 100% bonus depreciation, expensing of U.S.-based research and development, modification of the interest expense limitation, and modification of various U.S. international tax provisions. For fiscal year 2026, the tax law changes resulted in approximately $10.7</w:t>
      </w:r>
      <w:r>
        <w:rPr>
          <w:rFonts w:ascii="Times New Roman" w:hAnsi="Times New Roman"/>
          <w:color w:val="000000"/>
          <w:sz w:val="20"/>
        </w:rPr>
        <w:t xml:space="preserve"> </w:t>
      </w:r>
      <w:r>
        <w:rPr>
          <w:rFonts w:ascii="Arial" w:hAnsi="Arial"/>
          <w:color w:val="000000"/>
          <w:sz w:val="20"/>
        </w:rPr>
        <w:t>million of incremental non-cash tax expense to increase the Company’s U.S. valuation allowance due to material changes in the Company’s mix of gross deferred tax assets and liabilities. Additionally, the tax law changes decreased cash paid for income taxes in fiscal year 2026 associated with the Company's majority-owned subsidiary primarily due to the accelerated amortization of research and development expenses that were previously capitalized for tax purposes.</w:t>
      </w:r>
    </w:p>
    <w:p>
      <w:pPr>
        <w:pStyle w:val="TextBody"/>
        <w:bidi w:val="0"/>
        <w:spacing w:before="180" w:after="283"/>
        <w:jc w:val="left"/>
        <w:rPr>
          <w:rFonts w:ascii="Times New Roman" w:hAnsi="Times New Roman"/>
          <w:sz w:val="20"/>
        </w:rPr>
      </w:pPr>
      <w:r>
        <w:rPr>
          <w:rFonts w:ascii="Arial" w:hAnsi="Arial"/>
          <w:color w:val="000000"/>
          <w:sz w:val="20"/>
        </w:rPr>
        <w:t>During the fourth quarter of fiscal year 2025, the Company released $10.3</w:t>
      </w:r>
      <w:r>
        <w:rPr>
          <w:rFonts w:ascii="Times New Roman" w:hAnsi="Times New Roman"/>
          <w:color w:val="000000"/>
          <w:sz w:val="20"/>
        </w:rPr>
        <w:t xml:space="preserve"> </w:t>
      </w:r>
      <w:r>
        <w:rPr>
          <w:rFonts w:ascii="Arial" w:hAnsi="Arial"/>
          <w:color w:val="000000"/>
          <w:sz w:val="20"/>
        </w:rPr>
        <w:t>million of valuation allowance previously recorded against U.S. deferred tax assets. The Company evaluated both the positive and negative evidence and released valuation allowance equal to the expected benefit from the deferred tax liabilities recorded for legacy Inmarsat U.S. entities in connection with a tax planning strategy to file a consolidated U.S. federal tax return.</w:t>
      </w:r>
    </w:p>
    <w:p>
      <w:pPr>
        <w:pStyle w:val="TextBody"/>
        <w:bidi w:val="0"/>
        <w:spacing w:before="180" w:after="283"/>
        <w:jc w:val="left"/>
        <w:rPr>
          <w:rFonts w:ascii="Arial" w:hAnsi="Arial"/>
          <w:color w:val="000000"/>
          <w:sz w:val="20"/>
        </w:rPr>
      </w:pPr>
      <w:r>
        <w:rPr>
          <w:rFonts w:ascii="Arial" w:hAnsi="Arial"/>
          <w:color w:val="000000"/>
          <w:sz w:val="20"/>
        </w:rPr>
        <w:t>During the second quarter of fiscal year 2024, in evaluating the Company’s ability to realize its U.S. net deferred tax assets, the Company considered all available positive and negative evidence, including but not limited to operating results, forecasted ranges of future taxable income, and its recent satellite anomalies. ASC 740 places more weight on the objectively verifiable evidence of current pre-tax losses and recent events than forecasts of future profitability. Therefore, the Company determined it is more likely than not that its U.S. net deferred tax assets will not be realized, excluding its deferred tax assets and liabilities related to the separate U.S. tax return filings of TrellisWare and the legacy Inmarsat entities. As a result, the Company’s tax benefit for fiscal year 2024 was reduced by a valuation allowance recorded against such U.S. deferred tax assets.</w:t>
      </w:r>
    </w:p>
    <w:p>
      <w:pPr>
        <w:pStyle w:val="TextBody"/>
        <w:bidi w:val="0"/>
        <w:spacing w:before="180" w:after="283"/>
        <w:jc w:val="left"/>
        <w:rPr>
          <w:rFonts w:ascii="Times New Roman" w:hAnsi="Times New Roman"/>
          <w:sz w:val="20"/>
        </w:rPr>
      </w:pPr>
      <w:r>
        <w:rPr>
          <w:rFonts w:ascii="Arial" w:hAnsi="Arial"/>
          <w:color w:val="000000"/>
          <w:sz w:val="20"/>
        </w:rPr>
        <w:t>The following table summarizes the activity related to the Company’s unrecognized tax benefits:</w:t>
      </w:r>
      <w:r>
        <w:rPr>
          <w:rFonts w:ascii="Times New Roman" w:hAnsi="Times New Roman"/>
          <w:color w:val="000000"/>
          <w:sz w:val="20"/>
        </w:rPr>
        <w:t xml:space="preserve"> </w:t>
      </w:r>
    </w:p>
    <w:p>
      <w:pPr>
        <w:pStyle w:val="TextBody"/>
        <w:bidi w:val="0"/>
        <w:jc w:val="left"/>
        <w:rPr/>
      </w:pPr>
      <w:r>
        <w:rPr/>
        <w:t> </w:t>
      </w:r>
    </w:p>
    <w:tbl>
      <w:tblPr>
        <w:tblW w:w="9883" w:type="dxa"/>
        <w:jc w:val="left"/>
        <w:tblInd w:w="0" w:type="dxa"/>
        <w:tblLayout w:type="fixed"/>
        <w:tblCellMar>
          <w:top w:w="28" w:type="dxa"/>
          <w:left w:w="28" w:type="dxa"/>
          <w:bottom w:w="28" w:type="dxa"/>
          <w:right w:w="28" w:type="dxa"/>
        </w:tblCellMar>
      </w:tblPr>
      <w:tblGrid>
        <w:gridCol w:w="5881"/>
        <w:gridCol w:w="146"/>
        <w:gridCol w:w="211"/>
        <w:gridCol w:w="796"/>
        <w:gridCol w:w="166"/>
        <w:gridCol w:w="146"/>
        <w:gridCol w:w="211"/>
        <w:gridCol w:w="796"/>
        <w:gridCol w:w="166"/>
        <w:gridCol w:w="146"/>
        <w:gridCol w:w="211"/>
        <w:gridCol w:w="796"/>
        <w:gridCol w:w="211"/>
      </w:tblGrid>
      <w:tr>
        <w:trPr/>
        <w:tc>
          <w:tcPr>
            <w:tcW w:w="5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beginning of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related to prior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Decrease related to prior year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related to current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Increase related to business combinations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54,193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Expiration of the statute of limitations for the assessment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end of fiscal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227,184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188,186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185,595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Of the total unrecognized tax benefits at March 31, 2026, $13.6</w:t>
      </w:r>
      <w:r>
        <w:rPr>
          <w:rFonts w:ascii="Times New Roman" w:hAnsi="Times New Roman"/>
          <w:color w:val="000000"/>
          <w:sz w:val="20"/>
        </w:rPr>
        <w:t xml:space="preserve"> </w:t>
      </w:r>
      <w:r>
        <w:rPr>
          <w:rFonts w:ascii="Arial" w:hAnsi="Arial"/>
          <w:color w:val="000000"/>
          <w:sz w:val="20"/>
        </w:rPr>
        <w:t>million would reduce the Company’s annual effective tax rate if recognized, based on the Company's valuation allowance position at March 31, 2026.</w:t>
      </w:r>
    </w:p>
    <w:p>
      <w:pPr>
        <w:pStyle w:val="TextBody"/>
        <w:bidi w:val="0"/>
        <w:spacing w:before="180" w:after="283"/>
        <w:jc w:val="left"/>
        <w:rPr>
          <w:rFonts w:ascii="Times New Roman" w:hAnsi="Times New Roman"/>
          <w:sz w:val="20"/>
        </w:rPr>
      </w:pPr>
      <w:r>
        <w:rPr>
          <w:rFonts w:ascii="Arial" w:hAnsi="Arial"/>
          <w:color w:val="000000"/>
          <w:sz w:val="20"/>
        </w:rPr>
        <w:t>The Company’s policy is to recognize interest and penalties related to income tax matters as a component of income tax expense. As of March 31, 2026 and 2025, the Company had accrued interest expense and penalties of approximately $9.0</w:t>
      </w:r>
      <w:r>
        <w:rPr>
          <w:rFonts w:ascii="Times New Roman" w:hAnsi="Times New Roman"/>
          <w:color w:val="000000"/>
          <w:sz w:val="20"/>
        </w:rPr>
        <w:t xml:space="preserve"> </w:t>
      </w:r>
      <w:r>
        <w:rPr>
          <w:rFonts w:ascii="Arial" w:hAnsi="Arial"/>
          <w:color w:val="000000"/>
          <w:sz w:val="20"/>
        </w:rPr>
        <w:t>million and $14.4</w:t>
      </w:r>
      <w:r>
        <w:rPr>
          <w:rFonts w:ascii="Times New Roman" w:hAnsi="Times New Roman"/>
          <w:color w:val="000000"/>
          <w:sz w:val="20"/>
        </w:rPr>
        <w:t xml:space="preserve"> </w:t>
      </w:r>
      <w:r>
        <w:rPr>
          <w:rFonts w:ascii="Arial" w:hAnsi="Arial"/>
          <w:color w:val="000000"/>
          <w:sz w:val="20"/>
        </w:rPr>
        <w:t>million, respectively. The Company recognized a tax benefit of $5.5</w:t>
      </w:r>
      <w:r>
        <w:rPr>
          <w:rFonts w:ascii="Times New Roman" w:hAnsi="Times New Roman"/>
          <w:color w:val="000000"/>
          <w:sz w:val="20"/>
        </w:rPr>
        <w:t xml:space="preserve"> </w:t>
      </w:r>
      <w:r>
        <w:rPr>
          <w:rFonts w:ascii="Arial" w:hAnsi="Arial"/>
          <w:color w:val="000000"/>
          <w:sz w:val="20"/>
        </w:rPr>
        <w:t>million for fiscal year 2026 and an insignificant amount for each of fiscal years 2025 and 2024 for reductions of interest expense and penalties in income tax expense. In addition, as of March 31, 2026 and 2025, the Company had accrued interest income of approximately $7.1</w:t>
      </w:r>
      <w:r>
        <w:rPr>
          <w:rFonts w:ascii="Times New Roman" w:hAnsi="Times New Roman"/>
          <w:color w:val="000000"/>
          <w:sz w:val="20"/>
        </w:rPr>
        <w:t xml:space="preserve"> </w:t>
      </w:r>
      <w:r>
        <w:rPr>
          <w:rFonts w:ascii="Arial" w:hAnsi="Arial"/>
          <w:color w:val="000000"/>
          <w:sz w:val="20"/>
        </w:rPr>
        <w:t>million and an insignificant amount, respectively. The Company recognized a tax benefit of $4.6</w:t>
      </w:r>
      <w:r>
        <w:rPr>
          <w:rFonts w:ascii="Times New Roman" w:hAnsi="Times New Roman"/>
          <w:color w:val="000000"/>
          <w:sz w:val="20"/>
        </w:rPr>
        <w:t xml:space="preserve"> </w:t>
      </w:r>
      <w:r>
        <w:rPr>
          <w:rFonts w:ascii="Arial" w:hAnsi="Arial"/>
          <w:color w:val="000000"/>
          <w:sz w:val="20"/>
        </w:rPr>
        <w:t>million for fiscal year 2026 and an insignificant amount for each of fiscal years 2025 and 2024 for interest income in income tax expense.</w:t>
      </w:r>
    </w:p>
    <w:p>
      <w:pPr>
        <w:pStyle w:val="TextBody"/>
        <w:bidi w:val="0"/>
        <w:spacing w:before="240" w:after="283"/>
        <w:jc w:val="center"/>
        <w:rPr>
          <w:rFonts w:ascii="Arial" w:hAnsi="Arial"/>
          <w:color w:val="000000"/>
          <w:sz w:val="20"/>
        </w:rPr>
      </w:pPr>
      <w:r>
        <w:rPr>
          <w:rFonts w:ascii="Arial" w:hAnsi="Arial"/>
          <w:color w:val="000000"/>
          <w:sz w:val="20"/>
        </w:rPr>
        <w:t>F-49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20"/>
        </w:rPr>
        <w:t>The Company is subject to periodic audits by domestic and foreign tax authorities. By statute, the Company’s U.S. federal and state income tax returns are subject to examination by the tax authorities for fiscal years 2023 and thereafter. Additionally, net operating loss and R&amp;D tax credit carryovers that were generated in prior years may also be subject to examination. The Company’s U.S. federal income tax return for fiscal year 2024 is currently under examination by the Internal Revenue Service. Calendar years 2014 and thereafter remain open in Norway for certain entities currently under examination. Calendar years 2018 and thereafter remain open in Canada for certain entities currently under examination. With few exceptions, fiscal years 2022 and thereafter</w:t>
      </w:r>
      <w:r>
        <w:rPr>
          <w:rFonts w:ascii="Times New Roman" w:hAnsi="Times New Roman"/>
          <w:color w:val="000000"/>
          <w:sz w:val="20"/>
        </w:rPr>
        <w:t xml:space="preserve"> </w:t>
      </w:r>
      <w:r>
        <w:rPr>
          <w:rFonts w:ascii="Arial" w:hAnsi="Arial"/>
          <w:color w:val="000000"/>
          <w:sz w:val="20"/>
        </w:rPr>
        <w:t>remain open by statute to examination by other foreign tax authorities. The Company believes that it has appropriate support for the income tax positions taken on its tax returns and its accruals for tax liabilities are adequate based on an assessment of many factors, including experience and interpretations.</w:t>
      </w:r>
    </w:p>
    <w:p>
      <w:pPr>
        <w:pStyle w:val="TextBody"/>
        <w:bidi w:val="0"/>
        <w:spacing w:before="180" w:after="283"/>
        <w:jc w:val="left"/>
        <w:rPr>
          <w:rFonts w:ascii="Arial" w:hAnsi="Arial"/>
          <w:color w:val="000000"/>
          <w:sz w:val="20"/>
        </w:rPr>
      </w:pPr>
      <w:r>
        <w:rPr>
          <w:rFonts w:ascii="Arial" w:hAnsi="Arial"/>
          <w:color w:val="000000"/>
          <w:sz w:val="20"/>
        </w:rPr>
        <w:t>The income taxes paid, net of refunds received, for the fiscal year ended March 31, 2026 was as follows:</w:t>
      </w:r>
    </w:p>
    <w:p>
      <w:pPr>
        <w:pStyle w:val="TextBody"/>
        <w:bidi w:val="0"/>
        <w:jc w:val="left"/>
        <w:rPr/>
      </w:pPr>
      <w:r>
        <w:rPr/>
        <w:t> </w:t>
      </w:r>
    </w:p>
    <w:tbl>
      <w:tblPr>
        <w:tblW w:w="5416" w:type="dxa"/>
        <w:jc w:val="left"/>
        <w:tblInd w:w="0" w:type="dxa"/>
        <w:tblLayout w:type="fixed"/>
        <w:tblCellMar>
          <w:top w:w="28" w:type="dxa"/>
          <w:left w:w="28" w:type="dxa"/>
          <w:bottom w:w="28" w:type="dxa"/>
          <w:right w:w="28" w:type="dxa"/>
        </w:tblCellMar>
      </w:tblPr>
      <w:tblGrid>
        <w:gridCol w:w="3361"/>
        <w:gridCol w:w="146"/>
        <w:gridCol w:w="297"/>
        <w:gridCol w:w="978"/>
        <w:gridCol w:w="150"/>
        <w:gridCol w:w="484"/>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 Ended</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10,103</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49,443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Brazil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5,928</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foreign jurisdictions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13,755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cash paid for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80,701</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180" w:after="283"/>
        <w:jc w:val="left"/>
        <w:rPr>
          <w:rFonts w:ascii="Times New Roman" w:hAnsi="Times New Roman"/>
          <w:sz w:val="20"/>
        </w:rPr>
      </w:pPr>
      <w:r>
        <w:rPr>
          <w:rFonts w:ascii="Arial" w:hAnsi="Arial"/>
          <w:b/>
          <w:color w:val="000000"/>
          <w:sz w:val="20"/>
        </w:rPr>
        <w:t>Note 11 — Employee Benefits</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Company is a sponsor of a voluntary deferred compensation plan under Section 401(k) of the Internal Revenue Code. Under the plan, the Company may make discretionary contributions to the plan which vest over three years. The Company’s discretionary matching contributions to the plan are based on the amount of employee contributions and can be made in cash or the Company’s common stock at the Company’s election. Subsequent to the fiscal year ended March 31, 2026, the Company elected to settle the discretionary contributions liability in shares of the Company’s common stock, consistent with fiscal year 2025. Based on the closing price of the Company’s common stock on March 31, 2026, the Company would issue approximately 622,271 shares of common stock at this time. Discretionary contributions accrued by the Company as of March 31, 2026 and 2025 amounted to $28.5 million and $27.5 million, respectively.</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Note 12 — Related-Party Transactions</w:t>
      </w:r>
    </w:p>
    <w:p>
      <w:pPr>
        <w:pStyle w:val="TextBody"/>
        <w:bidi w:val="0"/>
        <w:spacing w:before="90" w:after="283"/>
        <w:jc w:val="left"/>
        <w:rPr>
          <w:rFonts w:ascii="Times New Roman" w:hAnsi="Times New Roman"/>
          <w:sz w:val="20"/>
        </w:rPr>
      </w:pPr>
      <w:r>
        <w:rPr>
          <w:rFonts w:ascii="Arial" w:hAnsi="Arial"/>
          <w:color w:val="000000"/>
          <w:sz w:val="20"/>
        </w:rPr>
        <w:t>In the normal course of business, the Company engages in transactions with its equity method investments (Navarino UK and JSAT Mobile), which are considered related-party transactions. In March 2026, the Company sold all of its interests in Navarino UK (see Note 1 — The Company and a Summary of Its Significant Accounting Policies — Principles of consolidation for more information). The Company recognized revenue from Navarino UK and JSAT Mobile in the amounts of $63.6</w:t>
      </w:r>
      <w:r>
        <w:rPr>
          <w:rFonts w:ascii="Times New Roman" w:hAnsi="Times New Roman"/>
          <w:color w:val="000000"/>
          <w:sz w:val="20"/>
        </w:rPr>
        <w:t xml:space="preserve"> </w:t>
      </w:r>
      <w:r>
        <w:rPr>
          <w:rFonts w:ascii="Arial" w:hAnsi="Arial"/>
          <w:color w:val="000000"/>
          <w:sz w:val="20"/>
        </w:rPr>
        <w:t>million, $65.7</w:t>
      </w:r>
      <w:r>
        <w:rPr>
          <w:rFonts w:ascii="Times New Roman" w:hAnsi="Times New Roman"/>
          <w:color w:val="000000"/>
          <w:sz w:val="20"/>
        </w:rPr>
        <w:t xml:space="preserve"> </w:t>
      </w:r>
      <w:r>
        <w:rPr>
          <w:rFonts w:ascii="Arial" w:hAnsi="Arial"/>
          <w:color w:val="000000"/>
          <w:sz w:val="20"/>
        </w:rPr>
        <w:t>million and $64.4</w:t>
      </w:r>
      <w:r>
        <w:rPr>
          <w:rFonts w:ascii="Times New Roman" w:hAnsi="Times New Roman"/>
          <w:color w:val="000000"/>
          <w:sz w:val="20"/>
        </w:rPr>
        <w:t xml:space="preserve"> </w:t>
      </w:r>
      <w:r>
        <w:rPr>
          <w:rFonts w:ascii="Arial" w:hAnsi="Arial"/>
          <w:color w:val="000000"/>
          <w:sz w:val="20"/>
        </w:rPr>
        <w:t>million during fiscal years 2026, 2025 and 2024, respectively. The Company received cash of $63.6</w:t>
      </w:r>
      <w:r>
        <w:rPr>
          <w:rFonts w:ascii="Times New Roman" w:hAnsi="Times New Roman"/>
          <w:color w:val="000000"/>
          <w:sz w:val="20"/>
        </w:rPr>
        <w:t xml:space="preserve"> </w:t>
      </w:r>
      <w:r>
        <w:rPr>
          <w:rFonts w:ascii="Arial" w:hAnsi="Arial"/>
          <w:color w:val="000000"/>
          <w:sz w:val="20"/>
        </w:rPr>
        <w:t>million, $68.8</w:t>
      </w:r>
      <w:r>
        <w:rPr>
          <w:rFonts w:ascii="Times New Roman" w:hAnsi="Times New Roman"/>
          <w:color w:val="000000"/>
          <w:sz w:val="20"/>
        </w:rPr>
        <w:t xml:space="preserve"> </w:t>
      </w:r>
      <w:r>
        <w:rPr>
          <w:rFonts w:ascii="Arial" w:hAnsi="Arial"/>
          <w:color w:val="000000"/>
          <w:sz w:val="20"/>
        </w:rPr>
        <w:t>million and $61.1</w:t>
      </w:r>
      <w:r>
        <w:rPr>
          <w:rFonts w:ascii="Times New Roman" w:hAnsi="Times New Roman"/>
          <w:color w:val="000000"/>
          <w:sz w:val="20"/>
        </w:rPr>
        <w:t xml:space="preserve"> </w:t>
      </w:r>
      <w:r>
        <w:rPr>
          <w:rFonts w:ascii="Arial" w:hAnsi="Arial"/>
          <w:color w:val="000000"/>
          <w:sz w:val="20"/>
        </w:rPr>
        <w:t>million from Navarino UK and JSAT Mobile during fiscal years 2026, 2025 and 2024, respectively. As of March 31, 2026, accounts receivable from JSAT Mobile was $2.5</w:t>
      </w:r>
      <w:r>
        <w:rPr>
          <w:rFonts w:ascii="Times New Roman" w:hAnsi="Times New Roman"/>
          <w:color w:val="000000"/>
          <w:sz w:val="20"/>
        </w:rPr>
        <w:t xml:space="preserve"> </w:t>
      </w:r>
      <w:r>
        <w:rPr>
          <w:rFonts w:ascii="Arial" w:hAnsi="Arial"/>
          <w:color w:val="000000"/>
          <w:sz w:val="20"/>
        </w:rPr>
        <w:t>million. As of March 31, 2025, accounts receivable from Navarino UK and JSAT Mobile was $8.5</w:t>
      </w:r>
      <w:r>
        <w:rPr>
          <w:rFonts w:ascii="Times New Roman" w:hAnsi="Times New Roman"/>
          <w:color w:val="000000"/>
          <w:sz w:val="20"/>
        </w:rPr>
        <w:t xml:space="preserve"> </w:t>
      </w:r>
      <w:r>
        <w:rPr>
          <w:rFonts w:ascii="Arial" w:hAnsi="Arial"/>
          <w:color w:val="000000"/>
          <w:sz w:val="20"/>
        </w:rPr>
        <w:t>million.</w:t>
      </w:r>
    </w:p>
    <w:p>
      <w:pPr>
        <w:pStyle w:val="TextBody"/>
        <w:bidi w:val="0"/>
        <w:spacing w:before="240" w:after="283"/>
        <w:jc w:val="center"/>
        <w:rPr>
          <w:rFonts w:ascii="Arial" w:hAnsi="Arial"/>
          <w:color w:val="000000"/>
          <w:sz w:val="20"/>
        </w:rPr>
      </w:pPr>
      <w:r>
        <w:rPr>
          <w:rFonts w:ascii="Arial" w:hAnsi="Arial"/>
          <w:color w:val="000000"/>
          <w:sz w:val="20"/>
        </w:rPr>
        <w:t>F-50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b/>
          <w:color w:val="000000"/>
          <w:sz w:val="20"/>
        </w:rPr>
      </w:pPr>
      <w:r>
        <w:rPr>
          <w:rFonts w:ascii="Arial" w:hAnsi="Arial"/>
          <w:b/>
          <w:color w:val="000000"/>
          <w:sz w:val="20"/>
        </w:rPr>
        <w:t>Note 13 — Commitments</w:t>
      </w:r>
    </w:p>
    <w:p>
      <w:pPr>
        <w:pStyle w:val="TextBody"/>
        <w:bidi w:val="0"/>
        <w:spacing w:before="90" w:after="283"/>
        <w:jc w:val="left"/>
        <w:rPr>
          <w:rFonts w:ascii="Arial" w:hAnsi="Arial"/>
          <w:color w:val="000000"/>
          <w:sz w:val="20"/>
        </w:rPr>
      </w:pPr>
      <w:r>
        <w:rPr>
          <w:rFonts w:ascii="Arial" w:hAnsi="Arial"/>
          <w:color w:val="000000"/>
          <w:sz w:val="20"/>
        </w:rPr>
        <w:t xml:space="preserve">From time to time, the Company enters into satellite construction agreements as well as various other satellite-related purchase commitments, including with respect to the provision of launch services, operation of its satellites and satellite insurance. As of March 31, 2026, future minimum payments under the Company’s satellite construction contracts and other satellite-related purchase commitments for the next five fiscal years and thereafter were as follows: </w:t>
      </w:r>
    </w:p>
    <w:p>
      <w:pPr>
        <w:pStyle w:val="TextBody"/>
        <w:bidi w:val="0"/>
        <w:jc w:val="left"/>
        <w:rPr/>
      </w:pPr>
      <w:r>
        <w:rPr/>
        <w:t> </w:t>
      </w:r>
    </w:p>
    <w:tbl>
      <w:tblPr>
        <w:tblW w:w="3293" w:type="dxa"/>
        <w:jc w:val="left"/>
        <w:tblInd w:w="0" w:type="dxa"/>
        <w:tblLayout w:type="fixed"/>
        <w:tblCellMar>
          <w:top w:w="28" w:type="dxa"/>
          <w:left w:w="28" w:type="dxa"/>
          <w:bottom w:w="28" w:type="dxa"/>
          <w:right w:w="28" w:type="dxa"/>
        </w:tblCellMar>
      </w:tblPr>
      <w:tblGrid>
        <w:gridCol w:w="1681"/>
        <w:gridCol w:w="146"/>
        <w:gridCol w:w="267"/>
        <w:gridCol w:w="1008"/>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Fiscal Years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97,789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104,623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291,373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As of March 31, 2026, the Company’s estimated satellite performance incentive obligations and accrued interest for the applicable satellites were approximately $6.1</w:t>
      </w:r>
      <w:r>
        <w:rPr>
          <w:rFonts w:ascii="Times New Roman" w:hAnsi="Times New Roman"/>
          <w:color w:val="000000"/>
          <w:sz w:val="20"/>
        </w:rPr>
        <w:t xml:space="preserve"> </w:t>
      </w:r>
      <w:r>
        <w:rPr>
          <w:rFonts w:ascii="Arial" w:hAnsi="Arial"/>
          <w:color w:val="000000"/>
          <w:sz w:val="20"/>
        </w:rPr>
        <w:t>million, of which $5.2</w:t>
      </w:r>
      <w:r>
        <w:rPr>
          <w:rFonts w:ascii="Times New Roman" w:hAnsi="Times New Roman"/>
          <w:color w:val="000000"/>
          <w:sz w:val="20"/>
        </w:rPr>
        <w:t xml:space="preserve"> </w:t>
      </w:r>
      <w:r>
        <w:rPr>
          <w:rFonts w:ascii="Arial" w:hAnsi="Arial"/>
          <w:color w:val="000000"/>
          <w:sz w:val="20"/>
        </w:rPr>
        <w:t>million and an insignificant amount have been classified as current in accrued liabilities and non-current in other liabilities, respectively. Under these satellite construction contracts, the Company may incur up to $6.1</w:t>
      </w:r>
      <w:r>
        <w:rPr>
          <w:rFonts w:ascii="Times New Roman" w:hAnsi="Times New Roman"/>
          <w:color w:val="000000"/>
          <w:sz w:val="20"/>
        </w:rPr>
        <w:t xml:space="preserve"> </w:t>
      </w:r>
      <w:r>
        <w:rPr>
          <w:rFonts w:ascii="Arial" w:hAnsi="Arial"/>
          <w:color w:val="000000"/>
          <w:sz w:val="20"/>
        </w:rPr>
        <w:t>million in total costs for satellite performance incentive obligations and related interest earned with potential future minimum payments of $4.7</w:t>
      </w:r>
      <w:r>
        <w:rPr>
          <w:rFonts w:ascii="Times New Roman" w:hAnsi="Times New Roman"/>
          <w:color w:val="000000"/>
          <w:sz w:val="20"/>
        </w:rPr>
        <w:t xml:space="preserve"> </w:t>
      </w:r>
      <w:r>
        <w:rPr>
          <w:rFonts w:ascii="Arial" w:hAnsi="Arial"/>
          <w:color w:val="000000"/>
          <w:sz w:val="20"/>
        </w:rPr>
        <w:t>million and an insignificant amount in fiscal years 2027 and 2028, respectively, with no</w:t>
      </w:r>
      <w:r>
        <w:rPr>
          <w:rFonts w:ascii="Times New Roman" w:hAnsi="Times New Roman"/>
          <w:color w:val="000000"/>
          <w:sz w:val="20"/>
        </w:rPr>
        <w:t xml:space="preserve"> </w:t>
      </w:r>
      <w:r>
        <w:rPr>
          <w:rFonts w:ascii="Arial" w:hAnsi="Arial"/>
          <w:color w:val="000000"/>
          <w:sz w:val="20"/>
        </w:rPr>
        <w:t>commitments thereafter.</w:t>
      </w:r>
    </w:p>
    <w:p>
      <w:pPr>
        <w:pStyle w:val="TextBody"/>
        <w:bidi w:val="0"/>
        <w:spacing w:before="180" w:after="283"/>
        <w:jc w:val="left"/>
        <w:rPr>
          <w:rFonts w:ascii="Times New Roman" w:hAnsi="Times New Roman"/>
          <w:sz w:val="20"/>
        </w:rPr>
      </w:pPr>
      <w:r>
        <w:rPr>
          <w:rFonts w:ascii="Arial" w:hAnsi="Arial"/>
          <w:color w:val="000000"/>
          <w:sz w:val="20"/>
        </w:rPr>
        <w:t>The Company has various other purchase commitments under satellite capacity agreements which are used to provide satellite networking services to its customers for future minimum payments, which as of March 31, 2026 were approximately $103.1 million, $73.5 million, $182.1 million, $147.1 million and $4.0 million in fiscal years 2027, 2028, 2029, 2030 and 2031, respectively, and an insignificant amount of further minimum payments thereafter.</w:t>
      </w:r>
      <w:r>
        <w:rPr>
          <w:rFonts w:ascii="Times New Roman" w:hAnsi="Times New Roman"/>
          <w:color w:val="000000"/>
          <w:sz w:val="20"/>
        </w:rPr>
        <w:t xml:space="preserve"> </w:t>
      </w:r>
    </w:p>
    <w:p>
      <w:pPr>
        <w:pStyle w:val="TextBody"/>
        <w:bidi w:val="0"/>
        <w:spacing w:before="180" w:after="283"/>
        <w:jc w:val="left"/>
        <w:rPr>
          <w:rFonts w:ascii="Arial" w:hAnsi="Arial"/>
          <w:b/>
          <w:color w:val="000000"/>
          <w:sz w:val="20"/>
        </w:rPr>
      </w:pPr>
      <w:r>
        <w:rPr>
          <w:rFonts w:ascii="Arial" w:hAnsi="Arial"/>
          <w:b/>
          <w:color w:val="000000"/>
          <w:sz w:val="20"/>
        </w:rPr>
        <w:t>Note 14 — Contingencies</w:t>
      </w:r>
    </w:p>
    <w:p>
      <w:pPr>
        <w:pStyle w:val="TextBody"/>
        <w:bidi w:val="0"/>
        <w:spacing w:before="90" w:after="283"/>
        <w:jc w:val="left"/>
        <w:rPr>
          <w:rFonts w:ascii="Times New Roman" w:hAnsi="Times New Roman"/>
          <w:sz w:val="20"/>
        </w:rPr>
      </w:pPr>
      <w:r>
        <w:rPr>
          <w:rFonts w:ascii="Arial" w:hAnsi="Arial"/>
          <w:color w:val="000000"/>
          <w:sz w:val="20"/>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F-51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color w:val="000000"/>
          <w:sz w:val="20"/>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March 31, 2026, the DCMA had approved the Company’s incurred costs through fiscal year 2022. The DCAA is currently auditing the Company's fiscal year 2025 recurring incurred cost submission. The Company's cost accounting practices are examined for compliance with the applicable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2026 and 2025, the Company had $15.1</w:t>
      </w:r>
      <w:r>
        <w:rPr>
          <w:rFonts w:ascii="Times New Roman" w:hAnsi="Times New Roman"/>
          <w:color w:val="000000"/>
          <w:sz w:val="20"/>
        </w:rPr>
        <w:t xml:space="preserve"> </w:t>
      </w:r>
      <w:r>
        <w:rPr>
          <w:rFonts w:ascii="Arial" w:hAnsi="Arial"/>
          <w:color w:val="000000"/>
          <w:sz w:val="20"/>
        </w:rPr>
        <w:t>million and $14.8</w:t>
      </w:r>
      <w:r>
        <w:rPr>
          <w:rFonts w:ascii="Times New Roman" w:hAnsi="Times New Roman"/>
          <w:color w:val="000000"/>
          <w:sz w:val="20"/>
        </w:rPr>
        <w:t xml:space="preserve"> </w:t>
      </w:r>
      <w:r>
        <w:rPr>
          <w:rFonts w:ascii="Arial" w:hAnsi="Arial"/>
          <w:color w:val="000000"/>
          <w:sz w:val="20"/>
        </w:rPr>
        <w:t>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pStyle w:val="TextBody"/>
        <w:bidi w:val="0"/>
        <w:spacing w:before="270" w:after="283"/>
        <w:jc w:val="left"/>
        <w:rPr>
          <w:rFonts w:ascii="Arial" w:hAnsi="Arial"/>
          <w:b/>
          <w:i/>
          <w:color w:val="000000"/>
          <w:sz w:val="20"/>
        </w:rPr>
      </w:pPr>
      <w:r>
        <w:rPr>
          <w:rFonts w:ascii="Arial" w:hAnsi="Arial"/>
          <w:b/>
          <w:i/>
          <w:color w:val="000000"/>
          <w:sz w:val="20"/>
        </w:rPr>
        <w:t>Certain matters resolved during fiscal years 2026 and 2024</w:t>
      </w:r>
    </w:p>
    <w:p>
      <w:pPr>
        <w:pStyle w:val="TextBody"/>
        <w:bidi w:val="0"/>
        <w:spacing w:before="180" w:after="283"/>
        <w:jc w:val="left"/>
        <w:rPr>
          <w:rFonts w:ascii="Times New Roman" w:hAnsi="Times New Roman"/>
          <w:sz w:val="20"/>
        </w:rPr>
      </w:pPr>
      <w:r>
        <w:rPr>
          <w:rFonts w:ascii="Arial" w:hAnsi="Arial"/>
          <w:color w:val="000000"/>
          <w:sz w:val="20"/>
        </w:rPr>
        <w:t>In June 2025, Inmarsat agreed to a binding term sheet with Ligado Networks (Ligado) and AST &amp; Science, LLC to settle Inmarsat's opposition to Ligado’s planned restructuring. Under the conditions set forth in the term sheet, the Company expected to receive an aggregate of $568</w:t>
      </w:r>
      <w:r>
        <w:rPr>
          <w:rFonts w:ascii="Times New Roman" w:hAnsi="Times New Roman"/>
          <w:color w:val="000000"/>
          <w:sz w:val="20"/>
        </w:rPr>
        <w:t xml:space="preserve"> </w:t>
      </w:r>
      <w:r>
        <w:rPr>
          <w:rFonts w:ascii="Arial" w:hAnsi="Arial"/>
          <w:color w:val="000000"/>
          <w:sz w:val="20"/>
        </w:rPr>
        <w:t>million from Ligado in fiscal year 2026, consisting of (i) a $420</w:t>
      </w:r>
      <w:r>
        <w:rPr>
          <w:rFonts w:ascii="Times New Roman" w:hAnsi="Times New Roman"/>
          <w:color w:val="000000"/>
          <w:sz w:val="20"/>
        </w:rPr>
        <w:t xml:space="preserve"> </w:t>
      </w:r>
      <w:r>
        <w:rPr>
          <w:rFonts w:ascii="Arial" w:hAnsi="Arial"/>
          <w:color w:val="000000"/>
          <w:sz w:val="20"/>
        </w:rPr>
        <w:t>million lump sum payment which was received in October 2025, (ii) a $100</w:t>
      </w:r>
      <w:r>
        <w:rPr>
          <w:rFonts w:ascii="Times New Roman" w:hAnsi="Times New Roman"/>
          <w:color w:val="000000"/>
          <w:sz w:val="20"/>
        </w:rPr>
        <w:t xml:space="preserve"> </w:t>
      </w:r>
      <w:r>
        <w:rPr>
          <w:rFonts w:ascii="Arial" w:hAnsi="Arial"/>
          <w:color w:val="000000"/>
          <w:sz w:val="20"/>
        </w:rPr>
        <w:t>million lump sum payment that was due in March 2026 that remains outstanding pending resolution of certain matters, and (iii) a resumption of quarterly payments of approximately $16</w:t>
      </w:r>
      <w:r>
        <w:rPr>
          <w:rFonts w:ascii="Times New Roman" w:hAnsi="Times New Roman"/>
          <w:color w:val="000000"/>
          <w:sz w:val="20"/>
        </w:rPr>
        <w:t xml:space="preserve"> </w:t>
      </w:r>
      <w:r>
        <w:rPr>
          <w:rFonts w:ascii="Arial" w:hAnsi="Arial"/>
          <w:color w:val="000000"/>
          <w:sz w:val="20"/>
        </w:rPr>
        <w:t>million, which started on September 30, 2025, with an annual escalator of 3% for the life of the contract (through 2107). Upon resolution of certain conditions, in the first nine months of fiscal year 2026, related to the $420.0</w:t>
      </w:r>
      <w:r>
        <w:rPr>
          <w:rFonts w:ascii="Times New Roman" w:hAnsi="Times New Roman"/>
          <w:color w:val="000000"/>
          <w:sz w:val="20"/>
        </w:rPr>
        <w:t xml:space="preserve"> </w:t>
      </w:r>
      <w:r>
        <w:rPr>
          <w:rFonts w:ascii="Arial" w:hAnsi="Arial"/>
          <w:color w:val="000000"/>
          <w:sz w:val="20"/>
        </w:rPr>
        <w:t>million lump sum payment, the Company allocated and recognized $267.5</w:t>
      </w:r>
      <w:r>
        <w:rPr>
          <w:rFonts w:ascii="Times New Roman" w:hAnsi="Times New Roman"/>
          <w:color w:val="000000"/>
          <w:sz w:val="20"/>
        </w:rPr>
        <w:t xml:space="preserve"> </w:t>
      </w:r>
      <w:r>
        <w:rPr>
          <w:rFonts w:ascii="Arial" w:hAnsi="Arial"/>
          <w:color w:val="000000"/>
          <w:sz w:val="20"/>
        </w:rPr>
        <w:t>million as deferred revenue and allocated and recognized $152.5</w:t>
      </w:r>
      <w:r>
        <w:rPr>
          <w:rFonts w:ascii="Times New Roman" w:hAnsi="Times New Roman"/>
          <w:color w:val="000000"/>
          <w:sz w:val="20"/>
        </w:rPr>
        <w:t xml:space="preserve"> </w:t>
      </w:r>
      <w:r>
        <w:rPr>
          <w:rFonts w:ascii="Arial" w:hAnsi="Arial"/>
          <w:color w:val="000000"/>
          <w:sz w:val="20"/>
        </w:rPr>
        <w:t>million as interest income on the deferral of Ligado's previous quarterly fees, which were received as part of the lump sum payment.</w:t>
      </w:r>
    </w:p>
    <w:p>
      <w:pPr>
        <w:pStyle w:val="TextBody"/>
        <w:bidi w:val="0"/>
        <w:spacing w:before="180" w:after="283"/>
        <w:jc w:val="left"/>
        <w:rPr>
          <w:rFonts w:ascii="Times New Roman" w:hAnsi="Times New Roman"/>
          <w:sz w:val="20"/>
        </w:rPr>
      </w:pPr>
      <w:r>
        <w:rPr>
          <w:rFonts w:ascii="Arial" w:hAnsi="Arial"/>
          <w:color w:val="000000"/>
          <w:sz w:val="20"/>
        </w:rPr>
        <w:t>In July 2022 and September 2023, the Company settled certain pending litigation. Under the terms of the settlement and licensing agreement, the Company receives certain payments, which may vary based on sales of licensed products. The Company received payments and recognized $30.8</w:t>
      </w:r>
      <w:r>
        <w:rPr>
          <w:rFonts w:ascii="Times New Roman" w:hAnsi="Times New Roman"/>
          <w:color w:val="000000"/>
          <w:sz w:val="20"/>
        </w:rPr>
        <w:t xml:space="preserve"> </w:t>
      </w:r>
      <w:r>
        <w:rPr>
          <w:rFonts w:ascii="Arial" w:hAnsi="Arial"/>
          <w:color w:val="000000"/>
          <w:sz w:val="20"/>
        </w:rPr>
        <w:t>million, $41.7</w:t>
      </w:r>
      <w:r>
        <w:rPr>
          <w:rFonts w:ascii="Times New Roman" w:hAnsi="Times New Roman"/>
          <w:color w:val="000000"/>
          <w:sz w:val="20"/>
        </w:rPr>
        <w:t xml:space="preserve"> </w:t>
      </w:r>
      <w:r>
        <w:rPr>
          <w:rFonts w:ascii="Arial" w:hAnsi="Arial"/>
          <w:color w:val="000000"/>
          <w:sz w:val="20"/>
        </w:rPr>
        <w:t>million and $99.9</w:t>
      </w:r>
      <w:r>
        <w:rPr>
          <w:rFonts w:ascii="Times New Roman" w:hAnsi="Times New Roman"/>
          <w:color w:val="000000"/>
          <w:sz w:val="20"/>
        </w:rPr>
        <w:t xml:space="preserve"> </w:t>
      </w:r>
      <w:r>
        <w:rPr>
          <w:rFonts w:ascii="Arial" w:hAnsi="Arial"/>
          <w:color w:val="000000"/>
          <w:sz w:val="20"/>
        </w:rPr>
        <w:t>million as product revenues within the Company's defense and advanced technologies segment during fiscal years 2026, 2025 and 2024, respectively, and recognized $7.2</w:t>
      </w:r>
      <w:r>
        <w:rPr>
          <w:rFonts w:ascii="Times New Roman" w:hAnsi="Times New Roman"/>
          <w:color w:val="000000"/>
          <w:sz w:val="20"/>
        </w:rPr>
        <w:t xml:space="preserve"> </w:t>
      </w:r>
      <w:r>
        <w:rPr>
          <w:rFonts w:ascii="Arial" w:hAnsi="Arial"/>
          <w:color w:val="000000"/>
          <w:sz w:val="20"/>
        </w:rPr>
        <w:t>million as interest income during fiscal year 2024.</w:t>
      </w:r>
    </w:p>
    <w:p>
      <w:pPr>
        <w:pStyle w:val="TextBody"/>
        <w:bidi w:val="0"/>
        <w:spacing w:before="180" w:after="283"/>
        <w:jc w:val="left"/>
        <w:rPr>
          <w:rFonts w:ascii="Arial" w:hAnsi="Arial"/>
          <w:b/>
          <w:color w:val="000000"/>
          <w:sz w:val="20"/>
        </w:rPr>
      </w:pPr>
      <w:r>
        <w:rPr>
          <w:rFonts w:ascii="Arial" w:hAnsi="Arial"/>
          <w:b/>
          <w:color w:val="000000"/>
          <w:sz w:val="20"/>
        </w:rPr>
        <w:t>Note 15 — Discontinued Operations</w:t>
      </w:r>
    </w:p>
    <w:p>
      <w:pPr>
        <w:pStyle w:val="TextBody"/>
        <w:bidi w:val="0"/>
        <w:spacing w:before="90" w:after="283"/>
        <w:jc w:val="left"/>
        <w:rPr>
          <w:rFonts w:ascii="Times New Roman" w:hAnsi="Times New Roman"/>
          <w:sz w:val="20"/>
        </w:rPr>
      </w:pPr>
      <w:r>
        <w:rPr>
          <w:rFonts w:ascii="Arial" w:hAnsi="Arial"/>
          <w:color w:val="000000"/>
          <w:sz w:val="20"/>
        </w:rPr>
        <w:t>In October 2022, the Company entered into an Asset Purchase Agreement to sell the Link-16 TDL Business in its defense and advanced technologies segment to L3Harris in exchange for approximately $1.96</w:t>
      </w:r>
      <w:r>
        <w:rPr>
          <w:rFonts w:ascii="Times New Roman" w:hAnsi="Times New Roman"/>
          <w:color w:val="000000"/>
          <w:sz w:val="20"/>
        </w:rPr>
        <w:t xml:space="preserve"> </w:t>
      </w:r>
      <w:r>
        <w:rPr>
          <w:rFonts w:ascii="Arial" w:hAnsi="Arial"/>
          <w:color w:val="000000"/>
          <w:sz w:val="20"/>
        </w:rPr>
        <w:t>billion in cash, subject to adjustments. In accordance with ASC 205-20, the Company determined that the Link-16 TDL Business met held-for sale and discontinued operations accounting criteria at the end of the second quarter of fiscal year 2023. In January 2023, the Company completed the Link-16 TDL Sale, and accordingly the Company classified the results of the Link-16 TDL Business as discontinued operations in its consolidated statements of operations for periods prior to the closing of the Link-16 TDL Sale in fiscal year 2023.</w:t>
      </w:r>
    </w:p>
    <w:p>
      <w:pPr>
        <w:pStyle w:val="TextBody"/>
        <w:bidi w:val="0"/>
        <w:spacing w:before="90" w:after="283"/>
        <w:jc w:val="left"/>
        <w:rPr>
          <w:rFonts w:ascii="Times New Roman" w:hAnsi="Times New Roman"/>
          <w:sz w:val="20"/>
        </w:rPr>
      </w:pPr>
      <w:r>
        <w:rPr>
          <w:rFonts w:ascii="Arial" w:hAnsi="Arial"/>
          <w:color w:val="000000"/>
          <w:sz w:val="20"/>
        </w:rPr>
        <w:t>For the fiscal year ended March 31, 2024, net income (loss) from discontinued operations, net of tax, was a loss of $10.4</w:t>
      </w:r>
      <w:r>
        <w:rPr>
          <w:rFonts w:ascii="Times New Roman" w:hAnsi="Times New Roman"/>
          <w:color w:val="000000"/>
          <w:sz w:val="20"/>
        </w:rPr>
        <w:t xml:space="preserve"> </w:t>
      </w:r>
      <w:r>
        <w:rPr>
          <w:rFonts w:ascii="Arial" w:hAnsi="Arial"/>
          <w:color w:val="000000"/>
          <w:sz w:val="20"/>
        </w:rPr>
        <w:t>million, which resulted from an adjustment.</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F-52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Times New Roman" w:hAnsi="Times New Roman"/>
          <w:sz w:val="20"/>
        </w:rPr>
      </w:pPr>
      <w:r>
        <w:rPr>
          <w:rFonts w:ascii="Arial" w:hAnsi="Arial"/>
          <w:b/>
          <w:color w:val="000000"/>
          <w:sz w:val="20"/>
        </w:rPr>
        <w:t>Note 16 — Segment Information</w:t>
      </w:r>
      <w:r>
        <w:rPr>
          <w:rFonts w:ascii="Times New Roman" w:hAnsi="Times New Roman"/>
          <w:color w:val="000000"/>
          <w:sz w:val="20"/>
        </w:rPr>
        <w:t xml:space="preserve"> </w:t>
      </w:r>
    </w:p>
    <w:p>
      <w:pPr>
        <w:pStyle w:val="TextBody"/>
        <w:bidi w:val="0"/>
        <w:spacing w:before="90" w:after="283"/>
        <w:jc w:val="left"/>
        <w:rPr>
          <w:rFonts w:ascii="Times New Roman" w:hAnsi="Times New Roman"/>
          <w:sz w:val="20"/>
        </w:rPr>
      </w:pPr>
      <w:r>
        <w:rPr>
          <w:rFonts w:ascii="Arial" w:hAnsi="Arial"/>
          <w:color w:val="000000"/>
          <w:sz w:val="20"/>
        </w:rPr>
        <w:t>The Company reports its results in two</w:t>
      </w:r>
      <w:r>
        <w:rPr>
          <w:rFonts w:ascii="Times New Roman" w:hAnsi="Times New Roman"/>
          <w:color w:val="000000"/>
          <w:sz w:val="20"/>
        </w:rPr>
        <w:t xml:space="preserve"> </w:t>
      </w:r>
      <w:r>
        <w:rPr>
          <w:rFonts w:ascii="Arial" w:hAnsi="Arial"/>
          <w:color w:val="000000"/>
          <w:sz w:val="20"/>
        </w:rPr>
        <w:t>separate segments consisting of communication services and defense and advanced technologies. The Company's segments are determined consistent with the way management currently organizes and evaluates financial information internally for making operating decisions and assessing performance.</w:t>
      </w:r>
    </w:p>
    <w:p>
      <w:pPr>
        <w:pStyle w:val="TextBody"/>
        <w:bidi w:val="0"/>
        <w:spacing w:before="90" w:after="283"/>
        <w:jc w:val="left"/>
        <w:rPr>
          <w:rFonts w:ascii="Times New Roman" w:hAnsi="Times New Roman"/>
          <w:sz w:val="20"/>
        </w:rPr>
      </w:pPr>
      <w:r>
        <w:rPr>
          <w:rFonts w:ascii="Arial" w:hAnsi="Arial"/>
          <w:color w:val="000000"/>
          <w:sz w:val="20"/>
        </w:rPr>
        <w:t>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r>
        <w:rPr>
          <w:rFonts w:ascii="Times New Roman" w:hAnsi="Times New Roman"/>
          <w:color w:val="000000"/>
          <w:sz w:val="20"/>
        </w:rPr>
        <w:t xml:space="preserve"> </w:t>
      </w:r>
    </w:p>
    <w:p>
      <w:pPr>
        <w:pStyle w:val="TextBody"/>
        <w:bidi w:val="0"/>
        <w:spacing w:before="180" w:after="283"/>
        <w:jc w:val="left"/>
        <w:rPr>
          <w:rFonts w:ascii="Arial" w:hAnsi="Arial"/>
          <w:color w:val="000000"/>
          <w:sz w:val="20"/>
        </w:rPr>
      </w:pPr>
      <w:r>
        <w:rPr>
          <w:rFonts w:ascii="Arial" w:hAnsi="Arial"/>
          <w:color w:val="000000"/>
          <w:sz w:val="20"/>
        </w:rPr>
        <w:t>The Company’s communication services segment provides a wide range of broadband and narrowband communications solutions across government and commercial mobility markets, as well as for residential and enterprise fixed broadband customers. The Company’s communication services segment revenues are primarily derived from the Company’s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pStyle w:val="TextBody"/>
        <w:bidi w:val="0"/>
        <w:spacing w:before="180" w:after="283"/>
        <w:jc w:val="left"/>
        <w:rPr>
          <w:rFonts w:ascii="Arial" w:hAnsi="Arial"/>
          <w:color w:val="000000"/>
          <w:sz w:val="20"/>
        </w:rPr>
      </w:pPr>
      <w:r>
        <w:rPr>
          <w:rFonts w:ascii="Arial" w:hAnsi="Arial"/>
          <w:color w:val="000000"/>
          <w:sz w:val="20"/>
        </w:rPr>
        <w:t>The Company’s defense and advanced technologies segment develops and offers a diverse array of resilient, vertically integrated solutions to government and commercial customers, leveraging the Company’s technical competencies in encryption, cyber security, tactical gateways, modems and waveforms. The more regulated government environment for defense, encryption and other products is subject to unique contractual requirements and possesses economic characteristics that differ from the communication services segment. The Company’s defense and advanced technologies segment revenues are primarily derived from products and services in the Company’s information security and cyber defense, space and mission systems, tactical networking, and advanced technologies and other business lines, which are provided to government and commercial customers.</w:t>
      </w:r>
    </w:p>
    <w:p>
      <w:pPr>
        <w:pStyle w:val="TextBody"/>
        <w:bidi w:val="0"/>
        <w:spacing w:before="180" w:after="283"/>
        <w:jc w:val="left"/>
        <w:rPr>
          <w:rFonts w:ascii="Arial" w:hAnsi="Arial"/>
          <w:color w:val="000000"/>
          <w:sz w:val="20"/>
        </w:rPr>
      </w:pPr>
      <w:r>
        <w:rPr>
          <w:rFonts w:ascii="Arial" w:hAnsi="Arial"/>
          <w:color w:val="000000"/>
          <w:sz w:val="20"/>
        </w:rPr>
        <w:t>The Company's Chief Operating Decision Maker (CODM) is the Company's Chairman of the Board and Chief Executive Officer. Segment operating profits (losses) are the primary measure used by the Company's CODM to evaluate segment operating performance. The CODM regularly reviews budget-to-actual variances of segment operating profits (losses) when evaluating segment performance and allocating resources to each segment.</w:t>
      </w:r>
    </w:p>
    <w:p>
      <w:pPr>
        <w:pStyle w:val="TextBody"/>
        <w:bidi w:val="0"/>
        <w:spacing w:before="240" w:after="283"/>
        <w:jc w:val="center"/>
        <w:rPr>
          <w:rFonts w:ascii="Arial" w:hAnsi="Arial"/>
          <w:color w:val="000000"/>
          <w:sz w:val="20"/>
        </w:rPr>
      </w:pPr>
      <w:r>
        <w:rPr>
          <w:rFonts w:ascii="Arial" w:hAnsi="Arial"/>
          <w:color w:val="000000"/>
          <w:sz w:val="20"/>
        </w:rPr>
        <w:t>F-53</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bidi w:val="0"/>
        <w:spacing w:before="180" w:after="283"/>
        <w:jc w:val="left"/>
        <w:rPr>
          <w:rFonts w:ascii="Arial" w:hAnsi="Arial"/>
          <w:color w:val="000000"/>
          <w:sz w:val="20"/>
        </w:rPr>
      </w:pPr>
      <w:r>
        <w:rPr>
          <w:rFonts w:ascii="Arial" w:hAnsi="Arial"/>
          <w:color w:val="000000"/>
          <w:sz w:val="20"/>
        </w:rPr>
        <w:t>Segment revenues, expenses and operating profits (losses) for the fiscal years ended March 31, 2026, 2025 and 2024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68"/>
        <w:gridCol w:w="746"/>
        <w:gridCol w:w="224"/>
        <w:gridCol w:w="993"/>
        <w:gridCol w:w="166"/>
        <w:gridCol w:w="146"/>
        <w:gridCol w:w="224"/>
        <w:gridCol w:w="993"/>
        <w:gridCol w:w="166"/>
        <w:gridCol w:w="146"/>
        <w:gridCol w:w="217"/>
        <w:gridCol w:w="1021"/>
        <w:gridCol w:w="995"/>
      </w:tblGrid>
      <w:tr>
        <w:trPr/>
        <w:tc>
          <w:tcPr>
            <w:tcW w:w="416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9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Communication services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Aviation services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1,191,426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864,834</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Government satcom services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795,043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596,826</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Maritime services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430,090</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Fixed services and other services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607,693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741,601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906,762</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services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3,057,223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3,022,346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2,798,512</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products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242,428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343,028</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Total communication services revenues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3,299,651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3,298,485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3,141,540</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Defense and advanced technologies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services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203,430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206,082</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Information security and cyber defense products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302,056</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Space and mission systems products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309,253</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Tactical networking products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202,094</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Advanced technologies and other products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122,733</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products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1,123,429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936,136</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defense and advanced technologies revenues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1,340,629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1,221,086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1,142,218</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Elimination of intersegment revenues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revenues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4,640,280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4,519,571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4,283,758</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Communication services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990,147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825,788</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Stock-based compensation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52,662</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Other than acquired intangible assets amortization </w:t>
            </w:r>
            <w:r>
              <w:rPr>
                <w:rFonts w:ascii="Arial" w:hAnsi="Arial"/>
                <w:color w:val="000000"/>
                <w:sz w:val="12"/>
              </w:rPr>
              <w:t>(1)</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50,718</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Acquisition and transaction related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114,113</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Ground network (FY25), satellite (FY24) impairment</w:t>
              <w:br/>
              <w:t>   and related charges,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905,496</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Other segment items </w:t>
            </w:r>
            <w:r>
              <w:rPr>
                <w:rFonts w:ascii="Arial" w:hAnsi="Arial"/>
                <w:color w:val="000000"/>
                <w:sz w:val="12"/>
              </w:rPr>
              <w:t>(2)</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2,051,254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2,049,920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2,009,817</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Total communication services expenses </w:t>
            </w:r>
            <w:r>
              <w:rPr>
                <w:rFonts w:ascii="Arial" w:hAnsi="Arial"/>
                <w:color w:val="000000"/>
                <w:sz w:val="12"/>
              </w:rPr>
              <w:t>(3)</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3,147,098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3,348,707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3,958,594</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Defense and advanced technologies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41,853</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Stock-based compensation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30,969</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Arial" w:hAnsi="Arial"/>
                <w:color w:val="000000"/>
                <w:sz w:val="18"/>
              </w:rPr>
              <w:t xml:space="preserve">Other than acquired intangible assets amortization </w:t>
            </w:r>
            <w:r>
              <w:rPr>
                <w:rFonts w:ascii="Arial" w:hAnsi="Arial"/>
                <w:color w:val="000000"/>
                <w:sz w:val="12"/>
              </w:rPr>
              <w:t>(1)</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12,000</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Acquisition and transaction related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43,466</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8"/>
              </w:rPr>
            </w:pPr>
            <w:r>
              <w:rPr>
                <w:rFonts w:ascii="Arial" w:hAnsi="Arial"/>
                <w:color w:val="000000"/>
                <w:sz w:val="18"/>
              </w:rPr>
              <w:t xml:space="preserve">Other segment items </w:t>
            </w:r>
            <w:r>
              <w:rPr>
                <w:rFonts w:ascii="Arial" w:hAnsi="Arial"/>
                <w:color w:val="000000"/>
                <w:sz w:val="12"/>
              </w:rPr>
              <w:t>(2)</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1,016,280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892,072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859,517</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sz w:val="18"/>
              </w:rPr>
            </w:pPr>
            <w:r>
              <w:rPr>
                <w:rFonts w:ascii="Arial" w:hAnsi="Arial"/>
                <w:color w:val="000000"/>
                <w:sz w:val="18"/>
              </w:rPr>
              <w:t xml:space="preserve">Total defense and advanced technologies expenses </w:t>
            </w:r>
            <w:r>
              <w:rPr>
                <w:rFonts w:ascii="Arial" w:hAnsi="Arial"/>
                <w:color w:val="000000"/>
                <w:sz w:val="12"/>
              </w:rPr>
              <w:t>(3)</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1,004,411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987,805</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4,271,443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4,353,118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4,946,399</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profits (losses):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Communication services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(817,054</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Defense and advanced technologies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154,413</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Elimination of intersegment operating profits (losses)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Segment operating profit (loss) before corporate</w:t>
              <w:br/>
              <w:t>   and amortization of acquired intangible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368,837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166,453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(662,641</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Corporate: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Amortization of acquired intangible assets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(227,165</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income</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205,849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96,258</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Interest expense</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(400,398</w:t>
            </w:r>
          </w:p>
        </w:tc>
        <w:tc>
          <w:tcPr>
            <w:tcW w:w="9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(Loss) gain on extinguishment of debt,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(99,814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income (expense),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Income (loss) from continuing operations before income taxes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(545,294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(1,193,946</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F-54</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r>
        <w:rPr>
          <w:rFonts w:ascii="Arial" w:hAnsi="Arial"/>
          <w:b/>
          <w:color w:val="000000"/>
          <w:sz w:val="20"/>
        </w:rPr>
        <w:t>VIASAT, INC.</w:t>
      </w:r>
    </w:p>
    <w:p>
      <w:pPr>
        <w:pStyle w:val="TextBody"/>
        <w:bidi w:val="0"/>
        <w:jc w:val="center"/>
        <w:rPr>
          <w:rFonts w:ascii="Arial" w:hAnsi="Arial"/>
          <w:b/>
          <w:color w:val="000000"/>
          <w:sz w:val="20"/>
        </w:rPr>
      </w:pPr>
      <w:r>
        <w:rPr>
          <w:rFonts w:ascii="Arial" w:hAnsi="Arial"/>
          <w:b/>
          <w:color w:val="000000"/>
          <w:sz w:val="20"/>
        </w:rPr>
        <w:t>NOTES TO THE CONSOLIDATED FINANCIAL STATEMENTS - (Continued)</w:t>
      </w:r>
    </w:p>
    <w:p>
      <w:pPr>
        <w:pStyle w:val="TextBody"/>
        <w:bidi w:val="0"/>
        <w:jc w:val="center"/>
        <w:rPr/>
      </w:pPr>
      <w:r>
        <w:rPr/>
        <w:t> </w:t>
      </w:r>
    </w:p>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(1)</w:t>
      </w:r>
    </w:p>
    <w:p>
      <w:pPr>
        <w:pStyle w:val="TextBody"/>
        <w:bidi w:val="0"/>
        <w:spacing w:before="40" w:after="283"/>
        <w:jc w:val="left"/>
        <w:rPr>
          <w:rFonts w:ascii="Arial" w:hAnsi="Arial"/>
          <w:color w:val="000000"/>
          <w:sz w:val="20"/>
        </w:rPr>
      </w:pPr>
      <w:r>
        <w:rPr>
          <w:rFonts w:ascii="Arial" w:hAnsi="Arial"/>
          <w:color w:val="000000"/>
          <w:sz w:val="20"/>
        </w:rPr>
        <w:t>Including amortization of capitalized cloud computing implementation costs.</w:t>
      </w:r>
    </w:p>
    <w:p>
      <w:pPr>
        <w:pStyle w:val="TextBody"/>
        <w:bidi w:val="0"/>
        <w:spacing w:before="40" w:after="283"/>
        <w:jc w:val="left"/>
        <w:rPr>
          <w:rFonts w:ascii="Arial" w:hAnsi="Arial"/>
          <w:color w:val="000000"/>
          <w:sz w:val="20"/>
        </w:rPr>
      </w:pPr>
      <w:r>
        <w:rPr>
          <w:rFonts w:ascii="Arial" w:hAnsi="Arial"/>
          <w:color w:val="000000"/>
          <w:sz w:val="20"/>
        </w:rPr>
        <w:t>(2)</w:t>
      </w:r>
    </w:p>
    <w:p>
      <w:pPr>
        <w:pStyle w:val="TextBody"/>
        <w:bidi w:val="0"/>
        <w:spacing w:before="40" w:after="283"/>
        <w:jc w:val="left"/>
        <w:rPr>
          <w:rFonts w:ascii="Arial" w:hAnsi="Arial"/>
          <w:color w:val="000000"/>
          <w:sz w:val="20"/>
        </w:rPr>
      </w:pPr>
      <w:r>
        <w:rPr>
          <w:rFonts w:ascii="Arial" w:hAnsi="Arial"/>
          <w:color w:val="000000"/>
          <w:sz w:val="20"/>
        </w:rPr>
        <w:t>Other segment items include operating expenses such as cost of service and product revenues, selling, general and administrative expenses, IR&amp;D expenses and related activities excluding allocable portion of depreciation, other than acquired intangibles amortization, stock-based compensation, and certain significant items that are disclosed under each segment.</w:t>
      </w:r>
    </w:p>
    <w:p>
      <w:pPr>
        <w:pStyle w:val="TextBody"/>
        <w:bidi w:val="0"/>
        <w:spacing w:before="40" w:after="283"/>
        <w:jc w:val="left"/>
        <w:rPr>
          <w:rFonts w:ascii="Arial" w:hAnsi="Arial"/>
          <w:color w:val="000000"/>
          <w:sz w:val="20"/>
        </w:rPr>
      </w:pPr>
      <w:r>
        <w:rPr>
          <w:rFonts w:ascii="Arial" w:hAnsi="Arial"/>
          <w:color w:val="000000"/>
          <w:sz w:val="20"/>
        </w:rPr>
        <w:t>(3)</w:t>
      </w:r>
    </w:p>
    <w:p>
      <w:pPr>
        <w:pStyle w:val="TextBody"/>
        <w:bidi w:val="0"/>
        <w:spacing w:before="40" w:after="283"/>
        <w:jc w:val="left"/>
        <w:rPr>
          <w:rFonts w:ascii="Arial" w:hAnsi="Arial"/>
          <w:color w:val="000000"/>
          <w:sz w:val="20"/>
        </w:rPr>
      </w:pPr>
      <w:r>
        <w:rPr>
          <w:rFonts w:ascii="Arial" w:hAnsi="Arial"/>
          <w:color w:val="000000"/>
          <w:sz w:val="20"/>
        </w:rPr>
        <w:t>For fiscal years 2026, 2025, and 2024, IR&amp;D expense and related activities, including allocable depreciation, stock-based compensation and other expenses were $93.1 million, $83.4 million and $105.0 million, respectively, for the communication services segment, and $71.8 million, $59.0 million and $45.7 million, respectively, for the defense and advanced technologies segment.</w:t>
      </w:r>
    </w:p>
    <w:p>
      <w:pPr>
        <w:pStyle w:val="TextBody"/>
        <w:bidi w:val="0"/>
        <w:spacing w:before="180" w:after="283"/>
        <w:jc w:val="left"/>
        <w:rPr>
          <w:rFonts w:ascii="Arial" w:hAnsi="Arial"/>
          <w:color w:val="000000"/>
          <w:sz w:val="20"/>
        </w:rPr>
      </w:pPr>
      <w:r>
        <w:rPr>
          <w:rFonts w:ascii="Arial" w:hAnsi="Arial"/>
          <w:color w:val="000000"/>
          <w:sz w:val="20"/>
        </w:rPr>
        <w:t>The CODM is not regularly provided assets on a segment basis, therefore, such information is not presented.</w:t>
      </w:r>
    </w:p>
    <w:p>
      <w:pPr>
        <w:pStyle w:val="TextBody"/>
        <w:bidi w:val="0"/>
        <w:spacing w:before="180" w:after="283"/>
        <w:jc w:val="left"/>
        <w:rPr>
          <w:rFonts w:ascii="Arial" w:hAnsi="Arial"/>
          <w:color w:val="000000"/>
          <w:sz w:val="20"/>
        </w:rPr>
      </w:pPr>
      <w:r>
        <w:rPr>
          <w:rFonts w:ascii="Arial" w:hAnsi="Arial"/>
          <w:color w:val="000000"/>
          <w:sz w:val="20"/>
        </w:rPr>
        <w:t xml:space="preserve">The Company distinguishes revenues from external customers by geographic area based on customer location. Revenues by geographic area for the fiscal years ended March 31, 2026, 2025 and 2024 were as follows: </w:t>
      </w:r>
    </w:p>
    <w:p>
      <w:pPr>
        <w:pStyle w:val="TextBody"/>
        <w:bidi w:val="0"/>
        <w:jc w:val="left"/>
        <w:rPr/>
      </w:pPr>
      <w:r>
        <w:rPr/>
        <w:t> </w:t>
      </w:r>
    </w:p>
    <w:tbl>
      <w:tblPr>
        <w:tblW w:w="9748" w:type="dxa"/>
        <w:jc w:val="left"/>
        <w:tblInd w:w="0" w:type="dxa"/>
        <w:tblLayout w:type="fixed"/>
        <w:tblCellMar>
          <w:top w:w="28" w:type="dxa"/>
          <w:left w:w="28" w:type="dxa"/>
          <w:bottom w:w="28" w:type="dxa"/>
          <w:right w:w="28" w:type="dxa"/>
        </w:tblCellMar>
      </w:tblPr>
      <w:tblGrid>
        <w:gridCol w:w="5311"/>
        <w:gridCol w:w="146"/>
        <w:gridCol w:w="211"/>
        <w:gridCol w:w="961"/>
        <w:gridCol w:w="146"/>
        <w:gridCol w:w="146"/>
        <w:gridCol w:w="211"/>
        <w:gridCol w:w="961"/>
        <w:gridCol w:w="146"/>
        <w:gridCol w:w="146"/>
        <w:gridCol w:w="211"/>
        <w:gridCol w:w="961"/>
        <w:gridCol w:w="1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Fiscal Years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U.S.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3,161,146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3,117,233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3,029,303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 U.S. customers (each country individually insignificant)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1,479,134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1,402,338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1,254,455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4,640,280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4,519,571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4,283,758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left"/>
        <w:rPr>
          <w:rFonts w:ascii="Times New Roman" w:hAnsi="Times New Roman"/>
          <w:sz w:val="20"/>
        </w:rPr>
      </w:pPr>
      <w:bookmarkStart w:id="38" w:name="end_of_fn"/>
      <w:bookmarkEnd w:id="38"/>
      <w:r>
        <w:rPr>
          <w:rFonts w:ascii="Arial" w:hAnsi="Arial"/>
          <w:color w:val="000000"/>
          <w:sz w:val="20"/>
        </w:rPr>
        <w:t>As of both March 31, 2026 and March 31, 2025, the net book value of long-lived assets located outside the United States was approximately $1.7</w:t>
      </w:r>
      <w:r>
        <w:rPr>
          <w:rFonts w:ascii="Times New Roman" w:hAnsi="Times New Roman"/>
          <w:color w:val="000000"/>
          <w:sz w:val="20"/>
        </w:rPr>
        <w:t xml:space="preserve"> </w:t>
      </w:r>
      <w:r>
        <w:rPr>
          <w:rFonts w:ascii="Arial" w:hAnsi="Arial"/>
          <w:color w:val="000000"/>
          <w:sz w:val="20"/>
        </w:rPr>
        <w:t>billion, including a net book value of long-lived assets located in the United Kingdom of $1.2</w:t>
      </w:r>
      <w:r>
        <w:rPr>
          <w:rFonts w:ascii="Times New Roman" w:hAnsi="Times New Roman"/>
          <w:color w:val="000000"/>
          <w:sz w:val="20"/>
        </w:rPr>
        <w:t xml:space="preserve"> </w:t>
      </w:r>
      <w:r>
        <w:rPr>
          <w:rFonts w:ascii="Arial" w:hAnsi="Arial"/>
          <w:color w:val="000000"/>
          <w:sz w:val="20"/>
        </w:rPr>
        <w:t>billion.</w:t>
      </w:r>
    </w:p>
    <w:p>
      <w:pPr>
        <w:pStyle w:val="TextBody"/>
        <w:bidi w:val="0"/>
        <w:spacing w:before="240" w:after="283"/>
        <w:jc w:val="center"/>
        <w:rPr>
          <w:rFonts w:ascii="Arial" w:hAnsi="Arial"/>
          <w:color w:val="000000"/>
          <w:sz w:val="20"/>
        </w:rPr>
      </w:pPr>
      <w:r>
        <w:rPr>
          <w:rFonts w:ascii="Arial" w:hAnsi="Arial"/>
          <w:color w:val="000000"/>
          <w:sz w:val="20"/>
        </w:rPr>
        <w:t>F-55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9" w:name="schedule_ii"/>
      <w:bookmarkEnd w:id="39"/>
      <w:r>
        <w:rPr>
          <w:rFonts w:ascii="Arial" w:hAnsi="Arial"/>
          <w:b/>
          <w:color w:val="000000"/>
          <w:sz w:val="20"/>
        </w:rPr>
        <w:t>SCHEDULE II</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VALUATION AND QUALIFYING ACCOUNTS</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For the Three Fiscal Years Ended March 31, 2026</w:t>
      </w:r>
      <w:r>
        <w:rPr>
          <w:rFonts w:ascii="Times New Roman" w:hAnsi="Times New Roman"/>
          <w:color w:val="000000"/>
          <w:sz w:val="20"/>
        </w:rPr>
        <w:t xml:space="preserve"> </w:t>
      </w:r>
    </w:p>
    <w:tbl>
      <w:tblPr>
        <w:tblW w:w="5688" w:type="dxa"/>
        <w:jc w:val="left"/>
        <w:tblInd w:w="0" w:type="dxa"/>
        <w:tblLayout w:type="fixed"/>
        <w:tblCellMar>
          <w:top w:w="28" w:type="dxa"/>
          <w:left w:w="28" w:type="dxa"/>
          <w:bottom w:w="28" w:type="dxa"/>
          <w:right w:w="28" w:type="dxa"/>
        </w:tblCellMar>
      </w:tblPr>
      <w:tblGrid>
        <w:gridCol w:w="3441"/>
        <w:gridCol w:w="146"/>
        <w:gridCol w:w="283"/>
        <w:gridCol w:w="1067"/>
        <w:gridCol w:w="751"/>
      </w:tblGrid>
      <w:tr>
        <w:trPr/>
        <w:tc>
          <w:tcPr>
            <w:tcW w:w="3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3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Deferred Tax</w:t>
              <w:br/>
              <w:t>Asset Valuation</w:t>
              <w:br/>
              <w:t>Allowance</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March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150,047</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Charged to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139,687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Charged to 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63,908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353,642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Charged to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76,859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Deductions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430,501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Charged to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pPr>
            <w:r>
              <w:rPr/>
              <w:t> </w:t>
            </w:r>
          </w:p>
        </w:tc>
      </w:tr>
      <w:tr>
        <w:trPr/>
        <w:tc>
          <w:tcPr>
            <w:tcW w:w="3441"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Deductions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434,983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Arial" w:hAnsi="Arial"/>
          <w:color w:val="000000"/>
          <w:sz w:val="20"/>
        </w:rPr>
      </w:pPr>
      <w:r>
        <w:rPr>
          <w:rFonts w:ascii="Arial" w:hAnsi="Arial"/>
          <w:color w:val="000000"/>
          <w:sz w:val="20"/>
        </w:rPr>
        <w:t>* Related to the acquisition of Inmarsat</w:t>
      </w:r>
    </w:p>
    <w:p>
      <w:pPr>
        <w:pStyle w:val="TextBody"/>
        <w:bidi w:val="0"/>
        <w:spacing w:before="40" w:after="283"/>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II-1</w:t>
      </w:r>
    </w:p>
    <w:p>
      <w:pPr>
        <w:pStyle w:val="HorizontalLine"/>
        <w:pBdr>
          <w:bottom w:val="double" w:sz="2" w:space="0" w:color="808080"/>
        </w:pBdr>
        <w:bidi w:val="0"/>
        <w:spacing w:before="0" w:after="283"/>
        <w:jc w:val="left"/>
        <w:rPr/>
      </w:pPr>
      <w:r>
        <w:rPr/>
      </w:r>
    </w:p>
    <w:p>
      <w:pPr>
        <w:pStyle w:val="TextBody"/>
        <w:bidi w:val="0"/>
        <w:jc w:val="right"/>
        <w:rPr/>
      </w:pPr>
      <w:bookmarkStart w:id="40" w:name="vsat-ex10_24.htm"/>
      <w:bookmarkStart w:id="41" w:name="ksvsatex10_24"/>
      <w:bookmarkEnd w:id="40"/>
      <w:bookmarkEnd w:id="41"/>
      <w:r>
        <w:rPr/>
        <w:t> </w:t>
      </w:r>
      <w:r>
        <w:br w:type="page"/>
      </w:r>
    </w:p>
    <w:p>
      <w:pPr>
        <w:pStyle w:val="TextBody"/>
        <w:bidi w:val="0"/>
        <w:jc w:val="right"/>
        <w:rPr>
          <w:rFonts w:ascii="Arial" w:hAnsi="Arial"/>
          <w:b/>
          <w:color w:val="000000"/>
          <w:sz w:val="20"/>
        </w:rPr>
      </w:pPr>
      <w:r>
        <w:rPr>
          <w:rFonts w:ascii="Arial" w:hAnsi="Arial"/>
          <w:b/>
          <w:color w:val="000000"/>
          <w:sz w:val="20"/>
        </w:rPr>
        <w:t>Exhibit 10.24</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Certain information has been excluded from this exhibit because it (i) is not material and (ii) is private and confidential.</w:t>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December 16, 2025</w:t>
      </w:r>
    </w:p>
    <w:p>
      <w:pPr>
        <w:pStyle w:val="TextBody"/>
        <w:bidi w:val="0"/>
        <w:jc w:val="both"/>
        <w:rPr>
          <w:rFonts w:ascii="Times New Roman" w:hAnsi="Times New Roman"/>
          <w:color w:val="000000"/>
          <w:sz w:val="24"/>
        </w:rPr>
      </w:pPr>
      <w:r>
        <w:rPr>
          <w:rFonts w:ascii="Times New Roman" w:hAnsi="Times New Roman"/>
          <w:color w:val="000000"/>
          <w:sz w:val="24"/>
        </w:rPr>
        <w:t>Robert Blair</w:t>
      </w:r>
    </w:p>
    <w:p>
      <w:pPr>
        <w:pStyle w:val="TextBody"/>
        <w:bidi w:val="0"/>
        <w:jc w:val="both"/>
        <w:rPr>
          <w:rFonts w:ascii="Times New Roman" w:hAnsi="Times New Roman"/>
          <w:color w:val="000000"/>
          <w:sz w:val="24"/>
        </w:rPr>
      </w:pPr>
      <w:r>
        <w:rPr>
          <w:rFonts w:ascii="Times New Roman" w:hAnsi="Times New Roman"/>
          <w:color w:val="000000"/>
          <w:sz w:val="24"/>
        </w:rPr>
        <w:t>Viasat, Inc.</w:t>
      </w:r>
    </w:p>
    <w:p>
      <w:pPr>
        <w:pStyle w:val="TextBody"/>
        <w:bidi w:val="0"/>
        <w:jc w:val="both"/>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Re: Performance Award</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Dear Robert:</w:t>
      </w:r>
    </w:p>
    <w:p>
      <w:pPr>
        <w:pStyle w:val="TextBody"/>
        <w:bidi w:val="0"/>
        <w:spacing w:before="0" w:after="240"/>
        <w:jc w:val="both"/>
        <w:rPr>
          <w:rFonts w:ascii="Times New Roman" w:hAnsi="Times New Roman"/>
          <w:sz w:val="20"/>
        </w:rPr>
      </w:pPr>
      <w:r>
        <w:rPr>
          <w:rFonts w:ascii="Times New Roman" w:hAnsi="Times New Roman"/>
          <w:color w:val="000000"/>
          <w:sz w:val="24"/>
        </w:rPr>
        <w:t>In furtherance of incentivizing you to continue your employment with Viasat,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in recognition of your extraordinary efforts towards [*****], we are offering you a performance award of $1,250,000 (the “</w:t>
      </w:r>
      <w:r>
        <w:rPr>
          <w:rFonts w:ascii="Times New Roman" w:hAnsi="Times New Roman"/>
          <w:b/>
          <w:color w:val="000000"/>
          <w:sz w:val="24"/>
        </w:rPr>
        <w:t>Performance Award</w:t>
      </w:r>
      <w:r>
        <w:rPr>
          <w:rFonts w:ascii="Times New Roman" w:hAnsi="Times New Roman"/>
          <w:color w:val="000000"/>
          <w:sz w:val="20"/>
        </w:rPr>
        <w:t>”</w:t>
      </w:r>
      <w:r>
        <w:rPr>
          <w:rFonts w:ascii="Times New Roman" w:hAnsi="Times New Roman"/>
          <w:color w:val="000000"/>
          <w:sz w:val="24"/>
        </w:rPr>
        <w:t>) upon the terms set forth in this letter agreement. In order to be eligible for the Performance Award, you must sign and return this letter agreement to William Gentry by December 23, 2025, acknowledging your agreement to the terms of this letter agreement.</w:t>
      </w:r>
    </w:p>
    <w:p>
      <w:pPr>
        <w:pStyle w:val="TextBody"/>
        <w:bidi w:val="0"/>
        <w:spacing w:before="0" w:after="240"/>
        <w:jc w:val="both"/>
        <w:rPr>
          <w:rFonts w:ascii="Times New Roman" w:hAnsi="Times New Roman"/>
          <w:sz w:val="20"/>
        </w:rPr>
      </w:pPr>
      <w:r>
        <w:rPr>
          <w:rFonts w:ascii="Times New Roman" w:hAnsi="Times New Roman"/>
          <w:color w:val="000000"/>
          <w:sz w:val="24"/>
        </w:rPr>
        <w:t>If you accept this offer, then (i) on the first regularly scheduled payroll date that occurs following the day you execute this letter agreement, we will pay to you $600,000 of the Performance Award (the “</w:t>
      </w:r>
      <w:r>
        <w:rPr>
          <w:rFonts w:ascii="Times New Roman" w:hAnsi="Times New Roman"/>
          <w:b/>
          <w:color w:val="000000"/>
          <w:sz w:val="24"/>
        </w:rPr>
        <w:t>First Installment</w:t>
      </w:r>
      <w:r>
        <w:rPr>
          <w:rFonts w:ascii="Times New Roman" w:hAnsi="Times New Roman"/>
          <w:color w:val="000000"/>
          <w:sz w:val="20"/>
        </w:rPr>
        <w:t>”</w:t>
      </w:r>
      <w:r>
        <w:rPr>
          <w:rFonts w:ascii="Times New Roman" w:hAnsi="Times New Roman"/>
          <w:color w:val="000000"/>
          <w:sz w:val="24"/>
        </w:rPr>
        <w:t>), (ii) [*****], we will pay to you $150,000 (the “</w:t>
      </w:r>
      <w:r>
        <w:rPr>
          <w:rFonts w:ascii="Times New Roman" w:hAnsi="Times New Roman"/>
          <w:b/>
          <w:color w:val="000000"/>
          <w:sz w:val="24"/>
        </w:rPr>
        <w:t>Second Installment</w:t>
      </w:r>
      <w:r>
        <w:rPr>
          <w:rFonts w:ascii="Times New Roman" w:hAnsi="Times New Roman"/>
          <w:color w:val="000000"/>
          <w:sz w:val="20"/>
        </w:rPr>
        <w:t>”</w:t>
      </w:r>
      <w:r>
        <w:rPr>
          <w:rFonts w:ascii="Times New Roman" w:hAnsi="Times New Roman"/>
          <w:color w:val="000000"/>
          <w:sz w:val="24"/>
        </w:rPr>
        <w:t>), and (iii) on April 1, 2026 (or the first regularly scheduled payroll date that occurs following such date), we will advance you $500,000 (the “</w:t>
      </w:r>
      <w:r>
        <w:rPr>
          <w:rFonts w:ascii="Times New Roman" w:hAnsi="Times New Roman"/>
          <w:b/>
          <w:color w:val="000000"/>
          <w:sz w:val="24"/>
        </w:rPr>
        <w:t>Retention Payment</w:t>
      </w:r>
      <w:r>
        <w:rPr>
          <w:rFonts w:ascii="Times New Roman" w:hAnsi="Times New Roman"/>
          <w:color w:val="000000"/>
          <w:sz w:val="20"/>
        </w:rPr>
        <w:t>”</w:t>
      </w:r>
      <w:r>
        <w:rPr>
          <w:rFonts w:ascii="Times New Roman" w:hAnsi="Times New Roman"/>
          <w:color w:val="000000"/>
          <w:sz w:val="24"/>
        </w:rPr>
        <w:t>). [*****]</w:t>
      </w:r>
    </w:p>
    <w:p>
      <w:pPr>
        <w:pStyle w:val="TextBody"/>
        <w:bidi w:val="0"/>
        <w:spacing w:before="0" w:after="240"/>
        <w:jc w:val="both"/>
        <w:rPr>
          <w:rFonts w:ascii="Times New Roman" w:hAnsi="Times New Roman"/>
          <w:sz w:val="20"/>
        </w:rPr>
      </w:pPr>
      <w:r>
        <w:rPr>
          <w:rFonts w:ascii="Times New Roman" w:hAnsi="Times New Roman"/>
          <w:color w:val="000000"/>
          <w:sz w:val="24"/>
        </w:rPr>
        <w:t>Except as set forth in this letter agreement, your eligibility to receive (and, with respect to the Retention Payment, retain) the Performance Award pursuant to this letter agreement requires your continued employment in good standing through the date of the applicable payment and, with respect to the Retention Payment, through the last day of the Retention Period (as defined below). For purposes of this letter agreement, the “</w:t>
      </w:r>
      <w:r>
        <w:rPr>
          <w:rFonts w:ascii="Times New Roman" w:hAnsi="Times New Roman"/>
          <w:b/>
          <w:color w:val="000000"/>
          <w:sz w:val="24"/>
        </w:rPr>
        <w:t>Retention Period</w:t>
      </w:r>
      <w:r>
        <w:rPr>
          <w:rFonts w:ascii="Times New Roman" w:hAnsi="Times New Roman"/>
          <w:color w:val="000000"/>
          <w:sz w:val="20"/>
        </w:rPr>
        <w:t xml:space="preserve">” </w:t>
      </w:r>
      <w:r>
        <w:rPr>
          <w:rFonts w:ascii="Times New Roman" w:hAnsi="Times New Roman"/>
          <w:color w:val="000000"/>
          <w:sz w:val="24"/>
        </w:rPr>
        <w:t>means the period commencing on the date of this letter agreement and ending on March 31, 2028. Except as set forth in this letter agreement, if you remain employed in good standing during the Retention Period, then you will no longer have to repay any portion of the Retention Payment.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If you are terminated by the Company without Cause (as defined below), you resign for Good Reason (as defined below), or your employment with the Company is terminated due to your death or Disability (as defined below), or in the event of a Change in Control (as defined below), in each case during the Retention Period, then you will not have to repay any portion of the Retention Payment (to the extent previously paid to you) and you will be eligible to receive any unpaid portion of your Performance Award. Any payment pursuant to this paragraph will be subject to your execution and non-revocation of a general release of claims in such form as may be reasonably required by the Company in its sole discretion (the “</w:t>
      </w:r>
      <w:r>
        <w:rPr>
          <w:rFonts w:ascii="Times New Roman" w:hAnsi="Times New Roman"/>
          <w:b/>
          <w:color w:val="000000"/>
          <w:sz w:val="24"/>
        </w:rPr>
        <w:t>Release</w:t>
      </w:r>
      <w:r>
        <w:rPr>
          <w:rFonts w:ascii="Times New Roman" w:hAnsi="Times New Roman"/>
          <w:color w:val="000000"/>
          <w:sz w:val="20"/>
        </w:rPr>
        <w:t>”</w:t>
      </w:r>
      <w:r>
        <w:rPr>
          <w:rFonts w:ascii="Times New Roman" w:hAnsi="Times New Roman"/>
          <w:color w:val="000000"/>
          <w:sz w:val="24"/>
        </w:rPr>
        <w:t>), which becomes effective within sixty (60) days following the date of such termination (except in the case of your death). In the event of such a termination, the portion of your Performance Award payable pursuant to this paragraph as a result of your termination, if any, will be paid within ten (10) days following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Page 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effective date of your Release (or, in the event of your death, within ten (10) days following your date of death to your estate or designated beneficiaries).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However, should you resign other than for Good Reason or be terminated for Cause prior to a Change in Control and prior to the payment of any portion of the Performance Award, you will forfeit your right to receive the unpaid portion of the Performance Award. In addition, should you resign other than for Good Reason or be terminated for Cause following your receipt of the Retention Payment and during the Retention Period (but prior to a Change in Control), you will be required to repay to the Company a prorated portion of the Retention Payment equal to (i) the Retention Payment, multiplied by (ii) a proration factor determined by dividing (A) the number of days remaining in the Retention Period following your date of termination, divided by (B) the total number of days in the Retention Period. If you are required to repay any portion of the Retention Payment, then you agree to do so promptly, but in no event more than sixty (60) days following your termination. You hereby agree that any such repayment obligation may be satisfied, at the Company’s election, by offsetting any or all of such repayment obligation by amounts otherwise then due to you from the Company. However, the Company will not reduce any compensation if doing so would violate applicable law or would result in penalty taxes under Section 409A of the Internal Revenue Code of 1986, as amended. The Company reserves all other rights and remedies available to recoup any portion of the Retention Payment advanced under this letter agreement, including the right to file a legal claim in court.</w:t>
      </w:r>
    </w:p>
    <w:p>
      <w:pPr>
        <w:pStyle w:val="TextBody"/>
        <w:bidi w:val="0"/>
        <w:jc w:val="both"/>
        <w:rPr>
          <w:rFonts w:ascii="Times New Roman" w:hAnsi="Times New Roman"/>
          <w:color w:val="000000"/>
          <w:sz w:val="24"/>
        </w:rPr>
      </w:pPr>
      <w:r>
        <w:rPr>
          <w:rFonts w:ascii="Times New Roman" w:hAnsi="Times New Roman"/>
          <w:color w:val="000000"/>
          <w:sz w:val="24"/>
        </w:rPr>
        <w:t>For purposes of this letter agreement, the following terms shall apply:</w:t>
      </w:r>
    </w:p>
    <w:p>
      <w:pPr>
        <w:pStyle w:val="TextBody"/>
        <w:bidi w:val="0"/>
        <w:jc w:val="both"/>
        <w:rPr/>
      </w:pPr>
      <w:r>
        <w:rPr/>
        <w:t> </w:t>
      </w:r>
    </w:p>
    <w:p>
      <w:pPr>
        <w:pStyle w:val="TextBody"/>
        <w:bidi w:val="0"/>
        <w:spacing w:before="0" w:after="240"/>
        <w:jc w:val="both"/>
        <w:rPr/>
      </w:pPr>
      <w:r>
        <w:rPr>
          <w:color w:val="000000"/>
        </w:rPr>
        <w:t>“</w:t>
      </w:r>
      <w:r>
        <w:rPr>
          <w:rFonts w:ascii="Times New Roman" w:hAnsi="Times New Roman"/>
          <w:b/>
          <w:color w:val="000000"/>
          <w:sz w:val="24"/>
        </w:rPr>
        <w:t>Cause</w:t>
      </w:r>
      <w:r>
        <w:rPr>
          <w:rFonts w:ascii="Times New Roman" w:hAnsi="Times New Roman"/>
          <w:color w:val="000000"/>
          <w:sz w:val="24"/>
        </w:rPr>
        <w:t>,” “</w:t>
      </w:r>
      <w:r>
        <w:rPr>
          <w:rFonts w:ascii="Times New Roman" w:hAnsi="Times New Roman"/>
          <w:b/>
          <w:color w:val="000000"/>
          <w:sz w:val="24"/>
        </w:rPr>
        <w:t>Change in Control</w:t>
      </w:r>
      <w:r>
        <w:rPr>
          <w:rFonts w:ascii="Times New Roman" w:hAnsi="Times New Roman"/>
          <w:color w:val="000000"/>
          <w:sz w:val="24"/>
        </w:rPr>
        <w:t>,” “</w:t>
      </w:r>
      <w:r>
        <w:rPr>
          <w:rFonts w:ascii="Times New Roman" w:hAnsi="Times New Roman"/>
          <w:b/>
          <w:color w:val="000000"/>
          <w:sz w:val="24"/>
        </w:rPr>
        <w:t>Disability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Good Reason</w:t>
      </w:r>
      <w:r>
        <w:rPr>
          <w:rFonts w:ascii="Times New Roman" w:hAnsi="Times New Roman"/>
          <w:color w:val="000000"/>
          <w:sz w:val="20"/>
        </w:rPr>
        <w:t xml:space="preserve">” </w:t>
      </w:r>
      <w:r>
        <w:rPr>
          <w:rFonts w:ascii="Times New Roman" w:hAnsi="Times New Roman"/>
          <w:color w:val="000000"/>
          <w:sz w:val="24"/>
        </w:rPr>
        <w:t>will have the meanings given to such terms in the Severance Agreement dated December 1, 2024 between you and the Company (the “</w:t>
      </w:r>
      <w:r>
        <w:rPr>
          <w:rFonts w:ascii="Times New Roman" w:hAnsi="Times New Roman"/>
          <w:b/>
          <w:color w:val="000000"/>
          <w:sz w:val="24"/>
        </w:rPr>
        <w:t>Severance Agreement</w:t>
      </w:r>
      <w:r>
        <w:rPr>
          <w:rFonts w:ascii="Times New Roman" w:hAnsi="Times New Roman"/>
          <w:color w:val="000000"/>
          <w:sz w:val="20"/>
        </w:rPr>
        <w:t>”</w:t>
      </w:r>
      <w:r>
        <w:rPr>
          <w:rFonts w:ascii="Times New Roman" w:hAnsi="Times New Roman"/>
          <w:color w:val="000000"/>
          <w:sz w:val="24"/>
        </w:rPr>
        <w:t>) or the Change in Control Severance Agreement dated December 1, 2024 between you and the Company (the “</w:t>
      </w:r>
      <w:r>
        <w:rPr>
          <w:rFonts w:ascii="Times New Roman" w:hAnsi="Times New Roman"/>
          <w:b/>
          <w:color w:val="000000"/>
          <w:sz w:val="24"/>
        </w:rPr>
        <w:t>Change in Control Severance Agreement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The Performance Award will be paid less required tax withholdings. The payments and benefits under this letter agreement are intended to be exempt from Section 409A of the Internal Revenue Code of 1986, as amended, and, accordingly, to the maximum extent permitted, this letter agreement shall be interpreted in accordance with such intent. The Performance Award described herein is a one-time non-recurring special bonus, independent of all other compensation, and will not be taken into account for purposes of future compensation entitlements or count toward or be considered in determining any payments or benefits under any other plan, program or agreement of the Company. For the avoidance of doubt, any severance payments that may become due to you under and in accordance with the terms of the Severance Agreement, the Change in Control Severance Agreement, or any other severance plan, program or agreement in which you participate from time to time shall not be reduced by all or any portion of the Performance Award (other than to offset any repayment obligation you may have with respect to the Performance Award as described above).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This letter agreement does not confer upon you any right to continue in the employment of the Company for any period or interfere with or otherwise restrict in any way the rights of the Company or you to terminate your employment at any time for any reason whatsoever, with or without Cause.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Page 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 required or permitted by this letter agreement shall be in writing and shall be delivered as follows with notice deemed given as indicated: (i) by personal delivery upon the moment of such delivery; (ii) by overnight courier upon written verification of receipt; (iii) by telecopy or facsimile transmission upon acknowledgment of receipt of electronic transmission; or (iv) by certified or registered mail, return receipt requested, upon verification of receipt. Notice shall be sent to you at the most recent address set forth on the Company’s personnel records and to the Company at its principal place of business, to the attention of the Chief People Officer, or such other address as either party may specify in writing.</w:t>
      </w:r>
    </w:p>
    <w:p>
      <w:pPr>
        <w:pStyle w:val="TextBody"/>
        <w:bidi w:val="0"/>
        <w:jc w:val="both"/>
        <w:rPr>
          <w:rFonts w:ascii="Times New Roman" w:hAnsi="Times New Roman"/>
          <w:color w:val="000000"/>
          <w:sz w:val="24"/>
        </w:rPr>
      </w:pPr>
      <w:r>
        <w:rPr>
          <w:rFonts w:ascii="Times New Roman" w:hAnsi="Times New Roman"/>
          <w:color w:val="000000"/>
          <w:sz w:val="24"/>
        </w:rPr>
        <w:t>The information provided in this letter agreement is personal. The Company intends to treat it with the same degree of confidentiality that we treat other compensation information, and, other than as permitted or required by applicable law, asks that you treat it in the same manner and not discuss the specifics of this letter agreement with others.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validity, interpretation, construction and performance of this letter agreement will be governed by the laws of the State of California (with the exception of its conflict of laws provisions). This letter agreement represents the entire agreement and understanding between the parties hereto and supersedes all prior or contemporaneous agreements with respect to the subject matter of this letter agreement. No waiver, alteration, or modification of any of the provisions of this letter agreement will be binding unless in writing and signed by duly authorized representatives of the parties hereto. In the event that any provision or any portion of any provision hereof becomes or is declared by a court of competent jurisdiction to be illegal, unenforceable, or void, this letter agreement will continue in full force and effect without said provision or portion of provision. The remainder of this letter agreement shall be interpreted so as best to effect the intent of the parties. This letter agreement may be executed in counterparts, each of which will be deemed an original, but all of which together will constitute one and the same instrument.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Please indicate your acceptance of the provisions of this letter agreement by signing the enclosed copy of this letter agreement and returning it to William Gentry no later than December 23,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360"/>
        <w:jc w:val="left"/>
        <w:rPr>
          <w:rFonts w:ascii="Times New Roman" w:hAnsi="Times New Roman"/>
          <w:color w:val="000000"/>
          <w:sz w:val="24"/>
        </w:rPr>
      </w:pPr>
      <w:r>
        <w:rPr>
          <w:rFonts w:ascii="Times New Roman" w:hAnsi="Times New Roman"/>
          <w:color w:val="000000"/>
          <w:sz w:val="24"/>
        </w:rPr>
        <w:t>Page 4</w:t>
      </w:r>
    </w:p>
    <w:p>
      <w:pPr>
        <w:pStyle w:val="TextBody"/>
        <w:bidi w:val="0"/>
        <w:jc w:val="both"/>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William Gentry</w:t>
      </w:r>
    </w:p>
    <w:p>
      <w:pPr>
        <w:pStyle w:val="TextBody"/>
        <w:bidi w:val="0"/>
        <w:jc w:val="left"/>
        <w:rPr>
          <w:rFonts w:ascii="Times New Roman" w:hAnsi="Times New Roman"/>
          <w:b/>
          <w:color w:val="000000"/>
          <w:sz w:val="24"/>
        </w:rPr>
      </w:pPr>
      <w:r>
        <w:rPr>
          <w:rFonts w:ascii="Times New Roman" w:hAnsi="Times New Roman"/>
          <w:b/>
          <w:color w:val="000000"/>
          <w:sz w:val="24"/>
        </w:rPr>
        <w:t>Head of Executive Compensation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Agreed and accepted: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u w:val="single"/>
        </w:rPr>
        <w:t>/s/ Robert Blair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pPr>
      <w:r>
        <w:rPr>
          <w:rFonts w:cs="Tahoma;sans-serif"/>
          <w:color w:val="000000"/>
          <w:szCs w:val="24"/>
        </w:rPr>
        <w:t>﻿</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4"/>
          <w:u w:val="single"/>
        </w:rPr>
        <w:t>Robert Blair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Print Name</w:t>
      </w:r>
    </w:p>
    <w:p>
      <w:pPr>
        <w:pStyle w:val="TextBody"/>
        <w:bidi w:val="0"/>
        <w:jc w:val="left"/>
        <w:rPr/>
      </w:pPr>
      <w:r>
        <w:rPr>
          <w:rFonts w:cs="Tahoma;sans-serif"/>
          <w:color w:val="000000"/>
          <w:szCs w:val="24"/>
        </w:rPr>
        <w:t>﻿</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4"/>
        </w:rPr>
        <w:t xml:space="preserve">Date: </w:t>
      </w:r>
      <w:r>
        <w:rPr>
          <w:rFonts w:ascii="Times New Roman" w:hAnsi="Times New Roman"/>
          <w:color w:val="000000"/>
          <w:sz w:val="24"/>
          <w:u w:val="single"/>
        </w:rPr>
        <w:t>December 16, 2025</w:t>
      </w:r>
      <w:r>
        <w:rPr>
          <w:rFonts w:ascii="Times New Roman" w:hAnsi="Times New Roman"/>
          <w:color w:val="000000"/>
          <w:sz w:val="20"/>
        </w:rPr>
        <w:t xml:space="preserve"> </w:t>
      </w:r>
    </w:p>
    <w:p>
      <w:pPr>
        <w:pStyle w:val="TextBody"/>
        <w:bidi w:val="0"/>
        <w:jc w:val="left"/>
        <w:rPr>
          <w:rFonts w:cs="Tahoma;sans-serif"/>
          <w:color w:val="000000"/>
          <w:szCs w:val="24"/>
        </w:rPr>
      </w:pPr>
      <w:r>
        <w:rPr>
          <w:rFonts w:cs="Tahoma;sans-serif"/>
          <w:color w:val="000000"/>
          <w:szCs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2" w:name="vsat-ex21_1.htm"/>
      <w:bookmarkStart w:id="43" w:name="ksvsatex21_1"/>
      <w:bookmarkEnd w:id="42"/>
      <w:bookmarkEnd w:id="43"/>
      <w:r>
        <w:rPr>
          <w:rFonts w:ascii="Arial" w:hAnsi="Arial"/>
          <w:b/>
          <w:color w:val="000000"/>
          <w:sz w:val="20"/>
        </w:rPr>
        <w:t>Exhibit 21.1</w:t>
      </w:r>
      <w:r>
        <w:rPr>
          <w:rFonts w:ascii="Times New Roman" w:hAnsi="Times New Roman"/>
          <w:color w:val="000000"/>
          <w:sz w:val="20"/>
        </w:rPr>
        <w:t xml:space="preserve"> </w:t>
      </w:r>
      <w:r>
        <w:br w:type="page"/>
      </w:r>
    </w:p>
    <w:p>
      <w:pPr>
        <w:pStyle w:val="TextBody"/>
        <w:bidi w:val="0"/>
        <w:jc w:val="left"/>
        <w:rPr/>
      </w:pPr>
      <w:r>
        <w:rPr/>
        <w:t> </w:t>
      </w:r>
    </w:p>
    <w:tbl>
      <w:tblPr>
        <w:tblW w:w="9765" w:type="dxa"/>
        <w:jc w:val="left"/>
        <w:tblInd w:w="0" w:type="dxa"/>
        <w:tblLayout w:type="fixed"/>
        <w:tblCellMar>
          <w:top w:w="28" w:type="dxa"/>
          <w:left w:w="28" w:type="dxa"/>
          <w:bottom w:w="28" w:type="dxa"/>
          <w:right w:w="28" w:type="dxa"/>
        </w:tblCellMar>
      </w:tblPr>
      <w:tblGrid>
        <w:gridCol w:w="5072"/>
        <w:gridCol w:w="282"/>
        <w:gridCol w:w="4411"/>
      </w:tblGrid>
      <w:tr>
        <w:trPr/>
        <w:tc>
          <w:tcPr>
            <w:tcW w:w="507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411" w:type="dxa"/>
            <w:tcBorders/>
            <w:vAlign w:val="center"/>
          </w:tcPr>
          <w:p>
            <w:pPr>
              <w:pStyle w:val="TableContents"/>
              <w:bidi w:val="0"/>
              <w:spacing w:before="0" w:after="283"/>
              <w:jc w:val="left"/>
              <w:rPr>
                <w:sz w:val="4"/>
                <w:szCs w:val="4"/>
              </w:rPr>
            </w:pPr>
            <w:r>
              <w:rPr>
                <w:sz w:val="4"/>
                <w:szCs w:val="4"/>
              </w:rPr>
            </w:r>
          </w:p>
        </w:tc>
      </w:tr>
      <w:tr>
        <w:trPr/>
        <w:tc>
          <w:tcPr>
            <w:tcW w:w="507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Subsidiaries</w:t>
            </w:r>
          </w:p>
        </w:tc>
        <w:tc>
          <w:tcPr>
            <w:tcW w:w="282"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4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State or Other Jurisdiction of Incorporation or Organization</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Automation Communications Engineering Corporation</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(LA)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Beijing Supersatcom Science and Technology Co., Ltd.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China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C.S.G. Cyprus Space Gateways Ltd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Cyprus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Carmel Comunicaciones, S.A. de C.V.</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ComPetro Communications Holdings, LLC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ComPetro Communications, LLC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ComPetro Comunicações Holdings do Brasil, Ltda.</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Brazil</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Connect Bidco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Guernsey</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Connect Finco SARL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Luxembourg</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Connect Midco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Guernsey</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Connect Sub-Topco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Guernsey</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Connect Topco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Guernsey</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Connect U.S. Finco LLC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Engreen India Private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Engreen, Inc.</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(CA)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Euro Broadband Infrastructure Sàrl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Switzerland</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Euro Broadband Services S.r.l.</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Italy</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Europasat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Flysurfer Colombia S.A.S</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Colombia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Flysurfer-Ecuador S.A.</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Ecuador</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Australia Pty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BH d.o.o</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Bosnia and Herzegovina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2"/>
              </w:rPr>
            </w:pPr>
            <w:r>
              <w:rPr>
                <w:rFonts w:ascii="Arial" w:hAnsi="Arial"/>
                <w:color w:val="000000"/>
                <w:sz w:val="20"/>
              </w:rPr>
              <w:t>Inmarsat Brasil Sat</w:t>
            </w:r>
            <w:r>
              <w:rPr>
                <w:rFonts w:ascii="sans-serif" w:hAnsi="sans-serif"/>
                <w:color w:val="000000"/>
                <w:sz w:val="22"/>
              </w:rPr>
              <w:t>é</w:t>
            </w:r>
            <w:r>
              <w:rPr>
                <w:rFonts w:ascii="Arial" w:hAnsi="Arial"/>
                <w:color w:val="000000"/>
                <w:sz w:val="20"/>
              </w:rPr>
              <w:t>lites LTDA</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Brazil</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Inmarsat Commercial Services Inc.</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Communications Company LLC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Arab Emirates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DOOEL Skopje</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Republic of North Macedonia,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Finance III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Finance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Germany GmbH</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Global Japan KK</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Global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Inmarsat Government, Inc.</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Inmarsat Group Holdings Inc.</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Group Holdings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Group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Hellas Satellite Services</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Greece</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Holdings (Cyprus)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Cyprus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Holdings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Hong Kong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Hong Kong</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Inc.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India Private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Investments B.V.</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Investments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KK</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Leasing (Two)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Licenses (Canada) Inc.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Maritime Ventures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Navigation Ventures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New Ventures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New Zealand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New Zealand</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SA</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Switzerland</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Satellite Services S.R.L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Romania</w:t>
            </w:r>
          </w:p>
        </w:tc>
      </w:tr>
      <w:tr>
        <w:trPr/>
        <w:tc>
          <w:tcPr>
            <w:tcW w:w="507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Services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4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7960"/>
        <w:gridCol w:w="282"/>
        <w:gridCol w:w="1963"/>
      </w:tblGrid>
      <w:tr>
        <w:trPr/>
        <w:tc>
          <w:tcPr>
            <w:tcW w:w="796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(Canada) Inc./Solutions Inmarsat (Canada) Inc.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(Shanghai) Co.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China</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(US) Inc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AS</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B.V.</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doo Beograd-Novi Boegrad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Serbia</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ehf.</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Iceland</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Global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Pte.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Singapore</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Solutions SA (PTY)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Africa</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Spain S.A.</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Spain</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Trustee Company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England and Wales</w:t>
            </w:r>
            <w:r>
              <w:rPr>
                <w:rFonts w:ascii="Times New Roman" w:hAnsi="Times New Roman"/>
                <w:color w:val="000000"/>
                <w:sz w:val="20"/>
              </w:rPr>
              <w:t xml:space="preserve"> </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2"/>
              </w:rPr>
            </w:pPr>
            <w:r>
              <w:rPr>
                <w:rFonts w:ascii="Arial" w:hAnsi="Arial"/>
                <w:color w:val="000000"/>
                <w:sz w:val="20"/>
              </w:rPr>
              <w:t>Inmarsat Turkey Telekom</w:t>
            </w:r>
            <w:r>
              <w:rPr>
                <w:rFonts w:ascii="sans-serif" w:hAnsi="sans-serif"/>
                <w:color w:val="000000"/>
                <w:sz w:val="22"/>
              </w:rPr>
              <w:t>ü</w:t>
            </w:r>
            <w:r>
              <w:rPr>
                <w:rFonts w:ascii="Arial" w:hAnsi="Arial"/>
                <w:color w:val="000000"/>
                <w:sz w:val="20"/>
              </w:rPr>
              <w:t>nikasyon Limited Sirketi</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Turkey</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Inmarsat Ventures SE</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Luxembourg</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IOM Licensing Holding Company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Isle of Man</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ISAT Global Xpress OOO</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Russian Federation</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ISAT US Inc.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JSAT Mobile Communications Inc.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LandTel Communications, L.L.C.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(LA)</w:t>
            </w:r>
          </w:p>
        </w:tc>
      </w:tr>
      <w:tr>
        <w:trPr/>
        <w:tc>
          <w:tcPr>
            <w:tcW w:w="7960"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LandTel, Inc.</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mmWaveBroadband Co.</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Munaicom LLP</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Kazakhstan</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Navario (UK) Limited</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Orgtec, S. de R.L.de C.V.</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PT ISAT</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Indonesia</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PT Viasat Communications Indonesia</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Indonesia</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 Net Middle East L.L.C.</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Oman</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Rig Net Qatar W.L.L</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Qatar</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RigNet Angola, Limitada</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Angola</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RigNet AP Facilities &amp; Services Limited</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Nigeria</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RigNet AS</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Norway</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RigNet Australia Pty Limited</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RigNet BRN Sdn Bhd.</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Brunei</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RigNet de México, S de R.L. de C.V.</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RigNet Ghana Limited</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Ghana</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RigNet Global Holdings S.a.r.l.</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Luxembourg</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RigNet Luxembourg Holdings S.a.r.l.</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Luxembourg</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RigNet Middle East - FZE</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Arab Emirates</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RigNet Mobile Solutions Limited</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Scotland</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RigNet Pte Ltd</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Singapore</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RigNet Sdn. Bhd.</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Malaysia</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RigNet Serviços de Telecomunicações Brasil, Ltda.</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Brazil</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RigNet UK Holdings Limited</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Scotland</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RigNet UK Limited</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Scotland</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RigNet(CA), Inc.</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RigNet, Inc.</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RigNet, Inc. (Limited Liability One Person Company)</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Saudi Arabia</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RNSAT Servicios de México, S. de R.L. de C.V.</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Safety Controls, Inc.</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(LA)</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Shabakat Rafedain AI Iraq AI Jadeed for Trade in Communication Equipment and Devices LLC</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Iraq</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Skylogic Espana S.L.U.</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Spain</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Skylogic Eurasia İletişim Sanayi ve Ticaret Ltd. Şti</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Turkey</w:t>
            </w:r>
          </w:p>
        </w:tc>
      </w:tr>
      <w:tr>
        <w:trPr/>
        <w:tc>
          <w:tcPr>
            <w:tcW w:w="7960"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Skylogic Finland OY</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19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Finland</w:t>
            </w:r>
          </w:p>
        </w:tc>
      </w:tr>
    </w:tbl>
    <w:p>
      <w:pPr>
        <w:pStyle w:val="HorizontalLine"/>
        <w:pBdr>
          <w:bottom w:val="double" w:sz="2" w:space="0" w:color="808080"/>
        </w:pBdr>
        <w:bidi w:val="0"/>
        <w:spacing w:before="0" w:after="283"/>
        <w:jc w:val="left"/>
        <w:rPr/>
      </w:pPr>
      <w:r>
        <w:rPr/>
      </w:r>
    </w:p>
    <w:tbl>
      <w:tblPr>
        <w:tblW w:w="8400" w:type="dxa"/>
        <w:jc w:val="left"/>
        <w:tblInd w:w="0" w:type="dxa"/>
        <w:tblLayout w:type="fixed"/>
        <w:tblCellMar>
          <w:top w:w="28" w:type="dxa"/>
          <w:left w:w="28" w:type="dxa"/>
          <w:bottom w:w="28" w:type="dxa"/>
          <w:right w:w="28" w:type="dxa"/>
        </w:tblCellMar>
      </w:tblPr>
      <w:tblGrid>
        <w:gridCol w:w="4997"/>
        <w:gridCol w:w="282"/>
        <w:gridCol w:w="3121"/>
      </w:tblGrid>
      <w:tr>
        <w:trPr/>
        <w:tc>
          <w:tcPr>
            <w:tcW w:w="499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49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Skylogic France SAS</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France</w:t>
            </w:r>
          </w:p>
        </w:tc>
      </w:tr>
      <w:tr>
        <w:trPr/>
        <w:tc>
          <w:tcPr>
            <w:tcW w:w="49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Skylogic Germany GmbH</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9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Arial" w:hAnsi="Arial"/>
                <w:color w:val="000000"/>
                <w:sz w:val="20"/>
              </w:rPr>
              <w:t>Skylogic Hellas Ε.Π.Ε</w:t>
            </w:r>
            <w:r>
              <w:rPr>
                <w:rFonts w:ascii="Times New Roman" w:hAnsi="Times New Roman"/>
                <w:color w:val="000000"/>
                <w:sz w:val="22"/>
              </w:rPr>
              <w:t xml:space="preserve">. </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Greece</w:t>
            </w:r>
          </w:p>
        </w:tc>
      </w:tr>
      <w:tr>
        <w:trPr/>
        <w:tc>
          <w:tcPr>
            <w:tcW w:w="49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Stratos Government Services, Inc.</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49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SuperSatcom Pte. Ltd</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Singapore</w:t>
            </w:r>
          </w:p>
        </w:tc>
      </w:tr>
      <w:tr>
        <w:trPr/>
        <w:tc>
          <w:tcPr>
            <w:tcW w:w="49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TrellisWare Technologies, Inc.</w:t>
            </w:r>
          </w:p>
        </w:tc>
        <w:tc>
          <w:tcPr>
            <w:tcW w:w="282" w:type="dxa"/>
            <w:tcBorders/>
            <w:tcMar>
              <w:top w:w="0" w:type="dxa"/>
              <w:left w:w="0" w:type="dxa"/>
              <w:bottom w:w="0" w:type="dxa"/>
              <w:right w:w="0" w:type="dxa"/>
            </w:tcMar>
            <w:vAlign w:val="center"/>
          </w:tcPr>
          <w:p>
            <w:pPr>
              <w:pStyle w:val="TableContents"/>
              <w:bidi w:val="0"/>
              <w:spacing w:before="0" w:after="283"/>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V3 Tanzania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Tanzania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(IOM)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Isle of Man</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Antenna Systems S.A.</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Switzerland</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APAC Holdings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Australia Pty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Australia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Brasil Participações Ltda.</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Brazil</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Brasil Serviços de Comunicações Ltda.</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Brazil</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Broadband Holdings B.V.</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Viasat Cambodia Holdings Pte. Ltd.</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Singapore</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Viasat Canada Corp.</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Canada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Viasat Carrier Services, Inc.</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Colombia S.A.S</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Colombia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Communications DRC S.A.U.</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Democratic Republic of the Congo</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Communications Germany GmbH</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Communications India Private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Communications Italy S.r.l.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Italy</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Viasat Communications Ltd.</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Ghana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Communications Panama, S.A</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Republic of Panama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Communications Samoa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Samoa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Communications Uganda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Uganda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Communications UK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Europe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Ireland</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Europe Sàrl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Switzerland</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Germany GmbH</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Germany</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Global Holdings, LLC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Guatemala SA</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Guatemala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Honduras, S. de 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Honduras</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Ibérica, S.L..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Spain</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India Private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India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Viasat Israel Ltd.</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Israel</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Italy S.r.l.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Italy</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color w:val="000000"/>
              </w:rPr>
            </w:pPr>
            <w:r>
              <w:rPr>
                <w:rFonts w:ascii="Arial" w:hAnsi="Arial"/>
                <w:color w:val="000000"/>
                <w:sz w:val="20"/>
              </w:rPr>
              <w:t xml:space="preserve">Viasat Japan </w:t>
            </w:r>
            <w:r>
              <w:rPr>
                <w:rFonts w:eastAsia="Arial"/>
                <w:color w:val="000000"/>
                <w:sz w:val="20"/>
              </w:rPr>
              <w:t xml:space="preserve">合同会社 </w:t>
            </w:r>
            <w:r>
              <w:rPr>
                <w:rFonts w:ascii="Arial" w:hAnsi="Arial"/>
                <w:color w:val="000000"/>
                <w:sz w:val="20"/>
              </w:rPr>
              <w:t>(Viasat Japan G.K.).</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Japan</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Kenya Holdings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Kenya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Kenya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Kenya Operations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Kenya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Viasat Malaysia Sdn. Bhd.</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Malaysia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Mali-Sarl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Mali</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Netherlands B.V.</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Netherlands</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Nigeria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Nigeria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Peru S.R.L.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Peru</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Polska LLC sp. z o.o..</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Poland</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RDC Sarl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Democratic Republic of the Congo</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Rwanda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Rwanda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Satellite Holdings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Satellite Ventures Holdings Luxembourg S.à.r.l.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Luxembourg</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Senegal SUARL</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Senegal</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Viasat Services Holding Co.</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South Africa (Pty) Ltd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South Africa</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South Africa Holdings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4997"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Technologies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31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bl>
    <w:p>
      <w:pPr>
        <w:pStyle w:val="HorizontalLine"/>
        <w:pBdr>
          <w:bottom w:val="double" w:sz="2" w:space="0" w:color="808080"/>
        </w:pBdr>
        <w:bidi w:val="0"/>
        <w:spacing w:before="0" w:after="283"/>
        <w:jc w:val="left"/>
        <w:rPr/>
      </w:pPr>
      <w:r>
        <w:rPr/>
      </w:r>
    </w:p>
    <w:tbl>
      <w:tblPr>
        <w:tblW w:w="5505" w:type="dxa"/>
        <w:jc w:val="left"/>
        <w:tblInd w:w="0" w:type="dxa"/>
        <w:tblLayout w:type="fixed"/>
        <w:tblCellMar>
          <w:top w:w="28" w:type="dxa"/>
          <w:left w:w="28" w:type="dxa"/>
          <w:bottom w:w="28" w:type="dxa"/>
          <w:right w:w="28" w:type="dxa"/>
        </w:tblCellMar>
      </w:tblPr>
      <w:tblGrid>
        <w:gridCol w:w="3392"/>
        <w:gridCol w:w="282"/>
        <w:gridCol w:w="1831"/>
      </w:tblGrid>
      <w:tr>
        <w:trPr/>
        <w:tc>
          <w:tcPr>
            <w:tcW w:w="339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r>
      <w:tr>
        <w:trPr/>
        <w:tc>
          <w:tcPr>
            <w:tcW w:w="339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Tecnologia, S.A. de C.V</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Mexico</w:t>
            </w:r>
          </w:p>
        </w:tc>
      </w:tr>
      <w:tr>
        <w:trPr/>
        <w:tc>
          <w:tcPr>
            <w:tcW w:w="339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UK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339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VS3 Holdings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339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West Africa Holdings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England and Wales</w:t>
            </w:r>
          </w:p>
        </w:tc>
      </w:tr>
      <w:tr>
        <w:trPr/>
        <w:tc>
          <w:tcPr>
            <w:tcW w:w="339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Worldwide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339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Viasat Zambia Limited</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Zambia</w:t>
            </w:r>
          </w:p>
        </w:tc>
      </w:tr>
      <w:tr>
        <w:trPr/>
        <w:tc>
          <w:tcPr>
            <w:tcW w:w="339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VParent, Inc.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r>
        <w:trPr/>
        <w:tc>
          <w:tcPr>
            <w:tcW w:w="3392" w:type="dxa"/>
            <w:tcBorders/>
            <w:tcMar>
              <w:top w:w="0" w:type="dxa"/>
              <w:left w:w="0" w:type="dxa"/>
              <w:bottom w:w="0" w:type="dxa"/>
              <w:right w:w="0" w:type="dxa"/>
            </w:tcMar>
            <w:vAlign w:val="center"/>
          </w:tcPr>
          <w:p>
            <w:pPr>
              <w:pStyle w:val="TableContents"/>
              <w:bidi w:val="0"/>
              <w:spacing w:before="0" w:after="283"/>
              <w:ind w:left="0" w:right="0" w:firstLine="136"/>
              <w:jc w:val="left"/>
              <w:rPr>
                <w:rFonts w:ascii="Times New Roman" w:hAnsi="Times New Roman"/>
                <w:sz w:val="20"/>
              </w:rPr>
            </w:pPr>
            <w:r>
              <w:rPr>
                <w:rFonts w:ascii="Arial" w:hAnsi="Arial"/>
                <w:color w:val="000000"/>
                <w:sz w:val="20"/>
              </w:rPr>
              <w:t>VS3 MOROCCO (SARL)</w:t>
            </w:r>
            <w:r>
              <w:rPr>
                <w:rFonts w:ascii="Times New Roman" w:hAnsi="Times New Roman"/>
                <w:color w:val="000000"/>
                <w:sz w:val="20"/>
              </w:rPr>
              <w:t xml:space="preserve"> </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Morocco</w:t>
            </w:r>
          </w:p>
        </w:tc>
      </w:tr>
      <w:tr>
        <w:trPr/>
        <w:tc>
          <w:tcPr>
            <w:tcW w:w="3392" w:type="dxa"/>
            <w:tcBorders/>
            <w:tcMar>
              <w:top w:w="0" w:type="dxa"/>
              <w:left w:w="0" w:type="dxa"/>
              <w:bottom w:w="0" w:type="dxa"/>
              <w:right w:w="0" w:type="dxa"/>
            </w:tcMar>
            <w:vAlign w:val="center"/>
          </w:tcPr>
          <w:p>
            <w:pPr>
              <w:pStyle w:val="TableContents"/>
              <w:bidi w:val="0"/>
              <w:spacing w:before="0" w:after="283"/>
              <w:ind w:left="0" w:right="0" w:firstLine="136"/>
              <w:jc w:val="left"/>
              <w:rPr>
                <w:rFonts w:ascii="Arial" w:hAnsi="Arial"/>
                <w:color w:val="000000"/>
                <w:sz w:val="20"/>
              </w:rPr>
            </w:pPr>
            <w:r>
              <w:rPr>
                <w:rFonts w:ascii="Arial" w:hAnsi="Arial"/>
                <w:color w:val="000000"/>
                <w:sz w:val="20"/>
              </w:rPr>
              <w:t>VService, Inc.</w:t>
            </w:r>
          </w:p>
        </w:tc>
        <w:tc>
          <w:tcPr>
            <w:tcW w:w="282" w:type="dxa"/>
            <w:tcBorders/>
            <w:tcMar>
              <w:top w:w="0" w:type="dxa"/>
              <w:left w:w="0" w:type="dxa"/>
              <w:bottom w:w="0" w:type="dxa"/>
              <w:right w:w="0" w:type="dxa"/>
            </w:tcMar>
            <w:vAlign w:val="center"/>
          </w:tcPr>
          <w:p>
            <w:pPr>
              <w:pStyle w:val="TableContents"/>
              <w:bidi w:val="0"/>
              <w:spacing w:before="0" w:after="283"/>
              <w:ind w:left="0" w:right="0" w:firstLine="136"/>
              <w:jc w:val="left"/>
              <w:rPr/>
            </w:pPr>
            <w:r>
              <w:rPr/>
              <w:t> </w:t>
            </w:r>
          </w:p>
        </w:tc>
        <w:tc>
          <w:tcPr>
            <w:tcW w:w="18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States (DE)</w:t>
            </w:r>
          </w:p>
        </w:tc>
      </w:tr>
    </w:tbl>
    <w:p>
      <w:pPr>
        <w:pStyle w:val="HorizontalLine"/>
        <w:pBdr>
          <w:bottom w:val="double" w:sz="2" w:space="0" w:color="808080"/>
        </w:pBdr>
        <w:bidi w:val="0"/>
        <w:spacing w:before="0" w:after="283"/>
        <w:jc w:val="left"/>
        <w:rPr/>
      </w:pPr>
      <w:r>
        <w:rPr/>
      </w:r>
    </w:p>
    <w:p>
      <w:pPr>
        <w:pStyle w:val="TextBody"/>
        <w:bidi w:val="0"/>
        <w:jc w:val="left"/>
        <w:rPr/>
      </w:pPr>
      <w:bookmarkStart w:id="44" w:name="vsat-ex23_1.htm"/>
      <w:bookmarkStart w:id="45" w:name="ksvsatex23_1"/>
      <w:bookmarkEnd w:id="44"/>
      <w:bookmarkEnd w:id="45"/>
      <w:r>
        <w:rPr/>
        <w:t> </w:t>
      </w:r>
      <w:r>
        <w:br w:type="page"/>
      </w:r>
    </w:p>
    <w:p>
      <w:pPr>
        <w:pStyle w:val="TextBody"/>
        <w:bidi w:val="0"/>
        <w:spacing w:before="240" w:after="283"/>
        <w:jc w:val="right"/>
        <w:rPr>
          <w:rFonts w:ascii="Arial" w:hAnsi="Arial"/>
          <w:b/>
          <w:color w:val="000000"/>
          <w:sz w:val="20"/>
        </w:rPr>
      </w:pPr>
      <w:r>
        <w:rPr>
          <w:rFonts w:ascii="Arial" w:hAnsi="Arial"/>
          <w:b/>
          <w:color w:val="000000"/>
          <w:sz w:val="20"/>
        </w:rPr>
        <w:t>Exhibit 23.1</w:t>
      </w:r>
    </w:p>
    <w:p>
      <w:pPr>
        <w:pStyle w:val="TextBody"/>
        <w:bidi w:val="0"/>
        <w:spacing w:before="240" w:after="283"/>
        <w:jc w:val="center"/>
        <w:rPr>
          <w:rFonts w:ascii="Arial" w:hAnsi="Arial"/>
          <w:color w:val="000000"/>
          <w:sz w:val="20"/>
        </w:rPr>
      </w:pPr>
      <w:r>
        <w:rPr>
          <w:rFonts w:ascii="Arial" w:hAnsi="Arial"/>
          <w:color w:val="000000"/>
          <w:sz w:val="20"/>
        </w:rPr>
        <w:t>CONSENT OF INDEPENDENT REGISTERED PUBLIC ACCOUNTING FIRM</w:t>
      </w:r>
    </w:p>
    <w:p>
      <w:pPr>
        <w:pStyle w:val="TextBody"/>
        <w:bidi w:val="0"/>
        <w:spacing w:before="240" w:after="283"/>
        <w:jc w:val="left"/>
        <w:rPr>
          <w:rFonts w:ascii="Times New Roman" w:hAnsi="Times New Roman"/>
          <w:sz w:val="20"/>
        </w:rPr>
      </w:pPr>
      <w:r>
        <w:rPr>
          <w:rFonts w:ascii="Arial" w:hAnsi="Arial"/>
          <w:color w:val="000000"/>
          <w:sz w:val="20"/>
        </w:rPr>
        <w:t>We hereby consent to the incorporation by reference in the Registration Statements on Form</w:t>
      </w:r>
      <w:r>
        <w:rPr>
          <w:rFonts w:ascii="Times New Roman" w:hAnsi="Times New Roman"/>
          <w:color w:val="000000"/>
          <w:sz w:val="20"/>
        </w:rPr>
        <w:t xml:space="preserve"> </w:t>
      </w:r>
      <w:r>
        <w:rPr>
          <w:rFonts w:ascii="Arial" w:hAnsi="Arial"/>
          <w:color w:val="000000"/>
          <w:sz w:val="20"/>
        </w:rPr>
        <w:t>S-3 (File Nos. 333-273273, 333-273274, and 333-273275) and Form S-8 (File Nos. 333-21113, 333-40396, 333-67010, 333-68757, 333-109959, 333-131382, 333-153828, 333-159708, 333-160361, 333-167379, 333-169593, 333-182015, 333-184029, 333-191326, 333-204440, 333-207064, 333-220556, 333-228221, 333-231791, 333-234634, 333-249941, 333-255690, 333-256652, 333-260249, 333-268281, 333-272129, 333-275464, 333-279804, 333-282041 and 333-291439)</w:t>
      </w:r>
      <w:r>
        <w:rPr>
          <w:rFonts w:ascii="Times New Roman" w:hAnsi="Times New Roman"/>
          <w:color w:val="000000"/>
          <w:sz w:val="20"/>
        </w:rPr>
        <w:t xml:space="preserve"> </w:t>
      </w:r>
      <w:r>
        <w:rPr>
          <w:rFonts w:ascii="Arial" w:hAnsi="Arial"/>
          <w:color w:val="000000"/>
          <w:sz w:val="20"/>
        </w:rPr>
        <w:t>of Viasat, Inc. of our report dated May 29, 2026 relating to the financial statements, financial statement schedule and the effectiveness of internal control over financial reporting, which appears in this Form 10-K.</w:t>
      </w:r>
    </w:p>
    <w:p>
      <w:pPr>
        <w:pStyle w:val="TextBody"/>
        <w:bidi w:val="0"/>
        <w:jc w:val="left"/>
        <w:rPr/>
      </w:pPr>
      <w:r>
        <w:rPr/>
        <w:t> </w:t>
      </w:r>
    </w:p>
    <w:p>
      <w:pPr>
        <w:pStyle w:val="TextBody"/>
        <w:bidi w:val="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160"/>
              <w:jc w:val="left"/>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PricewaterhouseCoopers LLP</w:t>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San Diego, California</w:t>
            </w:r>
          </w:p>
        </w:tc>
      </w:tr>
      <w:tr>
        <w:trPr/>
        <w:tc>
          <w:tcPr>
            <w:tcW w:w="30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29, 2026</w:t>
            </w:r>
          </w:p>
        </w:tc>
      </w:tr>
    </w:tbl>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vsat-ex31_1.htm"/>
      <w:bookmarkStart w:id="47" w:name="ksvsatex31_1"/>
      <w:bookmarkEnd w:id="46"/>
      <w:bookmarkEnd w:id="47"/>
      <w:r>
        <w:rPr/>
        <w:t> </w:t>
      </w:r>
      <w:r>
        <w:br w:type="page"/>
      </w:r>
    </w:p>
    <w:p>
      <w:pPr>
        <w:pStyle w:val="TextBody"/>
        <w:bidi w:val="0"/>
        <w:jc w:val="right"/>
        <w:rPr>
          <w:rFonts w:ascii="Times New Roman" w:hAnsi="Times New Roman"/>
          <w:sz w:val="20"/>
        </w:rPr>
      </w:pPr>
      <w:r>
        <w:rPr>
          <w:rFonts w:ascii="Arial" w:hAnsi="Arial"/>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Mark Dankberg, Chief Executive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annual report on Form 10-K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Arial" w:hAnsi="Arial"/>
          <w:color w:val="000000"/>
          <w:sz w:val="20"/>
        </w:rPr>
      </w:pPr>
      <w:r>
        <w:rPr>
          <w:rFonts w:ascii="Arial" w:hAnsi="Arial"/>
          <w:color w:val="000000"/>
          <w:sz w:val="20"/>
        </w:rPr>
        <w:t>Date: May 29, 2026</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w:t>
            </w:r>
            <w:r>
              <w:rPr>
                <w:rFonts w:ascii="Arial" w:hAnsi="Arial"/>
                <w:color w:val="000000"/>
                <w:sz w:val="15"/>
              </w:rPr>
              <w:t>S</w:t>
            </w:r>
            <w:r>
              <w:rPr>
                <w:rFonts w:ascii="Arial" w:hAnsi="Arial"/>
                <w:color w:val="000000"/>
                <w:sz w:val="20"/>
              </w:rPr>
              <w:t>/ M</w:t>
            </w:r>
            <w:r>
              <w:rPr>
                <w:rFonts w:ascii="Arial" w:hAnsi="Arial"/>
                <w:color w:val="000000"/>
                <w:sz w:val="15"/>
              </w:rPr>
              <w:t>ARK</w:t>
            </w:r>
            <w:r>
              <w:rPr>
                <w:rFonts w:ascii="Times New Roman" w:hAnsi="Times New Roman"/>
                <w:color w:val="000000"/>
                <w:sz w:val="20"/>
              </w:rPr>
              <w:t> </w:t>
            </w:r>
            <w:r>
              <w:rPr>
                <w:rFonts w:ascii="Arial" w:hAnsi="Arial"/>
                <w:color w:val="000000"/>
                <w:sz w:val="20"/>
              </w:rPr>
              <w:t>D</w:t>
            </w:r>
            <w:r>
              <w:rPr>
                <w:rFonts w:ascii="Arial" w:hAnsi="Arial"/>
                <w:color w:val="000000"/>
                <w:sz w:val="15"/>
              </w:rPr>
              <w:t>ANKBERG</w:t>
            </w:r>
          </w:p>
        </w:tc>
      </w:tr>
      <w:tr>
        <w:trPr/>
        <w:tc>
          <w:tcPr>
            <w:tcW w:w="243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Mark Dankberg</w:t>
            </w:r>
          </w:p>
        </w:tc>
      </w:tr>
      <w:tr>
        <w:trPr/>
        <w:tc>
          <w:tcPr>
            <w:tcW w:w="243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vsat-ex31_2.htm"/>
      <w:bookmarkStart w:id="49" w:name="ksvsatex31_2"/>
      <w:bookmarkEnd w:id="48"/>
      <w:bookmarkEnd w:id="49"/>
      <w:r>
        <w:rPr/>
        <w:t> </w:t>
      </w:r>
      <w:r>
        <w:br w:type="page"/>
      </w:r>
    </w:p>
    <w:p>
      <w:pPr>
        <w:pStyle w:val="TextBody"/>
        <w:bidi w:val="0"/>
        <w:jc w:val="right"/>
        <w:rPr>
          <w:rFonts w:ascii="Times New Roman" w:hAnsi="Times New Roman"/>
          <w:sz w:val="20"/>
        </w:rPr>
      </w:pPr>
      <w:r>
        <w:rPr>
          <w:rFonts w:ascii="Arial" w:hAnsi="Arial"/>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Arial" w:hAnsi="Arial"/>
          <w:color w:val="000000"/>
          <w:sz w:val="20"/>
        </w:rPr>
        <w:t>CERTIFICATION OF CHIEF FINANCIAL OFFICER PURSUANT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color w:val="000000"/>
          <w:sz w:val="20"/>
        </w:rPr>
        <w:t>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I, Garrett Chase, Chief Financial Officer of Viasat, Inc., certify that:</w:t>
      </w:r>
      <w:r>
        <w:rPr>
          <w:rFonts w:ascii="Times New Roman" w:hAnsi="Times New Roman"/>
          <w:color w:val="000000"/>
          <w:sz w:val="20"/>
        </w:rPr>
        <w:t xml:space="preserve"> </w:t>
      </w:r>
    </w:p>
    <w:p>
      <w:pPr>
        <w:pStyle w:val="TextBody"/>
        <w:bidi w:val="0"/>
        <w:spacing w:before="120" w:after="283"/>
        <w:jc w:val="left"/>
        <w:rPr>
          <w:rFonts w:ascii="Arial" w:hAnsi="Arial"/>
          <w:color w:val="000000"/>
          <w:sz w:val="20"/>
        </w:rPr>
      </w:pPr>
      <w:r>
        <w:rPr>
          <w:rFonts w:ascii="Arial" w:hAnsi="Arial"/>
          <w:color w:val="000000"/>
          <w:sz w:val="20"/>
        </w:rPr>
        <w:t>1.</w:t>
      </w:r>
    </w:p>
    <w:p>
      <w:pPr>
        <w:pStyle w:val="TextBody"/>
        <w:bidi w:val="0"/>
        <w:spacing w:before="120" w:after="283"/>
        <w:jc w:val="left"/>
        <w:rPr>
          <w:rFonts w:ascii="Arial" w:hAnsi="Arial"/>
          <w:color w:val="000000"/>
          <w:sz w:val="20"/>
        </w:rPr>
      </w:pPr>
      <w:r>
        <w:rPr>
          <w:rFonts w:ascii="Arial" w:hAnsi="Arial"/>
          <w:color w:val="000000"/>
          <w:sz w:val="20"/>
        </w:rPr>
        <w:t xml:space="preserve">I have reviewed this annual report on Form 10-K of Viasat, Inc.; </w:t>
      </w:r>
    </w:p>
    <w:p>
      <w:pPr>
        <w:pStyle w:val="TextBody"/>
        <w:bidi w:val="0"/>
        <w:spacing w:before="120" w:after="283"/>
        <w:jc w:val="left"/>
        <w:rPr>
          <w:rFonts w:ascii="Arial" w:hAnsi="Arial"/>
          <w:color w:val="000000"/>
          <w:sz w:val="20"/>
        </w:rPr>
      </w:pPr>
      <w:r>
        <w:rPr>
          <w:rFonts w:ascii="Arial" w:hAnsi="Arial"/>
          <w:color w:val="000000"/>
          <w:sz w:val="20"/>
        </w:rPr>
        <w:t>2.</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Arial" w:hAnsi="Arial"/>
          <w:color w:val="000000"/>
          <w:sz w:val="20"/>
        </w:rPr>
      </w:pPr>
      <w:r>
        <w:rPr>
          <w:rFonts w:ascii="Arial" w:hAnsi="Arial"/>
          <w:color w:val="000000"/>
          <w:sz w:val="20"/>
        </w:rPr>
        <w:t>3.</w:t>
      </w:r>
    </w:p>
    <w:p>
      <w:pPr>
        <w:pStyle w:val="TextBody"/>
        <w:bidi w:val="0"/>
        <w:spacing w:before="120" w:after="283"/>
        <w:jc w:val="left"/>
        <w:rPr>
          <w:rFonts w:ascii="Arial" w:hAnsi="Arial"/>
          <w:color w:val="000000"/>
          <w:sz w:val="20"/>
        </w:rPr>
      </w:pPr>
      <w:r>
        <w:rPr>
          <w:rFonts w:ascii="Arial" w:hAnsi="Arial"/>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Arial" w:hAnsi="Arial"/>
          <w:color w:val="000000"/>
          <w:sz w:val="20"/>
        </w:rPr>
      </w:pPr>
      <w:r>
        <w:rPr>
          <w:rFonts w:ascii="Arial" w:hAnsi="Arial"/>
          <w:color w:val="000000"/>
          <w:sz w:val="20"/>
        </w:rPr>
        <w:t>4.</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Arial" w:hAnsi="Arial"/>
          <w:color w:val="000000"/>
          <w:sz w:val="20"/>
        </w:rPr>
      </w:pPr>
      <w:r>
        <w:rPr>
          <w:rFonts w:ascii="Arial" w:hAnsi="Arial"/>
          <w:color w:val="000000"/>
          <w:sz w:val="20"/>
        </w:rPr>
        <w:t>c)</w:t>
      </w:r>
    </w:p>
    <w:p>
      <w:pPr>
        <w:pStyle w:val="TextBody"/>
        <w:bidi w:val="0"/>
        <w:spacing w:before="120" w:after="283"/>
        <w:jc w:val="left"/>
        <w:rPr>
          <w:rFonts w:ascii="Arial" w:hAnsi="Arial"/>
          <w:color w:val="000000"/>
          <w:sz w:val="20"/>
        </w:rPr>
      </w:pPr>
      <w:r>
        <w:rPr>
          <w:rFonts w:ascii="Arial" w:hAnsi="Arial"/>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Arial" w:hAnsi="Arial"/>
          <w:color w:val="000000"/>
          <w:sz w:val="20"/>
        </w:rPr>
      </w:pPr>
      <w:r>
        <w:rPr>
          <w:rFonts w:ascii="Arial" w:hAnsi="Arial"/>
          <w:color w:val="000000"/>
          <w:sz w:val="20"/>
        </w:rPr>
        <w:t>d)</w:t>
      </w:r>
    </w:p>
    <w:p>
      <w:pPr>
        <w:pStyle w:val="TextBody"/>
        <w:bidi w:val="0"/>
        <w:spacing w:before="120" w:after="283"/>
        <w:jc w:val="left"/>
        <w:rPr>
          <w:rFonts w:ascii="Arial" w:hAnsi="Arial"/>
          <w:color w:val="000000"/>
          <w:sz w:val="20"/>
        </w:rPr>
      </w:pPr>
      <w:r>
        <w:rPr>
          <w:rFonts w:ascii="Arial" w:hAnsi="Arial"/>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Arial" w:hAnsi="Arial"/>
          <w:color w:val="000000"/>
          <w:sz w:val="20"/>
        </w:rPr>
      </w:pPr>
      <w:r>
        <w:rPr>
          <w:rFonts w:ascii="Arial" w:hAnsi="Arial"/>
          <w:color w:val="000000"/>
          <w:sz w:val="20"/>
        </w:rPr>
        <w:t>5.</w:t>
      </w:r>
    </w:p>
    <w:p>
      <w:pPr>
        <w:pStyle w:val="TextBody"/>
        <w:bidi w:val="0"/>
        <w:spacing w:before="120" w:after="283"/>
        <w:jc w:val="left"/>
        <w:rPr>
          <w:rFonts w:ascii="Arial" w:hAnsi="Arial"/>
          <w:color w:val="000000"/>
          <w:sz w:val="20"/>
        </w:rPr>
      </w:pPr>
      <w:r>
        <w:rPr>
          <w:rFonts w:ascii="Arial" w:hAnsi="Arial"/>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Arial" w:hAnsi="Arial"/>
          <w:color w:val="000000"/>
          <w:sz w:val="20"/>
        </w:rPr>
      </w:pPr>
      <w:r>
        <w:rPr>
          <w:rFonts w:ascii="Arial" w:hAnsi="Arial"/>
          <w:color w:val="000000"/>
          <w:sz w:val="20"/>
        </w:rPr>
        <w:t>a)</w:t>
      </w:r>
    </w:p>
    <w:p>
      <w:pPr>
        <w:pStyle w:val="TextBody"/>
        <w:bidi w:val="0"/>
        <w:spacing w:before="120" w:after="283"/>
        <w:jc w:val="left"/>
        <w:rPr>
          <w:rFonts w:ascii="Arial" w:hAnsi="Arial"/>
          <w:color w:val="000000"/>
          <w:sz w:val="20"/>
        </w:rPr>
      </w:pPr>
      <w:r>
        <w:rPr>
          <w:rFonts w:ascii="Arial" w:hAnsi="Arial"/>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Arial" w:hAnsi="Arial"/>
          <w:color w:val="000000"/>
          <w:sz w:val="20"/>
        </w:rPr>
      </w:pPr>
      <w:r>
        <w:rPr>
          <w:rFonts w:ascii="Arial" w:hAnsi="Arial"/>
          <w:color w:val="000000"/>
          <w:sz w:val="20"/>
        </w:rPr>
        <w:t>b)</w:t>
      </w:r>
    </w:p>
    <w:p>
      <w:pPr>
        <w:pStyle w:val="TextBody"/>
        <w:bidi w:val="0"/>
        <w:spacing w:before="120" w:after="283"/>
        <w:jc w:val="left"/>
        <w:rPr>
          <w:rFonts w:ascii="Arial" w:hAnsi="Arial"/>
          <w:color w:val="000000"/>
          <w:sz w:val="20"/>
        </w:rPr>
      </w:pPr>
      <w:r>
        <w:rPr>
          <w:rFonts w:ascii="Arial" w:hAnsi="Arial"/>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left"/>
        <w:rPr>
          <w:rFonts w:ascii="Arial" w:hAnsi="Arial"/>
          <w:color w:val="000000"/>
          <w:sz w:val="20"/>
        </w:rPr>
      </w:pPr>
      <w:r>
        <w:rPr>
          <w:rFonts w:ascii="Arial" w:hAnsi="Arial"/>
          <w:color w:val="000000"/>
          <w:sz w:val="20"/>
        </w:rPr>
        <w:t>Date: May 29, 2026</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w:t>
            </w:r>
            <w:r>
              <w:rPr>
                <w:rFonts w:ascii="Arial" w:hAnsi="Arial"/>
                <w:color w:val="000000"/>
                <w:sz w:val="15"/>
              </w:rPr>
              <w:t>S</w:t>
            </w:r>
            <w:r>
              <w:rPr>
                <w:rFonts w:ascii="Arial" w:hAnsi="Arial"/>
                <w:color w:val="000000"/>
                <w:sz w:val="20"/>
              </w:rPr>
              <w:t>/ G</w:t>
            </w:r>
            <w:r>
              <w:rPr>
                <w:rFonts w:ascii="Arial" w:hAnsi="Arial"/>
                <w:color w:val="000000"/>
                <w:sz w:val="15"/>
              </w:rPr>
              <w:t>ARRETT</w:t>
            </w:r>
            <w:r>
              <w:rPr>
                <w:rFonts w:ascii="Times New Roman" w:hAnsi="Times New Roman"/>
                <w:color w:val="000000"/>
                <w:sz w:val="20"/>
              </w:rPr>
              <w:t> </w:t>
            </w:r>
            <w:r>
              <w:rPr>
                <w:rFonts w:ascii="Arial" w:hAnsi="Arial"/>
                <w:color w:val="000000"/>
                <w:sz w:val="20"/>
              </w:rPr>
              <w:t>C</w:t>
            </w:r>
            <w:r>
              <w:rPr>
                <w:rFonts w:ascii="Arial" w:hAnsi="Arial"/>
                <w:color w:val="000000"/>
                <w:sz w:val="15"/>
              </w:rPr>
              <w:t>HASE</w:t>
            </w:r>
            <w:r>
              <w:rPr>
                <w:rFonts w:ascii="Times New Roman" w:hAnsi="Times New Roman"/>
                <w:color w:val="000000"/>
                <w:sz w:val="20"/>
              </w:rPr>
              <w:t xml:space="preserve">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Garrett Chase</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Chief Financial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0" w:name="vsat-ex32_1.htm"/>
      <w:bookmarkStart w:id="51" w:name="ksvsatex32_1"/>
      <w:bookmarkEnd w:id="50"/>
      <w:bookmarkEnd w:id="51"/>
      <w:r>
        <w:rPr>
          <w:rFonts w:ascii="Arial" w:hAnsi="Arial"/>
          <w:b/>
          <w:color w:val="000000"/>
          <w:sz w:val="20"/>
        </w:rPr>
        <w:t>Exhibit 32.1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Arial" w:hAnsi="Arial"/>
          <w:color w:val="000000"/>
          <w:sz w:val="20"/>
        </w:rPr>
        <w:t>CERTIFICATION OF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the accompanying annual report on Form 10-K of the Company for the fiscal year ended March 31, 2026 (the “Report”) fully complies with the requirements of Section 13(a) or Section 15(d), as applicable, of the Securities Exchange Act of 1934, as amended;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Dated: May 29, 2026</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w:t>
            </w:r>
            <w:r>
              <w:rPr>
                <w:rFonts w:ascii="Arial" w:hAnsi="Arial"/>
                <w:color w:val="000000"/>
                <w:sz w:val="15"/>
              </w:rPr>
              <w:t>S</w:t>
            </w:r>
            <w:r>
              <w:rPr>
                <w:rFonts w:ascii="Arial" w:hAnsi="Arial"/>
                <w:color w:val="000000"/>
                <w:sz w:val="20"/>
              </w:rPr>
              <w:t>/ M</w:t>
            </w:r>
            <w:r>
              <w:rPr>
                <w:rFonts w:ascii="Arial" w:hAnsi="Arial"/>
                <w:color w:val="000000"/>
                <w:sz w:val="15"/>
              </w:rPr>
              <w:t>ARK</w:t>
            </w:r>
            <w:r>
              <w:rPr>
                <w:rFonts w:ascii="Times New Roman" w:hAnsi="Times New Roman"/>
                <w:color w:val="000000"/>
                <w:sz w:val="20"/>
              </w:rPr>
              <w:t> </w:t>
            </w:r>
            <w:r>
              <w:rPr>
                <w:rFonts w:ascii="Arial" w:hAnsi="Arial"/>
                <w:color w:val="000000"/>
                <w:sz w:val="20"/>
              </w:rPr>
              <w:t>D</w:t>
            </w:r>
            <w:r>
              <w:rPr>
                <w:rFonts w:ascii="Arial" w:hAnsi="Arial"/>
                <w:color w:val="000000"/>
                <w:sz w:val="15"/>
              </w:rPr>
              <w:t>ANKBERG</w:t>
            </w:r>
          </w:p>
        </w:tc>
      </w:tr>
      <w:tr>
        <w:trPr/>
        <w:tc>
          <w:tcPr>
            <w:tcW w:w="243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Mark Dankberg</w:t>
            </w:r>
          </w:p>
        </w:tc>
      </w:tr>
      <w:tr>
        <w:trPr/>
        <w:tc>
          <w:tcPr>
            <w:tcW w:w="243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Chief Executive Officer</w:t>
            </w:r>
          </w:p>
        </w:tc>
      </w:tr>
    </w:tbl>
    <w:p>
      <w:pPr>
        <w:pStyle w:val="TextBody"/>
        <w:bidi w:val="0"/>
        <w:spacing w:before="480" w:after="283"/>
        <w:jc w:val="center"/>
        <w:rPr>
          <w:rFonts w:ascii="Times New Roman" w:hAnsi="Times New Roman"/>
          <w:sz w:val="20"/>
        </w:rPr>
      </w:pPr>
      <w:r>
        <w:rPr>
          <w:rFonts w:ascii="Arial" w:hAnsi="Arial"/>
          <w:color w:val="000000"/>
          <w:sz w:val="20"/>
        </w:rPr>
        <w:t>CERTIFICATION OF CHIEF FINANCIAL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Arial" w:hAnsi="Arial"/>
          <w:color w:val="000000"/>
          <w:sz w:val="20"/>
        </w:rPr>
        <w:t>Pursuant to 18 U.S.C. Section 1350, as adopted pursuant to Section 906 of the Sarbanes-Oxley Act of 2002, the undersigned officer of Viasat, Inc. (the “Company”) hereby certifies, to such officer’s knowledge, that: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(a) the accompanying annual report on Form 10-K of the Company for the fiscal year ended March 31, 2026 (the “Report”) fully complies with the requirements of Section 13(a) or Section 15(d), as applicable, of the Securities Exchange Act of 1934, as amended; and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(b)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Dated: May 29, 2026</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w:t>
            </w:r>
            <w:r>
              <w:rPr>
                <w:rFonts w:ascii="Arial" w:hAnsi="Arial"/>
                <w:color w:val="000000"/>
                <w:sz w:val="15"/>
              </w:rPr>
              <w:t>S</w:t>
            </w:r>
            <w:r>
              <w:rPr>
                <w:rFonts w:ascii="Arial" w:hAnsi="Arial"/>
                <w:color w:val="000000"/>
                <w:sz w:val="20"/>
              </w:rPr>
              <w:t>/ G</w:t>
            </w:r>
            <w:r>
              <w:rPr>
                <w:rFonts w:ascii="Arial" w:hAnsi="Arial"/>
                <w:color w:val="000000"/>
                <w:sz w:val="15"/>
              </w:rPr>
              <w:t>ARRETT</w:t>
            </w:r>
            <w:r>
              <w:rPr>
                <w:rFonts w:ascii="Times New Roman" w:hAnsi="Times New Roman"/>
                <w:color w:val="000000"/>
                <w:sz w:val="20"/>
              </w:rPr>
              <w:t> </w:t>
            </w:r>
            <w:r>
              <w:rPr>
                <w:rFonts w:ascii="Arial" w:hAnsi="Arial"/>
                <w:color w:val="000000"/>
                <w:sz w:val="20"/>
              </w:rPr>
              <w:t>C</w:t>
            </w:r>
            <w:r>
              <w:rPr>
                <w:rFonts w:ascii="Arial" w:hAnsi="Arial"/>
                <w:color w:val="000000"/>
                <w:sz w:val="15"/>
              </w:rPr>
              <w:t>HASE</w:t>
            </w:r>
            <w:r>
              <w:rPr>
                <w:rFonts w:ascii="Times New Roman" w:hAnsi="Times New Roman"/>
                <w:color w:val="000000"/>
                <w:sz w:val="20"/>
              </w:rPr>
              <w:t xml:space="preserve"> </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Garrett Chase</w:t>
            </w:r>
          </w:p>
        </w:tc>
      </w:tr>
      <w:tr>
        <w:trPr/>
        <w:tc>
          <w:tcPr>
            <w:tcW w:w="234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97721/000119312521322283/d210128dex21.htm" TargetMode="External"/><Relationship Id="rId4" Type="http://schemas.openxmlformats.org/officeDocument/2006/relationships/hyperlink" Target="https://www.sec.gov/Archives/edgar/data/797721/000095017023023444/vsat-ex2_1a.htm" TargetMode="External"/><Relationship Id="rId5" Type="http://schemas.openxmlformats.org/officeDocument/2006/relationships/hyperlink" Target="https://www.sec.gov/Archives/edgar/data/797721/000119312522256649/d256660dex21.htm" TargetMode="External"/><Relationship Id="rId6" Type="http://schemas.openxmlformats.org/officeDocument/2006/relationships/hyperlink" Target="https://www.sec.gov/Archives/edgar/data/797721/000109581100004805/a66909ex3-1.txt" TargetMode="External"/><Relationship Id="rId7" Type="http://schemas.openxmlformats.org/officeDocument/2006/relationships/hyperlink" Target="https://www.sec.gov/Archives/edgar/data/0000797721/000119312523159891/d505957dex31.htm" TargetMode="External"/><Relationship Id="rId8" Type="http://schemas.openxmlformats.org/officeDocument/2006/relationships/hyperlink" Target="https://www.sec.gov/Archives/edgar/data/797721/000095017023062152/vsat-ex3_1.htm" TargetMode="External"/><Relationship Id="rId9" Type="http://schemas.openxmlformats.org/officeDocument/2006/relationships/hyperlink" Target="https://www.sec.gov/Archives/edgar/data/797721/000119312519088484/d727895dex41.htm" TargetMode="External"/><Relationship Id="rId10" Type="http://schemas.openxmlformats.org/officeDocument/2006/relationships/hyperlink" Target="https://www.sec.gov/Archives/edgar/data/797721/000119312519088484/d727895dex41.htm" TargetMode="External"/><Relationship Id="rId11" Type="http://schemas.openxmlformats.org/officeDocument/2006/relationships/hyperlink" Target="https://www.sec.gov/Archives/edgar/data/797721/000119312520177667/d907562dex41.htm" TargetMode="External"/><Relationship Id="rId12" Type="http://schemas.openxmlformats.org/officeDocument/2006/relationships/hyperlink" Target="https://www.sec.gov/Archives/edgar/data/797721/000119312520177667/d907562dex41.htm" TargetMode="External"/><Relationship Id="rId13" Type="http://schemas.openxmlformats.org/officeDocument/2006/relationships/hyperlink" Target="https://www.sec.gov/Archives/edgar/data/797721/000119312523245746/d543087dex41.htm" TargetMode="External"/><Relationship Id="rId14" Type="http://schemas.openxmlformats.org/officeDocument/2006/relationships/hyperlink" Target="https://www.sec.gov/Archives/edgar/data/797721/000119312523245746/d543087dex41.htm" TargetMode="External"/><Relationship Id="rId15" Type="http://schemas.openxmlformats.org/officeDocument/2006/relationships/hyperlink" Target="https://www.sec.gov/Archives/edgar/data/797721/000119312524230357/d118183dex41.htm" TargetMode="External"/><Relationship Id="rId16" Type="http://schemas.openxmlformats.org/officeDocument/2006/relationships/hyperlink" Target="https://www.sec.gov/Archives/edgar/data/797721/000119312524230357/d118183dex41.htm" TargetMode="External"/><Relationship Id="rId17" Type="http://schemas.openxmlformats.org/officeDocument/2006/relationships/hyperlink" Target="https://www.sec.gov/Archives/edgar/data/797721/000095017024066031/vsat-ex4_7.htm" TargetMode="External"/><Relationship Id="rId18" Type="http://schemas.openxmlformats.org/officeDocument/2006/relationships/hyperlink" Target="https://www.sec.gov/Archives/edgar/data/797721/000093639208000182/a38834exv99w1.htm" TargetMode="External"/><Relationship Id="rId19" Type="http://schemas.openxmlformats.org/officeDocument/2006/relationships/hyperlink" Target="https://www.sec.gov/Archives/edgar/data/797721/000119312525197278/d48904dex102.htm" TargetMode="External"/><Relationship Id="rId20" Type="http://schemas.openxmlformats.org/officeDocument/2006/relationships/hyperlink" Target="https://www.sec.gov/Archives/edgar/data/797721/000119312525197278/d48904dex101.htm" TargetMode="External"/><Relationship Id="rId21" Type="http://schemas.openxmlformats.org/officeDocument/2006/relationships/hyperlink" Target="https://www.sec.gov/Archives/edgar/data/797721/000119312515199042/d875350dex104.htm" TargetMode="External"/><Relationship Id="rId22" Type="http://schemas.openxmlformats.org/officeDocument/2006/relationships/hyperlink" Target="https://www.sec.gov/Archives/edgar/data/797721/000095017023062152/vsat-ex10_4.htm" TargetMode="External"/><Relationship Id="rId23" Type="http://schemas.openxmlformats.org/officeDocument/2006/relationships/hyperlink" Target="https://www.sec.gov/Archives/edgar/data/797721/000095017024013013/vsat-ex10_1.htm" TargetMode="External"/><Relationship Id="rId24" Type="http://schemas.openxmlformats.org/officeDocument/2006/relationships/hyperlink" Target="https://www.sec.gov/Archives/edgar/data/797721/000119312518036708/d493158dex101.htm" TargetMode="External"/><Relationship Id="rId25" Type="http://schemas.openxmlformats.org/officeDocument/2006/relationships/hyperlink" Target="https://www.sec.gov/Archives/edgar/data/797721/000095017024124119/vsat-ex10_2.htm" TargetMode="External"/><Relationship Id="rId26" Type="http://schemas.openxmlformats.org/officeDocument/2006/relationships/hyperlink" Target="https://www.sec.gov/Archives/edgar/data/797721/000095017023062152/vsat-ex10_5.htm" TargetMode="External"/><Relationship Id="rId27" Type="http://schemas.openxmlformats.org/officeDocument/2006/relationships/hyperlink" Target="https://www.sec.gov/Archives/edgar/data/797721/000095017024124119/vsat-ex10_3.htm" TargetMode="External"/><Relationship Id="rId28" Type="http://schemas.openxmlformats.org/officeDocument/2006/relationships/hyperlink" Target="https://www.sec.gov/Archives/edgar/data/797721/000095017024094591/vsat-ex10_1.htm" TargetMode="External"/><Relationship Id="rId29" Type="http://schemas.openxmlformats.org/officeDocument/2006/relationships/hyperlink" Target="https://www.sec.gov/Archives/edgar/data/797721/000095017024094591/vsat-ex10_2.htm" TargetMode="External"/><Relationship Id="rId30" Type="http://schemas.openxmlformats.org/officeDocument/2006/relationships/hyperlink" Target="https://www.sec.gov/Archives/edgar/data/797721/000119312525272830/vsat-ex10_3.htm" TargetMode="External"/><Relationship Id="rId31" Type="http://schemas.openxmlformats.org/officeDocument/2006/relationships/hyperlink" Target="https://www.sec.gov/Archives/edgar/data/797721/000119312525272830/vsat-ex10_4.htm" TargetMode="External"/><Relationship Id="rId32" Type="http://schemas.openxmlformats.org/officeDocument/2006/relationships/hyperlink" Target="https://www.sec.gov/Archives/edgar/data/797721/000095017024124119/vsat-ex10_4.htm" TargetMode="External"/><Relationship Id="rId33" Type="http://schemas.openxmlformats.org/officeDocument/2006/relationships/hyperlink" Target="https://www.sec.gov/Archives/edgar/data/797721/000095017024124119/vsat-ex10_5.htm" TargetMode="External"/><Relationship Id="rId34" Type="http://schemas.openxmlformats.org/officeDocument/2006/relationships/hyperlink" Target="https://www.sec.gov/Archives/edgar/data/797721/000095017024124119/vsat-ex10_6.htm" TargetMode="External"/><Relationship Id="rId35" Type="http://schemas.openxmlformats.org/officeDocument/2006/relationships/hyperlink" Target="https://www.sec.gov/Archives/edgar/data/797721/000119312521145463/d42352dex103.htm" TargetMode="External"/><Relationship Id="rId36" Type="http://schemas.openxmlformats.org/officeDocument/2006/relationships/hyperlink" Target="https://www.sec.gov/Archives/edgar/data/797721/000119312521145463/d42352dex104.htm" TargetMode="External"/><Relationship Id="rId37" Type="http://schemas.openxmlformats.org/officeDocument/2006/relationships/hyperlink" Target="https://www.sec.gov/Archives/edgar/data/797721/000119312521145463/d42352dex105.htm" TargetMode="External"/><Relationship Id="rId38" Type="http://schemas.openxmlformats.org/officeDocument/2006/relationships/hyperlink" Target="https://www.sec.gov/Archives/edgar/data/797721/000119312521145463/d42352dex106.htm" TargetMode="External"/><Relationship Id="rId39" Type="http://schemas.openxmlformats.org/officeDocument/2006/relationships/hyperlink" Target="https://www.sec.gov/Archives/edgar/data/797721/000095017024124119/vsat-ex10_7.htm" TargetMode="External"/><Relationship Id="rId40" Type="http://schemas.openxmlformats.org/officeDocument/2006/relationships/hyperlink" Target="https://www.sec.gov/Archives/edgar/data/797721/000095017024124119/vsat-ex10_8.htm" TargetMode="External"/><Relationship Id="rId41" Type="http://schemas.openxmlformats.org/officeDocument/2006/relationships/hyperlink" Target="https://www.sec.gov/Archives/edgar/data/797721/000095017024124119/vsat-ex10_9.htm" TargetMode="External"/><Relationship Id="rId42" Type="http://schemas.openxmlformats.org/officeDocument/2006/relationships/hyperlink" Target="https://www.sec.gov/Archives/edgar/data/797721/000095017024124119/vsat-ex10_10.htm" TargetMode="External"/><Relationship Id="rId43" Type="http://schemas.openxmlformats.org/officeDocument/2006/relationships/hyperlink" Target="https://www.sec.gov/Archives/edgar/data/797721/000119312513454965/d636795dex101.htm" TargetMode="External"/><Relationship Id="rId44" Type="http://schemas.openxmlformats.org/officeDocument/2006/relationships/hyperlink" Target="https://www.sec.gov/Archives/edgar/data/797721/000119312515089537/d887434dex102.htm" TargetMode="External"/><Relationship Id="rId45" Type="http://schemas.openxmlformats.org/officeDocument/2006/relationships/hyperlink" Target="https://www.sec.gov/Archives/edgar/data/797721/000119312516600648/d198247dex101.htm" TargetMode="External"/><Relationship Id="rId46" Type="http://schemas.openxmlformats.org/officeDocument/2006/relationships/hyperlink" Target="https://www.sec.gov/Archives/edgar/data/797721/000156459018014641/vsat-ex10103_745.htm" TargetMode="External"/><Relationship Id="rId47" Type="http://schemas.openxmlformats.org/officeDocument/2006/relationships/hyperlink" Target="https://www.sec.gov/Archives/edgar/data/797721/000119312519014040/d684351dex101.htm" TargetMode="External"/><Relationship Id="rId48" Type="http://schemas.openxmlformats.org/officeDocument/2006/relationships/hyperlink" Target="https://www.sec.gov/Archives/edgar/data/797721/000119312521343695/d220124dex101.htm" TargetMode="External"/><Relationship Id="rId49" Type="http://schemas.openxmlformats.org/officeDocument/2006/relationships/hyperlink" Target="https://www.sec.gov/Archives/edgar/data/797721/000156459022008789/d226637dex102.htm" TargetMode="External"/><Relationship Id="rId50" Type="http://schemas.openxmlformats.org/officeDocument/2006/relationships/hyperlink" Target="https://www.sec.gov/Archives/edgar/data/0000797721/000119312523221558/d540351dex101.htm" TargetMode="External"/><Relationship Id="rId51" Type="http://schemas.openxmlformats.org/officeDocument/2006/relationships/hyperlink" Target="https://www.sec.gov/Archives/edgar/data/0000797721/000119312523230658/d545903dex101.htm" TargetMode="External"/><Relationship Id="rId52" Type="http://schemas.openxmlformats.org/officeDocument/2006/relationships/hyperlink" Target="https://www.sec.gov/Archives/edgar/data/797721/000156459022008789/d226637dex101.htm" TargetMode="External"/><Relationship Id="rId53" Type="http://schemas.openxmlformats.org/officeDocument/2006/relationships/hyperlink" Target="https://www.sec.gov/Archives/edgar/data/0000797721/000119312523241320/d518920dex101.htm" TargetMode="External"/><Relationship Id="rId54" Type="http://schemas.openxmlformats.org/officeDocument/2006/relationships/hyperlink" Target="https://www.sec.gov/Archives/edgar/data/797721/000095017023040747/vsat-ex10_4.htm" TargetMode="External"/><Relationship Id="rId55" Type="http://schemas.openxmlformats.org/officeDocument/2006/relationships/hyperlink" Target="https://www.sec.gov/Archives/edgar/data/797721/000095017023040747/vsat-ex10_41.htm" TargetMode="External"/><Relationship Id="rId56" Type="http://schemas.openxmlformats.org/officeDocument/2006/relationships/hyperlink" Target="https://www.sec.gov/Archives/edgar/data/797721/000095017023040747/vsat-ex10_42.htm" TargetMode="External"/><Relationship Id="rId57" Type="http://schemas.openxmlformats.org/officeDocument/2006/relationships/hyperlink" Target="https://www.sec.gov/Archives/edgar/data/797721/000095017023040747/vsat-ex10_43.htm" TargetMode="External"/><Relationship Id="rId58" Type="http://schemas.openxmlformats.org/officeDocument/2006/relationships/hyperlink" Target="https://www.sec.gov/Archives/edgar/data/797721/000119312524080765/d803311dex101.htm" TargetMode="External"/><Relationship Id="rId59" Type="http://schemas.openxmlformats.org/officeDocument/2006/relationships/hyperlink" Target="https://www.sec.gov/Archives/edgar/data/797721/000119312526022564/d232462dex101.htm" TargetMode="External"/><Relationship Id="rId60" Type="http://schemas.openxmlformats.org/officeDocument/2006/relationships/hyperlink" Target="https://www.sec.gov/Archives/edgar/data/797721/000119312526210427/d108013dex101.htm" TargetMode="External"/><Relationship Id="rId61" Type="http://schemas.openxmlformats.org/officeDocument/2006/relationships/hyperlink" Target="https://www.sec.gov/Archives/edgar/data/797721/000095017024066031/vsat-ex19.htm" TargetMode="External"/><Relationship Id="rId62" Type="http://schemas.openxmlformats.org/officeDocument/2006/relationships/hyperlink" Target="https://www.sec.gov/Archives/edgar/data/797721/000095017024066031/vsat-ex97.htm" TargetMode="External"/><Relationship Id="rId63" Type="http://schemas.openxmlformats.org/officeDocument/2006/relationships/fontTable" Target="fontTable.xml"/><Relationship Id="rId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80688</Words>
  <Characters>460711</Characters>
  <CharactersWithSpaces>543115</CharactersWithSpaces>
  <Paragraphs>11113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