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66675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97790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1" w:lineRule="exact"/>
        <w:rPr>
          <w:sz w:val="24"/>
          <w:szCs w:val="24"/>
          <w:color w:val="auto"/>
        </w:rPr>
      </w:pPr>
    </w:p>
    <w:p>
      <w:pPr>
        <w:ind w:left="3780" w:right="1660" w:hanging="3772"/>
        <w:spacing w:after="0" w:line="314" w:lineRule="auto"/>
        <w:tabs>
          <w:tab w:leader="none" w:pos="52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660"/>
        <w:spacing w:after="0"/>
        <w:tabs>
          <w:tab w:leader="none" w:pos="6880" w:val="left"/>
          <w:tab w:leader="none" w:pos="7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71755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VIASAT,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57785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420" w:type="dxa"/>
            <w:vAlign w:val="bottom"/>
            <w:gridSpan w:val="3"/>
          </w:tcPr>
          <w:p>
            <w:pPr>
              <w:jc w:val="center"/>
              <w:ind w:left="2066"/>
              <w:spacing w:after="0"/>
              <w:rPr>
                <w:sz w:val="20"/>
                <w:szCs w:val="20"/>
                <w:color w:val="auto"/>
              </w:rPr>
            </w:pPr>
            <w:r>
              <w:rPr>
                <w:rFonts w:ascii="Arial" w:cs="Arial" w:eastAsia="Arial" w:hAnsi="Arial"/>
                <w:sz w:val="18"/>
                <w:szCs w:val="18"/>
                <w:b w:val="1"/>
                <w:bCs w:val="1"/>
                <w:color w:val="auto"/>
              </w:rPr>
              <w:t>Delaware</w:t>
            </w:r>
          </w:p>
        </w:tc>
        <w:tc>
          <w:tcPr>
            <w:tcW w:w="2780" w:type="dxa"/>
            <w:vAlign w:val="bottom"/>
          </w:tcPr>
          <w:p>
            <w:pPr>
              <w:spacing w:after="0"/>
              <w:rPr>
                <w:sz w:val="18"/>
                <w:szCs w:val="18"/>
                <w:color w:val="auto"/>
              </w:rPr>
            </w:pPr>
          </w:p>
        </w:tc>
        <w:tc>
          <w:tcPr>
            <w:tcW w:w="4220" w:type="dxa"/>
            <w:vAlign w:val="bottom"/>
            <w:gridSpan w:val="3"/>
          </w:tcPr>
          <w:p>
            <w:pPr>
              <w:jc w:val="center"/>
              <w:ind w:right="2268"/>
              <w:spacing w:after="0"/>
              <w:rPr>
                <w:sz w:val="20"/>
                <w:szCs w:val="20"/>
                <w:color w:val="auto"/>
              </w:rPr>
            </w:pPr>
            <w:r>
              <w:rPr>
                <w:rFonts w:ascii="Arial" w:cs="Arial" w:eastAsia="Arial" w:hAnsi="Arial"/>
                <w:sz w:val="18"/>
                <w:szCs w:val="18"/>
                <w:b w:val="1"/>
                <w:bCs w:val="1"/>
                <w:color w:val="auto"/>
                <w:w w:val="99"/>
              </w:rPr>
              <w:t>33-0174996</w:t>
            </w:r>
          </w:p>
        </w:tc>
      </w:tr>
      <w:tr>
        <w:trPr>
          <w:trHeight w:val="149"/>
        </w:trPr>
        <w:tc>
          <w:tcPr>
            <w:tcW w:w="4420" w:type="dxa"/>
            <w:vAlign w:val="bottom"/>
            <w:gridSpan w:val="3"/>
          </w:tcPr>
          <w:p>
            <w:pPr>
              <w:jc w:val="center"/>
              <w:ind w:left="2086"/>
              <w:spacing w:after="0" w:line="149" w:lineRule="exact"/>
              <w:rPr>
                <w:sz w:val="20"/>
                <w:szCs w:val="20"/>
                <w:color w:val="auto"/>
              </w:rPr>
            </w:pPr>
            <w:r>
              <w:rPr>
                <w:rFonts w:ascii="Arial" w:cs="Arial" w:eastAsia="Arial" w:hAnsi="Arial"/>
                <w:sz w:val="14"/>
                <w:szCs w:val="14"/>
                <w:b w:val="1"/>
                <w:bCs w:val="1"/>
                <w:color w:val="auto"/>
                <w:w w:val="96"/>
              </w:rPr>
              <w:t>(State or other jurisdiction of</w:t>
            </w:r>
          </w:p>
        </w:tc>
        <w:tc>
          <w:tcPr>
            <w:tcW w:w="2780" w:type="dxa"/>
            <w:vAlign w:val="bottom"/>
          </w:tcPr>
          <w:p>
            <w:pPr>
              <w:spacing w:after="0"/>
              <w:rPr>
                <w:sz w:val="12"/>
                <w:szCs w:val="12"/>
                <w:color w:val="auto"/>
              </w:rPr>
            </w:pPr>
          </w:p>
        </w:tc>
        <w:tc>
          <w:tcPr>
            <w:tcW w:w="4220" w:type="dxa"/>
            <w:vAlign w:val="bottom"/>
            <w:gridSpan w:val="3"/>
          </w:tcPr>
          <w:p>
            <w:pPr>
              <w:jc w:val="center"/>
              <w:ind w:right="226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78"/>
        </w:trPr>
        <w:tc>
          <w:tcPr>
            <w:tcW w:w="4420" w:type="dxa"/>
            <w:vAlign w:val="bottom"/>
            <w:gridSpan w:val="3"/>
          </w:tcPr>
          <w:p>
            <w:pPr>
              <w:jc w:val="center"/>
              <w:ind w:left="2066"/>
              <w:spacing w:after="0"/>
              <w:rPr>
                <w:sz w:val="20"/>
                <w:szCs w:val="20"/>
                <w:color w:val="auto"/>
              </w:rPr>
            </w:pPr>
            <w:r>
              <w:rPr>
                <w:rFonts w:ascii="Arial" w:cs="Arial" w:eastAsia="Arial" w:hAnsi="Arial"/>
                <w:sz w:val="14"/>
                <w:szCs w:val="14"/>
                <w:b w:val="1"/>
                <w:bCs w:val="1"/>
                <w:color w:val="auto"/>
                <w:w w:val="96"/>
              </w:rPr>
              <w:t>incorporation or organization)</w:t>
            </w:r>
          </w:p>
        </w:tc>
        <w:tc>
          <w:tcPr>
            <w:tcW w:w="2780" w:type="dxa"/>
            <w:vAlign w:val="bottom"/>
          </w:tcPr>
          <w:p>
            <w:pPr>
              <w:spacing w:after="0"/>
              <w:rPr>
                <w:sz w:val="15"/>
                <w:szCs w:val="15"/>
                <w:color w:val="auto"/>
              </w:rPr>
            </w:pPr>
          </w:p>
        </w:tc>
        <w:tc>
          <w:tcPr>
            <w:tcW w:w="4220" w:type="dxa"/>
            <w:vAlign w:val="bottom"/>
            <w:gridSpan w:val="3"/>
          </w:tcPr>
          <w:p>
            <w:pPr>
              <w:jc w:val="center"/>
              <w:ind w:right="2248"/>
              <w:spacing w:after="0"/>
              <w:rPr>
                <w:sz w:val="20"/>
                <w:szCs w:val="20"/>
                <w:color w:val="auto"/>
              </w:rPr>
            </w:pPr>
            <w:r>
              <w:rPr>
                <w:rFonts w:ascii="Arial" w:cs="Arial" w:eastAsia="Arial" w:hAnsi="Arial"/>
                <w:sz w:val="14"/>
                <w:szCs w:val="14"/>
                <w:b w:val="1"/>
                <w:bCs w:val="1"/>
                <w:color w:val="auto"/>
                <w:w w:val="96"/>
              </w:rPr>
              <w:t>Identification No.)</w:t>
            </w:r>
          </w:p>
        </w:tc>
      </w:tr>
      <w:tr>
        <w:trPr>
          <w:trHeight w:val="248"/>
        </w:trPr>
        <w:tc>
          <w:tcPr>
            <w:tcW w:w="3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780" w:type="dxa"/>
            <w:vAlign w:val="bottom"/>
          </w:tcPr>
          <w:p>
            <w:pPr>
              <w:jc w:val="center"/>
              <w:ind w:right="97"/>
              <w:spacing w:after="0"/>
              <w:rPr>
                <w:sz w:val="20"/>
                <w:szCs w:val="20"/>
                <w:color w:val="auto"/>
              </w:rPr>
            </w:pPr>
            <w:r>
              <w:rPr>
                <w:rFonts w:ascii="Arial" w:cs="Arial" w:eastAsia="Arial" w:hAnsi="Arial"/>
                <w:sz w:val="18"/>
                <w:szCs w:val="18"/>
                <w:b w:val="1"/>
                <w:bCs w:val="1"/>
                <w:color w:val="auto"/>
                <w:w w:val="99"/>
              </w:rPr>
              <w:t>6155 El Camino Real</w:t>
            </w: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720" w:type="dxa"/>
            <w:vAlign w:val="bottom"/>
          </w:tcPr>
          <w:p>
            <w:pPr>
              <w:spacing w:after="0"/>
              <w:rPr>
                <w:sz w:val="21"/>
                <w:szCs w:val="21"/>
                <w:color w:val="auto"/>
              </w:rPr>
            </w:pPr>
          </w:p>
        </w:tc>
      </w:tr>
      <w:tr>
        <w:trPr>
          <w:trHeight w:val="203"/>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780" w:type="dxa"/>
            <w:vAlign w:val="bottom"/>
          </w:tcPr>
          <w:p>
            <w:pPr>
              <w:jc w:val="center"/>
              <w:ind w:right="117"/>
              <w:spacing w:after="0" w:line="202" w:lineRule="exact"/>
              <w:rPr>
                <w:sz w:val="20"/>
                <w:szCs w:val="20"/>
                <w:color w:val="auto"/>
              </w:rPr>
            </w:pPr>
            <w:r>
              <w:rPr>
                <w:rFonts w:ascii="Arial" w:cs="Arial" w:eastAsia="Arial" w:hAnsi="Arial"/>
                <w:sz w:val="18"/>
                <w:szCs w:val="18"/>
                <w:b w:val="1"/>
                <w:bCs w:val="1"/>
                <w:color w:val="auto"/>
              </w:rPr>
              <w:t>Carlsbad, California 92009</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20" w:type="dxa"/>
            <w:vAlign w:val="bottom"/>
          </w:tcPr>
          <w:p>
            <w:pPr>
              <w:spacing w:after="0"/>
              <w:rPr>
                <w:sz w:val="17"/>
                <w:szCs w:val="17"/>
                <w:color w:val="auto"/>
              </w:rPr>
            </w:pPr>
          </w:p>
        </w:tc>
      </w:tr>
      <w:tr>
        <w:trPr>
          <w:trHeight w:val="203"/>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780" w:type="dxa"/>
            <w:vAlign w:val="bottom"/>
          </w:tcPr>
          <w:p>
            <w:pPr>
              <w:jc w:val="center"/>
              <w:ind w:right="117"/>
              <w:spacing w:after="0" w:line="203" w:lineRule="exact"/>
              <w:rPr>
                <w:sz w:val="20"/>
                <w:szCs w:val="20"/>
                <w:color w:val="auto"/>
              </w:rPr>
            </w:pPr>
            <w:r>
              <w:rPr>
                <w:rFonts w:ascii="Arial" w:cs="Arial" w:eastAsia="Arial" w:hAnsi="Arial"/>
                <w:sz w:val="18"/>
                <w:szCs w:val="18"/>
                <w:b w:val="1"/>
                <w:bCs w:val="1"/>
                <w:color w:val="auto"/>
                <w:w w:val="99"/>
              </w:rPr>
              <w:t>(760) 476-2200</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20" w:type="dxa"/>
            <w:vAlign w:val="bottom"/>
          </w:tcPr>
          <w:p>
            <w:pPr>
              <w:spacing w:after="0"/>
              <w:rPr>
                <w:sz w:val="17"/>
                <w:szCs w:val="17"/>
                <w:color w:val="auto"/>
              </w:rPr>
            </w:pPr>
          </w:p>
        </w:tc>
      </w:tr>
      <w:tr>
        <w:trPr>
          <w:trHeight w:val="177"/>
        </w:trPr>
        <w:tc>
          <w:tcPr>
            <w:tcW w:w="3740" w:type="dxa"/>
            <w:vAlign w:val="bottom"/>
          </w:tcPr>
          <w:p>
            <w:pPr>
              <w:spacing w:after="0"/>
              <w:rPr>
                <w:sz w:val="15"/>
                <w:szCs w:val="15"/>
                <w:color w:val="auto"/>
              </w:rPr>
            </w:pPr>
          </w:p>
        </w:tc>
        <w:tc>
          <w:tcPr>
            <w:tcW w:w="7680" w:type="dxa"/>
            <w:vAlign w:val="bottom"/>
            <w:gridSpan w:val="6"/>
          </w:tcPr>
          <w:p>
            <w:pPr>
              <w:jc w:val="center"/>
              <w:ind w:right="3648"/>
              <w:spacing w:after="0"/>
              <w:rPr>
                <w:sz w:val="20"/>
                <w:szCs w:val="20"/>
                <w:color w:val="auto"/>
              </w:rPr>
            </w:pPr>
            <w:r>
              <w:rPr>
                <w:rFonts w:ascii="Arial" w:cs="Arial" w:eastAsia="Arial" w:hAnsi="Arial"/>
                <w:sz w:val="14"/>
                <w:szCs w:val="14"/>
                <w:b w:val="1"/>
                <w:bCs w:val="1"/>
                <w:color w:val="auto"/>
                <w:w w:val="91"/>
              </w:rPr>
              <w:t>(Address of principal executive offices and telephone number)</w:t>
            </w:r>
          </w:p>
        </w:tc>
      </w:tr>
      <w:tr>
        <w:trPr>
          <w:trHeight w:val="202"/>
        </w:trPr>
        <w:tc>
          <w:tcPr>
            <w:tcW w:w="11420" w:type="dxa"/>
            <w:vAlign w:val="bottom"/>
            <w:gridSpan w:val="7"/>
          </w:tcPr>
          <w:p>
            <w:pPr>
              <w:jc w:val="center"/>
              <w:spacing w:after="0"/>
              <w:rPr>
                <w:sz w:val="20"/>
                <w:szCs w:val="20"/>
                <w:color w:val="auto"/>
              </w:rPr>
            </w:pPr>
            <w:r>
              <w:rPr>
                <w:rFonts w:ascii="Arial" w:cs="Arial" w:eastAsia="Arial" w:hAnsi="Arial"/>
                <w:sz w:val="15"/>
                <w:szCs w:val="15"/>
                <w:b w:val="1"/>
                <w:bCs w:val="1"/>
                <w:color w:val="auto"/>
              </w:rPr>
              <w:t>Securities registered pursuant to Section 12(b) of the Act:</w:t>
            </w:r>
          </w:p>
        </w:tc>
      </w:tr>
      <w:tr>
        <w:trPr>
          <w:trHeight w:val="292"/>
        </w:trPr>
        <w:tc>
          <w:tcPr>
            <w:tcW w:w="44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5"/>
              </w:rPr>
              <w:t>(Title of Each Class)</w:t>
            </w:r>
          </w:p>
        </w:tc>
        <w:tc>
          <w:tcPr>
            <w:tcW w:w="278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(Trading Symbol)</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(Name of Each Exchange on which Registered)</w:t>
            </w:r>
          </w:p>
        </w:tc>
      </w:tr>
      <w:tr>
        <w:trPr>
          <w:trHeight w:val="196"/>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Common Stock, par value $0.0001 per share</w:t>
            </w:r>
          </w:p>
        </w:tc>
        <w:tc>
          <w:tcPr>
            <w:tcW w:w="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tcPr>
          <w:p>
            <w:pPr>
              <w:jc w:val="center"/>
              <w:ind w:right="57"/>
              <w:spacing w:after="0"/>
              <w:rPr>
                <w:sz w:val="20"/>
                <w:szCs w:val="20"/>
                <w:color w:val="auto"/>
              </w:rPr>
            </w:pPr>
            <w:r>
              <w:rPr>
                <w:rFonts w:ascii="Arial" w:cs="Arial" w:eastAsia="Arial" w:hAnsi="Arial"/>
                <w:sz w:val="15"/>
                <w:szCs w:val="15"/>
                <w:b w:val="1"/>
                <w:bCs w:val="1"/>
                <w:color w:val="auto"/>
                <w:w w:val="99"/>
              </w:rPr>
              <w:t>VSAT</w:t>
            </w:r>
          </w:p>
        </w:tc>
        <w:tc>
          <w:tcPr>
            <w:tcW w:w="4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The Nasdaq Stock Market LLC</w:t>
            </w:r>
          </w:p>
        </w:tc>
      </w:tr>
    </w:tbl>
    <w:p>
      <w:pPr>
        <w:spacing w:after="0" w:line="94" w:lineRule="exact"/>
        <w:rPr>
          <w:sz w:val="24"/>
          <w:szCs w:val="24"/>
          <w:color w:val="auto"/>
        </w:rPr>
      </w:pPr>
    </w:p>
    <w:p>
      <w:pPr>
        <w:ind w:right="440" w:firstLine="518"/>
        <w:spacing w:after="0" w:line="23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640" w:val="left"/>
          <w:tab w:leader="none" w:pos="6400" w:val="left"/>
          <w:tab w:leader="none" w:pos="678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w:t>
      </w:r>
      <w:r>
        <w:rPr>
          <w:sz w:val="20"/>
          <w:szCs w:val="20"/>
          <w:color w:val="auto"/>
        </w:rPr>
        <w:tab/>
      </w:r>
      <w:r>
        <w:rPr>
          <w:rFonts w:ascii="MS PGothic" w:cs="MS PGothic" w:eastAsia="MS PGothic" w:hAnsi="MS PGothic"/>
          <w:sz w:val="16"/>
          <w:szCs w:val="16"/>
          <w:color w:val="auto"/>
        </w:rPr>
        <w:t>☐</w:t>
      </w:r>
    </w:p>
    <w:p>
      <w:pPr>
        <w:spacing w:after="0" w:line="81" w:lineRule="exact"/>
        <w:rPr>
          <w:sz w:val="24"/>
          <w:szCs w:val="24"/>
          <w:color w:val="auto"/>
        </w:rPr>
      </w:pPr>
    </w:p>
    <w:p>
      <w:pPr>
        <w:ind w:right="120" w:firstLine="518"/>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jc w:val="both"/>
        <w:ind w:right="160" w:firstLine="518"/>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6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6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180" w:type="dxa"/>
            <w:vAlign w:val="bottom"/>
          </w:tcPr>
          <w:p>
            <w:pPr>
              <w:ind w:left="276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720" w:firstLine="518"/>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20" w:right="460"/>
        <w:spacing w:after="0" w:line="27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outstanding of the registrant’s common stock, $0.0001 par value, as of July 26, 2019 was 61,296,789.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691515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52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520" w:type="dxa"/>
            <w:vAlign w:val="bottom"/>
            <w:gridSpan w:val="18"/>
            <w:vMerge w:val="continue"/>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Item 1. Financial Statements (Unaudited)</w:t>
              </w:r>
            </w:hyperlink>
          </w:p>
        </w:tc>
        <w:tc>
          <w:tcPr>
            <w:tcW w:w="7240" w:type="dxa"/>
            <w:vAlign w:val="bottom"/>
            <w:gridSpan w:val="8"/>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080" w:type="dxa"/>
            <w:vAlign w:val="bottom"/>
            <w:gridSpan w:val="17"/>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98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Operations and Comprehensive Income (Loss)</w:t>
              </w:r>
            </w:hyperlink>
          </w:p>
        </w:tc>
        <w:tc>
          <w:tcPr>
            <w:tcW w:w="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080" w:type="dxa"/>
            <w:vAlign w:val="bottom"/>
            <w:gridSpan w:val="17"/>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8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Equity</w:t>
              </w:r>
            </w:hyperlink>
          </w:p>
        </w:tc>
        <w:tc>
          <w:tcPr>
            <w:tcW w:w="5900" w:type="dxa"/>
            <w:vAlign w:val="bottom"/>
            <w:gridSpan w:val="5"/>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80" w:type="dxa"/>
            <w:vAlign w:val="bottom"/>
            <w:gridSpan w:val="17"/>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Notes to the Condensed Consolidated Financial Statements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54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20" w:type="dxa"/>
            <w:vAlign w:val="bottom"/>
            <w:gridSpan w:val="18"/>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Item 2. Management’s Discussion and Analysis of Financial Condition and Results of Operations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Item 3.</w:t>
              </w:r>
            </w:hyperlink>
          </w:p>
        </w:tc>
        <w:tc>
          <w:tcPr>
            <w:tcW w:w="7100" w:type="dxa"/>
            <w:vAlign w:val="bottom"/>
            <w:tcBorders>
              <w:top w:val="single" w:sz="8" w:color="0000EE"/>
            </w:tcBorders>
            <w:gridSpan w:val="15"/>
          </w:tcPr>
          <w:p>
            <w:pPr>
              <w:ind w:left="20"/>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Quantitative and Qualitative Disclosures About Market Risk</w:t>
              </w:r>
            </w:hyperlink>
          </w:p>
        </w:tc>
        <w:tc>
          <w:tcPr>
            <w:tcW w:w="2840" w:type="dxa"/>
            <w:vAlign w:val="bottom"/>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Item 4.</w:t>
              </w:r>
            </w:hyperlink>
          </w:p>
        </w:tc>
        <w:tc>
          <w:tcPr>
            <w:tcW w:w="2020" w:type="dxa"/>
            <w:vAlign w:val="bottom"/>
            <w:tcBorders>
              <w:top w:val="single" w:sz="8" w:color="0000EE"/>
              <w:bottom w:val="single" w:sz="8" w:color="0000EE"/>
            </w:tcBorders>
            <w:gridSpan w:val="5"/>
          </w:tcPr>
          <w:p>
            <w:pPr>
              <w:ind w:left="20"/>
              <w:spacing w:after="0" w:line="182"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Controls and Procedures</w:t>
              </w:r>
            </w:hyperlink>
          </w:p>
        </w:tc>
        <w:tc>
          <w:tcPr>
            <w:tcW w:w="2720" w:type="dxa"/>
            <w:vAlign w:val="bottom"/>
            <w:tcBorders>
              <w:top w:val="single" w:sz="8" w:color="0000EE"/>
            </w:tcBorders>
            <w:gridSpan w:val="8"/>
          </w:tcPr>
          <w:p>
            <w:pPr>
              <w:spacing w:after="0"/>
              <w:rPr>
                <w:sz w:val="17"/>
                <w:szCs w:val="17"/>
                <w:color w:val="auto"/>
              </w:rPr>
            </w:pPr>
          </w:p>
        </w:tc>
        <w:tc>
          <w:tcPr>
            <w:tcW w:w="5200" w:type="dxa"/>
            <w:vAlign w:val="bottom"/>
            <w:gridSpan w:val="3"/>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8"/>
              </w:rPr>
            </w:pPr>
            <w:hyperlink w:anchor="page51">
              <w:r>
                <w:rPr>
                  <w:rFonts w:ascii="Arial" w:cs="Arial" w:eastAsia="Arial" w:hAnsi="Arial"/>
                  <w:sz w:val="18"/>
                  <w:szCs w:val="18"/>
                  <w:b w:val="1"/>
                  <w:bCs w:val="1"/>
                  <w:color w:val="0000EE"/>
                  <w:w w:val="98"/>
                </w:rPr>
                <w:t>PART II. OTHER INFORMATION</w:t>
              </w:r>
            </w:hyperlink>
          </w:p>
        </w:tc>
        <w:tc>
          <w:tcPr>
            <w:tcW w:w="784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bottom w:val="single" w:sz="8" w:color="0000EE"/>
            </w:tcBorders>
            <w:gridSpan w:val="2"/>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Item 1.</w:t>
              </w:r>
            </w:hyperlink>
          </w:p>
        </w:tc>
        <w:tc>
          <w:tcPr>
            <w:tcW w:w="1520" w:type="dxa"/>
            <w:vAlign w:val="bottom"/>
            <w:tcBorders>
              <w:bottom w:val="single" w:sz="8" w:color="0000EE"/>
            </w:tcBorders>
            <w:gridSpan w:val="4"/>
          </w:tcPr>
          <w:p>
            <w:pPr>
              <w:ind w:left="20"/>
              <w:spacing w:after="0" w:line="182"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Legal Proceedings</w:t>
              </w:r>
            </w:hyperlink>
          </w:p>
        </w:tc>
        <w:tc>
          <w:tcPr>
            <w:tcW w:w="8420" w:type="dxa"/>
            <w:vAlign w:val="bottom"/>
            <w:gridSpan w:val="12"/>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0520" w:type="dxa"/>
            <w:vAlign w:val="bottom"/>
            <w:gridSpan w:val="18"/>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Item 1A. Risk Factors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Item 6.</w:t>
              </w:r>
            </w:hyperlink>
          </w:p>
        </w:tc>
        <w:tc>
          <w:tcPr>
            <w:tcW w:w="660" w:type="dxa"/>
            <w:vAlign w:val="bottom"/>
            <w:tcBorders>
              <w:top w:val="single" w:sz="8" w:color="0000EE"/>
              <w:bottom w:val="single" w:sz="8" w:color="0000EE"/>
            </w:tcBorders>
            <w:gridSpan w:val="2"/>
          </w:tcPr>
          <w:p>
            <w:pPr>
              <w:ind w:left="20"/>
              <w:spacing w:after="0" w:line="182" w:lineRule="exact"/>
              <w:rPr>
                <w:rFonts w:ascii="Arial" w:cs="Arial" w:eastAsia="Arial" w:hAnsi="Arial"/>
                <w:sz w:val="18"/>
                <w:szCs w:val="18"/>
                <w:color w:val="0000EE"/>
                <w:w w:val="98"/>
              </w:rPr>
            </w:pPr>
            <w:hyperlink w:anchor="page52">
              <w:r>
                <w:rPr>
                  <w:rFonts w:ascii="Arial" w:cs="Arial" w:eastAsia="Arial" w:hAnsi="Arial"/>
                  <w:sz w:val="18"/>
                  <w:szCs w:val="18"/>
                  <w:color w:val="0000EE"/>
                  <w:w w:val="98"/>
                </w:rPr>
                <w:t>Exhibits</w:t>
              </w:r>
            </w:hyperlink>
          </w:p>
        </w:tc>
        <w:tc>
          <w:tcPr>
            <w:tcW w:w="480" w:type="dxa"/>
            <w:vAlign w:val="bottom"/>
            <w:tcBorders>
              <w:top w:val="single" w:sz="8" w:color="0000EE"/>
            </w:tcBorders>
          </w:tcPr>
          <w:p>
            <w:pPr>
              <w:spacing w:after="0"/>
              <w:rPr>
                <w:sz w:val="17"/>
                <w:szCs w:val="17"/>
                <w:color w:val="auto"/>
              </w:rPr>
            </w:pPr>
          </w:p>
        </w:tc>
        <w:tc>
          <w:tcPr>
            <w:tcW w:w="8800" w:type="dxa"/>
            <w:vAlign w:val="bottom"/>
            <w:gridSpan w:val="13"/>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0520" w:type="dxa"/>
            <w:vAlign w:val="bottom"/>
            <w:gridSpan w:val="18"/>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Signatures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912"/>
        </w:trPr>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560" w:type="dxa"/>
            <w:vAlign w:val="bottom"/>
            <w:gridSpan w:val="13"/>
          </w:tcPr>
          <w:p>
            <w:pPr>
              <w:jc w:val="right"/>
              <w:ind w:right="16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532"/>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4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7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June 30, 2019</w:t>
            </w: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80" w:type="dxa"/>
            <w:vAlign w:val="bottom"/>
            <w:gridSpan w:val="5"/>
          </w:tcPr>
          <w:p>
            <w:pPr>
              <w:ind w:left="10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346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129,883</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303,619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300,307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263,833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234,518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106,847</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90,646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804,182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887,172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Satellites, net</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1,274,672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1,215,663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941,373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909,627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320,227</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Other acquired intangible assets, net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20,354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121,615</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779,863</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758,805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4,262,286</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3,915,287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FF0FC"/>
              <w:bottom w:val="single" w:sz="8" w:color="CFF0FC"/>
            </w:tcBorders>
            <w:vMerge w:val="restart"/>
          </w:tcPr>
          <w:p>
            <w:pPr>
              <w:ind w:left="272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145,544</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157,275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liabilities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324,885</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308,268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19,652</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490,081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485,480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Senior notes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1,283,746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1,282,898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debt</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99,210</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297,867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118,090</w:t>
            </w:r>
          </w:p>
        </w:tc>
        <w:tc>
          <w:tcPr>
            <w:tcW w:w="3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2,288,994</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1,999,209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Viasat, Inc. stockholders’ equity</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Paid-in capital</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1,726,009</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1,656,819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234,117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245,585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3,099</w:t>
            </w:r>
          </w:p>
        </w:tc>
        <w:tc>
          <w:tcPr>
            <w:tcW w:w="3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260"/>
              <w:spacing w:after="0"/>
              <w:rPr>
                <w:sz w:val="20"/>
                <w:szCs w:val="20"/>
                <w:color w:val="auto"/>
              </w:rPr>
            </w:pPr>
            <w:r>
              <w:rPr>
                <w:rFonts w:ascii="Arial" w:cs="Arial" w:eastAsia="Arial" w:hAnsi="Arial"/>
                <w:sz w:val="18"/>
                <w:szCs w:val="18"/>
                <w:color w:val="auto"/>
              </w:rPr>
              <w:t>Total Viasat, Inc. stockholders’ equity</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1,963,231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1,907,748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 in subsidiary</w:t>
            </w: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10,061</w:t>
            </w:r>
          </w:p>
        </w:tc>
        <w:tc>
          <w:tcPr>
            <w:tcW w:w="3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1,973,292</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1,916,078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 and equity</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4,262,286</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3,915,287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AND COMPREHENSIVE INCOME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5"/>
          </w:tcPr>
          <w:p>
            <w:pPr>
              <w:jc w:val="right"/>
              <w:ind w:right="9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169"/>
        </w:trPr>
        <w:tc>
          <w:tcPr>
            <w:tcW w:w="7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14"/>
                <w:szCs w:val="14"/>
                <w:color w:val="auto"/>
              </w:rPr>
            </w:pPr>
          </w:p>
        </w:tc>
      </w:tr>
      <w:tr>
        <w:trPr>
          <w:trHeight w:val="169"/>
        </w:trPr>
        <w:tc>
          <w:tcPr>
            <w:tcW w:w="7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(In thousands, except per share data)</w:t>
            </w: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60"/>
              <w:spacing w:after="0"/>
              <w:rPr>
                <w:sz w:val="20"/>
                <w:szCs w:val="20"/>
                <w:color w:val="auto"/>
              </w:rPr>
            </w:pPr>
            <w:r>
              <w:rPr>
                <w:rFonts w:ascii="Arial" w:cs="Arial" w:eastAsia="Arial" w:hAnsi="Arial"/>
                <w:sz w:val="18"/>
                <w:szCs w:val="18"/>
                <w:color w:val="auto"/>
              </w:rPr>
              <w:t>Product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263,615</w:t>
            </w:r>
          </w:p>
        </w:tc>
        <w:tc>
          <w:tcPr>
            <w:tcW w:w="1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218,129</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revenues</w:t>
            </w: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273,422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220,740</w:t>
            </w:r>
          </w:p>
        </w:tc>
        <w:tc>
          <w:tcPr>
            <w:tcW w:w="100" w:type="dxa"/>
            <w:vAlign w:val="bottom"/>
            <w:shd w:val="clear" w:color="auto" w:fill="CFF0FC"/>
          </w:tcPr>
          <w:p>
            <w:pPr>
              <w:spacing w:after="0"/>
              <w:rPr>
                <w:sz w:val="18"/>
                <w:szCs w:val="18"/>
                <w:color w:val="auto"/>
              </w:rPr>
            </w:pPr>
          </w:p>
        </w:tc>
      </w:tr>
      <w:tr>
        <w:trPr>
          <w:trHeight w:val="210"/>
        </w:trPr>
        <w:tc>
          <w:tcPr>
            <w:tcW w:w="7820" w:type="dxa"/>
            <w:vAlign w:val="bottom"/>
          </w:tcPr>
          <w:p>
            <w:pPr>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537,037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438,869</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60"/>
              <w:spacing w:after="0"/>
              <w:rPr>
                <w:sz w:val="20"/>
                <w:szCs w:val="20"/>
                <w:color w:val="auto"/>
              </w:rPr>
            </w:pPr>
            <w:r>
              <w:rPr>
                <w:rFonts w:ascii="Arial" w:cs="Arial" w:eastAsia="Arial" w:hAnsi="Arial"/>
                <w:sz w:val="18"/>
                <w:szCs w:val="18"/>
                <w:color w:val="auto"/>
              </w:rPr>
              <w:t>Cost of product revenues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196,940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173,448</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 revenues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187,519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171,432</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125,132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112,642</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Independent research and development</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33,474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33,373</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acquired intangible assets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Borders>
              <w:bottom w:val="single" w:sz="8" w:color="CFF0FC"/>
            </w:tcBorders>
          </w:tcPr>
          <w:p>
            <w:pPr>
              <w:spacing w:after="0"/>
              <w:rPr>
                <w:sz w:val="18"/>
                <w:szCs w:val="18"/>
                <w:color w:val="auto"/>
              </w:rPr>
            </w:pPr>
          </w:p>
        </w:tc>
      </w:tr>
      <w:tr>
        <w:trPr>
          <w:trHeight w:val="21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(8,065)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(54,479)</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(11,174)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(11,324)</w:t>
            </w:r>
          </w:p>
        </w:tc>
      </w:tr>
      <w:tr>
        <w:trPr>
          <w:trHeight w:val="20"/>
        </w:trPr>
        <w:tc>
          <w:tcPr>
            <w:tcW w:w="7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(18,314)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(65,767)</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29,205</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Equity in income of unconsolidated affiliate, net</w:t>
            </w: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FF0FC"/>
          </w:tcPr>
          <w:p>
            <w:pPr>
              <w:spacing w:after="0"/>
              <w:rPr>
                <w:sz w:val="18"/>
                <w:szCs w:val="18"/>
                <w:color w:val="auto"/>
              </w:rPr>
            </w:pPr>
          </w:p>
        </w:tc>
      </w:tr>
      <w:tr>
        <w:trPr>
          <w:trHeight w:val="210"/>
        </w:trPr>
        <w:tc>
          <w:tcPr>
            <w:tcW w:w="782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(9,737)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(35,497)</w:t>
            </w: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Less: net income (loss) attributable to noncontrolling interests, net of tax</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(1,487)</w:t>
            </w:r>
          </w:p>
        </w:tc>
      </w:tr>
      <w:tr>
        <w:trPr>
          <w:trHeight w:val="20"/>
        </w:trPr>
        <w:tc>
          <w:tcPr>
            <w:tcW w:w="7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820" w:type="dxa"/>
            <w:vAlign w:val="bottom"/>
          </w:tcPr>
          <w:p>
            <w:pPr>
              <w:spacing w:after="0"/>
              <w:rPr>
                <w:sz w:val="20"/>
                <w:szCs w:val="20"/>
                <w:color w:val="auto"/>
              </w:rPr>
            </w:pPr>
            <w:r>
              <w:rPr>
                <w:rFonts w:ascii="Arial" w:cs="Arial" w:eastAsia="Arial" w:hAnsi="Arial"/>
                <w:sz w:val="18"/>
                <w:szCs w:val="18"/>
                <w:color w:val="auto"/>
              </w:rPr>
              <w:t>Net loss attributable to Viasat, Inc.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(11,468)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(34,010)</w:t>
            </w:r>
          </w:p>
        </w:tc>
      </w:tr>
      <w:tr>
        <w:trPr>
          <w:trHeight w:val="196"/>
        </w:trPr>
        <w:tc>
          <w:tcPr>
            <w:tcW w:w="78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Basic net loss per share attributable to Viasat, Inc. common</w:t>
            </w:r>
          </w:p>
        </w:tc>
        <w:tc>
          <w:tcPr>
            <w:tcW w:w="22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782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stockholders</w:t>
            </w:r>
          </w:p>
        </w:tc>
        <w:tc>
          <w:tcPr>
            <w:tcW w:w="22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(0.19)</w:t>
            </w:r>
          </w:p>
        </w:tc>
        <w:tc>
          <w:tcPr>
            <w:tcW w:w="32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(0.57)</w:t>
            </w:r>
          </w:p>
        </w:tc>
      </w:tr>
      <w:tr>
        <w:trPr>
          <w:trHeight w:val="215"/>
        </w:trPr>
        <w:tc>
          <w:tcPr>
            <w:tcW w:w="7820" w:type="dxa"/>
            <w:vAlign w:val="bottom"/>
          </w:tcPr>
          <w:p>
            <w:pPr>
              <w:spacing w:after="0"/>
              <w:rPr>
                <w:sz w:val="20"/>
                <w:szCs w:val="20"/>
                <w:color w:val="auto"/>
              </w:rPr>
            </w:pPr>
            <w:r>
              <w:rPr>
                <w:rFonts w:ascii="Arial" w:cs="Arial" w:eastAsia="Arial" w:hAnsi="Arial"/>
                <w:sz w:val="18"/>
                <w:szCs w:val="18"/>
                <w:color w:val="auto"/>
              </w:rPr>
              <w:t>Diluted net loss per share attributable to Viasat, Inc. common</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820" w:type="dxa"/>
            <w:vAlign w:val="bottom"/>
          </w:tcPr>
          <w:p>
            <w:pPr>
              <w:ind w:left="160"/>
              <w:spacing w:after="0" w:line="203" w:lineRule="exact"/>
              <w:rPr>
                <w:sz w:val="20"/>
                <w:szCs w:val="20"/>
                <w:color w:val="auto"/>
              </w:rPr>
            </w:pPr>
            <w:r>
              <w:rPr>
                <w:rFonts w:ascii="Arial" w:cs="Arial" w:eastAsia="Arial" w:hAnsi="Arial"/>
                <w:sz w:val="18"/>
                <w:szCs w:val="18"/>
                <w:color w:val="auto"/>
              </w:rPr>
              <w:t>stockholders</w:t>
            </w: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(0.19)</w:t>
            </w:r>
          </w:p>
        </w:tc>
        <w:tc>
          <w:tcPr>
            <w:tcW w:w="3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(0.57)</w:t>
            </w: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computing basic net loss per share</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60,917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59,208</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Shares used in computing diluted net loss per share</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60,917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59,208</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(9,737)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(35,497)</w:t>
            </w: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60"/>
              <w:spacing w:after="0"/>
              <w:rPr>
                <w:sz w:val="20"/>
                <w:szCs w:val="20"/>
                <w:color w:val="auto"/>
              </w:rPr>
            </w:pPr>
            <w:r>
              <w:rPr>
                <w:rFonts w:ascii="Arial" w:cs="Arial" w:eastAsia="Arial" w:hAnsi="Arial"/>
                <w:sz w:val="18"/>
                <w:szCs w:val="18"/>
                <w:color w:val="auto"/>
              </w:rPr>
              <w:t>Unrealized gain (loss) on hedging, net of tax</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(326)</w:t>
            </w:r>
          </w:p>
        </w:tc>
      </w:tr>
      <w:tr>
        <w:trPr>
          <w:trHeight w:val="21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 net of tax</w:t>
            </w: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(2,284)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FF0FC"/>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2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(2,239)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r>
      <w:tr>
        <w:trPr>
          <w:trHeight w:val="20"/>
        </w:trPr>
        <w:tc>
          <w:tcPr>
            <w:tcW w:w="7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(11,976)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(35,620)</w:t>
            </w:r>
          </w:p>
        </w:tc>
      </w:tr>
      <w:tr>
        <w:trPr>
          <w:trHeight w:val="215"/>
        </w:trPr>
        <w:tc>
          <w:tcPr>
            <w:tcW w:w="7820" w:type="dxa"/>
            <w:vAlign w:val="bottom"/>
          </w:tcPr>
          <w:p>
            <w:pPr>
              <w:spacing w:after="0"/>
              <w:rPr>
                <w:sz w:val="20"/>
                <w:szCs w:val="20"/>
                <w:color w:val="auto"/>
              </w:rPr>
            </w:pPr>
            <w:r>
              <w:rPr>
                <w:rFonts w:ascii="Arial" w:cs="Arial" w:eastAsia="Arial" w:hAnsi="Arial"/>
                <w:sz w:val="18"/>
                <w:szCs w:val="18"/>
                <w:color w:val="auto"/>
              </w:rPr>
              <w:t>Less: comprehensive income (loss) attributable to noncontrolling</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820" w:type="dxa"/>
            <w:vAlign w:val="bottom"/>
          </w:tcPr>
          <w:p>
            <w:pPr>
              <w:ind w:left="160"/>
              <w:spacing w:after="0" w:line="203" w:lineRule="exact"/>
              <w:rPr>
                <w:sz w:val="20"/>
                <w:szCs w:val="20"/>
                <w:color w:val="auto"/>
              </w:rPr>
            </w:pPr>
            <w:r>
              <w:rPr>
                <w:rFonts w:ascii="Arial" w:cs="Arial" w:eastAsia="Arial" w:hAnsi="Arial"/>
                <w:sz w:val="18"/>
                <w:szCs w:val="18"/>
                <w:color w:val="auto"/>
              </w:rPr>
              <w:t>interests, net of tax</w:t>
            </w:r>
          </w:p>
        </w:tc>
        <w:tc>
          <w:tcPr>
            <w:tcW w:w="2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1,731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(1,487)</w:t>
            </w:r>
          </w:p>
        </w:tc>
      </w:tr>
      <w:tr>
        <w:trPr>
          <w:trHeight w:val="20"/>
        </w:trPr>
        <w:tc>
          <w:tcPr>
            <w:tcW w:w="7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 attributable to Viasat, Inc.</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(13,707)</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(34,133)</w:t>
            </w:r>
          </w:p>
        </w:tc>
      </w:tr>
      <w:tr>
        <w:trPr>
          <w:trHeight w:val="20"/>
        </w:trPr>
        <w:tc>
          <w:tcPr>
            <w:tcW w:w="78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6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6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June 30, 2019</w:t>
            </w:r>
          </w:p>
        </w:tc>
        <w:tc>
          <w:tcPr>
            <w:tcW w:w="1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w w:val="94"/>
              </w:rPr>
              <w:t>June 30, 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(9,737)</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(35,497)</w:t>
            </w: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Adjustments to reconcile net loss to net cash provided by operating activities:</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500"/>
              <w:spacing w:after="0"/>
              <w:rPr>
                <w:sz w:val="20"/>
                <w:szCs w:val="20"/>
                <w:color w:val="auto"/>
              </w:rPr>
            </w:pPr>
            <w:r>
              <w:rPr>
                <w:rFonts w:ascii="Arial" w:cs="Arial" w:eastAsia="Arial" w:hAnsi="Arial"/>
                <w:sz w:val="16"/>
                <w:szCs w:val="16"/>
                <w:color w:val="auto"/>
              </w:rPr>
              <w:t>Depreciation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68,802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63,793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intangible assets</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15,210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500"/>
              <w:spacing w:after="0"/>
              <w:rPr>
                <w:sz w:val="20"/>
                <w:szCs w:val="20"/>
                <w:color w:val="auto"/>
              </w:rPr>
            </w:pPr>
            <w:r>
              <w:rPr>
                <w:rFonts w:ascii="Arial" w:cs="Arial" w:eastAsia="Arial" w:hAnsi="Arial"/>
                <w:sz w:val="16"/>
                <w:szCs w:val="16"/>
                <w:color w:val="auto"/>
              </w:rPr>
              <w:t>Stock-based compensation expense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21,227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19,126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on disposition of fixed assets</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13,134</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500"/>
              <w:spacing w:after="0"/>
              <w:rPr>
                <w:sz w:val="20"/>
                <w:szCs w:val="20"/>
                <w:color w:val="auto"/>
              </w:rPr>
            </w:pPr>
            <w:r>
              <w:rPr>
                <w:rFonts w:ascii="Arial" w:cs="Arial" w:eastAsia="Arial" w:hAnsi="Arial"/>
                <w:sz w:val="16"/>
                <w:szCs w:val="16"/>
                <w:color w:val="auto"/>
              </w:rPr>
              <w:t>Other non-cash adjustments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(5,367)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(29,148)</w:t>
            </w:r>
          </w:p>
        </w:tc>
        <w:tc>
          <w:tcPr>
            <w:tcW w:w="0" w:type="dxa"/>
            <w:vAlign w:val="bottom"/>
          </w:tcPr>
          <w:p>
            <w:pPr>
              <w:spacing w:after="0"/>
              <w:rPr>
                <w:sz w:val="1"/>
                <w:szCs w:val="1"/>
                <w:color w:val="auto"/>
              </w:rPr>
            </w:pPr>
          </w:p>
        </w:tc>
      </w:tr>
      <w:tr>
        <w:trPr>
          <w:trHeight w:val="204"/>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Increase (decrease) in cash resulting from changes in operating assets</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and liabilities, net of effect of acquisition:</w:t>
            </w: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(5,472)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24,125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Inventories</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(29,252)</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(22,245)</w:t>
            </w:r>
          </w:p>
        </w:tc>
        <w:tc>
          <w:tcPr>
            <w:tcW w:w="0" w:type="dxa"/>
            <w:vAlign w:val="bottom"/>
          </w:tcPr>
          <w:p>
            <w:pPr>
              <w:spacing w:after="0"/>
              <w:rPr>
                <w:sz w:val="1"/>
                <w:szCs w:val="1"/>
                <w:color w:val="auto"/>
              </w:rPr>
            </w:pPr>
          </w:p>
        </w:tc>
      </w:tr>
      <w:tr>
        <w:trPr>
          <w:trHeight w:val="203"/>
        </w:trPr>
        <w:tc>
          <w:tcPr>
            <w:tcW w:w="694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(13,595)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(10,812)</w:t>
            </w: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payable</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(3,869)</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03"/>
        </w:trPr>
        <w:tc>
          <w:tcPr>
            <w:tcW w:w="6940" w:type="dxa"/>
            <w:vAlign w:val="bottom"/>
          </w:tcPr>
          <w:p>
            <w:pPr>
              <w:ind w:left="500"/>
              <w:spacing w:after="0"/>
              <w:rPr>
                <w:sz w:val="20"/>
                <w:szCs w:val="20"/>
                <w:color w:val="auto"/>
              </w:rPr>
            </w:pPr>
            <w:r>
              <w:rPr>
                <w:rFonts w:ascii="Arial" w:cs="Arial" w:eastAsia="Arial" w:hAnsi="Arial"/>
                <w:sz w:val="16"/>
                <w:szCs w:val="16"/>
                <w:color w:val="auto"/>
              </w:rPr>
              <w:t>Accrued liabilities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(8,000)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12,226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liabilities</w:t>
            </w:r>
          </w:p>
        </w:tc>
        <w:tc>
          <w:tcPr>
            <w:tcW w:w="9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3,383</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40" w:type="dxa"/>
            <w:vAlign w:val="bottom"/>
          </w:tcPr>
          <w:p>
            <w:pPr>
              <w:ind w:left="740"/>
              <w:spacing w:after="0"/>
              <w:rPr>
                <w:sz w:val="20"/>
                <w:szCs w:val="20"/>
                <w:color w:val="auto"/>
              </w:rPr>
            </w:pPr>
            <w:r>
              <w:rPr>
                <w:rFonts w:ascii="Arial" w:cs="Arial" w:eastAsia="Arial" w:hAnsi="Arial"/>
                <w:sz w:val="16"/>
                <w:szCs w:val="16"/>
                <w:color w:val="auto"/>
              </w:rPr>
              <w:t>Net cash provided by operating activities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46,464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53,814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260"/>
              <w:spacing w:after="0"/>
              <w:rPr>
                <w:sz w:val="20"/>
                <w:szCs w:val="20"/>
                <w:color w:val="auto"/>
              </w:rPr>
            </w:pPr>
            <w:r>
              <w:rPr>
                <w:rFonts w:ascii="Arial" w:cs="Arial" w:eastAsia="Arial" w:hAnsi="Arial"/>
                <w:sz w:val="16"/>
                <w:szCs w:val="16"/>
                <w:color w:val="auto"/>
              </w:rPr>
              <w:t>Purchase of property, equipment and satellites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(166,115)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(146,633)</w:t>
            </w: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paid for patents, licenses and other assets</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(21,936)</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(12,155)</w:t>
            </w:r>
          </w:p>
        </w:tc>
        <w:tc>
          <w:tcPr>
            <w:tcW w:w="0" w:type="dxa"/>
            <w:vAlign w:val="bottom"/>
          </w:tcPr>
          <w:p>
            <w:pPr>
              <w:spacing w:after="0"/>
              <w:rPr>
                <w:sz w:val="1"/>
                <w:szCs w:val="1"/>
                <w:color w:val="auto"/>
              </w:rPr>
            </w:pPr>
          </w:p>
        </w:tc>
      </w:tr>
      <w:tr>
        <w:trPr>
          <w:trHeight w:val="203"/>
        </w:trPr>
        <w:tc>
          <w:tcPr>
            <w:tcW w:w="6940" w:type="dxa"/>
            <w:vAlign w:val="bottom"/>
          </w:tcPr>
          <w:p>
            <w:pPr>
              <w:ind w:left="260"/>
              <w:spacing w:after="0"/>
              <w:rPr>
                <w:sz w:val="20"/>
                <w:szCs w:val="20"/>
                <w:color w:val="auto"/>
              </w:rPr>
            </w:pPr>
            <w:r>
              <w:rPr>
                <w:rFonts w:ascii="Arial" w:cs="Arial" w:eastAsia="Arial" w:hAnsi="Arial"/>
                <w:sz w:val="16"/>
                <w:szCs w:val="16"/>
                <w:color w:val="auto"/>
              </w:rPr>
              <w:t>Proceeds from insurance claims on ViaSat-2 satellite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2,277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 related to acquisition of business, net of cash acquired</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(2,070)</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(185,774)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(160,858)</w:t>
            </w: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260"/>
              <w:spacing w:after="0"/>
              <w:rPr>
                <w:sz w:val="20"/>
                <w:szCs w:val="20"/>
                <w:color w:val="auto"/>
              </w:rPr>
            </w:pPr>
            <w:r>
              <w:rPr>
                <w:rFonts w:ascii="Arial" w:cs="Arial" w:eastAsia="Arial" w:hAnsi="Arial"/>
                <w:sz w:val="16"/>
                <w:szCs w:val="16"/>
                <w:color w:val="auto"/>
              </w:rPr>
              <w:t>Proceeds from revolving credit facility borrowings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of revolving credit facility borrowings</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03"/>
        </w:trPr>
        <w:tc>
          <w:tcPr>
            <w:tcW w:w="6940" w:type="dxa"/>
            <w:vAlign w:val="bottom"/>
          </w:tcPr>
          <w:p>
            <w:pPr>
              <w:ind w:left="260"/>
              <w:spacing w:after="0"/>
              <w:rPr>
                <w:sz w:val="20"/>
                <w:szCs w:val="20"/>
                <w:color w:val="auto"/>
              </w:rPr>
            </w:pPr>
            <w:r>
              <w:rPr>
                <w:rFonts w:ascii="Arial" w:cs="Arial" w:eastAsia="Arial" w:hAnsi="Arial"/>
                <w:sz w:val="16"/>
                <w:szCs w:val="16"/>
                <w:color w:val="auto"/>
              </w:rPr>
              <w:t>Payments of Ex-Im credit facility borrowings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(11,821)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(22,650)</w:t>
            </w: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 of debt issuance costs</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(2,479)</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940" w:type="dxa"/>
            <w:vAlign w:val="bottom"/>
          </w:tcPr>
          <w:p>
            <w:pPr>
              <w:ind w:left="260"/>
              <w:spacing w:after="0"/>
              <w:rPr>
                <w:sz w:val="20"/>
                <w:szCs w:val="20"/>
                <w:color w:val="auto"/>
              </w:rPr>
            </w:pPr>
            <w:r>
              <w:rPr>
                <w:rFonts w:ascii="Arial" w:cs="Arial" w:eastAsia="Arial" w:hAnsi="Arial"/>
                <w:sz w:val="16"/>
                <w:szCs w:val="16"/>
                <w:color w:val="auto"/>
              </w:rPr>
              <w:t>Proceeds from issuance of common stock under equity plans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24,377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7,655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 of common stock in treasury (immediately retired) related to tax</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withholdings for stock-based compensation</w:t>
            </w: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(2,328)</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(5,969)</w:t>
            </w:r>
          </w:p>
        </w:tc>
        <w:tc>
          <w:tcPr>
            <w:tcW w:w="0" w:type="dxa"/>
            <w:vAlign w:val="bottom"/>
          </w:tcPr>
          <w:p>
            <w:pPr>
              <w:spacing w:after="0"/>
              <w:rPr>
                <w:sz w:val="1"/>
                <w:szCs w:val="1"/>
                <w:color w:val="auto"/>
              </w:rPr>
            </w:pPr>
          </w:p>
        </w:tc>
      </w:tr>
      <w:tr>
        <w:trPr>
          <w:trHeight w:val="203"/>
        </w:trPr>
        <w:tc>
          <w:tcPr>
            <w:tcW w:w="6940" w:type="dxa"/>
            <w:vAlign w:val="bottom"/>
          </w:tcPr>
          <w:p>
            <w:pPr>
              <w:ind w:left="260"/>
              <w:spacing w:after="0"/>
              <w:rPr>
                <w:sz w:val="20"/>
                <w:szCs w:val="20"/>
                <w:color w:val="auto"/>
              </w:rPr>
            </w:pPr>
            <w:r>
              <w:rPr>
                <w:rFonts w:ascii="Arial" w:cs="Arial" w:eastAsia="Arial" w:hAnsi="Arial"/>
                <w:sz w:val="16"/>
                <w:szCs w:val="16"/>
                <w:color w:val="auto"/>
              </w:rPr>
              <w:t>Other financing activities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(2,376)</w:t>
            </w:r>
          </w:p>
        </w:tc>
        <w:tc>
          <w:tcPr>
            <w:tcW w:w="0" w:type="dxa"/>
            <w:vAlign w:val="bottom"/>
          </w:tcPr>
          <w:p>
            <w:pPr>
              <w:spacing w:after="0"/>
              <w:rPr>
                <w:sz w:val="1"/>
                <w:szCs w:val="1"/>
                <w:color w:val="auto"/>
              </w:rPr>
            </w:pPr>
          </w:p>
        </w:tc>
      </w:tr>
      <w:tr>
        <w:trPr>
          <w:trHeight w:val="196"/>
        </w:trPr>
        <w:tc>
          <w:tcPr>
            <w:tcW w:w="69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Net cash provided by financing activities</w:t>
            </w:r>
          </w:p>
        </w:tc>
        <w:tc>
          <w:tcPr>
            <w:tcW w:w="9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7,494</w:t>
            </w: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91,660</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(1,273)</w:t>
            </w:r>
          </w:p>
        </w:tc>
        <w:tc>
          <w:tcPr>
            <w:tcW w:w="0" w:type="dxa"/>
            <w:vAlign w:val="bottom"/>
          </w:tcPr>
          <w:p>
            <w:pPr>
              <w:spacing w:after="0"/>
              <w:rPr>
                <w:sz w:val="1"/>
                <w:szCs w:val="1"/>
                <w:color w:val="auto"/>
              </w:rPr>
            </w:pPr>
          </w:p>
        </w:tc>
      </w:tr>
      <w:tr>
        <w:trPr>
          <w:trHeight w:val="20"/>
        </w:trPr>
        <w:tc>
          <w:tcPr>
            <w:tcW w:w="694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Net decrease in cash and cash equivalents</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(131,818)</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(16,657)</w:t>
            </w:r>
          </w:p>
        </w:tc>
        <w:tc>
          <w:tcPr>
            <w:tcW w:w="0" w:type="dxa"/>
            <w:vAlign w:val="bottom"/>
          </w:tcPr>
          <w:p>
            <w:pPr>
              <w:spacing w:after="0"/>
              <w:rPr>
                <w:sz w:val="1"/>
                <w:szCs w:val="1"/>
                <w:color w:val="auto"/>
              </w:rPr>
            </w:pPr>
          </w:p>
        </w:tc>
      </w:tr>
      <w:tr>
        <w:trPr>
          <w:trHeight w:val="203"/>
        </w:trPr>
        <w:tc>
          <w:tcPr>
            <w:tcW w:w="69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at beginning of period</w:t>
            </w:r>
          </w:p>
        </w:tc>
        <w:tc>
          <w:tcPr>
            <w:tcW w:w="9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261,701</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71,446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end of period</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129,883</w:t>
            </w:r>
          </w:p>
        </w:tc>
        <w:tc>
          <w:tcPr>
            <w:tcW w:w="18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54,789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9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 in satisfaction of certain accrued employee</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compensation liabilities</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22,829</w:t>
            </w:r>
          </w:p>
        </w:tc>
        <w:tc>
          <w:tcPr>
            <w:tcW w:w="180" w:type="dxa"/>
            <w:vAlign w:val="bottom"/>
            <w:shd w:val="clear" w:color="auto" w:fill="CFF0FC"/>
          </w:tcPr>
          <w:p>
            <w:pPr>
              <w:spacing w:after="0"/>
              <w:rPr>
                <w:sz w:val="16"/>
                <w:szCs w:val="16"/>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32,129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940" w:type="dxa"/>
            <w:vAlign w:val="bottom"/>
          </w:tcPr>
          <w:p>
            <w:pPr>
              <w:ind w:left="260"/>
              <w:spacing w:after="0"/>
              <w:rPr>
                <w:sz w:val="20"/>
                <w:szCs w:val="20"/>
                <w:color w:val="auto"/>
              </w:rPr>
            </w:pPr>
            <w:r>
              <w:rPr>
                <w:rFonts w:ascii="Arial" w:cs="Arial" w:eastAsia="Arial" w:hAnsi="Arial"/>
                <w:sz w:val="16"/>
                <w:szCs w:val="16"/>
                <w:color w:val="auto"/>
              </w:rPr>
              <w:t>Capital expenditures not paid for</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10,250</w:t>
            </w:r>
          </w:p>
        </w:tc>
        <w:tc>
          <w:tcPr>
            <w:tcW w:w="1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rPr>
              <w:t>Viasat, Inc. Stockholders</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2200" w:type="dxa"/>
            <w:vAlign w:val="bottom"/>
            <w:gridSpan w:val="5"/>
          </w:tcPr>
          <w:p>
            <w:pPr>
              <w:ind w:left="460"/>
              <w:spacing w:after="0"/>
              <w:rPr>
                <w:sz w:val="20"/>
                <w:szCs w:val="20"/>
                <w:color w:val="auto"/>
              </w:rPr>
            </w:pPr>
            <w:r>
              <w:rPr>
                <w:rFonts w:ascii="Arial" w:cs="Arial" w:eastAsia="Arial" w:hAnsi="Arial"/>
                <w:sz w:val="14"/>
                <w:szCs w:val="14"/>
                <w:b w:val="1"/>
                <w:bCs w:val="1"/>
                <w:color w:val="auto"/>
              </w:rPr>
              <w:t>Common Stock</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320" w:type="dxa"/>
            <w:vAlign w:val="bottom"/>
            <w:gridSpan w:val="4"/>
          </w:tcPr>
          <w:p>
            <w:pPr>
              <w:ind w:left="80"/>
              <w:spacing w:after="0"/>
              <w:rPr>
                <w:sz w:val="20"/>
                <w:szCs w:val="20"/>
                <w:color w:val="auto"/>
              </w:rPr>
            </w:pPr>
            <w:r>
              <w:rPr>
                <w:rFonts w:ascii="Arial" w:cs="Arial" w:eastAsia="Arial" w:hAnsi="Arial"/>
                <w:sz w:val="14"/>
                <w:szCs w:val="14"/>
                <w:b w:val="1"/>
                <w:bCs w:val="1"/>
                <w:color w:val="auto"/>
              </w:rPr>
              <w:t>Noncontrolling</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Paid-in</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Retained</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Interest in</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Issued</w:t>
            </w:r>
          </w:p>
        </w:tc>
        <w:tc>
          <w:tcPr>
            <w:tcW w:w="10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Capital</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5"/>
                <w:szCs w:val="15"/>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Subsidiaries</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420" w:type="dxa"/>
            <w:vAlign w:val="bottom"/>
            <w:tcBorders>
              <w:top w:val="single" w:sz="8" w:color="auto"/>
            </w:tcBorders>
            <w:gridSpan w:val="7"/>
          </w:tcPr>
          <w:p>
            <w:pPr>
              <w:jc w:val="right"/>
              <w:ind w:right="540"/>
              <w:spacing w:after="0"/>
              <w:rPr>
                <w:sz w:val="20"/>
                <w:szCs w:val="20"/>
                <w:color w:val="auto"/>
              </w:rPr>
            </w:pPr>
            <w:r>
              <w:rPr>
                <w:rFonts w:ascii="Arial" w:cs="Arial" w:eastAsia="Arial" w:hAnsi="Arial"/>
                <w:sz w:val="14"/>
                <w:szCs w:val="14"/>
                <w:b w:val="1"/>
                <w:bCs w:val="1"/>
                <w:color w:val="auto"/>
              </w:rPr>
              <w:t>(In thousands, except share data)</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Balance at March 31, 2019</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60,550,093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$ 1,656,819</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$ 245,585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5,338</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8,330</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$ 1,916,078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8"/>
                <w:szCs w:val="18"/>
                <w:color w:val="auto"/>
              </w:rPr>
              <w:t>259,125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16,071</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16,071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Issuance of stock under Employee Stock</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Purchase Plan</w:t>
            </w: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165,770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8,306</w:t>
            </w: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8,306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24,312</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24,312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Shares issued in settlement of certain</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employee compensation liabilities</w:t>
            </w: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255,615</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22,829</w:t>
            </w: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22,829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60" w:type="dxa"/>
            <w:vAlign w:val="bottom"/>
          </w:tcPr>
          <w:p>
            <w:pPr>
              <w:spacing w:after="0"/>
              <w:rPr>
                <w:sz w:val="20"/>
                <w:szCs w:val="20"/>
                <w:color w:val="auto"/>
              </w:rPr>
            </w:pPr>
            <w:r>
              <w:rPr>
                <w:rFonts w:ascii="Arial" w:cs="Arial" w:eastAsia="Arial" w:hAnsi="Arial"/>
                <w:sz w:val="18"/>
                <w:szCs w:val="18"/>
                <w:color w:val="auto"/>
              </w:rPr>
              <w:t>RSU awards vesting, net of shares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withheld for taxes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160"/>
              <w:spacing w:after="0" w:line="203" w:lineRule="exact"/>
              <w:rPr>
                <w:sz w:val="20"/>
                <w:szCs w:val="20"/>
                <w:color w:val="auto"/>
              </w:rPr>
            </w:pPr>
            <w:r>
              <w:rPr>
                <w:rFonts w:ascii="Arial" w:cs="Arial" w:eastAsia="Arial" w:hAnsi="Arial"/>
                <w:sz w:val="18"/>
                <w:szCs w:val="18"/>
                <w:color w:val="auto"/>
              </w:rPr>
              <w:t>which have been retired</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46,330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(2,328)</w:t>
            </w:r>
          </w:p>
        </w:tc>
        <w:tc>
          <w:tcPr>
            <w:tcW w:w="10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(11,468)</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1,731</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(9,737)</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(2,239)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0"/>
        </w:trPr>
        <w:tc>
          <w:tcPr>
            <w:tcW w:w="34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30, 2019</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61,276,933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$ 1,726,009</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$ 234,117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3,099</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10,061</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$ 1,973,292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Balance at March 31, 2018</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58,905,274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$ 1,535,635</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$ 285,960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15,565</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10,841</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$ 1,848,007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8"/>
                <w:szCs w:val="18"/>
                <w:color w:val="auto"/>
              </w:rPr>
              <w:t>7,100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Issuance of stock under Employee Stock</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Purchase Plan</w:t>
            </w: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132,180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7,384</w:t>
            </w: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7,384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21,738</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21,738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Shares and fully-vested RSUs issued in</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settlement of</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certain accrued employee</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compensation liabilities, net</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of shares withheld for taxes which have</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been retired</w:t>
            </w: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438,433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27,701</w:t>
            </w: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27,701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60" w:type="dxa"/>
            <w:vAlign w:val="bottom"/>
          </w:tcPr>
          <w:p>
            <w:pPr>
              <w:spacing w:after="0"/>
              <w:rPr>
                <w:sz w:val="20"/>
                <w:szCs w:val="20"/>
                <w:color w:val="auto"/>
              </w:rPr>
            </w:pPr>
            <w:r>
              <w:rPr>
                <w:rFonts w:ascii="Arial" w:cs="Arial" w:eastAsia="Arial" w:hAnsi="Arial"/>
                <w:sz w:val="18"/>
                <w:szCs w:val="18"/>
                <w:color w:val="auto"/>
              </w:rPr>
              <w:t>RSU awards vesting, net of shares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withheld for taxes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160"/>
              <w:spacing w:after="0" w:line="203" w:lineRule="exact"/>
              <w:rPr>
                <w:sz w:val="20"/>
                <w:szCs w:val="20"/>
                <w:color w:val="auto"/>
              </w:rPr>
            </w:pPr>
            <w:r>
              <w:rPr>
                <w:rFonts w:ascii="Arial" w:cs="Arial" w:eastAsia="Arial" w:hAnsi="Arial"/>
                <w:sz w:val="18"/>
                <w:szCs w:val="18"/>
                <w:color w:val="auto"/>
              </w:rPr>
              <w:t>which have been retired</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44,533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(1,541)</w:t>
            </w:r>
          </w:p>
        </w:tc>
        <w:tc>
          <w:tcPr>
            <w:tcW w:w="10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15"/>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Cumulative effect adjustment upon</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adoption of new</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revenue recognition guidance (ASU</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2014-09)</w:t>
            </w:r>
          </w:p>
        </w:tc>
        <w:tc>
          <w:tcPr>
            <w:tcW w:w="12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25,881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25,881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Other noncontrolling interest activity</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(2,021)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(34,010)</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(1,487)</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(35,497)</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34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30, 2018</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59,527,520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$ 1,589,167</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$ 277,831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15,442</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9,501</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$ 1,891,947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9"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The accompanying condensed consolidated balance sheet at June 30, 2019, the condensed consolidated statements of operations and comprehensive income (loss) for the three months ended June 30, 2019 and 2018, the condensed consolidated statements of cash flows for the three months ended June 30, 2019 and 2018 and the condensed consolidated statements of equity for the three months ended June 30, 2019 and 2018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2019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2019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52"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Company’s condensed consolidated financial statements include the assets, liabilities and results of operations of Viasat, its wholly owned subsidiaries and its majority-owned subsidiary, TrellisWare Technologies, Inc. (TrellisWare). During the third quarter of fiscal year 2019, Viasat Europe Sàrl (formerly known as Euro Broadband Retail Sàrl), which was previously a majority-owned subsidiary, became a wholly owned subsidiary when the Company purchased the remaining 49% interest in the company for an insignificant amount. 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w:t>
      </w:r>
    </w:p>
    <w:p>
      <w:pPr>
        <w:spacing w:after="0" w:line="149" w:lineRule="exact"/>
        <w:rPr>
          <w:sz w:val="20"/>
          <w:szCs w:val="20"/>
          <w:color w:val="auto"/>
        </w:rPr>
      </w:pPr>
    </w:p>
    <w:p>
      <w:pPr>
        <w:ind w:right="120" w:firstLine="518"/>
        <w:spacing w:after="0" w:line="23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right="240" w:firstLine="518"/>
        <w:spacing w:after="0"/>
        <w:rPr>
          <w:sz w:val="20"/>
          <w:szCs w:val="20"/>
          <w:color w:val="auto"/>
        </w:rPr>
      </w:pPr>
      <w:r>
        <w:rPr>
          <w:rFonts w:ascii="Arial" w:cs="Arial" w:eastAsia="Arial" w:hAnsi="Arial"/>
          <w:sz w:val="18"/>
          <w:szCs w:val="18"/>
          <w:color w:val="auto"/>
        </w:rPr>
        <w:t>Effective April 1, 2018, the Company adopted Accounting Standards Update (ASU) 2014-09, Revenue from Contracts with Customers (commonly referred to as Accounting Standards Codification (ASC) 606). This update established ASC 606, Revenue from Contracts with Customers and ASC 340-40, Other Assets and Deferred Costs – Contracts with Customers.</w:t>
      </w:r>
    </w:p>
    <w:p>
      <w:pPr>
        <w:spacing w:after="0" w:line="149" w:lineRule="exact"/>
        <w:rPr>
          <w:sz w:val="20"/>
          <w:szCs w:val="20"/>
          <w:color w:val="auto"/>
        </w:rPr>
      </w:pPr>
    </w:p>
    <w:p>
      <w:pPr>
        <w:ind w:right="140" w:firstLine="518"/>
        <w:spacing w:after="0" w:line="234" w:lineRule="auto"/>
        <w:rPr>
          <w:sz w:val="20"/>
          <w:szCs w:val="20"/>
          <w:color w:val="auto"/>
        </w:rPr>
      </w:pPr>
      <w:r>
        <w:rPr>
          <w:rFonts w:ascii="Arial" w:cs="Arial" w:eastAsia="Arial" w:hAnsi="Arial"/>
          <w:sz w:val="18"/>
          <w:szCs w:val="18"/>
          <w:color w:val="auto"/>
        </w:rPr>
        <w:t>The Company applied the five-step model under ASC 606 to its contracts with its customers to determine the impact of the new standard. Under this model the Company (1) identifies the contract with the customer, (2) identifies its performance obligations in the contract,</w:t>
      </w:r>
    </w:p>
    <w:p>
      <w:pPr>
        <w:spacing w:after="0" w:line="2" w:lineRule="exact"/>
        <w:rPr>
          <w:sz w:val="20"/>
          <w:szCs w:val="20"/>
          <w:color w:val="auto"/>
        </w:rPr>
      </w:pPr>
    </w:p>
    <w:p>
      <w:pPr>
        <w:ind w:right="600" w:firstLine="8"/>
        <w:spacing w:after="0" w:line="239"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95"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 to its customer as part of the delivery of connectivity services represents a lease in accordance with ASC 842. As discussed further below under “Leases - Lessor accounting”, for broadband equipment leased to consumer broadband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spacing w:after="0" w:line="194"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49"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The vast majority of the Company’s revenues from long-term contracts to develop and deliver complex equipment built to customer specifications are derived from contracts with the U.S. government (including foreign military sales contracted through the U.S. government). 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spacing w:after="0" w:line="160"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When estimates of total costs to be incurred on a contract exceed total estimates of revenue to be earned, a provision for the entire loss on the contract is recognized in the period the loss is determined.</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 2019. As of June 30, 2019, the DCAA had completed its incurred cost audit for fiscal years 2004 and 2016 and approved the Company’s incurred costs for those fiscal years, as well as approved the Company’s incurred costs for fiscal years 2005 through 2015, 2017 and 2018 without further audit based on a determination of low risk. Although the Company has recorded contract revenues subsequent to fiscal year 2018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June 30, 2019 and March 31, 2019, the Company had $4.9 million in contract-related reserves for its estimate of potential refunds to customers for potential cost adjustments on several multi-year U.S. government cost reimbursable contracts (see Note 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transaction price</w:t>
      </w:r>
    </w:p>
    <w:p>
      <w:pPr>
        <w:spacing w:after="0" w:line="95"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61"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81"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satellite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(IFC) service contracts in its satellite services segment do not have minimum service purchase requirements and therefore are not included in the Company’s remaining performance obligations. As of June 30, 2019, the aggregate amount of the transaction price allocated to remaining performance obligations was $1.8 billion, of which the Company expects to recognize a little over half over the next twelve months, with the balance recognized thereafter.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95" w:lineRule="exact"/>
        <w:rPr>
          <w:sz w:val="20"/>
          <w:szCs w:val="20"/>
          <w:color w:val="auto"/>
        </w:rPr>
      </w:pPr>
    </w:p>
    <w:p>
      <w:pPr>
        <w:ind w:right="80" w:firstLine="518"/>
        <w:spacing w:after="0" w:line="239" w:lineRule="auto"/>
        <w:rPr>
          <w:sz w:val="20"/>
          <w:szCs w:val="20"/>
          <w:color w:val="auto"/>
        </w:rPr>
      </w:pPr>
      <w:r>
        <w:rPr>
          <w:rFonts w:ascii="Arial" w:cs="Arial" w:eastAsia="Arial" w:hAnsi="Arial"/>
          <w:sz w:val="18"/>
          <w:szCs w:val="18"/>
          <w:color w:val="auto"/>
        </w:rPr>
        <w:t>The Company operates and manages its business in three reportable segments: satellite services, commercial networks and government systems. Revenue is disaggregated by products and services, customer type, contract type, and geographic area, respectively, as the Company believes this approach best depicts how the nature, amount, timing and uncertainty of its revenue and cash flows are affected by economic factors.</w:t>
      </w:r>
    </w:p>
    <w:p>
      <w:pPr>
        <w:spacing w:after="0" w:line="148" w:lineRule="exact"/>
        <w:rPr>
          <w:sz w:val="20"/>
          <w:szCs w:val="20"/>
          <w:color w:val="auto"/>
        </w:rPr>
      </w:pPr>
    </w:p>
    <w:p>
      <w:pPr>
        <w:ind w:right="440" w:firstLine="518"/>
        <w:spacing w:after="0" w:line="246" w:lineRule="auto"/>
        <w:rPr>
          <w:sz w:val="20"/>
          <w:szCs w:val="20"/>
          <w:color w:val="auto"/>
        </w:rPr>
      </w:pPr>
      <w:r>
        <w:rPr>
          <w:rFonts w:ascii="Arial" w:cs="Arial" w:eastAsia="Arial" w:hAnsi="Arial"/>
          <w:sz w:val="18"/>
          <w:szCs w:val="18"/>
          <w:color w:val="auto"/>
        </w:rPr>
        <w:t>The following sets forth disaggregated reported revenue by segment and product and services for the three months ended June 30, 2019 and June 30,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center"/>
              <w:ind w:right="97"/>
              <w:spacing w:after="0"/>
              <w:rPr>
                <w:sz w:val="20"/>
                <w:szCs w:val="20"/>
                <w:color w:val="auto"/>
              </w:rPr>
            </w:pPr>
            <w:r>
              <w:rPr>
                <w:rFonts w:ascii="Arial" w:cs="Arial" w:eastAsia="Arial" w:hAnsi="Arial"/>
                <w:sz w:val="14"/>
                <w:szCs w:val="14"/>
                <w:b w:val="1"/>
                <w:bCs w:val="1"/>
                <w:color w:val="auto"/>
              </w:rPr>
              <w:t>Three Months Ended June 30, 2019</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ind w:left="180"/>
              <w:spacing w:after="0" w:line="156" w:lineRule="exact"/>
              <w:rPr>
                <w:sz w:val="20"/>
                <w:szCs w:val="20"/>
                <w:color w:val="auto"/>
              </w:rPr>
            </w:pPr>
            <w:r>
              <w:rPr>
                <w:rFonts w:ascii="Arial" w:cs="Arial" w:eastAsia="Arial" w:hAnsi="Arial"/>
                <w:sz w:val="14"/>
                <w:szCs w:val="14"/>
                <w:b w:val="1"/>
                <w:bCs w:val="1"/>
                <w:color w:val="auto"/>
              </w:rPr>
              <w:t>Satellite</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jc w:val="center"/>
              <w:ind w:right="480"/>
              <w:spacing w:after="0" w:line="156"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220" w:type="dxa"/>
            <w:vAlign w:val="bottom"/>
          </w:tcPr>
          <w:p>
            <w:pPr>
              <w:jc w:val="center"/>
              <w:ind w:right="117"/>
              <w:spacing w:after="0" w:line="156"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4"/>
                <w:szCs w:val="14"/>
                <w:b w:val="1"/>
                <w:bCs w:val="1"/>
                <w:color w:val="auto"/>
              </w:rPr>
              <w:t>Services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gridSpan w:val="4"/>
          </w:tcPr>
          <w:p>
            <w:pPr>
              <w:jc w:val="center"/>
              <w:ind w:right="11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64,901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198,714</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7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196,815</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14,111</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62,496</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273,422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196,815</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79,012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261,210</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537,037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center"/>
              <w:ind w:right="97"/>
              <w:spacing w:after="0"/>
              <w:rPr>
                <w:sz w:val="20"/>
                <w:szCs w:val="20"/>
                <w:color w:val="auto"/>
              </w:rPr>
            </w:pPr>
            <w:r>
              <w:rPr>
                <w:rFonts w:ascii="Arial" w:cs="Arial" w:eastAsia="Arial" w:hAnsi="Arial"/>
                <w:sz w:val="14"/>
                <w:szCs w:val="14"/>
                <w:b w:val="1"/>
                <w:bCs w:val="1"/>
                <w:color w:val="auto"/>
              </w:rPr>
              <w:t>Three Months Ended June 30, 2018</w:t>
            </w: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ind w:left="180"/>
              <w:spacing w:after="0" w:line="156" w:lineRule="exact"/>
              <w:rPr>
                <w:sz w:val="20"/>
                <w:szCs w:val="20"/>
                <w:color w:val="auto"/>
              </w:rPr>
            </w:pPr>
            <w:r>
              <w:rPr>
                <w:rFonts w:ascii="Arial" w:cs="Arial" w:eastAsia="Arial" w:hAnsi="Arial"/>
                <w:sz w:val="14"/>
                <w:szCs w:val="14"/>
                <w:b w:val="1"/>
                <w:bCs w:val="1"/>
                <w:color w:val="auto"/>
              </w:rPr>
              <w:t>Satellite</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jc w:val="center"/>
              <w:ind w:right="480"/>
              <w:spacing w:after="0" w:line="156"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220" w:type="dxa"/>
            <w:vAlign w:val="bottom"/>
          </w:tcPr>
          <w:p>
            <w:pPr>
              <w:jc w:val="center"/>
              <w:ind w:right="117"/>
              <w:spacing w:after="0" w:line="156"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4"/>
                <w:szCs w:val="14"/>
                <w:b w:val="1"/>
                <w:bCs w:val="1"/>
                <w:color w:val="auto"/>
              </w:rPr>
              <w:t>Services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gridSpan w:val="4"/>
          </w:tcPr>
          <w:p>
            <w:pPr>
              <w:jc w:val="center"/>
              <w:ind w:right="11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85,133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132,996</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7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153,561</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9,933</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57,246</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220,740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153,561</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95,066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190,242</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438,869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60" w:firstLine="518"/>
        <w:spacing w:after="0" w:line="239" w:lineRule="auto"/>
        <w:rPr>
          <w:sz w:val="20"/>
          <w:szCs w:val="20"/>
          <w:color w:val="auto"/>
        </w:rPr>
      </w:pPr>
      <w:r>
        <w:rPr>
          <w:rFonts w:ascii="Arial" w:cs="Arial" w:eastAsia="Arial" w:hAnsi="Arial"/>
          <w:sz w:val="18"/>
          <w:szCs w:val="18"/>
          <w:color w:val="auto"/>
        </w:rPr>
        <w:t>Revenues from the U.S. government as an individual customer comprised approximately 30% and 28% of total revenues for the three months ended June 30, 2019 and June 30, 2018, respectively, mainly reported within the government systems segment. The Company’s commercial customers, mainly reported within the commercial networks and satellite services segments, comprised approximately 70% and 72% of total revenues for the three months ended June 30, 2019 and June 30, 2018, respectively.</w:t>
      </w:r>
    </w:p>
    <w:p>
      <w:pPr>
        <w:spacing w:after="0" w:line="148" w:lineRule="exact"/>
        <w:rPr>
          <w:sz w:val="20"/>
          <w:szCs w:val="20"/>
          <w:color w:val="auto"/>
        </w:rPr>
      </w:pPr>
    </w:p>
    <w:p>
      <w:pPr>
        <w:ind w:right="240" w:firstLine="518"/>
        <w:spacing w:after="0" w:line="246" w:lineRule="auto"/>
        <w:rPr>
          <w:sz w:val="20"/>
          <w:szCs w:val="20"/>
          <w:color w:val="auto"/>
        </w:rPr>
      </w:pPr>
      <w:r>
        <w:rPr>
          <w:rFonts w:ascii="Arial" w:cs="Arial" w:eastAsia="Arial" w:hAnsi="Arial"/>
          <w:sz w:val="18"/>
          <w:szCs w:val="18"/>
          <w:color w:val="auto"/>
        </w:rPr>
        <w:t>The Company’s satellite services segment revenues are primarily derived from the Company’s fixed broadband services, IFC services and worldwide managed network services.</w:t>
      </w:r>
    </w:p>
    <w:p>
      <w:pPr>
        <w:spacing w:after="0" w:line="143"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Revenues in the Company’s commercial networks and government systems segments are primarily derived from three types of contracts: fixed-price, cost-reimbursement, and time-and-materials contracts. Fixed-price contracts (which require the Company to provide products and services under a contract at a specified price) comprised approximately 87% and 89% of the Company’s total revenues for these segments for the three months ended June 30, 2019 and June 30, 2018, respectively. The remainder of the Company’s revenues in these segments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and from time-and-materials contracts (under which the Company is reimbursed for the number of labor hours expended at an established hourly rate negotiated in the contract, plus the cost of materials utilized in providing such products or services).</w:t>
      </w:r>
    </w:p>
    <w:p>
      <w:pPr>
        <w:spacing w:after="0" w:line="154" w:lineRule="exact"/>
        <w:rPr>
          <w:sz w:val="20"/>
          <w:szCs w:val="20"/>
          <w:color w:val="auto"/>
        </w:rPr>
      </w:pPr>
    </w:p>
    <w:p>
      <w:pPr>
        <w:ind w:right="300" w:firstLine="518"/>
        <w:spacing w:after="0" w:line="237" w:lineRule="auto"/>
        <w:rPr>
          <w:sz w:val="20"/>
          <w:szCs w:val="20"/>
          <w:color w:val="auto"/>
        </w:rPr>
      </w:pPr>
      <w:r>
        <w:rPr>
          <w:rFonts w:ascii="Arial" w:cs="Arial" w:eastAsia="Arial" w:hAnsi="Arial"/>
          <w:sz w:val="18"/>
          <w:szCs w:val="18"/>
          <w:color w:val="auto"/>
        </w:rPr>
        <w:t>Historically, a significant portion of the Company’s revenues in its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23% and 18% of its total revenues for the three months ended June 30, 2019 and June 30, 2018,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 area for the three months ended June 30, 2019 and June 30, 2018 were as follows:</w:t>
      </w:r>
    </w:p>
    <w:p>
      <w:pPr>
        <w:spacing w:after="0" w:line="280"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8890</wp:posOffset>
            </wp:positionV>
            <wp:extent cx="22123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9" w:lineRule="exact"/>
        <w:rPr>
          <w:sz w:val="20"/>
          <w:szCs w:val="20"/>
          <w:color w:val="auto"/>
        </w:rPr>
      </w:pPr>
    </w:p>
    <w:p>
      <w:pPr>
        <w:ind w:left="8140"/>
        <w:spacing w:after="0"/>
        <w:tabs>
          <w:tab w:leader="none" w:pos="10020" w:val="left"/>
        </w:tabs>
        <w:rPr>
          <w:sz w:val="20"/>
          <w:szCs w:val="20"/>
          <w:color w:val="auto"/>
        </w:rPr>
      </w:pPr>
      <w:r>
        <w:rPr>
          <w:rFonts w:ascii="Arial" w:cs="Arial" w:eastAsia="Arial" w:hAnsi="Arial"/>
          <w:sz w:val="14"/>
          <w:szCs w:val="14"/>
          <w:b w:val="1"/>
          <w:bCs w:val="1"/>
          <w:color w:val="auto"/>
        </w:rPr>
        <w:t>June 30, 2019</w:t>
      </w:r>
      <w:r>
        <w:rPr>
          <w:sz w:val="20"/>
          <w:szCs w:val="20"/>
          <w:color w:val="auto"/>
        </w:rPr>
        <w:tab/>
      </w:r>
      <w:r>
        <w:rPr>
          <w:rFonts w:ascii="Arial" w:cs="Arial" w:eastAsia="Arial" w:hAnsi="Arial"/>
          <w:sz w:val="14"/>
          <w:szCs w:val="14"/>
          <w:b w:val="1"/>
          <w:bCs w:val="1"/>
          <w:color w:val="auto"/>
        </w:rPr>
        <w:t>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8255</wp:posOffset>
            </wp:positionV>
            <wp:extent cx="22123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8"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461,283</w:t>
            </w:r>
          </w:p>
        </w:tc>
        <w:tc>
          <w:tcPr>
            <w:tcW w:w="82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378,172</w:t>
            </w:r>
          </w:p>
        </w:tc>
        <w:tc>
          <w:tcPr>
            <w:tcW w:w="100" w:type="dxa"/>
            <w:vAlign w:val="bottom"/>
            <w:shd w:val="clear" w:color="auto" w:fill="CFF0FC"/>
          </w:tcPr>
          <w:p>
            <w:pPr>
              <w:spacing w:after="0"/>
              <w:rPr>
                <w:sz w:val="17"/>
                <w:szCs w:val="17"/>
                <w:color w:val="auto"/>
              </w:rPr>
            </w:pPr>
          </w:p>
        </w:tc>
      </w:tr>
      <w:tr>
        <w:trPr>
          <w:trHeight w:val="216"/>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Non-U.S. customers (each country individually insignificant)</w:t>
            </w: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75,754</w:t>
            </w:r>
          </w:p>
        </w:tc>
        <w:tc>
          <w:tcPr>
            <w:tcW w:w="30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60,697</w:t>
            </w:r>
          </w:p>
        </w:tc>
        <w:tc>
          <w:tcPr>
            <w:tcW w:w="100" w:type="dxa"/>
            <w:vAlign w:val="bottom"/>
            <w:tcBorders>
              <w:bottom w:val="single" w:sz="8" w:color="CFF0FC"/>
            </w:tcBorders>
          </w:tcPr>
          <w:p>
            <w:pPr>
              <w:spacing w:after="0"/>
              <w:rPr>
                <w:sz w:val="18"/>
                <w:szCs w:val="18"/>
                <w:color w:val="auto"/>
              </w:rPr>
            </w:pPr>
          </w:p>
        </w:tc>
      </w:tr>
      <w:tr>
        <w:trPr>
          <w:trHeight w:val="21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537,037</w:t>
            </w:r>
          </w:p>
        </w:tc>
        <w:tc>
          <w:tcPr>
            <w:tcW w:w="82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438,869</w:t>
            </w:r>
          </w:p>
        </w:tc>
        <w:tc>
          <w:tcPr>
            <w:tcW w:w="100" w:type="dxa"/>
            <w:vAlign w:val="bottom"/>
            <w:shd w:val="clear" w:color="auto" w:fill="CFF0FC"/>
          </w:tcPr>
          <w:p>
            <w:pPr>
              <w:spacing w:after="0"/>
              <w:rPr>
                <w:sz w:val="18"/>
                <w:szCs w:val="18"/>
                <w:color w:val="auto"/>
              </w:rPr>
            </w:pPr>
          </w:p>
        </w:tc>
      </w:tr>
      <w:tr>
        <w:trPr>
          <w:trHeight w:val="20"/>
        </w:trPr>
        <w:tc>
          <w:tcPr>
            <w:tcW w:w="78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95" w:lineRule="exact"/>
        <w:rPr>
          <w:sz w:val="20"/>
          <w:szCs w:val="20"/>
          <w:color w:val="auto"/>
        </w:rPr>
      </w:pPr>
    </w:p>
    <w:p>
      <w:pPr>
        <w:ind w:right="160" w:firstLine="518"/>
        <w:spacing w:after="0" w:line="238" w:lineRule="auto"/>
        <w:rPr>
          <w:sz w:val="20"/>
          <w:szCs w:val="20"/>
          <w:color w:val="auto"/>
        </w:rPr>
      </w:pPr>
      <w:r>
        <w:rPr>
          <w:rFonts w:ascii="Arial" w:cs="Arial" w:eastAsia="Arial" w:hAnsi="Arial"/>
          <w:sz w:val="18"/>
          <w:szCs w:val="18"/>
          <w:color w:val="auto"/>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p>
    <w:p>
      <w:pPr>
        <w:spacing w:after="0" w:line="149" w:lineRule="exact"/>
        <w:rPr>
          <w:sz w:val="20"/>
          <w:szCs w:val="20"/>
          <w:color w:val="auto"/>
        </w:rPr>
      </w:pPr>
    </w:p>
    <w:p>
      <w:pPr>
        <w:ind w:right="180" w:firstLine="518"/>
        <w:spacing w:after="0"/>
        <w:rPr>
          <w:sz w:val="20"/>
          <w:szCs w:val="20"/>
          <w:color w:val="auto"/>
        </w:rPr>
      </w:pPr>
      <w:r>
        <w:rPr>
          <w:rFonts w:ascii="Arial" w:cs="Arial" w:eastAsia="Arial" w:hAnsi="Arial"/>
          <w:sz w:val="18"/>
          <w:szCs w:val="18"/>
          <w:color w:val="auto"/>
        </w:rPr>
        <w:t>When consideration is received in advance of the delivery of goods or services, a contract liability, or with respect to the Company, collections in excess of revenues or deferred revenues, is recorded. Reductions in the collections in excess of revenues or deferred revenues will be recorded as the Company satisfies the performance obligations.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contract assets and liabilities as of June 30, 2019 and March 31, 2019: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jc w:val="center"/>
              <w:ind w:right="360"/>
              <w:spacing w:after="0"/>
              <w:rPr>
                <w:sz w:val="20"/>
                <w:szCs w:val="20"/>
                <w:color w:val="auto"/>
              </w:rPr>
            </w:pPr>
            <w:r>
              <w:rPr>
                <w:rFonts w:ascii="Arial" w:cs="Arial" w:eastAsia="Arial" w:hAnsi="Arial"/>
                <w:sz w:val="14"/>
                <w:szCs w:val="14"/>
                <w:b w:val="1"/>
                <w:bCs w:val="1"/>
                <w:color w:val="auto"/>
              </w:rPr>
              <w:t>As of</w:t>
            </w:r>
          </w:p>
        </w:tc>
        <w:tc>
          <w:tcPr>
            <w:tcW w:w="560" w:type="dxa"/>
            <w:vAlign w:val="bottom"/>
          </w:tcPr>
          <w:p>
            <w:pPr>
              <w:spacing w:after="0"/>
              <w:rPr>
                <w:sz w:val="14"/>
                <w:szCs w:val="14"/>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As of</w:t>
            </w:r>
          </w:p>
        </w:tc>
      </w:tr>
      <w:tr>
        <w:trPr>
          <w:trHeight w:val="162"/>
        </w:trPr>
        <w:tc>
          <w:tcPr>
            <w:tcW w:w="7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78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360"/>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35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r>
      <w:tr>
        <w:trPr>
          <w:trHeight w:val="210"/>
        </w:trPr>
        <w:tc>
          <w:tcPr>
            <w:tcW w:w="7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Unbilled accounts receivable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80"/>
              <w:spacing w:after="0"/>
              <w:rPr>
                <w:sz w:val="20"/>
                <w:szCs w:val="20"/>
                <w:color w:val="auto"/>
              </w:rPr>
            </w:pPr>
            <w:r>
              <w:rPr>
                <w:rFonts w:ascii="Arial" w:cs="Arial" w:eastAsia="Arial" w:hAnsi="Arial"/>
                <w:sz w:val="18"/>
                <w:szCs w:val="18"/>
                <w:color w:val="auto"/>
              </w:rPr>
              <w:t>97,460</w:t>
            </w:r>
          </w:p>
        </w:tc>
        <w:tc>
          <w:tcPr>
            <w:tcW w:w="5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83,743</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Collections in excess of revenues and deferred revenues</w:t>
            </w:r>
          </w:p>
        </w:tc>
        <w:tc>
          <w:tcPr>
            <w:tcW w:w="300" w:type="dxa"/>
            <w:vAlign w:val="bottom"/>
          </w:tcPr>
          <w:p>
            <w:pPr>
              <w:spacing w:after="0"/>
              <w:rPr>
                <w:sz w:val="18"/>
                <w:szCs w:val="18"/>
                <w:color w:val="auto"/>
              </w:rPr>
            </w:pPr>
          </w:p>
        </w:tc>
        <w:tc>
          <w:tcPr>
            <w:tcW w:w="1440" w:type="dxa"/>
            <w:vAlign w:val="bottom"/>
          </w:tcPr>
          <w:p>
            <w:pPr>
              <w:jc w:val="right"/>
              <w:ind w:right="80"/>
              <w:spacing w:after="0"/>
              <w:rPr>
                <w:sz w:val="20"/>
                <w:szCs w:val="20"/>
                <w:color w:val="auto"/>
              </w:rPr>
            </w:pPr>
            <w:r>
              <w:rPr>
                <w:rFonts w:ascii="Arial" w:cs="Arial" w:eastAsia="Arial" w:hAnsi="Arial"/>
                <w:sz w:val="18"/>
                <w:szCs w:val="18"/>
                <w:color w:val="auto"/>
              </w:rPr>
              <w:t>123,304</w:t>
            </w: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125,540</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revenues, long-term portion</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80"/>
              <w:spacing w:after="0"/>
              <w:rPr>
                <w:sz w:val="20"/>
                <w:szCs w:val="20"/>
                <w:color w:val="auto"/>
              </w:rPr>
            </w:pPr>
            <w:r>
              <w:rPr>
                <w:rFonts w:ascii="Arial" w:cs="Arial" w:eastAsia="Arial" w:hAnsi="Arial"/>
                <w:sz w:val="18"/>
                <w:szCs w:val="18"/>
                <w:color w:val="auto"/>
              </w:rPr>
              <w:t>85,894</w:t>
            </w:r>
          </w:p>
        </w:tc>
        <w:tc>
          <w:tcPr>
            <w:tcW w:w="5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71,230</w:t>
            </w:r>
          </w:p>
        </w:tc>
        <w:tc>
          <w:tcPr>
            <w:tcW w:w="100" w:type="dxa"/>
            <w:vAlign w:val="bottom"/>
            <w:shd w:val="clear" w:color="auto" w:fill="CFF0FC"/>
          </w:tcPr>
          <w:p>
            <w:pPr>
              <w:spacing w:after="0"/>
              <w:rPr>
                <w:sz w:val="18"/>
                <w:szCs w:val="18"/>
                <w:color w:val="auto"/>
              </w:rPr>
            </w:pPr>
          </w:p>
        </w:tc>
      </w:tr>
    </w:tbl>
    <w:p>
      <w:pPr>
        <w:spacing w:after="0" w:line="161" w:lineRule="exact"/>
        <w:rPr>
          <w:sz w:val="20"/>
          <w:szCs w:val="20"/>
          <w:color w:val="auto"/>
        </w:rPr>
      </w:pPr>
    </w:p>
    <w:p>
      <w:pPr>
        <w:ind w:right="760" w:firstLine="518"/>
        <w:spacing w:after="0" w:line="246" w:lineRule="auto"/>
        <w:rPr>
          <w:sz w:val="20"/>
          <w:szCs w:val="20"/>
          <w:color w:val="auto"/>
        </w:rPr>
      </w:pPr>
      <w:r>
        <w:rPr>
          <w:rFonts w:ascii="Arial" w:cs="Arial" w:eastAsia="Arial" w:hAnsi="Arial"/>
          <w:sz w:val="18"/>
          <w:szCs w:val="18"/>
          <w:color w:val="auto"/>
        </w:rPr>
        <w:t>Unbilled accounts receivable increased $13.7 million during the three months ended June 30, 2019, primarily driven by revenue recognized in the Company’s government systems segment in excess of billings.</w:t>
      </w:r>
    </w:p>
    <w:p>
      <w:pPr>
        <w:spacing w:after="0" w:line="143" w:lineRule="exact"/>
        <w:rPr>
          <w:sz w:val="20"/>
          <w:szCs w:val="20"/>
          <w:color w:val="auto"/>
        </w:rPr>
      </w:pPr>
    </w:p>
    <w:p>
      <w:pPr>
        <w:ind w:right="40" w:firstLine="518"/>
        <w:spacing w:after="0" w:line="246" w:lineRule="auto"/>
        <w:rPr>
          <w:sz w:val="20"/>
          <w:szCs w:val="20"/>
          <w:color w:val="auto"/>
        </w:rPr>
      </w:pPr>
      <w:r>
        <w:rPr>
          <w:rFonts w:ascii="Arial" w:cs="Arial" w:eastAsia="Arial" w:hAnsi="Arial"/>
          <w:sz w:val="18"/>
          <w:szCs w:val="18"/>
          <w:color w:val="auto"/>
        </w:rPr>
        <w:t>Collections in excess of revenues and deferred revenues decreased $2.2 million during the three months ended June 30, 2019, primarily driven by revenue recognized in excess of advances on goods or services received in the Company’s satellite services segment.</w:t>
      </w:r>
    </w:p>
    <w:p>
      <w:pPr>
        <w:spacing w:after="0" w:line="143" w:lineRule="exact"/>
        <w:rPr>
          <w:sz w:val="20"/>
          <w:szCs w:val="20"/>
          <w:color w:val="auto"/>
        </w:rPr>
      </w:pPr>
    </w:p>
    <w:p>
      <w:pPr>
        <w:ind w:right="40" w:firstLine="518"/>
        <w:spacing w:after="0" w:line="246" w:lineRule="auto"/>
        <w:rPr>
          <w:sz w:val="20"/>
          <w:szCs w:val="20"/>
          <w:color w:val="auto"/>
        </w:rPr>
      </w:pPr>
      <w:r>
        <w:rPr>
          <w:rFonts w:ascii="Arial" w:cs="Arial" w:eastAsia="Arial" w:hAnsi="Arial"/>
          <w:sz w:val="18"/>
          <w:szCs w:val="18"/>
          <w:color w:val="auto"/>
        </w:rPr>
        <w:t>During the three months ended June 30, 2019, the Company recognized revenue of $52.6 million related to the Company’s collections in excess of revenues and deferred revenues at March 31,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85" w:lineRule="exact"/>
        <w:rPr>
          <w:sz w:val="20"/>
          <w:szCs w:val="20"/>
          <w:color w:val="auto"/>
        </w:rPr>
      </w:pPr>
    </w:p>
    <w:p>
      <w:pPr>
        <w:ind w:right="500" w:firstLine="518"/>
        <w:spacing w:after="0"/>
        <w:rPr>
          <w:sz w:val="20"/>
          <w:szCs w:val="20"/>
          <w:color w:val="auto"/>
        </w:rPr>
      </w:pPr>
      <w:r>
        <w:rPr>
          <w:rFonts w:ascii="Arial" w:cs="Arial" w:eastAsia="Arial" w:hAnsi="Arial"/>
          <w:sz w:val="18"/>
          <w:szCs w:val="18"/>
          <w:color w:val="auto"/>
        </w:rPr>
        <w:t>In accordance with the authoritative guidance for advertising costs (ASC 720-35), advertising costs are expensed as incurred and included in selling, general and administrative expenses. Advertising expenses for the three months ended June 30, 2019 and 2018 were $5.0 million and $6.6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85"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6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 to 24 years. Leasehold improvements are capitalized and amortized using the straight-line method over the shorter of the lease term or the life of the improvement.</w:t>
      </w:r>
    </w:p>
    <w:p>
      <w:pPr>
        <w:spacing w:after="0" w:line="153" w:lineRule="exact"/>
        <w:rPr>
          <w:sz w:val="20"/>
          <w:szCs w:val="20"/>
          <w:color w:val="auto"/>
        </w:rPr>
      </w:pPr>
    </w:p>
    <w:p>
      <w:pPr>
        <w:ind w:right="360" w:firstLine="518"/>
        <w:spacing w:after="0"/>
        <w:rPr>
          <w:sz w:val="20"/>
          <w:szCs w:val="20"/>
          <w:color w:val="auto"/>
        </w:rPr>
      </w:pPr>
      <w:r>
        <w:rPr>
          <w:rFonts w:ascii="Arial" w:cs="Arial" w:eastAsia="Arial" w:hAnsi="Arial"/>
          <w:sz w:val="18"/>
          <w:szCs w:val="18"/>
          <w:color w:val="auto"/>
        </w:rPr>
        <w:t>Costs related to internally developed software for internal uses are capitalized after the preliminary project stage is complete and are amortized over the estimated useful lives of the assets, which are approximately three to seven years. Capitalized costs for internal-use software are included in property and equipment, net in the Company’s consolidated balance sheet.</w:t>
      </w:r>
    </w:p>
    <w:p>
      <w:pPr>
        <w:spacing w:after="0" w:line="149"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(ASC 835-20). With respect to the ViaSat-3 class satellites, gateway and networking equipment and other assets under construction, the Company capitalized $11.3 million and $6.2 million of interest expense for the three months ended June 30, 2019 and June 30, 2018, respectively.</w:t>
      </w:r>
    </w:p>
    <w:p>
      <w:pPr>
        <w:spacing w:after="0" w:line="148"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The Company owns three satellites in service: ViaSat-2 (its second-generation high-capacity Ka-band spot-beam satellite, which was placed into service in the fourth quarter of fiscal year 2018), ViaSat-1 (its first-generation high-capacity Ka-band spot-beam satellite, which was placed into service in January 2012) and WildBlue-1 (which was placed into service in March 2007). The Company also has two third-generation ViaSat-3 class satellites that have entered the phase of full construction. In July 2019, the Company entered into an agreement with The Boeing Company (Boeing) for the construction and purchase of a third ViaSat-3 class satellite and the integration of Viasat’s payload technologies into the satellite. The Company also has an exclusive prepaid lifetime capital lease of Ka-band capacity over the contiguous United States on Telesat Canada’s Anik F2 satellite (which was placed into service in April 2005) and owns related earth stations and networking equipment for all of its satellites. The Company periodically reviews the remaining estimated useful life of its satellites to determine if revisions to estimated lives are necessary. The Company procures indoor and outdoor CPE units leased to subscribers under a retail leasing program as part of the Company’s satellite services segment, which are reflected in investing activities and property and equipment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and equipment, net, as of June 30, 2019 were $377.2 million and $148.8 million, respectively. The total cost and accumulated depreciation of CPE units included in property and equipment, net, as of March 31, 2019 were $373.4 million and $142.6 million, respectively.</w:t>
      </w:r>
    </w:p>
    <w:p>
      <w:pPr>
        <w:spacing w:after="0" w:line="148"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On June 1, 2017, the Company’s second-generation ViaSat-2 satellite was successfully launched into orbit. In the fourth quarter of fiscal year 2018, shortly before the launch of commercial broadband services on the satellite, the Company reported an antenna deployment issue. The Company worked with the satellite manufacturer to determine the root cause of the antenna deployment issue, potential correcting measures, and resulting damage. In the second quarter of fiscal year 2019, the root cause analysis was completed. Based on that analysis, during the second quarter of fiscal year 2019, the Company recorded a reduction to the carrying value of the ViaSat-2 satellite of $177.4 million, with a corresponding insurance receivable of $177.4 million, based on the Company’s estimated ViaSat-2 output capabilities as compared to the anticipated, potential and configured capacity of the ViaSat-2 satellite. During the three months ended June 30, 2019, the Company received $2.3 million (for a cumulative total of $188.0 million) in insurance recovery proceeds related to such claims. No insurance recovery proceeds were received during the three months ended June 30, 2018. The ViaSat-2 satellite was primarily financed by the Company’s direct loan facility with the Export-Import Bank of the United States for ViaSat-2 (the Ex-Im Credit Facility) (see Note 7 — Senior Notes and Other Long-Term Debt for more information). Pursuant to the terms of the Ex-Im Credit Facility, insurance proceeds received from such claims were used to pay down outstanding borrowings under the Ex-Im Credit Facility.</w:t>
      </w:r>
    </w:p>
    <w:p>
      <w:pPr>
        <w:spacing w:after="0" w:line="151" w:lineRule="exact"/>
        <w:rPr>
          <w:sz w:val="20"/>
          <w:szCs w:val="20"/>
          <w:color w:val="auto"/>
        </w:rPr>
      </w:pPr>
    </w:p>
    <w:p>
      <w:pPr>
        <w:ind w:right="220" w:firstLine="518"/>
        <w:spacing w:after="0"/>
        <w:rPr>
          <w:sz w:val="20"/>
          <w:szCs w:val="20"/>
          <w:color w:val="auto"/>
        </w:rPr>
      </w:pPr>
      <w:r>
        <w:rPr>
          <w:rFonts w:ascii="Arial" w:cs="Arial" w:eastAsia="Arial" w:hAnsi="Arial"/>
          <w:sz w:val="18"/>
          <w:szCs w:val="18"/>
          <w:color w:val="auto"/>
        </w:rPr>
        <w:t>Occasionally, the Company may enter into capital lease arrangements for various machinery, equipment, computer-related equipment, software, furniture or fixtures. The Company records amortization of assets leased under capital lease arrangements within depreciation expense.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99"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Company adopted ASU 2016-02, Leases, as amended, commonly referred to as ASC 842, on April 1, 2019 using the optional transition method. Under the optional transition method, the Company applied the new guidance to all leases that commenced before and were existing as of April 1, 2019. Accordingly, the Company did not adjust comparative periods or make the new required lease disclosures for periods before the adoption date of April 1, 2019. The primary impact of ASC 842 on the Company’s consolidated financial statements is the recognition of right-of-use assets and related liabilities on its consolidated balance sheet for operating leases where the Company is the lessee. The Company’s adoption of ASC 842 did not have a material impact on its results of operations or on its cash flow for the three months ended June 30, 2019.</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elected certain practical expedients under its transition method, including the practical expedient package to not reassess</w:t>
      </w:r>
    </w:p>
    <w:p>
      <w:pPr>
        <w:ind w:right="200" w:firstLine="8"/>
        <w:spacing w:after="0" w:line="238" w:lineRule="auto"/>
        <w:tabs>
          <w:tab w:leader="none" w:pos="21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any expired or existing contracts are or contain leases, (ii) the classification of existing leases, and (iii) initial direct costs for any existing leases. The Company also has elected the land easement transition practical expedient, and did not reassess whether an existing or expired land easement is a lease or contains a lease if it has not historically been accounted for as a lease. In addition, for real estate and satellite leases, the Company has elected not to separate non-lease components from lease components and instead will account for each separate lease and non-lease component as a single lease component for real estate and satellite leases.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summary of the impact of adopting the new standard:</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372"/>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1080" w:type="dxa"/>
            <w:vAlign w:val="bottom"/>
          </w:tcPr>
          <w:p>
            <w:pPr>
              <w:jc w:val="center"/>
              <w:ind w:right="234"/>
              <w:spacing w:after="0"/>
              <w:rPr>
                <w:sz w:val="20"/>
                <w:szCs w:val="20"/>
                <w:color w:val="auto"/>
              </w:rPr>
            </w:pPr>
            <w:r>
              <w:rPr>
                <w:rFonts w:ascii="Arial" w:cs="Arial" w:eastAsia="Arial" w:hAnsi="Arial"/>
                <w:sz w:val="14"/>
                <w:szCs w:val="14"/>
                <w:b w:val="1"/>
                <w:bCs w:val="1"/>
                <w:color w:val="auto"/>
              </w:rPr>
              <w:t>Impact of</w:t>
            </w:r>
          </w:p>
        </w:tc>
        <w:tc>
          <w:tcPr>
            <w:tcW w:w="1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As of</w:t>
            </w:r>
          </w:p>
        </w:tc>
      </w:tr>
      <w:tr>
        <w:trPr>
          <w:trHeight w:val="175"/>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Condensed Consolidated Balance Sheets</w:t>
            </w:r>
          </w:p>
        </w:tc>
        <w:tc>
          <w:tcPr>
            <w:tcW w:w="120" w:type="dxa"/>
            <w:vAlign w:val="bottom"/>
          </w:tcPr>
          <w:p>
            <w:pPr>
              <w:spacing w:after="0"/>
              <w:rPr>
                <w:sz w:val="15"/>
                <w:szCs w:val="15"/>
                <w:color w:val="auto"/>
              </w:rPr>
            </w:pPr>
          </w:p>
        </w:tc>
        <w:tc>
          <w:tcPr>
            <w:tcW w:w="11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Pr>
          <w:p>
            <w:pPr>
              <w:spacing w:after="0"/>
              <w:rPr>
                <w:sz w:val="15"/>
                <w:szCs w:val="15"/>
                <w:color w:val="auto"/>
              </w:rPr>
            </w:pPr>
          </w:p>
        </w:tc>
        <w:tc>
          <w:tcPr>
            <w:tcW w:w="1080" w:type="dxa"/>
            <w:vAlign w:val="bottom"/>
          </w:tcPr>
          <w:p>
            <w:pPr>
              <w:jc w:val="center"/>
              <w:ind w:right="214"/>
              <w:spacing w:after="0"/>
              <w:rPr>
                <w:sz w:val="20"/>
                <w:szCs w:val="20"/>
                <w:color w:val="auto"/>
              </w:rPr>
            </w:pPr>
            <w:r>
              <w:rPr>
                <w:rFonts w:ascii="Arial" w:cs="Arial" w:eastAsia="Arial" w:hAnsi="Arial"/>
                <w:sz w:val="14"/>
                <w:szCs w:val="14"/>
                <w:b w:val="1"/>
                <w:bCs w:val="1"/>
                <w:color w:val="auto"/>
              </w:rPr>
              <w:t>ASC 842</w:t>
            </w:r>
          </w:p>
        </w:tc>
        <w:tc>
          <w:tcPr>
            <w:tcW w:w="18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April 1, 2019</w:t>
            </w:r>
          </w:p>
        </w:tc>
      </w:tr>
      <w:tr>
        <w:trPr>
          <w:trHeight w:val="169"/>
        </w:trPr>
        <w:tc>
          <w:tcPr>
            <w:tcW w:w="20" w:type="dxa"/>
            <w:vAlign w:val="bottom"/>
          </w:tcPr>
          <w:p>
            <w:pPr>
              <w:spacing w:after="0"/>
              <w:rPr>
                <w:sz w:val="14"/>
                <w:szCs w:val="14"/>
                <w:color w:val="auto"/>
              </w:rPr>
            </w:pPr>
          </w:p>
        </w:tc>
        <w:tc>
          <w:tcPr>
            <w:tcW w:w="5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90,646</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90,179</w:t>
            </w:r>
          </w:p>
        </w:tc>
        <w:tc>
          <w:tcPr>
            <w:tcW w:w="80" w:type="dxa"/>
            <w:vAlign w:val="bottom"/>
            <w:shd w:val="clear" w:color="auto" w:fill="CFF0FC"/>
          </w:tcPr>
          <w:p>
            <w:pPr>
              <w:spacing w:after="0"/>
              <w:rPr>
                <w:sz w:val="18"/>
                <w:szCs w:val="18"/>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327,329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327,329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3,915,287</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326,862</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4,242,149</w:t>
            </w:r>
          </w:p>
        </w:tc>
        <w:tc>
          <w:tcPr>
            <w:tcW w:w="80" w:type="dxa"/>
            <w:vAlign w:val="bottom"/>
            <w:shd w:val="clear" w:color="auto" w:fill="CFF0FC"/>
          </w:tcPr>
          <w:p>
            <w:pPr>
              <w:spacing w:after="0"/>
              <w:rPr>
                <w:sz w:val="18"/>
                <w:szCs w:val="18"/>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Accrued and other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308,268</w:t>
            </w:r>
          </w:p>
        </w:tc>
        <w:tc>
          <w:tcPr>
            <w:tcW w:w="260" w:type="dxa"/>
            <w:vAlign w:val="bottom"/>
          </w:tcPr>
          <w:p>
            <w:pPr>
              <w:spacing w:after="0"/>
              <w:rPr>
                <w:sz w:val="18"/>
                <w:szCs w:val="18"/>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38,406</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346,674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305,167</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305,167</w:t>
            </w:r>
          </w:p>
        </w:tc>
        <w:tc>
          <w:tcPr>
            <w:tcW w:w="80" w:type="dxa"/>
            <w:vAlign w:val="bottom"/>
            <w:shd w:val="clear" w:color="auto" w:fill="CFF0FC"/>
          </w:tcPr>
          <w:p>
            <w:pPr>
              <w:spacing w:after="0"/>
              <w:rPr>
                <w:sz w:val="18"/>
                <w:szCs w:val="18"/>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120,826</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(16,711)</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104,115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1,999,209</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326,862</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2,326,071</w:t>
            </w:r>
          </w:p>
        </w:tc>
        <w:tc>
          <w:tcPr>
            <w:tcW w:w="80" w:type="dxa"/>
            <w:vAlign w:val="bottom"/>
            <w:shd w:val="clear" w:color="auto" w:fill="CFF0FC"/>
          </w:tcPr>
          <w:p>
            <w:pPr>
              <w:spacing w:after="0"/>
              <w:rPr>
                <w:sz w:val="18"/>
                <w:szCs w:val="18"/>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3,915,287</w:t>
            </w:r>
          </w:p>
        </w:tc>
        <w:tc>
          <w:tcPr>
            <w:tcW w:w="260" w:type="dxa"/>
            <w:vAlign w:val="bottom"/>
          </w:tcPr>
          <w:p>
            <w:pPr>
              <w:spacing w:after="0"/>
              <w:rPr>
                <w:sz w:val="19"/>
                <w:szCs w:val="19"/>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326,862</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4,242,149</w:t>
            </w:r>
          </w:p>
        </w:tc>
        <w:tc>
          <w:tcPr>
            <w:tcW w:w="80" w:type="dxa"/>
            <w:vAlign w:val="bottom"/>
          </w:tcPr>
          <w:p>
            <w:pPr>
              <w:spacing w:after="0"/>
              <w:rPr>
                <w:sz w:val="19"/>
                <w:szCs w:val="19"/>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81" w:lineRule="exact"/>
        <w:rPr>
          <w:sz w:val="20"/>
          <w:szCs w:val="20"/>
          <w:color w:val="auto"/>
        </w:rPr>
      </w:pPr>
    </w:p>
    <w:p>
      <w:pPr>
        <w:ind w:right="140" w:firstLine="518"/>
        <w:spacing w:after="0" w:line="236" w:lineRule="auto"/>
        <w:rPr>
          <w:sz w:val="20"/>
          <w:szCs w:val="20"/>
          <w:color w:val="auto"/>
        </w:rPr>
      </w:pPr>
      <w:r>
        <w:rPr>
          <w:rFonts w:ascii="Arial" w:cs="Arial" w:eastAsia="Arial" w:hAnsi="Arial"/>
          <w:sz w:val="18"/>
          <w:szCs w:val="18"/>
          <w:color w:val="auto"/>
        </w:rPr>
        <w:t>For contracts entered into on or after April 1, 2019, the Company assesses at contract inception whether the contract is, or contains, a lease. Generally, the Company determines that a lease exists when (i) the contract involves the use of a distinct identified asset, (ii) the Company obtains the right to substantially all economic benefits from use of the asset, and (iii) the Company has the right to direct the use of the asset. A lease is classified as a finance lease when one or more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asset is of such a specialized nature that it is expected to have no alternative use to the lessor at the end of the lease term. A lease is classified as an operating lease if it does not meet any of these criteria.</w:t>
      </w:r>
    </w:p>
    <w:p>
      <w:pPr>
        <w:spacing w:after="0" w:line="154"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 The Company reports operating lease right-of-use assets in operating lease right-of-use assets and the current and noncurrent portions of its operating lease liabilities in accrued and other liabilities and non-current operating lease liabilities, respectively.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Lease payments included in the measurement of lease liabilities consist of (i) fixed lease payments for the noncancelable lease term, (ii) fixed lease payments for optional renewal periods where it is reasonably certain the renewal option will be exercised, and (iii)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49" w:lineRule="exact"/>
        <w:rPr>
          <w:sz w:val="20"/>
          <w:szCs w:val="20"/>
          <w:color w:val="auto"/>
        </w:rPr>
      </w:pPr>
    </w:p>
    <w:p>
      <w:pPr>
        <w:ind w:right="300" w:firstLine="518"/>
        <w:spacing w:after="0" w:line="246"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95"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For broadband equipment leased to consumer broadband customers in conjunction with the delivery of connectivity services, the Company has made an accounting policy election not to separate the broadband equipment from the related connectivity services. The connectivity services are the predominant component of these arrangements. The connectivity services are accounted for in accordance with ASC 606. The Company is also a lessor for certain insignificant communications equipment. These leases meet the criteria for operating lease classification. Lease income associated with these leases is not material.</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capitalizes the costs of obtaining or acquiring patents, orbital slots and other licenses. Amortization of intangible assets</w:t>
      </w:r>
    </w:p>
    <w:p>
      <w:pPr>
        <w:spacing w:after="0"/>
        <w:rPr>
          <w:sz w:val="20"/>
          <w:szCs w:val="20"/>
          <w:color w:val="auto"/>
        </w:rPr>
      </w:pPr>
      <w:r>
        <w:rPr>
          <w:rFonts w:ascii="Arial" w:cs="Arial" w:eastAsia="Arial" w:hAnsi="Arial"/>
          <w:sz w:val="17"/>
          <w:szCs w:val="17"/>
          <w:color w:val="auto"/>
        </w:rPr>
        <w:t>that have finite lives is provided for by the straight-line method over the shorter of the legal or estimated economic life. Total capitalized costs of</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$3.2 million related to patents were included in other assets as of June 30, 2019 and March 31, 2019. The Company capitalized costs of</w:t>
      </w:r>
    </w:p>
    <w:p>
      <w:pPr>
        <w:spacing w:after="0" w:line="234" w:lineRule="auto"/>
        <w:rPr>
          <w:sz w:val="20"/>
          <w:szCs w:val="20"/>
          <w:color w:val="auto"/>
        </w:rPr>
      </w:pPr>
      <w:r>
        <w:rPr>
          <w:rFonts w:ascii="Arial" w:cs="Arial" w:eastAsia="Arial" w:hAnsi="Arial"/>
          <w:sz w:val="18"/>
          <w:szCs w:val="18"/>
          <w:color w:val="auto"/>
        </w:rPr>
        <w:t>$34.5 million and $22.9 million related to acquiring and obtaining orbital slots and other licenses included in other assets as of June 30, 2019</w:t>
      </w:r>
    </w:p>
    <w:p>
      <w:pPr>
        <w:spacing w:after="0" w:line="235" w:lineRule="auto"/>
        <w:rPr>
          <w:sz w:val="20"/>
          <w:szCs w:val="20"/>
          <w:color w:val="auto"/>
        </w:rPr>
      </w:pPr>
      <w:r>
        <w:rPr>
          <w:rFonts w:ascii="Arial" w:cs="Arial" w:eastAsia="Arial" w:hAnsi="Arial"/>
          <w:sz w:val="18"/>
          <w:szCs w:val="18"/>
          <w:color w:val="auto"/>
        </w:rPr>
        <w:t>and March 31, 2019, respectively. Accumulated amortization related to these assets was $3.2 million and $3.0 million as of June 30, 2019 and</w:t>
      </w:r>
    </w:p>
    <w:p>
      <w:pPr>
        <w:spacing w:after="0" w:line="235" w:lineRule="auto"/>
        <w:rPr>
          <w:sz w:val="20"/>
          <w:szCs w:val="20"/>
          <w:color w:val="auto"/>
        </w:rPr>
      </w:pPr>
      <w:r>
        <w:rPr>
          <w:rFonts w:ascii="Arial" w:cs="Arial" w:eastAsia="Arial" w:hAnsi="Arial"/>
          <w:sz w:val="18"/>
          <w:szCs w:val="18"/>
          <w:color w:val="auto"/>
        </w:rPr>
        <w:t>March 31, 2019, respectively. Amortization expense related to these assets was an insignificant amount for the three months ended June 30,</w:t>
      </w:r>
    </w:p>
    <w:p>
      <w:pPr>
        <w:spacing w:after="0" w:line="235" w:lineRule="auto"/>
        <w:rPr>
          <w:sz w:val="20"/>
          <w:szCs w:val="20"/>
          <w:color w:val="auto"/>
        </w:rPr>
      </w:pPr>
      <w:r>
        <w:rPr>
          <w:rFonts w:ascii="Arial" w:cs="Arial" w:eastAsia="Arial" w:hAnsi="Arial"/>
          <w:sz w:val="18"/>
          <w:szCs w:val="18"/>
          <w:color w:val="auto"/>
        </w:rPr>
        <w:t>2019 and 2018. If a patent, orbital slot or orbital license is rejected, abandoned or otherwise invalidated, the unamortized cost is expensed in</w:t>
      </w:r>
    </w:p>
    <w:p>
      <w:pPr>
        <w:spacing w:after="0" w:line="235" w:lineRule="auto"/>
        <w:rPr>
          <w:sz w:val="20"/>
          <w:szCs w:val="20"/>
          <w:color w:val="auto"/>
        </w:rPr>
      </w:pPr>
      <w:r>
        <w:rPr>
          <w:rFonts w:ascii="Arial" w:cs="Arial" w:eastAsia="Arial" w:hAnsi="Arial"/>
          <w:sz w:val="18"/>
          <w:szCs w:val="18"/>
          <w:color w:val="auto"/>
        </w:rPr>
        <w:t>that period. During the three months ended June 30, 2019 and 2018, the Company did not write off any significant costs due to abandonment</w:t>
      </w:r>
    </w:p>
    <w:p>
      <w:pPr>
        <w:spacing w:after="0"/>
        <w:rPr>
          <w:sz w:val="20"/>
          <w:szCs w:val="20"/>
          <w:color w:val="auto"/>
        </w:rPr>
      </w:pPr>
      <w:r>
        <w:rPr>
          <w:rFonts w:ascii="Arial" w:cs="Arial" w:eastAsia="Arial" w:hAnsi="Arial"/>
          <w:sz w:val="18"/>
          <w:szCs w:val="18"/>
          <w:color w:val="auto"/>
        </w:rPr>
        <w:t>or impairment.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Debt issuance costs are amortized and recognized as interest expense using the effective interest rate method, or, when the results are not materially different, on a straight-line basis over the expected term of the related debt. During the three months ended June 30, 2019 and 2018, no debt issuance costs were capitalized. Unamortized debt issuance costs related to extinguished debt are expensed at the time the debt is extinguished and recorded in loss on extinguishment of debt in the condensed consolidated statements of operations and comprehensive income (loss). Debt issuance costs related to the Company’s revolving credit facility (the Revolving Credit Facility) are recorded in prepaid expenses and other current assets and in other long-term assets in the condensed consolidated balance sheets in accordance with the authoritative guidance for imputation of interest (ASC 835-30). Debt issuance costs related to the Company’s 5.625% Senior Notes due 2025 (the 2025 Notes), the Company’s 5.625% Senior Secured Notes due 2027 (the 2027 Notes) and the Ex-Im Credit Facility are recorded as a direct deduction from the carrying amount of the related debt, consistent with debt discounts, in accordance with the authoritative guidance for imputation of interest (ASC 835-30).</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99"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Costs of developing software for sale are charged to research and development (R&amp;D)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$242.1 million and $244.4 million related to software developed for resale were included in other assets as of June 30, 2019 and March 31, 2019, respectively. The Company capitalized $9.7 million and $11.4 million of costs related to software developed for resale for the three months ended June 30, 2019 and 2018, respectively. Amortization expense for capitalized software development costs was $12.0 million and $11.4 million for the three months ended June 30, 2019 and 2018,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$5.4 million in accrued and other liabilities in the condensed consolidated balance sheets as of June 30, 2019 and March 31, 2019.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accordance with the estimated timing of the projected payments.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85"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June 30, 2019 and March 31, 2019, no such amounts were accrued related to the aforementioned provisions.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9" w:lineRule="exact"/>
        <w:rPr>
          <w:sz w:val="20"/>
          <w:szCs w:val="20"/>
          <w:color w:val="auto"/>
        </w:rPr>
      </w:pPr>
    </w:p>
    <w:p>
      <w:pPr>
        <w:ind w:right="100" w:firstLine="518"/>
        <w:spacing w:after="0" w:line="239"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 — equity method</w:t>
      </w:r>
    </w:p>
    <w:p>
      <w:pPr>
        <w:spacing w:after="0" w:line="99"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 The Company records its share of the results of such entities within equity in income (loss) of unconsolidated affiliate, net on the condensed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2019 and March 31, 2019, the Company had no shares of common stock held in treasury.</w:t>
      </w:r>
    </w:p>
    <w:p>
      <w:pPr>
        <w:spacing w:after="0" w:line="158"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During the three months ended June 30, 2019 and 2018, the Company issued 72,193 and 270,785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during the three months ended June 30, 2019 and 2018, the Company repurchased 25,863 and 94,200 shares of common stock, respectively, at cost and with a total value of $2.3 million and $6.0 million,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 These retired shares remain as authorized stock and are considered to be unissued. The retirement of treasury stock had no impact on the Company’s total consolidated stockholders’ equity.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85"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51" w:lineRule="exact"/>
        <w:rPr>
          <w:sz w:val="20"/>
          <w:szCs w:val="20"/>
          <w:color w:val="auto"/>
        </w:rPr>
      </w:pPr>
    </w:p>
    <w:p>
      <w:pPr>
        <w:ind w:firstLine="518"/>
        <w:spacing w:after="0" w:line="241" w:lineRule="auto"/>
        <w:rPr>
          <w:sz w:val="20"/>
          <w:szCs w:val="20"/>
          <w:color w:val="auto"/>
        </w:rPr>
      </w:pPr>
      <w:r>
        <w:rPr>
          <w:rFonts w:ascii="Arial" w:cs="Arial" w:eastAsia="Arial" w:hAnsi="Arial"/>
          <w:sz w:val="18"/>
          <w:szCs w:val="18"/>
          <w:color w:val="auto"/>
        </w:rPr>
        <w:t>During the three months ended June 30, 2019 and 2018, the Company settled certain foreign exchange contracts and in connection therewith for each period recognized an insignificant gain or loss recorded in cost of revenues based on the nature of the underlying transactions. The fair value of the Company’s foreign currency forward contracts was an insignificant amount recorded as an accrued liability as of June 30, 2019 and March 31, 2019. The notional value of foreign currency forward contracts outstanding was $6.6 million as of June 30, 2019 and $9.9 million as of March 31, 2019.</w:t>
      </w:r>
    </w:p>
    <w:p>
      <w:pPr>
        <w:spacing w:after="0" w:line="149" w:lineRule="exact"/>
        <w:rPr>
          <w:sz w:val="20"/>
          <w:szCs w:val="20"/>
          <w:color w:val="auto"/>
        </w:rPr>
      </w:pPr>
    </w:p>
    <w:p>
      <w:pPr>
        <w:ind w:right="540" w:firstLine="518"/>
        <w:spacing w:after="0" w:line="239" w:lineRule="auto"/>
        <w:rPr>
          <w:sz w:val="20"/>
          <w:szCs w:val="20"/>
          <w:color w:val="auto"/>
        </w:rPr>
      </w:pPr>
      <w:r>
        <w:rPr>
          <w:rFonts w:ascii="Arial" w:cs="Arial" w:eastAsia="Arial" w:hAnsi="Arial"/>
          <w:sz w:val="18"/>
          <w:szCs w:val="18"/>
          <w:color w:val="auto"/>
        </w:rPr>
        <w:t>As of June 30, 2019, the estimated net amount of unrealized gains or losses related to foreign currency forward contracts that was expected to be reclassified to earnings within the next 12 months was insignificant. The Company’s foreign currency forward contracts outstanding as of June 30, 2019 will mature within approximately 21 months from their inception. There were no gains or losses from ineffectiveness of these derivative instruments recorded for the three months ended June 30, 2019 and 2018.</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9"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In accordance with the authoritative guidance for share-based payments (ASC 718), the Company measures stock-based compensation cost at the grant date, based on the estimated fair value of the award. Expense for restricted stock units and stock options is recognized on a straight-line basis over the employee’s requisite service period. Expense for total shareholder return (TSR) performance stock options that vest is recognized regardless of the actual TSR outcome achieved and is recognized on a graded-vesting basis. The Company accounts for</w:t>
      </w:r>
    </w:p>
    <w:p>
      <w:pPr>
        <w:spacing w:after="0" w:line="1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forfeitures as they occur. The Company recognized $21.2 million and $19.1 million of stock-based compensation expense for the three months ended June 30, 2019 and 2018,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8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9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Ordinarily, the Company calculates its provision for income taxes at the end of each interim reporting period on the basis of an estimated annual effective tax rate adjusted for tax items that are discrete to each period. However, when a reliable estimate cannot be made, the Company computes its provision for income taxes using the actual effective tax rate (discrete method) for the year-to-date period. The Company’s effective tax rate is highly influenced by the amount of its R&amp;D tax credits. A small change in estimated annual pretax income (loss) can produce a significant variance in the annual effective tax rate given the Company’s expected amount of R&amp;D tax credits. This variability provides an unreliable estimate of the annual effective tax rate. As a result, and in accordance with the authoritative guidance for accounting for income taxes in interim periods, the Company has computed its provision for income taxes for the three months ended June 30, 2019, by applying the actual effective tax rate to the year-to-date income for the three-month period.</w:t>
      </w:r>
    </w:p>
    <w:p>
      <w:pPr>
        <w:spacing w:after="0" w:line="154"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85"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 xml:space="preserve">In February 2016, the Financial Accounting Standards Board (FASB) issued ASU 2016-02, Leases (ASC 842). ASU 2016-02 requires lessees to recognize most leases on their balance sheets as lease liabilities with corresponding right-of-use assets and eliminates certain real estate-specific provisions. In January 2018, the FASB issued ASU 2018-01, Leases (ASC 842). ASU 2018-01 permits an entity to elect an optional transition practical expedient to not evaluate land easements that exist or expired before the entity’s adoption of ASC 842 and that were not previously accounted for as leases under ASC 840. In July 2018, the FASB issued ASU 2018-10, Codification Improvements to ASC 842, Leases, which was issued to provide more detailed guidance and additional clarification for implementing ASU 2016-02. In July 2018, the FASB issued ASU 2018 -11, Leases (ASC 842): Targeted Improvements, which provides an additional (and optional) transition method whereby the new lease standard is applied at the adoption date and recognized as an adjustment to retained earnings. In December 2018, the FASB issued ASU 2018-20, Leases (ASC 842): Narrow-Scope Improvements for Lessors, and in March 2019, the FASB issued ASU 2019-01 (ASC 842): Codification Improvements, both of which provide certain amendments that affect narrow aspects of the guidance issued in ASU 2016-02. The new guidance became effective for the Company beginning in the first quarter of fiscal year 2020. The Company adopted the new guidance using the optional transition method in the first quarter of fiscal year 2020. Therefore, the periods prior to the effective date of adoption continue to be reported under the current authoritative guidance for leases (ASC 840). The adoption of this guidance materially impacted the Company’s consolidated balance sheet as of June 30, 2019 due to the recognition of lease liabilities and right-of-use assets. The new guidance did not have a material impact on the Company’s condensed consolidated statements of operations and comprehensive income (loss) or condensed consolidated statements of cash flows. For additional information see Note 1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Note 6 – Leases.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June 2016, the FASB issued ASU 2016-13, Financial Instruments — Credit Losses (ASC 326). ASU 2016-13 requires credit losses on most financial assets measured at amortized cost and certain other instruments to be measured using an expected credit loss model (referred to as the current expected credit loss (CECL) model). It also modifies the impairment model for available-for-sale debt securities and provides for a simplified accounting model for purchased financial assets with credit deterioration since their origination. In November 2018, the FASB issued ASU 2018-19, Codification Improvements to Topic 326, Financial Instruments – Credit Losses (ASC 326), which clarifies that impairment of receivables arising from operating leases should be accounted for in accordance with ASC 842, Leases. In April 2019 the FASB issued ASU 2019-04, Codification Improvements to Topic 326, Financial Instruments – Credit Losses, and in May 2019, the FASB issued ASU 2019-05, Financial Instruments — Credit Losses (ASC 326) Targeted Relief. These recently issued ASUs do not change the core principle of the guidance in ASU 2016-13 but rather are intended to clarify and improve operability of certain topics included within ASU 2016-13. ASU 2018-19, ASU 2019-04 and 2019-05 have the same effective date and transition requirements as ASU 2016-13. The new guidance will become effective for the Company beginning in fiscal year 2021, with early adoption permitted. The new guidance is required to be applied on a modified-retrospective basis. The Company is currently evaluating the impact of this standard on its consolidated financial statements and disclosures.</w:t>
      </w:r>
    </w:p>
    <w:p>
      <w:pPr>
        <w:spacing w:after="0" w:line="150" w:lineRule="exact"/>
        <w:rPr>
          <w:sz w:val="20"/>
          <w:szCs w:val="20"/>
          <w:color w:val="auto"/>
        </w:rPr>
      </w:pPr>
    </w:p>
    <w:p>
      <w:pPr>
        <w:ind w:right="120" w:firstLine="518"/>
        <w:spacing w:after="0" w:line="239" w:lineRule="auto"/>
        <w:rPr>
          <w:sz w:val="20"/>
          <w:szCs w:val="20"/>
          <w:color w:val="auto"/>
        </w:rPr>
      </w:pPr>
      <w:r>
        <w:rPr>
          <w:rFonts w:ascii="Arial" w:cs="Arial" w:eastAsia="Arial" w:hAnsi="Arial"/>
          <w:sz w:val="18"/>
          <w:szCs w:val="18"/>
          <w:color w:val="auto"/>
        </w:rPr>
        <w:t>In January 2017, the FASB issued ASU 2017-04, Intangibles — Goodwill and Other: Simplifying the Test for Goodwill Impairment (ASC 350). ASU 2017-04 removes Step 2 from the goodwill impairment test. The standard will become effective for the Company beginning in fiscal year 2021, with early adoption permitted. The Company is currently evaluating the impact of this standard on its consolidated financial statements and disclosures.</w:t>
      </w:r>
    </w:p>
    <w:p>
      <w:pPr>
        <w:spacing w:after="0" w:line="148"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In March 2017, the FASB issued ASU 2017-08, Receivables — Nonrefundable Fees and Other Costs (ASC 310-20): Premium Amortization on Purchased Callable Debt Securities. ASU 2017-08 amends the amortization period for certain callable debt securities held at a premium. The amendments require the premium to be amortized to the earliest call date. The standard became effective for the Company beginning in fiscal year 2020. The Company adopted this guidance beginning in the first quarter of fiscal year 2020 and the guidance did not have a material impact on the Company’s consolidated financial statements and disclosures.</w:t>
      </w:r>
    </w:p>
    <w:p>
      <w:pPr>
        <w:spacing w:after="0" w:line="149"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 August 2017, the FASB issued ASU 2017-12, Derivatives and Hedging (ASC 815): Targeted Improvements to Accounting for Hedging Activities. ASU 2017-12 improves the financial reporting of hedging relationships to better portray the economic results of an entity’s risk management activities in its financial statements and make certain targeted improvements to simplify the application of the hedge accounting guidance in current GAAP. The amendments in this update better align an entity’s risk management activities and financial reporting for hedging relationships through changes to both the designation and measurement guidance for qualifying hedging relationships and presentation of hedge results. In October 2018, the FASB issued ASU 2018-16, Derivatives and Hedging (ASC 815): Inclusion of the Secured Overnight Financing Rate (SOFR) Overnight Index SWAP (OIS) Rate as a Benchmark Interest Rate for Hedge Accounting Purposes, which permits use of the OIS rate based on SOFR as a U.S. benchmark interest rate for hedge accounting purposes and has the same effective date as ASU 2017-12. In April 2019, the FASB issued ASU 2019-04, Codification Improvements to Topic 815, Derivatives and Hedging, which clarifies certain aspects of ASC 815 and has the same effective date as ASU 2017-12. The Company adopted this guidance beginning in the first quarter of fiscal year 2020 and the guidance did not have a material impact on the Company’s consolidated financial statements and disclosures.</w:t>
      </w:r>
    </w:p>
    <w:p>
      <w:pPr>
        <w:spacing w:after="0" w:line="191" w:lineRule="exact"/>
        <w:rPr>
          <w:sz w:val="20"/>
          <w:szCs w:val="20"/>
          <w:color w:val="auto"/>
        </w:rPr>
      </w:pPr>
    </w:p>
    <w:p>
      <w:pPr>
        <w:ind w:right="60" w:firstLine="518"/>
        <w:spacing w:after="0" w:line="234" w:lineRule="auto"/>
        <w:rPr>
          <w:sz w:val="20"/>
          <w:szCs w:val="20"/>
          <w:color w:val="auto"/>
        </w:rPr>
      </w:pPr>
      <w:r>
        <w:rPr>
          <w:rFonts w:ascii="Arial" w:cs="Arial" w:eastAsia="Arial" w:hAnsi="Arial"/>
          <w:sz w:val="18"/>
          <w:szCs w:val="18"/>
          <w:color w:val="auto"/>
        </w:rPr>
        <w:t>In July 2018, the FASB issued ASU 2018-09, Codification Improvements, which is related to a project by the FASB to facilitate codification updates for technical corrections, clarifications and other minor improvements. The new standard contains amendments that affect a wide variety of topics in the ASC. The effective date of the standard is dependent on the facts and circumstances of each amendment. Some amendments do not require transition guidance and were effective upon the issuance of this standard. A majority of the amendments in</w:t>
      </w:r>
    </w:p>
    <w:p>
      <w:pPr>
        <w:spacing w:after="0" w:line="3"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ASU 2018-09 became effective for the Company beginning in fiscal year 2020. The Company adopted the remainder of the amendments of this guidance in the first quarter of fiscal year 2020 and the guidance did not have a material impact on its consolidated financial statements and disclosures.</w:t>
      </w:r>
    </w:p>
    <w:p>
      <w:pPr>
        <w:spacing w:after="0" w:line="189" w:lineRule="exact"/>
        <w:rPr>
          <w:sz w:val="20"/>
          <w:szCs w:val="20"/>
          <w:color w:val="auto"/>
        </w:rPr>
      </w:pPr>
    </w:p>
    <w:p>
      <w:pPr>
        <w:ind w:right="180" w:firstLine="518"/>
        <w:spacing w:after="0" w:line="239" w:lineRule="auto"/>
        <w:rPr>
          <w:sz w:val="20"/>
          <w:szCs w:val="20"/>
          <w:color w:val="auto"/>
        </w:rPr>
      </w:pPr>
      <w:r>
        <w:rPr>
          <w:rFonts w:ascii="Arial" w:cs="Arial" w:eastAsia="Arial" w:hAnsi="Arial"/>
          <w:sz w:val="18"/>
          <w:szCs w:val="18"/>
          <w:color w:val="auto"/>
        </w:rPr>
        <w:t>In August 2018, the FASB issued ASU 2018-13, Fair Value Measurement (ASC 820): Disclosure Framework—Changes to the Disclosure Requirements for Fair Value Measurement, which modifies the disclosure requirements for fair value measurements by removing, modifying, or adding certain disclosures. The new standard will become effective for the Company beginning in fiscal year 2021, with early adoption permitted. The Company is currently evaluating the impact of this standard on its consolidated financial statements and disclosures.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2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1"/>
                <w:szCs w:val="11"/>
                <w:b w:val="1"/>
                <w:bCs w:val="1"/>
                <w:color w:val="auto"/>
              </w:rPr>
              <w:t>As of</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1"/>
                <w:szCs w:val="11"/>
                <w:b w:val="1"/>
                <w:bCs w:val="1"/>
                <w:color w:val="auto"/>
              </w:rPr>
              <w:t>As of</w:t>
            </w:r>
          </w:p>
        </w:tc>
        <w:tc>
          <w:tcPr>
            <w:tcW w:w="0" w:type="dxa"/>
            <w:vAlign w:val="bottom"/>
          </w:tcPr>
          <w:p>
            <w:pPr>
              <w:spacing w:after="0"/>
              <w:rPr>
                <w:sz w:val="1"/>
                <w:szCs w:val="1"/>
                <w:color w:val="auto"/>
              </w:rPr>
            </w:pPr>
          </w:p>
        </w:tc>
      </w:tr>
      <w:tr>
        <w:trPr>
          <w:trHeight w:val="137"/>
        </w:trPr>
        <w:tc>
          <w:tcPr>
            <w:tcW w:w="6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1"/>
                <w:szCs w:val="11"/>
                <w:b w:val="1"/>
                <w:bCs w:val="1"/>
                <w:color w:val="auto"/>
              </w:rPr>
              <w:t>June 30, 2019</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rPr>
              <w:t>March 31, 2019</w:t>
            </w:r>
          </w:p>
        </w:tc>
        <w:tc>
          <w:tcPr>
            <w:tcW w:w="0" w:type="dxa"/>
            <w:vAlign w:val="bottom"/>
          </w:tcPr>
          <w:p>
            <w:pPr>
              <w:spacing w:after="0"/>
              <w:rPr>
                <w:sz w:val="1"/>
                <w:szCs w:val="1"/>
                <w:color w:val="auto"/>
              </w:rPr>
            </w:pPr>
          </w:p>
        </w:tc>
      </w:tr>
      <w:tr>
        <w:trPr>
          <w:trHeight w:val="129"/>
        </w:trPr>
        <w:tc>
          <w:tcPr>
            <w:tcW w:w="6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94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1"/>
                <w:szCs w:val="11"/>
                <w:b w:val="1"/>
                <w:bCs w:val="1"/>
                <w:color w:val="auto"/>
              </w:rPr>
              <w:t>(In thousands)</w:t>
            </w:r>
          </w:p>
        </w:tc>
        <w:tc>
          <w:tcPr>
            <w:tcW w:w="1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spacing w:after="0"/>
              <w:rPr>
                <w:sz w:val="20"/>
                <w:szCs w:val="20"/>
                <w:color w:val="auto"/>
              </w:rPr>
            </w:pPr>
            <w:r>
              <w:rPr>
                <w:rFonts w:ascii="Arial" w:cs="Arial" w:eastAsia="Arial" w:hAnsi="Arial"/>
                <w:sz w:val="13"/>
                <w:szCs w:val="13"/>
                <w:color w:val="auto"/>
              </w:rPr>
              <w:t>Accounts receivable, net:</w:t>
            </w:r>
          </w:p>
        </w:tc>
        <w:tc>
          <w:tcPr>
            <w:tcW w:w="1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Billed</w:t>
            </w:r>
          </w:p>
        </w:tc>
        <w:tc>
          <w:tcPr>
            <w:tcW w:w="188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208,376</w:t>
            </w:r>
          </w:p>
        </w:tc>
        <w:tc>
          <w:tcPr>
            <w:tcW w:w="180" w:type="dxa"/>
            <w:vAlign w:val="bottom"/>
          </w:tcPr>
          <w:p>
            <w:pPr>
              <w:spacing w:after="0"/>
              <w:rPr>
                <w:sz w:val="12"/>
                <w:szCs w:val="12"/>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218,276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Unbilled</w:t>
            </w:r>
          </w:p>
        </w:tc>
        <w:tc>
          <w:tcPr>
            <w:tcW w:w="1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97,460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83,743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Allowance for doubtful accounts</w:t>
            </w: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3"/>
                <w:szCs w:val="13"/>
                <w:color w:val="auto"/>
              </w:rPr>
              <w:t>(2,217)</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3"/>
                <w:szCs w:val="13"/>
                <w:color w:val="auto"/>
              </w:rPr>
              <w:t>(1,712)</w:t>
            </w:r>
          </w:p>
        </w:tc>
        <w:tc>
          <w:tcPr>
            <w:tcW w:w="0" w:type="dxa"/>
            <w:vAlign w:val="bottom"/>
          </w:tcPr>
          <w:p>
            <w:pPr>
              <w:spacing w:after="0"/>
              <w:rPr>
                <w:sz w:val="1"/>
                <w:szCs w:val="1"/>
                <w:color w:val="auto"/>
              </w:rPr>
            </w:pPr>
          </w:p>
        </w:tc>
      </w:tr>
      <w:tr>
        <w:trPr>
          <w:trHeight w:val="20"/>
        </w:trPr>
        <w:tc>
          <w:tcPr>
            <w:tcW w:w="622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17"/>
              <w:spacing w:after="0" w:line="143" w:lineRule="exact"/>
              <w:rPr>
                <w:sz w:val="20"/>
                <w:szCs w:val="20"/>
                <w:color w:val="auto"/>
              </w:rPr>
            </w:pPr>
            <w:r>
              <w:rPr>
                <w:rFonts w:ascii="Arial" w:cs="Arial" w:eastAsia="Arial" w:hAnsi="Arial"/>
                <w:sz w:val="13"/>
                <w:szCs w:val="13"/>
                <w:color w:val="auto"/>
                <w:w w:val="82"/>
              </w:rPr>
              <w:t>$</w:t>
            </w:r>
          </w:p>
        </w:tc>
        <w:tc>
          <w:tcPr>
            <w:tcW w:w="13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303,619</w:t>
            </w:r>
          </w:p>
        </w:tc>
        <w:tc>
          <w:tcPr>
            <w:tcW w:w="18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60"/>
              <w:spacing w:after="0" w:line="143" w:lineRule="exact"/>
              <w:rPr>
                <w:sz w:val="20"/>
                <w:szCs w:val="20"/>
                <w:color w:val="auto"/>
              </w:rPr>
            </w:pPr>
            <w:r>
              <w:rPr>
                <w:rFonts w:ascii="Arial" w:cs="Arial" w:eastAsia="Arial" w:hAnsi="Arial"/>
                <w:sz w:val="13"/>
                <w:szCs w:val="13"/>
                <w:color w:val="auto"/>
              </w:rPr>
              <w:t>$</w:t>
            </w:r>
          </w:p>
        </w:tc>
        <w:tc>
          <w:tcPr>
            <w:tcW w:w="12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300,307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Inventories:</w:t>
            </w:r>
          </w:p>
        </w:tc>
        <w:tc>
          <w:tcPr>
            <w:tcW w:w="16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2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Raw materials</w:t>
            </w:r>
          </w:p>
        </w:tc>
        <w:tc>
          <w:tcPr>
            <w:tcW w:w="188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86,130</w:t>
            </w:r>
          </w:p>
        </w:tc>
        <w:tc>
          <w:tcPr>
            <w:tcW w:w="18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77,834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Work in process</w:t>
            </w: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51,100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52,084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Finished goods</w:t>
            </w:r>
          </w:p>
        </w:tc>
        <w:tc>
          <w:tcPr>
            <w:tcW w:w="162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126,603</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104,600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220" w:type="dxa"/>
            <w:vAlign w:val="bottom"/>
          </w:tcPr>
          <w:p>
            <w:pPr>
              <w:spacing w:after="0"/>
              <w:rPr>
                <w:sz w:val="15"/>
                <w:szCs w:val="15"/>
                <w:color w:val="auto"/>
              </w:rPr>
            </w:pPr>
          </w:p>
        </w:tc>
        <w:tc>
          <w:tcPr>
            <w:tcW w:w="1880" w:type="dxa"/>
            <w:vAlign w:val="bottom"/>
            <w:gridSpan w:val="2"/>
          </w:tcPr>
          <w:p>
            <w:pPr>
              <w:jc w:val="right"/>
              <w:ind w:right="117"/>
              <w:spacing w:after="0" w:line="143" w:lineRule="exact"/>
              <w:rPr>
                <w:sz w:val="20"/>
                <w:szCs w:val="20"/>
                <w:color w:val="auto"/>
              </w:rPr>
            </w:pPr>
            <w:r>
              <w:rPr>
                <w:rFonts w:ascii="Arial" w:cs="Arial" w:eastAsia="Arial" w:hAnsi="Arial"/>
                <w:sz w:val="13"/>
                <w:szCs w:val="13"/>
                <w:color w:val="auto"/>
              </w:rPr>
              <w:t>$</w:t>
            </w:r>
          </w:p>
        </w:tc>
        <w:tc>
          <w:tcPr>
            <w:tcW w:w="1320" w:type="dxa"/>
            <w:vAlign w:val="bottom"/>
          </w:tcPr>
          <w:p>
            <w:pPr>
              <w:jc w:val="right"/>
              <w:spacing w:after="0" w:line="143" w:lineRule="exact"/>
              <w:rPr>
                <w:sz w:val="20"/>
                <w:szCs w:val="20"/>
                <w:color w:val="auto"/>
              </w:rPr>
            </w:pPr>
            <w:r>
              <w:rPr>
                <w:rFonts w:ascii="Arial" w:cs="Arial" w:eastAsia="Arial" w:hAnsi="Arial"/>
                <w:sz w:val="13"/>
                <w:szCs w:val="13"/>
                <w:color w:val="auto"/>
              </w:rPr>
              <w:t>263,833</w:t>
            </w:r>
          </w:p>
        </w:tc>
        <w:tc>
          <w:tcPr>
            <w:tcW w:w="180" w:type="dxa"/>
            <w:vAlign w:val="bottom"/>
          </w:tcPr>
          <w:p>
            <w:pPr>
              <w:spacing w:after="0"/>
              <w:rPr>
                <w:sz w:val="15"/>
                <w:szCs w:val="15"/>
                <w:color w:val="auto"/>
              </w:rPr>
            </w:pPr>
          </w:p>
        </w:tc>
        <w:tc>
          <w:tcPr>
            <w:tcW w:w="44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w:t>
            </w:r>
          </w:p>
        </w:tc>
        <w:tc>
          <w:tcPr>
            <w:tcW w:w="1280" w:type="dxa"/>
            <w:vAlign w:val="bottom"/>
          </w:tcPr>
          <w:p>
            <w:pPr>
              <w:jc w:val="right"/>
              <w:spacing w:after="0" w:line="143" w:lineRule="exact"/>
              <w:rPr>
                <w:sz w:val="20"/>
                <w:szCs w:val="20"/>
                <w:color w:val="auto"/>
              </w:rPr>
            </w:pPr>
            <w:r>
              <w:rPr>
                <w:rFonts w:ascii="Arial" w:cs="Arial" w:eastAsia="Arial" w:hAnsi="Arial"/>
                <w:sz w:val="13"/>
                <w:szCs w:val="13"/>
                <w:color w:val="auto"/>
              </w:rPr>
              <w:t>234,518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22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Prepaid expenses and other current assets:</w:t>
            </w:r>
          </w:p>
        </w:tc>
        <w:tc>
          <w:tcPr>
            <w:tcW w:w="162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32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Prepaid expenses</w:t>
            </w:r>
          </w:p>
        </w:tc>
        <w:tc>
          <w:tcPr>
            <w:tcW w:w="188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88,326</w:t>
            </w:r>
          </w:p>
        </w:tc>
        <w:tc>
          <w:tcPr>
            <w:tcW w:w="180" w:type="dxa"/>
            <w:vAlign w:val="bottom"/>
          </w:tcPr>
          <w:p>
            <w:pPr>
              <w:spacing w:after="0"/>
              <w:rPr>
                <w:sz w:val="12"/>
                <w:szCs w:val="12"/>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72,369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w:t>
            </w:r>
          </w:p>
        </w:tc>
        <w:tc>
          <w:tcPr>
            <w:tcW w:w="162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18,521</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18,277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220" w:type="dxa"/>
            <w:vAlign w:val="bottom"/>
          </w:tcPr>
          <w:p>
            <w:pPr>
              <w:spacing w:after="0"/>
              <w:rPr>
                <w:sz w:val="15"/>
                <w:szCs w:val="15"/>
                <w:color w:val="auto"/>
              </w:rPr>
            </w:pPr>
          </w:p>
        </w:tc>
        <w:tc>
          <w:tcPr>
            <w:tcW w:w="1880" w:type="dxa"/>
            <w:vAlign w:val="bottom"/>
            <w:gridSpan w:val="2"/>
          </w:tcPr>
          <w:p>
            <w:pPr>
              <w:jc w:val="right"/>
              <w:ind w:right="117"/>
              <w:spacing w:after="0" w:line="143" w:lineRule="exact"/>
              <w:rPr>
                <w:sz w:val="20"/>
                <w:szCs w:val="20"/>
                <w:color w:val="auto"/>
              </w:rPr>
            </w:pPr>
            <w:r>
              <w:rPr>
                <w:rFonts w:ascii="Arial" w:cs="Arial" w:eastAsia="Arial" w:hAnsi="Arial"/>
                <w:sz w:val="13"/>
                <w:szCs w:val="13"/>
                <w:color w:val="auto"/>
              </w:rPr>
              <w:t>$</w:t>
            </w:r>
          </w:p>
        </w:tc>
        <w:tc>
          <w:tcPr>
            <w:tcW w:w="1320" w:type="dxa"/>
            <w:vAlign w:val="bottom"/>
          </w:tcPr>
          <w:p>
            <w:pPr>
              <w:jc w:val="right"/>
              <w:spacing w:after="0" w:line="143" w:lineRule="exact"/>
              <w:rPr>
                <w:sz w:val="20"/>
                <w:szCs w:val="20"/>
                <w:color w:val="auto"/>
              </w:rPr>
            </w:pPr>
            <w:r>
              <w:rPr>
                <w:rFonts w:ascii="Arial" w:cs="Arial" w:eastAsia="Arial" w:hAnsi="Arial"/>
                <w:sz w:val="13"/>
                <w:szCs w:val="13"/>
                <w:color w:val="auto"/>
              </w:rPr>
              <w:t>106,847</w:t>
            </w:r>
          </w:p>
        </w:tc>
        <w:tc>
          <w:tcPr>
            <w:tcW w:w="180" w:type="dxa"/>
            <w:vAlign w:val="bottom"/>
          </w:tcPr>
          <w:p>
            <w:pPr>
              <w:spacing w:after="0"/>
              <w:rPr>
                <w:sz w:val="15"/>
                <w:szCs w:val="15"/>
                <w:color w:val="auto"/>
              </w:rPr>
            </w:pPr>
          </w:p>
        </w:tc>
        <w:tc>
          <w:tcPr>
            <w:tcW w:w="44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w:t>
            </w:r>
          </w:p>
        </w:tc>
        <w:tc>
          <w:tcPr>
            <w:tcW w:w="1280" w:type="dxa"/>
            <w:vAlign w:val="bottom"/>
          </w:tcPr>
          <w:p>
            <w:pPr>
              <w:jc w:val="right"/>
              <w:spacing w:after="0" w:line="143" w:lineRule="exact"/>
              <w:rPr>
                <w:sz w:val="20"/>
                <w:szCs w:val="20"/>
                <w:color w:val="auto"/>
              </w:rPr>
            </w:pPr>
            <w:r>
              <w:rPr>
                <w:rFonts w:ascii="Arial" w:cs="Arial" w:eastAsia="Arial" w:hAnsi="Arial"/>
                <w:sz w:val="13"/>
                <w:szCs w:val="13"/>
                <w:color w:val="auto"/>
              </w:rPr>
              <w:t>90,646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22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Satellites, net:</w:t>
            </w:r>
          </w:p>
        </w:tc>
        <w:tc>
          <w:tcPr>
            <w:tcW w:w="162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32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Satellites (estimated useful life of 10-17 years)</w:t>
            </w:r>
          </w:p>
        </w:tc>
        <w:tc>
          <w:tcPr>
            <w:tcW w:w="188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978,113</w:t>
            </w:r>
          </w:p>
        </w:tc>
        <w:tc>
          <w:tcPr>
            <w:tcW w:w="180" w:type="dxa"/>
            <w:vAlign w:val="bottom"/>
          </w:tcPr>
          <w:p>
            <w:pPr>
              <w:spacing w:after="0"/>
              <w:rPr>
                <w:sz w:val="12"/>
                <w:szCs w:val="12"/>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978,118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Capital lease of satellite capacity — Anik F2 (estimated useful life of 10 years)</w:t>
            </w:r>
          </w:p>
        </w:tc>
        <w:tc>
          <w:tcPr>
            <w:tcW w:w="1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99,090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99,090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Satellites under construction</w:t>
            </w:r>
          </w:p>
        </w:tc>
        <w:tc>
          <w:tcPr>
            <w:tcW w:w="16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668,561</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590,000</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1,745,764</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1,667,208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Less: accumulated depreciation and amortization</w:t>
            </w: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3"/>
                <w:szCs w:val="13"/>
                <w:color w:val="auto"/>
              </w:rPr>
              <w:t>(471,092)</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3"/>
                <w:szCs w:val="13"/>
                <w:color w:val="auto"/>
              </w:rPr>
              <w:t>(451,545)</w:t>
            </w:r>
          </w:p>
        </w:tc>
        <w:tc>
          <w:tcPr>
            <w:tcW w:w="0" w:type="dxa"/>
            <w:vAlign w:val="bottom"/>
          </w:tcPr>
          <w:p>
            <w:pPr>
              <w:spacing w:after="0"/>
              <w:rPr>
                <w:sz w:val="1"/>
                <w:szCs w:val="1"/>
                <w:color w:val="auto"/>
              </w:rPr>
            </w:pPr>
          </w:p>
        </w:tc>
      </w:tr>
      <w:tr>
        <w:trPr>
          <w:trHeight w:val="20"/>
        </w:trPr>
        <w:tc>
          <w:tcPr>
            <w:tcW w:w="622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17"/>
              <w:spacing w:after="0" w:line="143" w:lineRule="exact"/>
              <w:rPr>
                <w:sz w:val="20"/>
                <w:szCs w:val="20"/>
                <w:color w:val="auto"/>
              </w:rPr>
            </w:pPr>
            <w:r>
              <w:rPr>
                <w:rFonts w:ascii="Arial" w:cs="Arial" w:eastAsia="Arial" w:hAnsi="Arial"/>
                <w:sz w:val="13"/>
                <w:szCs w:val="13"/>
                <w:color w:val="auto"/>
                <w:w w:val="82"/>
              </w:rPr>
              <w:t>$</w:t>
            </w:r>
          </w:p>
        </w:tc>
        <w:tc>
          <w:tcPr>
            <w:tcW w:w="13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1,274,672</w:t>
            </w:r>
          </w:p>
        </w:tc>
        <w:tc>
          <w:tcPr>
            <w:tcW w:w="18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60"/>
              <w:spacing w:after="0" w:line="143" w:lineRule="exact"/>
              <w:rPr>
                <w:sz w:val="20"/>
                <w:szCs w:val="20"/>
                <w:color w:val="auto"/>
              </w:rPr>
            </w:pPr>
            <w:r>
              <w:rPr>
                <w:rFonts w:ascii="Arial" w:cs="Arial" w:eastAsia="Arial" w:hAnsi="Arial"/>
                <w:sz w:val="13"/>
                <w:szCs w:val="13"/>
                <w:color w:val="auto"/>
              </w:rPr>
              <w:t>$</w:t>
            </w:r>
          </w:p>
        </w:tc>
        <w:tc>
          <w:tcPr>
            <w:tcW w:w="12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1,215,663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Property and equipment, net:</w:t>
            </w:r>
          </w:p>
        </w:tc>
        <w:tc>
          <w:tcPr>
            <w:tcW w:w="16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2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Equipment and software (estimated useful life of 3-7 years)</w:t>
            </w:r>
          </w:p>
        </w:tc>
        <w:tc>
          <w:tcPr>
            <w:tcW w:w="188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1,073,222</w:t>
            </w:r>
          </w:p>
        </w:tc>
        <w:tc>
          <w:tcPr>
            <w:tcW w:w="18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1,027,293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CPE leased equipment (estimated useful life of 4-5 years)</w:t>
            </w: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377,158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373,357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Furniture and fixtures (estimated useful life of 7 years)</w:t>
            </w:r>
          </w:p>
        </w:tc>
        <w:tc>
          <w:tcPr>
            <w:tcW w:w="1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51,042</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46,678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Leasehold improvements (estimated useful life of 2-17 years)</w:t>
            </w: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127,470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126,528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Building (estimated useful life of 24 years)</w:t>
            </w:r>
          </w:p>
        </w:tc>
        <w:tc>
          <w:tcPr>
            <w:tcW w:w="1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8,923</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8,923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Land</w:t>
            </w: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2,291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2,291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Construction in progress</w:t>
            </w:r>
          </w:p>
        </w:tc>
        <w:tc>
          <w:tcPr>
            <w:tcW w:w="162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181,941</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167,178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line="143" w:lineRule="exact"/>
              <w:rPr>
                <w:sz w:val="20"/>
                <w:szCs w:val="20"/>
                <w:color w:val="auto"/>
              </w:rPr>
            </w:pPr>
            <w:r>
              <w:rPr>
                <w:rFonts w:ascii="Arial" w:cs="Arial" w:eastAsia="Arial" w:hAnsi="Arial"/>
                <w:sz w:val="13"/>
                <w:szCs w:val="13"/>
                <w:color w:val="auto"/>
              </w:rPr>
              <w:t>1,822,047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right"/>
              <w:spacing w:after="0" w:line="143" w:lineRule="exact"/>
              <w:rPr>
                <w:sz w:val="20"/>
                <w:szCs w:val="20"/>
                <w:color w:val="auto"/>
              </w:rPr>
            </w:pPr>
            <w:r>
              <w:rPr>
                <w:rFonts w:ascii="Arial" w:cs="Arial" w:eastAsia="Arial" w:hAnsi="Arial"/>
                <w:sz w:val="13"/>
                <w:szCs w:val="13"/>
                <w:color w:val="auto"/>
              </w:rPr>
              <w:t>1,752,248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Less: accumulated depreciation</w:t>
            </w:r>
          </w:p>
        </w:tc>
        <w:tc>
          <w:tcPr>
            <w:tcW w:w="1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(880,674)</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(842,621)</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60" w:type="dxa"/>
            <w:vAlign w:val="bottom"/>
          </w:tcPr>
          <w:p>
            <w:pPr>
              <w:jc w:val="right"/>
              <w:ind w:right="117"/>
              <w:spacing w:after="0" w:line="143" w:lineRule="exact"/>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line="143" w:lineRule="exact"/>
              <w:rPr>
                <w:sz w:val="20"/>
                <w:szCs w:val="20"/>
                <w:color w:val="auto"/>
              </w:rPr>
            </w:pPr>
            <w:r>
              <w:rPr>
                <w:rFonts w:ascii="Arial" w:cs="Arial" w:eastAsia="Arial" w:hAnsi="Arial"/>
                <w:sz w:val="13"/>
                <w:szCs w:val="13"/>
                <w:color w:val="auto"/>
              </w:rPr>
              <w:t>941,373</w:t>
            </w:r>
          </w:p>
        </w:tc>
        <w:tc>
          <w:tcPr>
            <w:tcW w:w="180" w:type="dxa"/>
            <w:vAlign w:val="bottom"/>
          </w:tcPr>
          <w:p>
            <w:pPr>
              <w:spacing w:after="0"/>
              <w:rPr>
                <w:sz w:val="15"/>
                <w:szCs w:val="15"/>
                <w:color w:val="auto"/>
              </w:rPr>
            </w:pPr>
          </w:p>
        </w:tc>
        <w:tc>
          <w:tcPr>
            <w:tcW w:w="44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w:t>
            </w:r>
          </w:p>
        </w:tc>
        <w:tc>
          <w:tcPr>
            <w:tcW w:w="1280" w:type="dxa"/>
            <w:vAlign w:val="bottom"/>
          </w:tcPr>
          <w:p>
            <w:pPr>
              <w:jc w:val="right"/>
              <w:spacing w:after="0" w:line="143" w:lineRule="exact"/>
              <w:rPr>
                <w:sz w:val="20"/>
                <w:szCs w:val="20"/>
                <w:color w:val="auto"/>
              </w:rPr>
            </w:pPr>
            <w:r>
              <w:rPr>
                <w:rFonts w:ascii="Arial" w:cs="Arial" w:eastAsia="Arial" w:hAnsi="Arial"/>
                <w:sz w:val="13"/>
                <w:szCs w:val="13"/>
                <w:color w:val="auto"/>
              </w:rPr>
              <w:t>909,627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22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Other acquired intangible assets, net:</w:t>
            </w:r>
          </w:p>
        </w:tc>
        <w:tc>
          <w:tcPr>
            <w:tcW w:w="162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32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Technology (weighted average useful life of 6 years)</w:t>
            </w:r>
          </w:p>
        </w:tc>
        <w:tc>
          <w:tcPr>
            <w:tcW w:w="188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89,954</w:t>
            </w:r>
          </w:p>
        </w:tc>
        <w:tc>
          <w:tcPr>
            <w:tcW w:w="180" w:type="dxa"/>
            <w:vAlign w:val="bottom"/>
          </w:tcPr>
          <w:p>
            <w:pPr>
              <w:spacing w:after="0"/>
              <w:rPr>
                <w:sz w:val="12"/>
                <w:szCs w:val="12"/>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89,972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Contracts and customer relationships (weighted average useful life of 7 years)</w:t>
            </w:r>
          </w:p>
        </w:tc>
        <w:tc>
          <w:tcPr>
            <w:tcW w:w="1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103,294</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103,283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Satellite co-location rights (weighted average useful life of 9 years)</w:t>
            </w: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8,600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Trade name (weighted average useful life of 3 years)</w:t>
            </w:r>
          </w:p>
        </w:tc>
        <w:tc>
          <w:tcPr>
            <w:tcW w:w="1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5,940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Other (weighted average useful life of 6 years)</w:t>
            </w:r>
          </w:p>
        </w:tc>
        <w:tc>
          <w:tcPr>
            <w:tcW w:w="16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10,006</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9,989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217,794</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217,784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Less: accumulated amortization</w:t>
            </w: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3"/>
                <w:szCs w:val="13"/>
                <w:color w:val="auto"/>
              </w:rPr>
              <w:t>(197,440)</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3"/>
                <w:szCs w:val="13"/>
                <w:color w:val="auto"/>
              </w:rPr>
              <w:t>(195,483)</w:t>
            </w:r>
          </w:p>
        </w:tc>
        <w:tc>
          <w:tcPr>
            <w:tcW w:w="0" w:type="dxa"/>
            <w:vAlign w:val="bottom"/>
          </w:tcPr>
          <w:p>
            <w:pPr>
              <w:spacing w:after="0"/>
              <w:rPr>
                <w:sz w:val="1"/>
                <w:szCs w:val="1"/>
                <w:color w:val="auto"/>
              </w:rPr>
            </w:pPr>
          </w:p>
        </w:tc>
      </w:tr>
      <w:tr>
        <w:trPr>
          <w:trHeight w:val="20"/>
        </w:trPr>
        <w:tc>
          <w:tcPr>
            <w:tcW w:w="622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17"/>
              <w:spacing w:after="0" w:line="143" w:lineRule="exact"/>
              <w:rPr>
                <w:sz w:val="20"/>
                <w:szCs w:val="20"/>
                <w:color w:val="auto"/>
              </w:rPr>
            </w:pPr>
            <w:r>
              <w:rPr>
                <w:rFonts w:ascii="Arial" w:cs="Arial" w:eastAsia="Arial" w:hAnsi="Arial"/>
                <w:sz w:val="13"/>
                <w:szCs w:val="13"/>
                <w:color w:val="auto"/>
                <w:w w:val="82"/>
              </w:rPr>
              <w:t>$</w:t>
            </w:r>
          </w:p>
        </w:tc>
        <w:tc>
          <w:tcPr>
            <w:tcW w:w="13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20,354</w:t>
            </w:r>
          </w:p>
        </w:tc>
        <w:tc>
          <w:tcPr>
            <w:tcW w:w="18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60"/>
              <w:spacing w:after="0" w:line="143" w:lineRule="exact"/>
              <w:rPr>
                <w:sz w:val="20"/>
                <w:szCs w:val="20"/>
                <w:color w:val="auto"/>
              </w:rPr>
            </w:pPr>
            <w:r>
              <w:rPr>
                <w:rFonts w:ascii="Arial" w:cs="Arial" w:eastAsia="Arial" w:hAnsi="Arial"/>
                <w:sz w:val="13"/>
                <w:szCs w:val="13"/>
                <w:color w:val="auto"/>
              </w:rPr>
              <w:t>$</w:t>
            </w:r>
          </w:p>
        </w:tc>
        <w:tc>
          <w:tcPr>
            <w:tcW w:w="12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22,301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Other assets:</w:t>
            </w:r>
          </w:p>
        </w:tc>
        <w:tc>
          <w:tcPr>
            <w:tcW w:w="16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2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Investment in unconsolidated affiliate</w:t>
            </w:r>
          </w:p>
        </w:tc>
        <w:tc>
          <w:tcPr>
            <w:tcW w:w="188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158,868</w:t>
            </w:r>
          </w:p>
        </w:tc>
        <w:tc>
          <w:tcPr>
            <w:tcW w:w="18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160,711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Deferred income taxes</w:t>
            </w: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267,345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258,834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Capitalized software costs, net</w:t>
            </w:r>
          </w:p>
        </w:tc>
        <w:tc>
          <w:tcPr>
            <w:tcW w:w="1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242,135</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244,368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Patents, orbital slots and other licenses, net</w:t>
            </w: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34,536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23,059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w:t>
            </w:r>
          </w:p>
        </w:tc>
        <w:tc>
          <w:tcPr>
            <w:tcW w:w="162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76,979</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71,833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220" w:type="dxa"/>
            <w:vAlign w:val="bottom"/>
          </w:tcPr>
          <w:p>
            <w:pPr>
              <w:spacing w:after="0"/>
              <w:rPr>
                <w:sz w:val="15"/>
                <w:szCs w:val="15"/>
                <w:color w:val="auto"/>
              </w:rPr>
            </w:pPr>
          </w:p>
        </w:tc>
        <w:tc>
          <w:tcPr>
            <w:tcW w:w="1880" w:type="dxa"/>
            <w:vAlign w:val="bottom"/>
            <w:gridSpan w:val="2"/>
          </w:tcPr>
          <w:p>
            <w:pPr>
              <w:jc w:val="right"/>
              <w:ind w:right="117"/>
              <w:spacing w:after="0" w:line="143" w:lineRule="exact"/>
              <w:rPr>
                <w:sz w:val="20"/>
                <w:szCs w:val="20"/>
                <w:color w:val="auto"/>
              </w:rPr>
            </w:pPr>
            <w:r>
              <w:rPr>
                <w:rFonts w:ascii="Arial" w:cs="Arial" w:eastAsia="Arial" w:hAnsi="Arial"/>
                <w:sz w:val="13"/>
                <w:szCs w:val="13"/>
                <w:color w:val="auto"/>
              </w:rPr>
              <w:t>$</w:t>
            </w:r>
          </w:p>
        </w:tc>
        <w:tc>
          <w:tcPr>
            <w:tcW w:w="1320" w:type="dxa"/>
            <w:vAlign w:val="bottom"/>
          </w:tcPr>
          <w:p>
            <w:pPr>
              <w:jc w:val="right"/>
              <w:spacing w:after="0" w:line="143" w:lineRule="exact"/>
              <w:rPr>
                <w:sz w:val="20"/>
                <w:szCs w:val="20"/>
                <w:color w:val="auto"/>
              </w:rPr>
            </w:pPr>
            <w:r>
              <w:rPr>
                <w:rFonts w:ascii="Arial" w:cs="Arial" w:eastAsia="Arial" w:hAnsi="Arial"/>
                <w:sz w:val="13"/>
                <w:szCs w:val="13"/>
                <w:color w:val="auto"/>
              </w:rPr>
              <w:t>779,863</w:t>
            </w:r>
          </w:p>
        </w:tc>
        <w:tc>
          <w:tcPr>
            <w:tcW w:w="180" w:type="dxa"/>
            <w:vAlign w:val="bottom"/>
          </w:tcPr>
          <w:p>
            <w:pPr>
              <w:spacing w:after="0"/>
              <w:rPr>
                <w:sz w:val="15"/>
                <w:szCs w:val="15"/>
                <w:color w:val="auto"/>
              </w:rPr>
            </w:pPr>
          </w:p>
        </w:tc>
        <w:tc>
          <w:tcPr>
            <w:tcW w:w="44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w:t>
            </w:r>
          </w:p>
        </w:tc>
        <w:tc>
          <w:tcPr>
            <w:tcW w:w="1280" w:type="dxa"/>
            <w:vAlign w:val="bottom"/>
          </w:tcPr>
          <w:p>
            <w:pPr>
              <w:jc w:val="right"/>
              <w:spacing w:after="0" w:line="143" w:lineRule="exact"/>
              <w:rPr>
                <w:sz w:val="20"/>
                <w:szCs w:val="20"/>
                <w:color w:val="auto"/>
              </w:rPr>
            </w:pPr>
            <w:r>
              <w:rPr>
                <w:rFonts w:ascii="Arial" w:cs="Arial" w:eastAsia="Arial" w:hAnsi="Arial"/>
                <w:sz w:val="13"/>
                <w:szCs w:val="13"/>
                <w:color w:val="auto"/>
              </w:rPr>
              <w:t>758,805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22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Accrued and other liabilities:</w:t>
            </w:r>
          </w:p>
        </w:tc>
        <w:tc>
          <w:tcPr>
            <w:tcW w:w="162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32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Collections in excess of revenues and deferred revenues</w:t>
            </w:r>
          </w:p>
        </w:tc>
        <w:tc>
          <w:tcPr>
            <w:tcW w:w="188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123,304</w:t>
            </w:r>
          </w:p>
        </w:tc>
        <w:tc>
          <w:tcPr>
            <w:tcW w:w="180" w:type="dxa"/>
            <w:vAlign w:val="bottom"/>
          </w:tcPr>
          <w:p>
            <w:pPr>
              <w:spacing w:after="0"/>
              <w:rPr>
                <w:sz w:val="12"/>
                <w:szCs w:val="12"/>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125,540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Accrued employee compensation</w:t>
            </w:r>
          </w:p>
        </w:tc>
        <w:tc>
          <w:tcPr>
            <w:tcW w:w="1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30,840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56,454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Accrued vacation</w:t>
            </w: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46,107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43,077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Warranty reserve, current portion</w:t>
            </w:r>
          </w:p>
        </w:tc>
        <w:tc>
          <w:tcPr>
            <w:tcW w:w="1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6,243</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Operating lease liabilities</w:t>
            </w: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40,804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w:t>
            </w:r>
          </w:p>
        </w:tc>
        <w:tc>
          <w:tcPr>
            <w:tcW w:w="162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77,587</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77,320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220" w:type="dxa"/>
            <w:vAlign w:val="bottom"/>
          </w:tcPr>
          <w:p>
            <w:pPr>
              <w:spacing w:after="0"/>
              <w:rPr>
                <w:sz w:val="15"/>
                <w:szCs w:val="15"/>
                <w:color w:val="auto"/>
              </w:rPr>
            </w:pPr>
          </w:p>
        </w:tc>
        <w:tc>
          <w:tcPr>
            <w:tcW w:w="1880" w:type="dxa"/>
            <w:vAlign w:val="bottom"/>
            <w:gridSpan w:val="2"/>
          </w:tcPr>
          <w:p>
            <w:pPr>
              <w:jc w:val="right"/>
              <w:ind w:right="117"/>
              <w:spacing w:after="0" w:line="143" w:lineRule="exact"/>
              <w:rPr>
                <w:sz w:val="20"/>
                <w:szCs w:val="20"/>
                <w:color w:val="auto"/>
              </w:rPr>
            </w:pPr>
            <w:r>
              <w:rPr>
                <w:rFonts w:ascii="Arial" w:cs="Arial" w:eastAsia="Arial" w:hAnsi="Arial"/>
                <w:sz w:val="13"/>
                <w:szCs w:val="13"/>
                <w:color w:val="auto"/>
              </w:rPr>
              <w:t>$</w:t>
            </w:r>
          </w:p>
        </w:tc>
        <w:tc>
          <w:tcPr>
            <w:tcW w:w="1320" w:type="dxa"/>
            <w:vAlign w:val="bottom"/>
          </w:tcPr>
          <w:p>
            <w:pPr>
              <w:jc w:val="right"/>
              <w:spacing w:after="0" w:line="143" w:lineRule="exact"/>
              <w:rPr>
                <w:sz w:val="20"/>
                <w:szCs w:val="20"/>
                <w:color w:val="auto"/>
              </w:rPr>
            </w:pPr>
            <w:r>
              <w:rPr>
                <w:rFonts w:ascii="Arial" w:cs="Arial" w:eastAsia="Arial" w:hAnsi="Arial"/>
                <w:sz w:val="13"/>
                <w:szCs w:val="13"/>
                <w:color w:val="auto"/>
              </w:rPr>
              <w:t>324,885</w:t>
            </w:r>
          </w:p>
        </w:tc>
        <w:tc>
          <w:tcPr>
            <w:tcW w:w="180" w:type="dxa"/>
            <w:vAlign w:val="bottom"/>
          </w:tcPr>
          <w:p>
            <w:pPr>
              <w:spacing w:after="0"/>
              <w:rPr>
                <w:sz w:val="15"/>
                <w:szCs w:val="15"/>
                <w:color w:val="auto"/>
              </w:rPr>
            </w:pPr>
          </w:p>
        </w:tc>
        <w:tc>
          <w:tcPr>
            <w:tcW w:w="44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w:t>
            </w:r>
          </w:p>
        </w:tc>
        <w:tc>
          <w:tcPr>
            <w:tcW w:w="1280" w:type="dxa"/>
            <w:vAlign w:val="bottom"/>
          </w:tcPr>
          <w:p>
            <w:pPr>
              <w:jc w:val="right"/>
              <w:spacing w:after="0" w:line="143" w:lineRule="exact"/>
              <w:rPr>
                <w:sz w:val="20"/>
                <w:szCs w:val="20"/>
                <w:color w:val="auto"/>
              </w:rPr>
            </w:pPr>
            <w:r>
              <w:rPr>
                <w:rFonts w:ascii="Arial" w:cs="Arial" w:eastAsia="Arial" w:hAnsi="Arial"/>
                <w:sz w:val="13"/>
                <w:szCs w:val="13"/>
                <w:color w:val="auto"/>
              </w:rPr>
              <w:t>308,268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22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Other liabilities:</w:t>
            </w:r>
          </w:p>
        </w:tc>
        <w:tc>
          <w:tcPr>
            <w:tcW w:w="162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32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Deferred revenues, long-term portion</w:t>
            </w:r>
          </w:p>
        </w:tc>
        <w:tc>
          <w:tcPr>
            <w:tcW w:w="188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85,894</w:t>
            </w:r>
          </w:p>
        </w:tc>
        <w:tc>
          <w:tcPr>
            <w:tcW w:w="180" w:type="dxa"/>
            <w:vAlign w:val="bottom"/>
          </w:tcPr>
          <w:p>
            <w:pPr>
              <w:spacing w:after="0"/>
              <w:rPr>
                <w:sz w:val="12"/>
                <w:szCs w:val="12"/>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71,230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Deferred rent, long-term portion</w:t>
            </w:r>
          </w:p>
        </w:tc>
        <w:tc>
          <w:tcPr>
            <w:tcW w:w="1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Warranty reserve, long-term portion</w:t>
            </w: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2,207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1,707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Satellite performance incentive obligations, long-term portion</w:t>
            </w:r>
          </w:p>
        </w:tc>
        <w:tc>
          <w:tcPr>
            <w:tcW w:w="1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25,119</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25,324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Other</w:t>
            </w:r>
          </w:p>
        </w:tc>
        <w:tc>
          <w:tcPr>
            <w:tcW w:w="16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4,870</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5,755</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jc w:val="right"/>
              <w:ind w:right="117"/>
              <w:spacing w:after="0" w:line="143" w:lineRule="exact"/>
              <w:rPr>
                <w:sz w:val="20"/>
                <w:szCs w:val="20"/>
                <w:color w:val="auto"/>
              </w:rPr>
            </w:pPr>
            <w:r>
              <w:rPr>
                <w:rFonts w:ascii="Arial" w:cs="Arial" w:eastAsia="Arial" w:hAnsi="Arial"/>
                <w:sz w:val="13"/>
                <w:szCs w:val="13"/>
                <w:color w:val="auto"/>
              </w:rPr>
              <w:t>$</w:t>
            </w:r>
          </w:p>
        </w:tc>
        <w:tc>
          <w:tcPr>
            <w:tcW w:w="13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118,090</w:t>
            </w:r>
          </w:p>
        </w:tc>
        <w:tc>
          <w:tcPr>
            <w:tcW w:w="18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60"/>
              <w:spacing w:after="0" w:line="143" w:lineRule="exact"/>
              <w:rPr>
                <w:sz w:val="20"/>
                <w:szCs w:val="20"/>
                <w:color w:val="auto"/>
              </w:rPr>
            </w:pPr>
            <w:r>
              <w:rPr>
                <w:rFonts w:ascii="Arial" w:cs="Arial" w:eastAsia="Arial" w:hAnsi="Arial"/>
                <w:sz w:val="13"/>
                <w:szCs w:val="13"/>
                <w:color w:val="auto"/>
              </w:rPr>
              <w:t>$</w:t>
            </w:r>
          </w:p>
        </w:tc>
        <w:tc>
          <w:tcPr>
            <w:tcW w:w="12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120,826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99"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spacing w:after="0" w:line="94"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94" w:lineRule="exact"/>
        <w:rPr>
          <w:rFonts w:ascii="Arial" w:cs="Arial" w:eastAsia="Arial" w:hAnsi="Arial"/>
          <w:sz w:val="18"/>
          <w:szCs w:val="18"/>
          <w:color w:val="auto"/>
        </w:rPr>
      </w:pPr>
    </w:p>
    <w:p>
      <w:pPr>
        <w:ind w:left="1040" w:hanging="519"/>
        <w:spacing w:after="0" w:line="246"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43" w:lineRule="exact"/>
        <w:rPr>
          <w:sz w:val="20"/>
          <w:szCs w:val="20"/>
          <w:color w:val="auto"/>
        </w:rPr>
      </w:pPr>
    </w:p>
    <w:p>
      <w:pPr>
        <w:ind w:firstLine="518"/>
        <w:spacing w:after="0" w:line="246" w:lineRule="auto"/>
        <w:rPr>
          <w:sz w:val="20"/>
          <w:szCs w:val="20"/>
          <w:color w:val="auto"/>
        </w:rPr>
      </w:pPr>
      <w:r>
        <w:rPr>
          <w:rFonts w:ascii="Arial" w:cs="Arial" w:eastAsia="Arial" w:hAnsi="Arial"/>
          <w:sz w:val="18"/>
          <w:szCs w:val="18"/>
          <w:color w:val="auto"/>
        </w:rPr>
        <w:t>The Company had no assets and an insignificant amount of liabilities (Level 2) measured at fair value on a recurring basis as of June 30, 2019 and March 31, 2019.</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40" w:lineRule="exact"/>
        <w:rPr>
          <w:sz w:val="20"/>
          <w:szCs w:val="20"/>
          <w:color w:val="auto"/>
        </w:rPr>
      </w:pPr>
    </w:p>
    <w:p>
      <w:pPr>
        <w:ind w:right="380" w:firstLine="518"/>
        <w:spacing w:after="0" w:line="26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assets in an active market with sufficient volume and frequency of transactions (Level 1).</w:t>
      </w:r>
    </w:p>
    <w:p>
      <w:pPr>
        <w:spacing w:after="0" w:line="107" w:lineRule="exact"/>
        <w:rPr>
          <w:sz w:val="20"/>
          <w:szCs w:val="20"/>
          <w:color w:val="auto"/>
        </w:rPr>
      </w:pPr>
    </w:p>
    <w:p>
      <w:pPr>
        <w:ind w:right="80" w:firstLine="518"/>
        <w:spacing w:after="0" w:line="239" w:lineRule="auto"/>
        <w:rPr>
          <w:sz w:val="20"/>
          <w:szCs w:val="20"/>
          <w:color w:val="auto"/>
        </w:rPr>
      </w:pPr>
      <w:r>
        <w:rPr>
          <w:rFonts w:ascii="Arial" w:cs="Arial" w:eastAsia="Arial" w:hAnsi="Arial"/>
          <w:sz w:val="18"/>
          <w:szCs w:val="18"/>
          <w:i w:val="1"/>
          <w:iCs w:val="1"/>
          <w:color w:val="auto"/>
        </w:rPr>
        <w:t xml:space="preserve">Foreign currency forward contracts </w:t>
      </w:r>
      <w:r>
        <w:rPr>
          <w:rFonts w:ascii="Arial" w:cs="Arial" w:eastAsia="Arial" w:hAnsi="Arial"/>
          <w:sz w:val="18"/>
          <w:szCs w:val="18"/>
          <w:color w:val="auto"/>
        </w:rPr>
        <w:t>— The Company uses derivative financial instruments to manage foreign currency risk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34"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Company’s long-term debt consists of borrowings under its Revolving Credit Facility and Ex-Im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Credit Facilities), as well as $700.0 million in aggregate principal amount of 2025 Notes and $600.0 million in aggregate principal amount of 2027 Notes. Long-term debt related to the Revolving Credit Facility is reported at the outstanding principal amount of borrowings, while long-term debt related to the Ex-Im Credit Facility, 2025 Notes and 2027 Notes is reported at amortized cost. However, for disclosure purposes, the Company is required to measure the fair value of outstanding debt on a recurring basis. As of June 30, 2019 and March 31, 2019, the estimated fair value of the Company’s outstanding long-term debt related to the 2025 Notes was determined based on actual or estimated bids and offers for the 2025 Notes in an over-the-counter market (Level 2) and was $687.8 million and $ 670.3 million, respectively. As of June 30, 2019, the estimated fair value of the Company’s outstanding long-term debt related to the 2027 Notes was determined based on actual or estimated bids and offers for the 2027 Notes in an over-the-counter market (Level 2) and was $624.0 million. The fair value of the Company’s outstanding long-term debt as of March 31, 2019 related to the 2027 Notes approximated its carrying amount due to the proximity of the closing of the 2027 Notes compared to the reporting date. The fair value of the Company’s long-term debt related to the Revolving Credit Facility approximates its carrying amount due to its variable interest rate, which approximates a market interest rate. As of June 30, 2019 and March 31, 2019, the fair value of the Company’s long-term debt related to the Ex-Im Credit Facility was determined based on a discounted cash flow analysis using observable market interest rates for instruments with similar terms (Level 2) and was approximately $126.0 million and $134.9 million, respectively</w:t>
      </w:r>
      <w:r>
        <w:rPr>
          <w:rFonts w:ascii="Arial" w:cs="Arial" w:eastAsia="Arial" w:hAnsi="Arial"/>
          <w:sz w:val="18"/>
          <w:szCs w:val="18"/>
          <w:i w:val="1"/>
          <w:iCs w:val="1"/>
          <w:color w:val="auto"/>
        </w:rPr>
        <w: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ind w:right="60" w:firstLine="518"/>
        <w:spacing w:after="0" w:line="239" w:lineRule="auto"/>
        <w:rPr>
          <w:sz w:val="20"/>
          <w:szCs w:val="20"/>
          <w:color w:val="auto"/>
        </w:rPr>
      </w:pPr>
      <w:r>
        <w:rPr>
          <w:rFonts w:ascii="Arial" w:cs="Arial" w:eastAsia="Arial" w:hAnsi="Arial"/>
          <w:sz w:val="18"/>
          <w:szCs w:val="18"/>
          <w:i w:val="1"/>
          <w:iCs w:val="1"/>
          <w:color w:val="auto"/>
        </w:rPr>
        <w:t xml:space="preserve">Satellite performance incentive obligations </w:t>
      </w:r>
      <w:r>
        <w:rPr>
          <w:rFonts w:ascii="Arial" w:cs="Arial" w:eastAsia="Arial" w:hAnsi="Arial"/>
          <w:sz w:val="18"/>
          <w:szCs w:val="18"/>
          <w:color w:val="auto"/>
        </w:rPr>
        <w:t>— The Company’s contracts with the manufacturers of the ViaSat-1 and ViaSat-2 satellites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the Company to make monthly in-orbit satellite performance incentive payments, including interest, through approximately fiscal year 2028 subject to the continued satisfactory performance of the applicable satellites. 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June 30, 2019 and March 31, 2019, the Company’s estimated satellite performance incentive obligations relating to the ViaSat-1 and ViaSat-2 satellites, including accrued interest, were $28.2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Loss Per Share</w:t>
      </w:r>
    </w:p>
    <w:p>
      <w:pPr>
        <w:spacing w:after="0" w:line="99"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The weighted average number of shares used to calculate basic and diluted net loss per share attributable to Viasat, Inc. common stockholders is the same for the three months ended June 30, 2019 and June 30, 2018, as the Company incurred a net loss attributable to Viasat, Inc. common stockholders for such periods and inclusion of potentially dilutive weighted average shares of common stock would be antidilutive. Potentially dilutive weighted average shares of common stock excluded from the calculation for the three months ended June 30, 2019 and 2018 were 314,113 and 1,340,831 shares relating to stock options (other than TSR performance stock options), respectively, 985,226 and 1,396,974 shares relating to restricted stock units, respectively, and 282,410 and 270,071 shares relating to certain terms of the ViaSat 401(k) Profit Sharing Plan and Employee Stock Purchase Plan, respectively. 102,815 and no shares relating to TSR performance stock options were excluded from the calculation for the three months ended June 30, 2019 and 2018,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85" w:lineRule="exact"/>
        <w:rPr>
          <w:sz w:val="20"/>
          <w:szCs w:val="20"/>
          <w:color w:val="auto"/>
        </w:rPr>
      </w:pPr>
    </w:p>
    <w:p>
      <w:pPr>
        <w:ind w:right="60" w:firstLine="518"/>
        <w:spacing w:after="0" w:line="239" w:lineRule="auto"/>
        <w:rPr>
          <w:sz w:val="20"/>
          <w:szCs w:val="20"/>
          <w:color w:val="auto"/>
        </w:rPr>
      </w:pPr>
      <w:r>
        <w:rPr>
          <w:rFonts w:ascii="Arial" w:cs="Arial" w:eastAsia="Arial" w:hAnsi="Arial"/>
          <w:sz w:val="18"/>
          <w:szCs w:val="18"/>
          <w:color w:val="auto"/>
        </w:rPr>
        <w:t>During the three months ended June 30, 2019, the decrease in the Company’s goodwill related to the effects of foreign currency translation recorded within all three of the Company’s segments. During the three months ended June 30, 2018, the increase in the Company’s goodwill related to an insignificant acquisition, partially offset by the effects of foreign currency translation recorded within all three of the Company’s segments.</w:t>
      </w:r>
    </w:p>
    <w:p>
      <w:pPr>
        <w:spacing w:after="0" w:line="148" w:lineRule="exact"/>
        <w:rPr>
          <w:sz w:val="20"/>
          <w:szCs w:val="20"/>
          <w:color w:val="auto"/>
        </w:rPr>
      </w:pPr>
    </w:p>
    <w:p>
      <w:pPr>
        <w:ind w:right="240" w:firstLine="518"/>
        <w:spacing w:after="0"/>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ten years. Amortization expense related to other acquired intangible assets was $2.0 million and $2.5 million for the three months ended June 30, 2019 and 2018, respectively.</w:t>
      </w:r>
    </w:p>
    <w:p>
      <w:pPr>
        <w:spacing w:after="0" w:line="149"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The expected amortization expense of amortizable acquired intangible assets may change due to the effects of foreign currency fluctuations as a result of international businesses acquired. Current and expected amortization expense for acquired intangible assets for each of the following periods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Amortization</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94"/>
              <w:spacing w:after="0"/>
              <w:rPr>
                <w:sz w:val="20"/>
                <w:szCs w:val="20"/>
                <w:color w:val="auto"/>
              </w:rPr>
            </w:pPr>
            <w:r>
              <w:rPr>
                <w:rFonts w:ascii="Arial" w:cs="Arial" w:eastAsia="Arial" w:hAnsi="Arial"/>
                <w:sz w:val="14"/>
                <w:szCs w:val="14"/>
                <w:b w:val="1"/>
                <w:bCs w:val="1"/>
                <w:color w:val="auto"/>
              </w:rPr>
              <w:t>(In thousands)</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For the three months ended June 30, 2019</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2,037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2020</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5,556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ind w:left="2300"/>
              <w:spacing w:after="0"/>
              <w:rPr>
                <w:sz w:val="20"/>
                <w:szCs w:val="20"/>
                <w:color w:val="auto"/>
              </w:rPr>
            </w:pPr>
            <w:r>
              <w:rPr>
                <w:rFonts w:ascii="Arial" w:cs="Arial" w:eastAsia="Arial" w:hAnsi="Arial"/>
                <w:sz w:val="18"/>
                <w:szCs w:val="18"/>
                <w:color w:val="auto"/>
              </w:rPr>
              <w:t>Expected for fiscal year 2021</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5,118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2022</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3,295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ind w:left="2300"/>
              <w:spacing w:after="0"/>
              <w:rPr>
                <w:sz w:val="20"/>
                <w:szCs w:val="20"/>
                <w:color w:val="auto"/>
              </w:rPr>
            </w:pPr>
            <w:r>
              <w:rPr>
                <w:rFonts w:ascii="Arial" w:cs="Arial" w:eastAsia="Arial" w:hAnsi="Arial"/>
                <w:sz w:val="18"/>
                <w:szCs w:val="18"/>
                <w:color w:val="auto"/>
              </w:rPr>
              <w:t>Expected for fiscal year 2023</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2,990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2024</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2,471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ind w:left="2300"/>
              <w:spacing w:after="0"/>
              <w:rPr>
                <w:sz w:val="20"/>
                <w:szCs w:val="20"/>
                <w:color w:val="auto"/>
              </w:rPr>
            </w:pPr>
            <w:r>
              <w:rPr>
                <w:rFonts w:ascii="Arial" w:cs="Arial" w:eastAsia="Arial" w:hAnsi="Arial"/>
                <w:sz w:val="18"/>
                <w:szCs w:val="18"/>
                <w:color w:val="auto"/>
              </w:rPr>
              <w:t>Thereafter</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620" w:type="dxa"/>
            <w:vAlign w:val="bottom"/>
            <w:tcBorders>
              <w:top w:val="single" w:sz="8" w:color="CFF0FC"/>
              <w:bottom w:val="single" w:sz="8" w:color="CFF0FC"/>
            </w:tcBorders>
            <w:shd w:val="clear" w:color="auto" w:fill="CFF0FC"/>
          </w:tcPr>
          <w:p>
            <w:pPr>
              <w:spacing w:after="0"/>
              <w:rPr>
                <w:sz w:val="18"/>
                <w:szCs w:val="18"/>
                <w:color w:val="auto"/>
              </w:rPr>
            </w:pPr>
          </w:p>
        </w:tc>
        <w:tc>
          <w:tcPr>
            <w:tcW w:w="9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20,354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jc w:val="right"/>
              <w:ind w:right="1010"/>
              <w:spacing w:after="0"/>
              <w:rPr>
                <w:sz w:val="20"/>
                <w:szCs w:val="20"/>
                <w:color w:val="auto"/>
              </w:rPr>
            </w:pPr>
            <w:r>
              <w:rPr>
                <w:rFonts w:ascii="Arial" w:cs="Arial" w:eastAsia="Arial" w:hAnsi="Arial"/>
                <w:sz w:val="18"/>
                <w:szCs w:val="18"/>
                <w:color w:val="auto"/>
              </w:rPr>
              <w:t>21</w:t>
            </w: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92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300" w:type="dxa"/>
            <w:vAlign w:val="bottom"/>
            <w:tcBorders>
              <w:bottom w:val="single" w:sz="8" w:color="9A9A9A"/>
            </w:tcBorders>
          </w:tcPr>
          <w:p>
            <w:pPr>
              <w:spacing w:after="0"/>
              <w:rPr>
                <w:sz w:val="8"/>
                <w:szCs w:val="8"/>
                <w:color w:val="auto"/>
              </w:rPr>
            </w:pPr>
          </w:p>
        </w:tc>
        <w:tc>
          <w:tcPr>
            <w:tcW w:w="46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2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85"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The Company’s operating leases consist primarily of leases for office space, data centers and satellite ground facilities and have remaining terms from one to ten years, some of which include renewal options, and some of which include options to terminate the leases within one year. 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recognized right-of-use assets and lease liabilities for such leases in connection with its adoption of ASC 842 as of April 1, 2019 (see Note 1).</w:t>
      </w:r>
    </w:p>
    <w:p>
      <w:pPr>
        <w:spacing w:after="0" w:line="151" w:lineRule="exact"/>
        <w:rPr>
          <w:sz w:val="20"/>
          <w:szCs w:val="20"/>
          <w:color w:val="auto"/>
        </w:rPr>
      </w:pPr>
    </w:p>
    <w:p>
      <w:pPr>
        <w:ind w:right="200" w:firstLine="518"/>
        <w:spacing w:after="0" w:line="246" w:lineRule="auto"/>
        <w:rPr>
          <w:sz w:val="20"/>
          <w:szCs w:val="20"/>
          <w:color w:val="auto"/>
        </w:rPr>
      </w:pPr>
      <w:r>
        <w:rPr>
          <w:rFonts w:ascii="Arial" w:cs="Arial" w:eastAsia="Arial" w:hAnsi="Arial"/>
          <w:sz w:val="18"/>
          <w:szCs w:val="18"/>
          <w:color w:val="auto"/>
        </w:rPr>
        <w:t>The Company’s condensed consolidated balance sheet as of June 30, 2019 includes the following amounts for right-of-use assets and lease liabilities:</w:t>
      </w:r>
    </w:p>
    <w:p>
      <w:pPr>
        <w:spacing w:after="0" w:line="185"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June 30, 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8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320,227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40,804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ind w:left="1780"/>
              <w:spacing w:after="0"/>
              <w:rPr>
                <w:sz w:val="20"/>
                <w:szCs w:val="20"/>
                <w:color w:val="auto"/>
              </w:rPr>
            </w:pPr>
            <w:r>
              <w:rPr>
                <w:rFonts w:ascii="Arial" w:cs="Arial" w:eastAsia="Arial" w:hAnsi="Arial"/>
                <w:sz w:val="18"/>
                <w:szCs w:val="18"/>
                <w:color w:val="auto"/>
              </w:rPr>
              <w:t>Non-current operating lease liabilities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297,867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80" w:type="dxa"/>
            <w:vAlign w:val="bottom"/>
          </w:tcPr>
          <w:p>
            <w:pPr>
              <w:spacing w:after="0"/>
              <w:rPr>
                <w:sz w:val="18"/>
                <w:szCs w:val="18"/>
                <w:color w:val="auto"/>
              </w:rPr>
            </w:pPr>
          </w:p>
        </w:tc>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338,671</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The components of the Company's lease expense are presented in the table below:</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1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7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June 30, 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8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ind w:left="1780"/>
              <w:spacing w:after="0"/>
              <w:rPr>
                <w:sz w:val="20"/>
                <w:szCs w:val="20"/>
                <w:color w:val="auto"/>
              </w:rPr>
            </w:pPr>
            <w:r>
              <w:rPr>
                <w:rFonts w:ascii="Arial" w:cs="Arial" w:eastAsia="Arial" w:hAnsi="Arial"/>
                <w:sz w:val="18"/>
                <w:szCs w:val="18"/>
                <w:color w:val="auto"/>
              </w:rPr>
              <w:t>Short-term and equipment lease cost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gridSpan w:val="2"/>
          </w:tcPr>
          <w:p>
            <w:pPr>
              <w:ind w:left="1780"/>
              <w:spacing w:after="0"/>
              <w:rPr>
                <w:sz w:val="20"/>
                <w:szCs w:val="20"/>
                <w:color w:val="auto"/>
              </w:rPr>
            </w:pPr>
            <w:r>
              <w:rPr>
                <w:rFonts w:ascii="Arial" w:cs="Arial" w:eastAsia="Arial" w:hAnsi="Arial"/>
                <w:sz w:val="18"/>
                <w:szCs w:val="18"/>
                <w:color w:val="auto"/>
              </w:rPr>
              <w:t>Net lease cost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518"/>
        <w:spacing w:after="0" w:line="246" w:lineRule="auto"/>
        <w:rPr>
          <w:sz w:val="20"/>
          <w:szCs w:val="20"/>
          <w:color w:val="auto"/>
        </w:rPr>
      </w:pPr>
      <w:r>
        <w:rPr>
          <w:rFonts w:ascii="Arial" w:cs="Arial" w:eastAsia="Arial" w:hAnsi="Arial"/>
          <w:sz w:val="18"/>
          <w:szCs w:val="18"/>
          <w:color w:val="auto"/>
        </w:rPr>
        <w:t>The following table details components of cash flows for operating leases, right-of-use assets obtained in exchange for new operating lease liabilities, weighted average lease terms and discount rates: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Three Months</w:t>
            </w:r>
          </w:p>
        </w:tc>
        <w:tc>
          <w:tcPr>
            <w:tcW w:w="2280" w:type="dxa"/>
            <w:vAlign w:val="bottom"/>
          </w:tcPr>
          <w:p>
            <w:pPr>
              <w:spacing w:after="0"/>
              <w:rPr>
                <w:sz w:val="14"/>
                <w:szCs w:val="14"/>
                <w:color w:val="auto"/>
              </w:rPr>
            </w:pPr>
          </w:p>
        </w:tc>
      </w:tr>
      <w:tr>
        <w:trPr>
          <w:trHeight w:val="176"/>
        </w:trPr>
        <w:tc>
          <w:tcPr>
            <w:tcW w:w="23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Ended</w:t>
            </w:r>
          </w:p>
        </w:tc>
        <w:tc>
          <w:tcPr>
            <w:tcW w:w="2280" w:type="dxa"/>
            <w:vAlign w:val="bottom"/>
          </w:tcPr>
          <w:p>
            <w:pPr>
              <w:spacing w:after="0"/>
              <w:rPr>
                <w:sz w:val="15"/>
                <w:szCs w:val="15"/>
                <w:color w:val="auto"/>
              </w:rPr>
            </w:pPr>
          </w:p>
        </w:tc>
      </w:tr>
      <w:tr>
        <w:trPr>
          <w:trHeight w:val="175"/>
        </w:trPr>
        <w:tc>
          <w:tcPr>
            <w:tcW w:w="7020" w:type="dxa"/>
            <w:vAlign w:val="bottom"/>
            <w:gridSpan w:val="2"/>
          </w:tcPr>
          <w:p>
            <w:pPr>
              <w:ind w:left="2300"/>
              <w:spacing w:after="0"/>
              <w:rPr>
                <w:sz w:val="20"/>
                <w:szCs w:val="20"/>
                <w:color w:val="auto"/>
              </w:rPr>
            </w:pPr>
            <w:r>
              <w:rPr>
                <w:rFonts w:ascii="Arial" w:cs="Arial" w:eastAsia="Arial" w:hAnsi="Arial"/>
                <w:sz w:val="14"/>
                <w:szCs w:val="14"/>
                <w:b w:val="1"/>
                <w:bCs w:val="1"/>
                <w:color w:val="auto"/>
              </w:rPr>
              <w:t>(In thousands, except lease term and discount rate)</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June 30, 2019</w:t>
            </w:r>
          </w:p>
        </w:tc>
        <w:tc>
          <w:tcPr>
            <w:tcW w:w="2280" w:type="dxa"/>
            <w:vAlign w:val="bottom"/>
          </w:tcPr>
          <w:p>
            <w:pPr>
              <w:spacing w:after="0"/>
              <w:rPr>
                <w:sz w:val="15"/>
                <w:szCs w:val="15"/>
                <w:color w:val="auto"/>
              </w:rPr>
            </w:pPr>
          </w:p>
        </w:tc>
      </w:tr>
      <w:tr>
        <w:trPr>
          <w:trHeight w:val="209"/>
        </w:trPr>
        <w:tc>
          <w:tcPr>
            <w:tcW w:w="2300" w:type="dxa"/>
            <w:vAlign w:val="bottom"/>
          </w:tcPr>
          <w:p>
            <w:pPr>
              <w:spacing w:after="0"/>
              <w:rPr>
                <w:sz w:val="18"/>
                <w:szCs w:val="18"/>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w:t>
            </w:r>
          </w:p>
        </w:tc>
        <w:tc>
          <w:tcPr>
            <w:tcW w:w="5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280" w:type="dxa"/>
            <w:vAlign w:val="bottom"/>
          </w:tcPr>
          <w:p>
            <w:pPr>
              <w:spacing w:after="0"/>
              <w:rPr>
                <w:sz w:val="18"/>
                <w:szCs w:val="18"/>
                <w:color w:val="auto"/>
              </w:rPr>
            </w:pPr>
          </w:p>
        </w:tc>
      </w:tr>
      <w:tr>
        <w:trPr>
          <w:trHeight w:val="203"/>
        </w:trPr>
        <w:tc>
          <w:tcPr>
            <w:tcW w:w="2300" w:type="dxa"/>
            <w:vAlign w:val="bottom"/>
          </w:tcPr>
          <w:p>
            <w:pPr>
              <w:spacing w:after="0"/>
              <w:rPr>
                <w:sz w:val="17"/>
                <w:szCs w:val="17"/>
                <w:color w:val="auto"/>
              </w:rPr>
            </w:pPr>
          </w:p>
        </w:tc>
        <w:tc>
          <w:tcPr>
            <w:tcW w:w="472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of operating lease liabilities</w:t>
            </w:r>
          </w:p>
        </w:tc>
        <w:tc>
          <w:tcPr>
            <w:tcW w:w="72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14,914</w:t>
            </w:r>
          </w:p>
        </w:tc>
        <w:tc>
          <w:tcPr>
            <w:tcW w:w="180" w:type="dxa"/>
            <w:vAlign w:val="bottom"/>
            <w:shd w:val="clear" w:color="auto" w:fill="CFF0FC"/>
          </w:tcPr>
          <w:p>
            <w:pPr>
              <w:spacing w:after="0"/>
              <w:rPr>
                <w:sz w:val="17"/>
                <w:szCs w:val="17"/>
                <w:color w:val="auto"/>
              </w:rPr>
            </w:pPr>
          </w:p>
        </w:tc>
        <w:tc>
          <w:tcPr>
            <w:tcW w:w="2280" w:type="dxa"/>
            <w:vAlign w:val="bottom"/>
          </w:tcPr>
          <w:p>
            <w:pPr>
              <w:spacing w:after="0"/>
              <w:rPr>
                <w:sz w:val="17"/>
                <w:szCs w:val="17"/>
                <w:color w:val="auto"/>
              </w:rPr>
            </w:pPr>
          </w:p>
        </w:tc>
      </w:tr>
      <w:tr>
        <w:trPr>
          <w:trHeight w:val="215"/>
        </w:trPr>
        <w:tc>
          <w:tcPr>
            <w:tcW w:w="7020" w:type="dxa"/>
            <w:vAlign w:val="bottom"/>
            <w:gridSpan w:val="2"/>
          </w:tcPr>
          <w:p>
            <w:pPr>
              <w:ind w:left="2300"/>
              <w:spacing w:after="0"/>
              <w:rPr>
                <w:sz w:val="20"/>
                <w:szCs w:val="20"/>
                <w:color w:val="auto"/>
              </w:rPr>
            </w:pPr>
            <w:r>
              <w:rPr>
                <w:rFonts w:ascii="Arial" w:cs="Arial" w:eastAsia="Arial" w:hAnsi="Arial"/>
                <w:sz w:val="18"/>
                <w:szCs w:val="18"/>
                <w:color w:val="auto"/>
              </w:rPr>
              <w:t>Right-of-use assets obtained in exchange for new</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03"/>
        </w:trPr>
        <w:tc>
          <w:tcPr>
            <w:tcW w:w="2300" w:type="dxa"/>
            <w:vAlign w:val="bottom"/>
          </w:tcPr>
          <w:p>
            <w:pPr>
              <w:spacing w:after="0"/>
              <w:rPr>
                <w:sz w:val="17"/>
                <w:szCs w:val="17"/>
                <w:color w:val="auto"/>
              </w:rPr>
            </w:pPr>
          </w:p>
        </w:tc>
        <w:tc>
          <w:tcPr>
            <w:tcW w:w="4720" w:type="dxa"/>
            <w:vAlign w:val="bottom"/>
          </w:tcPr>
          <w:p>
            <w:pPr>
              <w:ind w:left="140"/>
              <w:spacing w:after="0" w:line="203" w:lineRule="exact"/>
              <w:rPr>
                <w:sz w:val="20"/>
                <w:szCs w:val="20"/>
                <w:color w:val="auto"/>
              </w:rPr>
            </w:pPr>
            <w:r>
              <w:rPr>
                <w:rFonts w:ascii="Arial" w:cs="Arial" w:eastAsia="Arial" w:hAnsi="Arial"/>
                <w:sz w:val="18"/>
                <w:szCs w:val="18"/>
                <w:color w:val="auto"/>
              </w:rPr>
              <w:t>operating lease liabilities</w:t>
            </w:r>
          </w:p>
        </w:tc>
        <w:tc>
          <w:tcPr>
            <w:tcW w:w="7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3,566</w:t>
            </w:r>
          </w:p>
        </w:tc>
        <w:tc>
          <w:tcPr>
            <w:tcW w:w="18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15"/>
        </w:trPr>
        <w:tc>
          <w:tcPr>
            <w:tcW w:w="230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 operating</w:t>
            </w: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80" w:type="dxa"/>
            <w:vAlign w:val="bottom"/>
          </w:tcPr>
          <w:p>
            <w:pPr>
              <w:spacing w:after="0"/>
              <w:rPr>
                <w:sz w:val="18"/>
                <w:szCs w:val="18"/>
                <w:color w:val="auto"/>
              </w:rPr>
            </w:pPr>
          </w:p>
        </w:tc>
      </w:tr>
      <w:tr>
        <w:trPr>
          <w:trHeight w:val="203"/>
        </w:trPr>
        <w:tc>
          <w:tcPr>
            <w:tcW w:w="2300" w:type="dxa"/>
            <w:vAlign w:val="bottom"/>
          </w:tcPr>
          <w:p>
            <w:pPr>
              <w:spacing w:after="0"/>
              <w:rPr>
                <w:sz w:val="17"/>
                <w:szCs w:val="17"/>
                <w:color w:val="auto"/>
              </w:rPr>
            </w:pPr>
          </w:p>
        </w:tc>
        <w:tc>
          <w:tcPr>
            <w:tcW w:w="472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leases (in years)</w:t>
            </w: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7.6</w:t>
            </w:r>
          </w:p>
        </w:tc>
        <w:tc>
          <w:tcPr>
            <w:tcW w:w="180" w:type="dxa"/>
            <w:vAlign w:val="bottom"/>
            <w:shd w:val="clear" w:color="auto" w:fill="CFF0FC"/>
          </w:tcPr>
          <w:p>
            <w:pPr>
              <w:spacing w:after="0"/>
              <w:rPr>
                <w:sz w:val="17"/>
                <w:szCs w:val="17"/>
                <w:color w:val="auto"/>
              </w:rPr>
            </w:pPr>
          </w:p>
        </w:tc>
        <w:tc>
          <w:tcPr>
            <w:tcW w:w="2280" w:type="dxa"/>
            <w:vAlign w:val="bottom"/>
          </w:tcPr>
          <w:p>
            <w:pPr>
              <w:spacing w:after="0"/>
              <w:rPr>
                <w:sz w:val="17"/>
                <w:szCs w:val="17"/>
                <w:color w:val="auto"/>
              </w:rPr>
            </w:pPr>
          </w:p>
        </w:tc>
      </w:tr>
      <w:tr>
        <w:trPr>
          <w:trHeight w:val="230"/>
        </w:trPr>
        <w:tc>
          <w:tcPr>
            <w:tcW w:w="7020" w:type="dxa"/>
            <w:vAlign w:val="bottom"/>
            <w:gridSpan w:val="2"/>
          </w:tcPr>
          <w:p>
            <w:pPr>
              <w:ind w:left="2300"/>
              <w:spacing w:after="0"/>
              <w:rPr>
                <w:sz w:val="20"/>
                <w:szCs w:val="20"/>
                <w:color w:val="auto"/>
              </w:rPr>
            </w:pPr>
            <w:r>
              <w:rPr>
                <w:rFonts w:ascii="Arial" w:cs="Arial" w:eastAsia="Arial" w:hAnsi="Arial"/>
                <w:sz w:val="18"/>
                <w:szCs w:val="18"/>
                <w:color w:val="auto"/>
              </w:rPr>
              <w:t>Weighted average discount rate - operating leases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2280" w:type="dxa"/>
            <w:vAlign w:val="bottom"/>
          </w:tcPr>
          <w:p>
            <w:pPr>
              <w:spacing w:after="0"/>
              <w:rPr>
                <w:sz w:val="19"/>
                <w:szCs w:val="19"/>
                <w:color w:val="auto"/>
              </w:rPr>
            </w:pPr>
          </w:p>
        </w:tc>
      </w:tr>
      <w:tr>
        <w:trPr>
          <w:trHeight w:val="621"/>
        </w:trPr>
        <w:tc>
          <w:tcPr>
            <w:tcW w:w="7020" w:type="dxa"/>
            <w:vAlign w:val="bottom"/>
            <w:gridSpan w:val="2"/>
          </w:tcPr>
          <w:p>
            <w:pPr>
              <w:jc w:val="right"/>
              <w:ind w:right="1110"/>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02"/>
        </w:trPr>
        <w:tc>
          <w:tcPr>
            <w:tcW w:w="2300" w:type="dxa"/>
            <w:vAlign w:val="bottom"/>
            <w:tcBorders>
              <w:bottom w:val="single" w:sz="8" w:color="9A9A9A"/>
            </w:tcBorders>
          </w:tcPr>
          <w:p>
            <w:pPr>
              <w:spacing w:after="0"/>
              <w:rPr>
                <w:sz w:val="8"/>
                <w:szCs w:val="8"/>
                <w:color w:val="auto"/>
              </w:rPr>
            </w:pPr>
          </w:p>
        </w:tc>
        <w:tc>
          <w:tcPr>
            <w:tcW w:w="47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future lease payments under operating leases as of June 30, 2019:</w:t>
      </w:r>
    </w:p>
    <w:p>
      <w:pPr>
        <w:spacing w:after="0" w:line="280" w:lineRule="exact"/>
        <w:rPr>
          <w:sz w:val="20"/>
          <w:szCs w:val="20"/>
          <w:color w:val="auto"/>
        </w:rPr>
      </w:pPr>
    </w:p>
    <w:tbl>
      <w:tblPr>
        <w:tblLayout w:type="fixed"/>
        <w:tblInd w:w="2300" w:type="dxa"/>
        <w:tblCellMar>
          <w:top w:w="0" w:type="dxa"/>
          <w:left w:w="0" w:type="dxa"/>
          <w:bottom w:w="0" w:type="dxa"/>
          <w:right w:w="0" w:type="dxa"/>
        </w:tblCellMar>
      </w:tblPr>
      <w:tr>
        <w:trPr>
          <w:trHeight w:val="176"/>
        </w:trPr>
        <w:tc>
          <w:tcPr>
            <w:tcW w:w="4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Operating Leases</w:t>
            </w:r>
          </w:p>
        </w:tc>
      </w:tr>
      <w:tr>
        <w:trPr>
          <w:trHeight w:val="175"/>
        </w:trPr>
        <w:tc>
          <w:tcPr>
            <w:tcW w:w="4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June 30, 2019</w:t>
            </w:r>
          </w:p>
        </w:tc>
        <w:tc>
          <w:tcPr>
            <w:tcW w:w="60" w:type="dxa"/>
            <w:vAlign w:val="bottom"/>
          </w:tcPr>
          <w:p>
            <w:pPr>
              <w:spacing w:after="0"/>
              <w:rPr>
                <w:sz w:val="15"/>
                <w:szCs w:val="15"/>
                <w:color w:val="auto"/>
              </w:rPr>
            </w:pPr>
          </w:p>
        </w:tc>
      </w:tr>
      <w:tr>
        <w:trPr>
          <w:trHeight w:val="169"/>
        </w:trPr>
        <w:tc>
          <w:tcPr>
            <w:tcW w:w="4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2020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42,551</w:t>
            </w:r>
          </w:p>
        </w:tc>
        <w:tc>
          <w:tcPr>
            <w:tcW w:w="60" w:type="dxa"/>
            <w:vAlign w:val="bottom"/>
            <w:shd w:val="clear" w:color="auto" w:fill="CFF0F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Expected for fiscal year 2021</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57,982</w:t>
            </w:r>
          </w:p>
        </w:tc>
        <w:tc>
          <w:tcPr>
            <w:tcW w:w="60" w:type="dxa"/>
            <w:vAlign w:val="bottom"/>
          </w:tcPr>
          <w:p>
            <w:pPr>
              <w:spacing w:after="0"/>
              <w:rPr>
                <w:sz w:val="18"/>
                <w:szCs w:val="18"/>
                <w:color w:val="auto"/>
              </w:rPr>
            </w:pP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2022</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55,520</w:t>
            </w:r>
          </w:p>
        </w:tc>
        <w:tc>
          <w:tcPr>
            <w:tcW w:w="60" w:type="dxa"/>
            <w:vAlign w:val="bottom"/>
            <w:shd w:val="clear" w:color="auto" w:fill="CFF0F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Expected for fiscal year 2023</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50,260</w:t>
            </w:r>
          </w:p>
        </w:tc>
        <w:tc>
          <w:tcPr>
            <w:tcW w:w="60" w:type="dxa"/>
            <w:vAlign w:val="bottom"/>
          </w:tcPr>
          <w:p>
            <w:pPr>
              <w:spacing w:after="0"/>
              <w:rPr>
                <w:sz w:val="18"/>
                <w:szCs w:val="18"/>
                <w:color w:val="auto"/>
              </w:rPr>
            </w:pP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2024</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50,225</w:t>
            </w:r>
          </w:p>
        </w:tc>
        <w:tc>
          <w:tcPr>
            <w:tcW w:w="60" w:type="dxa"/>
            <w:vAlign w:val="bottom"/>
            <w:shd w:val="clear" w:color="auto" w:fill="CFF0FC"/>
          </w:tcPr>
          <w:p>
            <w:pPr>
              <w:spacing w:after="0"/>
              <w:rPr>
                <w:sz w:val="18"/>
                <w:szCs w:val="18"/>
                <w:color w:val="auto"/>
              </w:rPr>
            </w:pPr>
          </w:p>
        </w:tc>
      </w:tr>
      <w:tr>
        <w:trPr>
          <w:trHeight w:val="216"/>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8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160,415</w:t>
            </w:r>
          </w:p>
        </w:tc>
        <w:tc>
          <w:tcPr>
            <w:tcW w:w="60" w:type="dxa"/>
            <w:vAlign w:val="bottom"/>
            <w:tcBorders>
              <w:bottom w:val="single" w:sz="8" w:color="CFF0FC"/>
            </w:tcBorders>
          </w:tcPr>
          <w:p>
            <w:pPr>
              <w:spacing w:after="0"/>
              <w:rPr>
                <w:sz w:val="18"/>
                <w:szCs w:val="18"/>
                <w:color w:val="auto"/>
              </w:rPr>
            </w:pPr>
          </w:p>
        </w:tc>
      </w:tr>
      <w:tr>
        <w:trPr>
          <w:trHeight w:val="21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Total future lease payments required</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416,953</w:t>
            </w:r>
          </w:p>
        </w:tc>
        <w:tc>
          <w:tcPr>
            <w:tcW w:w="60" w:type="dxa"/>
            <w:vAlign w:val="bottom"/>
            <w:shd w:val="clear" w:color="auto" w:fill="CFF0FC"/>
          </w:tcPr>
          <w:p>
            <w:pPr>
              <w:spacing w:after="0"/>
              <w:rPr>
                <w:sz w:val="18"/>
                <w:szCs w:val="18"/>
                <w:color w:val="auto"/>
              </w:rPr>
            </w:pPr>
          </w:p>
        </w:tc>
      </w:tr>
      <w:tr>
        <w:trPr>
          <w:trHeight w:val="216"/>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imputed interest</w:t>
            </w:r>
          </w:p>
        </w:tc>
        <w:tc>
          <w:tcPr>
            <w:tcW w:w="8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78,282</w:t>
            </w:r>
          </w:p>
        </w:tc>
        <w:tc>
          <w:tcPr>
            <w:tcW w:w="60" w:type="dxa"/>
            <w:vAlign w:val="bottom"/>
            <w:tcBorders>
              <w:bottom w:val="single" w:sz="8" w:color="CFF0FC"/>
            </w:tcBorders>
          </w:tcPr>
          <w:p>
            <w:pPr>
              <w:spacing w:after="0"/>
              <w:rPr>
                <w:sz w:val="18"/>
                <w:szCs w:val="18"/>
                <w:color w:val="auto"/>
              </w:rPr>
            </w:pPr>
          </w:p>
        </w:tc>
      </w:tr>
      <w:tr>
        <w:trPr>
          <w:trHeight w:val="21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338,671</w:t>
            </w:r>
          </w:p>
        </w:tc>
        <w:tc>
          <w:tcPr>
            <w:tcW w:w="60" w:type="dxa"/>
            <w:vAlign w:val="bottom"/>
            <w:shd w:val="clear" w:color="auto" w:fill="CFF0FC"/>
          </w:tcPr>
          <w:p>
            <w:pPr>
              <w:spacing w:after="0"/>
              <w:rPr>
                <w:sz w:val="18"/>
                <w:szCs w:val="18"/>
                <w:color w:val="auto"/>
              </w:rPr>
            </w:pPr>
          </w:p>
        </w:tc>
      </w:tr>
      <w:tr>
        <w:trPr>
          <w:trHeight w:val="20"/>
        </w:trPr>
        <w:tc>
          <w:tcPr>
            <w:tcW w:w="45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140" w:firstLine="518"/>
        <w:spacing w:after="0" w:line="246" w:lineRule="auto"/>
        <w:rPr>
          <w:sz w:val="20"/>
          <w:szCs w:val="20"/>
          <w:color w:val="auto"/>
        </w:rPr>
      </w:pPr>
      <w:r>
        <w:rPr>
          <w:rFonts w:ascii="Arial" w:cs="Arial" w:eastAsia="Arial" w:hAnsi="Arial"/>
          <w:sz w:val="18"/>
          <w:szCs w:val="18"/>
          <w:color w:val="auto"/>
        </w:rPr>
        <w:t>As of June 30, 2019, the Company had $142.5 million of additional lease commitments that will commence in the future between fiscal years 2020 and 2021 with lease terms of three to 12 years.</w:t>
      </w:r>
    </w:p>
    <w:p>
      <w:pPr>
        <w:spacing w:after="0" w:line="143" w:lineRule="exact"/>
        <w:rPr>
          <w:sz w:val="20"/>
          <w:szCs w:val="20"/>
          <w:color w:val="auto"/>
        </w:rPr>
      </w:pPr>
    </w:p>
    <w:p>
      <w:pPr>
        <w:ind w:right="60" w:firstLine="518"/>
        <w:spacing w:after="0"/>
        <w:rPr>
          <w:sz w:val="20"/>
          <w:szCs w:val="20"/>
          <w:color w:val="auto"/>
        </w:rPr>
      </w:pPr>
      <w:r>
        <w:rPr>
          <w:rFonts w:ascii="Arial" w:cs="Arial" w:eastAsia="Arial" w:hAnsi="Arial"/>
          <w:sz w:val="18"/>
          <w:szCs w:val="18"/>
          <w:color w:val="auto"/>
        </w:rPr>
        <w:t>As discussed in Note 1, the Company has adopted ASC 842 using the optional transition method presenting prior period amounts and disclosures under ASC 840. The following table presents the Company's future minimum lease payments for operating leases under ASC 840 at March 31, 2019:</w:t>
      </w:r>
    </w:p>
    <w:p>
      <w:pPr>
        <w:spacing w:after="0" w:line="272" w:lineRule="exact"/>
        <w:rPr>
          <w:sz w:val="20"/>
          <w:szCs w:val="20"/>
          <w:color w:val="auto"/>
        </w:rPr>
      </w:pPr>
    </w:p>
    <w:tbl>
      <w:tblPr>
        <w:tblLayout w:type="fixed"/>
        <w:tblInd w:w="2300" w:type="dxa"/>
        <w:tblCellMar>
          <w:top w:w="0" w:type="dxa"/>
          <w:left w:w="0" w:type="dxa"/>
          <w:bottom w:w="0" w:type="dxa"/>
          <w:right w:w="0" w:type="dxa"/>
        </w:tblCellMar>
      </w:tblPr>
      <w:tr>
        <w:trPr>
          <w:trHeight w:val="176"/>
        </w:trPr>
        <w:tc>
          <w:tcPr>
            <w:tcW w:w="4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Operating Leases</w:t>
            </w:r>
          </w:p>
        </w:tc>
      </w:tr>
      <w:tr>
        <w:trPr>
          <w:trHeight w:val="175"/>
        </w:trPr>
        <w:tc>
          <w:tcPr>
            <w:tcW w:w="4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March 31, 2019</w:t>
            </w:r>
          </w:p>
        </w:tc>
        <w:tc>
          <w:tcPr>
            <w:tcW w:w="60" w:type="dxa"/>
            <w:vAlign w:val="bottom"/>
          </w:tcPr>
          <w:p>
            <w:pPr>
              <w:spacing w:after="0"/>
              <w:rPr>
                <w:sz w:val="15"/>
                <w:szCs w:val="15"/>
                <w:color w:val="auto"/>
              </w:rPr>
            </w:pPr>
          </w:p>
        </w:tc>
      </w:tr>
      <w:tr>
        <w:trPr>
          <w:trHeight w:val="169"/>
        </w:trPr>
        <w:tc>
          <w:tcPr>
            <w:tcW w:w="4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2020</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59,164</w:t>
            </w:r>
          </w:p>
        </w:tc>
        <w:tc>
          <w:tcPr>
            <w:tcW w:w="60" w:type="dxa"/>
            <w:vAlign w:val="bottom"/>
            <w:shd w:val="clear" w:color="auto" w:fill="CFF0FC"/>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Expected for fiscal year 2021</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59,452</w:t>
            </w:r>
          </w:p>
        </w:tc>
        <w:tc>
          <w:tcPr>
            <w:tcW w:w="60" w:type="dxa"/>
            <w:vAlign w:val="bottom"/>
          </w:tcPr>
          <w:p>
            <w:pPr>
              <w:spacing w:after="0"/>
              <w:rPr>
                <w:sz w:val="18"/>
                <w:szCs w:val="18"/>
                <w:color w:val="auto"/>
              </w:rPr>
            </w:pPr>
          </w:p>
        </w:tc>
      </w:tr>
      <w:tr>
        <w:trPr>
          <w:trHeight w:val="216"/>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2022</w:t>
            </w: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57,500</w:t>
            </w:r>
          </w:p>
        </w:tc>
        <w:tc>
          <w:tcPr>
            <w:tcW w:w="60" w:type="dxa"/>
            <w:vAlign w:val="bottom"/>
            <w:shd w:val="clear" w:color="auto" w:fill="CFF0FC"/>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Expected for fiscal year 2023</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50,933</w:t>
            </w:r>
          </w:p>
        </w:tc>
        <w:tc>
          <w:tcPr>
            <w:tcW w:w="60" w:type="dxa"/>
            <w:vAlign w:val="bottom"/>
          </w:tcPr>
          <w:p>
            <w:pPr>
              <w:spacing w:after="0"/>
              <w:rPr>
                <w:sz w:val="18"/>
                <w:szCs w:val="18"/>
                <w:color w:val="auto"/>
              </w:rPr>
            </w:pPr>
          </w:p>
        </w:tc>
      </w:tr>
      <w:tr>
        <w:trPr>
          <w:trHeight w:val="216"/>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2024</w:t>
            </w: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51,000</w:t>
            </w:r>
          </w:p>
        </w:tc>
        <w:tc>
          <w:tcPr>
            <w:tcW w:w="60" w:type="dxa"/>
            <w:vAlign w:val="bottom"/>
            <w:shd w:val="clear" w:color="auto" w:fill="CFF0FC"/>
          </w:tcPr>
          <w:p>
            <w:pPr>
              <w:spacing w:after="0"/>
              <w:rPr>
                <w:sz w:val="18"/>
                <w:szCs w:val="18"/>
                <w:color w:val="auto"/>
              </w:rPr>
            </w:pPr>
          </w:p>
        </w:tc>
      </w:tr>
      <w:tr>
        <w:trPr>
          <w:trHeight w:val="216"/>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3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183,077</w:t>
            </w:r>
          </w:p>
        </w:tc>
        <w:tc>
          <w:tcPr>
            <w:tcW w:w="60" w:type="dxa"/>
            <w:vAlign w:val="bottom"/>
            <w:tcBorders>
              <w:bottom w:val="single" w:sz="8" w:color="CFF0FC"/>
            </w:tcBorders>
          </w:tcPr>
          <w:p>
            <w:pPr>
              <w:spacing w:after="0"/>
              <w:rPr>
                <w:sz w:val="18"/>
                <w:szCs w:val="18"/>
                <w:color w:val="auto"/>
              </w:rPr>
            </w:pPr>
          </w:p>
        </w:tc>
      </w:tr>
      <w:tr>
        <w:trPr>
          <w:trHeight w:val="21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Total minimum payments required</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461,126</w:t>
            </w:r>
          </w:p>
        </w:tc>
        <w:tc>
          <w:tcPr>
            <w:tcW w:w="60" w:type="dxa"/>
            <w:vAlign w:val="bottom"/>
            <w:shd w:val="clear" w:color="auto" w:fill="CFF0FC"/>
          </w:tcPr>
          <w:p>
            <w:pPr>
              <w:spacing w:after="0"/>
              <w:rPr>
                <w:sz w:val="18"/>
                <w:szCs w:val="18"/>
                <w:color w:val="auto"/>
              </w:rPr>
            </w:pPr>
          </w:p>
        </w:tc>
      </w:tr>
      <w:tr>
        <w:trPr>
          <w:trHeight w:val="20"/>
        </w:trPr>
        <w:tc>
          <w:tcPr>
            <w:tcW w:w="404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Rent expense was $53.5 million for the fiscal year ended March 31, 2019.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Senior Notes and Other Long-Term Debt</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long-term debt consisted of the following as of June 30, 2019 and March 31, 2019:</w:t>
      </w:r>
    </w:p>
    <w:p>
      <w:pPr>
        <w:spacing w:after="0" w:line="199"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 of</w:t>
            </w:r>
          </w:p>
        </w:tc>
      </w:tr>
      <w:tr>
        <w:trPr>
          <w:trHeight w:val="175"/>
        </w:trPr>
        <w:tc>
          <w:tcPr>
            <w:tcW w:w="5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8"/>
              </w:rPr>
              <w:t>June 30, 2019</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2019</w:t>
            </w:r>
          </w:p>
        </w:tc>
        <w:tc>
          <w:tcPr>
            <w:tcW w:w="80" w:type="dxa"/>
            <w:vAlign w:val="bottom"/>
          </w:tcPr>
          <w:p>
            <w:pPr>
              <w:spacing w:after="0"/>
              <w:rPr>
                <w:sz w:val="15"/>
                <w:szCs w:val="15"/>
                <w:color w:val="auto"/>
              </w:rPr>
            </w:pPr>
          </w:p>
        </w:tc>
      </w:tr>
      <w:tr>
        <w:trPr>
          <w:trHeight w:val="169"/>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2027 Notes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2025 Notes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700,000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Ex-Im Credit Facility</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127,739</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139,560</w:t>
            </w:r>
          </w:p>
        </w:tc>
        <w:tc>
          <w:tcPr>
            <w:tcW w:w="80" w:type="dxa"/>
            <w:vAlign w:val="bottom"/>
            <w:tcBorders>
              <w:bottom w:val="single" w:sz="8" w:color="CFF0FC"/>
            </w:tcBorders>
          </w:tcPr>
          <w:p>
            <w:pPr>
              <w:spacing w:after="0"/>
              <w:rPr>
                <w:sz w:val="18"/>
                <w:szCs w:val="18"/>
                <w:color w:val="auto"/>
              </w:rPr>
            </w:pPr>
          </w:p>
        </w:tc>
      </w:tr>
      <w:tr>
        <w:trPr>
          <w:trHeight w:val="21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1,427,739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1,439,560</w:t>
            </w:r>
          </w:p>
        </w:tc>
        <w:tc>
          <w:tcPr>
            <w:tcW w:w="8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Unamortized discount and debt issuance costs</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(25,131)</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(26,720)</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19,652</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19,937</w:t>
            </w:r>
          </w:p>
        </w:tc>
        <w:tc>
          <w:tcPr>
            <w:tcW w:w="80" w:type="dxa"/>
            <w:vAlign w:val="bottom"/>
            <w:shd w:val="clear" w:color="auto" w:fill="CFF0FC"/>
          </w:tcPr>
          <w:p>
            <w:pPr>
              <w:spacing w:after="0"/>
              <w:rPr>
                <w:sz w:val="18"/>
                <w:szCs w:val="18"/>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Total long-term debt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1,382,956</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1,392,903</w:t>
            </w:r>
          </w:p>
        </w:tc>
        <w:tc>
          <w:tcPr>
            <w:tcW w:w="8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85"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As of June 30, 2019, the Revolving Credit Facility provided a $700.0 million revolving line of credit (including up to $ 150.0 million of letters of credit), with a maturity date of January 18, 2024. At June 30, 2019, the Company had no outstanding borrowings under the Revolving Credit Facility and $ 19.3 million outstanding under standby letters of credit, leaving borrowing availability under the Revolving Credit Facility as of June 30, 2019 of $680.7 million.</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June 30, 2019, none of the Company’s subsidiaries guaranteed the Revolving Credit Facility.</w:t>
      </w:r>
    </w:p>
    <w:p>
      <w:pPr>
        <w:spacing w:after="0" w:line="149"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Revolving Credit Facility as of June 30,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w:t>
      </w:r>
    </w:p>
    <w:p>
      <w:pPr>
        <w:spacing w:after="0" w:line="234" w:lineRule="auto"/>
        <w:rPr>
          <w:sz w:val="20"/>
          <w:szCs w:val="20"/>
          <w:color w:val="auto"/>
        </w:rPr>
      </w:pPr>
      <w:r>
        <w:rPr>
          <w:rFonts w:ascii="Arial" w:cs="Arial" w:eastAsia="Arial" w:hAnsi="Arial"/>
          <w:sz w:val="18"/>
          <w:szCs w:val="18"/>
          <w:color w:val="auto"/>
        </w:rPr>
        <w:t>$362.4 million in principal amount of borrowings made under the Ex-Im Credit Facility, $321.2 million was used to finance up to 85% of the</w:t>
      </w:r>
    </w:p>
    <w:p>
      <w:pPr>
        <w:spacing w:after="0" w:line="235" w:lineRule="auto"/>
        <w:rPr>
          <w:sz w:val="20"/>
          <w:szCs w:val="20"/>
          <w:color w:val="auto"/>
        </w:rPr>
      </w:pPr>
      <w:r>
        <w:rPr>
          <w:rFonts w:ascii="Arial" w:cs="Arial" w:eastAsia="Arial" w:hAnsi="Arial"/>
          <w:sz w:val="18"/>
          <w:szCs w:val="18"/>
          <w:color w:val="auto"/>
        </w:rPr>
        <w:t>costs of construction, launch and insurance of the ViaSat-2 satellite and related goods and services (including costs incurred on or after</w:t>
      </w:r>
    </w:p>
    <w:p>
      <w:pPr>
        <w:spacing w:after="0" w:line="235" w:lineRule="auto"/>
        <w:rPr>
          <w:sz w:val="20"/>
          <w:szCs w:val="20"/>
          <w:color w:val="auto"/>
        </w:rPr>
      </w:pPr>
      <w:r>
        <w:rPr>
          <w:rFonts w:ascii="Arial" w:cs="Arial" w:eastAsia="Arial" w:hAnsi="Arial"/>
          <w:sz w:val="18"/>
          <w:szCs w:val="18"/>
          <w:color w:val="auto"/>
        </w:rPr>
        <w:t>September 18, 2012), with the remaining $41.2 million used to finance the total exposure fees incurred under the Ex-Im Credit Facility (which</w:t>
      </w:r>
    </w:p>
    <w:p>
      <w:pPr>
        <w:spacing w:after="0" w:line="235" w:lineRule="auto"/>
        <w:rPr>
          <w:sz w:val="20"/>
          <w:szCs w:val="20"/>
          <w:color w:val="auto"/>
        </w:rPr>
      </w:pPr>
      <w:r>
        <w:rPr>
          <w:rFonts w:ascii="Arial" w:cs="Arial" w:eastAsia="Arial" w:hAnsi="Arial"/>
          <w:sz w:val="18"/>
          <w:szCs w:val="18"/>
          <w:color w:val="auto"/>
        </w:rPr>
        <w:t>included all previously accrued completion exposure fees). As of June 30, 2019, the Company had $127.7 million in principal amount of</w:t>
      </w:r>
    </w:p>
    <w:p>
      <w:pPr>
        <w:spacing w:after="0"/>
        <w:rPr>
          <w:sz w:val="20"/>
          <w:szCs w:val="20"/>
          <w:color w:val="auto"/>
        </w:rPr>
      </w:pPr>
      <w:r>
        <w:rPr>
          <w:rFonts w:ascii="Arial" w:cs="Arial" w:eastAsia="Arial" w:hAnsi="Arial"/>
          <w:sz w:val="18"/>
          <w:szCs w:val="18"/>
          <w:color w:val="auto"/>
        </w:rPr>
        <w:t>outstanding borrowings under the Ex-Im Credit Facility.</w:t>
      </w:r>
    </w:p>
    <w:p>
      <w:pPr>
        <w:spacing w:after="0" w:line="15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the Company’s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Pursuant to the terms of the Ex-Im Credit Facility, certain insurance recovery proceeds related to the ViaSat-2 satellite must be used to pay down outstanding borrowings under the Ex-Im Credit Facility upon receipt. During the three months ended June 30, 2019 and during fiscal year 2019, the Company received $2.3 million and $185.7 million, respectively, of insurance proceeds related to the ViaSat-2 satellite, all of which were used to pay down outstanding borrowings under the Ex-Im Credit Facility upon receipt (see Note 1 – Property, equipment and satellites for more information). The Ex-Im Credit Facility is guaranteed by Viasat and is secured by first-priority liens on the ViaSat-2 satellite and related assets, as well as a pledge of the capital stock of the borrower under the facility.</w:t>
      </w:r>
    </w:p>
    <w:p>
      <w:pPr>
        <w:spacing w:after="0" w:line="153"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Ex-Im Credit Facility as of June 30, 2019.</w:t>
      </w:r>
    </w:p>
    <w:p>
      <w:pPr>
        <w:spacing w:after="0" w:line="148" w:lineRule="exact"/>
        <w:rPr>
          <w:sz w:val="20"/>
          <w:szCs w:val="20"/>
          <w:color w:val="auto"/>
        </w:rPr>
      </w:pPr>
    </w:p>
    <w:p>
      <w:pPr>
        <w:ind w:right="160" w:firstLine="518"/>
        <w:spacing w:after="0" w:line="238" w:lineRule="auto"/>
        <w:rPr>
          <w:sz w:val="20"/>
          <w:szCs w:val="20"/>
          <w:color w:val="auto"/>
        </w:rPr>
      </w:pPr>
      <w:r>
        <w:rPr>
          <w:rFonts w:ascii="Arial" w:cs="Arial" w:eastAsia="Arial" w:hAnsi="Arial"/>
          <w:sz w:val="18"/>
          <w:szCs w:val="18"/>
          <w:color w:val="auto"/>
        </w:rPr>
        <w:t>Borrowings under the Ex-Im Credit Facility are recorded as current portion of long-term debt and as other long -term debt, net of unamortized discount and debt issuance costs, in the Company’s condensed consolidated financial statements. The discount of $42.3 million (comprising the initial $6.0 million pre-exposure fee, $35.3 million of completion exposure fees, and other customary fees) and deferred financing cost associated with the issuance of the borrowings under the Ex-Im Credit Facility is amortized to interest expense on an effective interest rate basis over the weighted average term of the Ex-Im Credit Facility and in accordance with the related payment obligations.</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81"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In March 2019, the Company issued $600.0 million in principal amount of 2027 Notes in a private placement to institutional buyers. The 2027 Notes were issued at face value and are recorded as long-term debt, net of debt issuance costs, in the Company’s consolidated financial statements. The 2027 Notes bear interest at the rate of 5.625% per year, payable semi-annually in cash in arrears, which interest payments will commence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49" w:lineRule="exact"/>
        <w:rPr>
          <w:sz w:val="20"/>
          <w:szCs w:val="20"/>
          <w:color w:val="auto"/>
        </w:rPr>
      </w:pPr>
    </w:p>
    <w:p>
      <w:pPr>
        <w:ind w:right="80" w:firstLine="518"/>
        <w:spacing w:after="0" w:line="239" w:lineRule="auto"/>
        <w:rPr>
          <w:sz w:val="20"/>
          <w:szCs w:val="20"/>
          <w:color w:val="auto"/>
        </w:rPr>
      </w:pPr>
      <w:r>
        <w:rPr>
          <w:rFonts w:ascii="Arial" w:cs="Arial" w:eastAsia="Arial" w:hAnsi="Arial"/>
          <w:sz w:val="18"/>
          <w:szCs w:val="18"/>
          <w:color w:val="auto"/>
        </w:rPr>
        <w:t>The 2027 Notes are required to be guaranteed on a senior secured basis by each of the Company’s existing and future subsidiaries that guarantees the Revolving Credit Facility. As of June 30, 2019, none of the Company’s subsidiaries guaranteed the 2027 Notes. The 2027 Notes are secured, equally and ratably with the Revolving Credit Facility and any future parity lien debt, by liens on substantially all of the Company’s assets.</w:t>
      </w:r>
    </w:p>
    <w:p>
      <w:pPr>
        <w:spacing w:after="0" w:line="148"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2025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are structurally subordinated to all existing and future liabilities (including trade payables) of the Company’s subsidiaries that do not guarantee the 2027 Notes (including obligations of the borrower under the Ex-Im Credit Facility), and are senior in right of payment to all of the Company’s existing and future subordinated indebtedness.</w:t>
      </w:r>
    </w:p>
    <w:p>
      <w:pPr>
        <w:spacing w:after="0" w:line="149"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Prior to April 15, 2022, the Company may redeem up to 40% of the 2027 Notes at a redemption price of 105.625% of the principal amount thereof, plus accrued and unpaid interest, if any, thereon to the redemption date, from the net cash proceeds of specified equity offerings. The Company may also redeem the 2027 Notes prior to April 15, 2022,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2027 Notes and (ii) the excess, if any, of (a) the present value at such date of redemption of (1) the redemption price of such 2027 Notes on April 15, 2022 plus (2) all required interest payments due on such 2027 Notes through April 15, 2022 (excluding accrued but unpaid interest to the date of redemption), computed using a discount rate equal to the treasury rate (as defined under the indenture governing the 2027 Notes) plus 50 basis points, over (b) the then-outstanding principal amount of such 2027 Notes. The 2027 Notes may be redeemed, in whole or in part, at any time during the 12 months beginning on April 15, 2022 at a redemption price of 102.813%, during the 12 months beginning on April 15, 2023 at a redemption price of 101.406%, and at any time on or after April 15, 2024 at a redemption price of 100%, in each case plus accrued and unpaid interest, if any, thereon to the redemption date.</w:t>
      </w:r>
    </w:p>
    <w:p>
      <w:pPr>
        <w:spacing w:after="0" w:line="151"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95"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In September 2017, the Company issued $700.0 million in principal amount of 2025 Notes in a private placement to institutional buyers. The 2025 Notes were issued at face value and are recorded as long-term debt, net of debt issuance costs, in the Company’s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51" w:lineRule="exact"/>
        <w:rPr>
          <w:sz w:val="20"/>
          <w:szCs w:val="20"/>
          <w:color w:val="auto"/>
        </w:rPr>
      </w:pPr>
    </w:p>
    <w:p>
      <w:pPr>
        <w:ind w:right="120" w:firstLine="518"/>
        <w:spacing w:after="0" w:line="237" w:lineRule="auto"/>
        <w:rPr>
          <w:sz w:val="20"/>
          <w:szCs w:val="20"/>
          <w:color w:val="auto"/>
        </w:rPr>
      </w:pPr>
      <w:r>
        <w:rPr>
          <w:rFonts w:ascii="Arial" w:cs="Arial" w:eastAsia="Arial" w:hAnsi="Arial"/>
          <w:sz w:val="18"/>
          <w:szCs w:val="18"/>
          <w:color w:val="auto"/>
        </w:rPr>
        <w:t>The 2025 Notes are required to be guaranteed on an unsecured senior basis by each of the Company’s existing and future subsidiaries that guarantees the Revolving Credit Facility. As of June 30, 2019, none of the Company’s subsidiaries guaranteed the 2025 Notes. The 2025 Notes are the Company’s general senior unsecured obligations and rank equally in right of payment with all of the Company’s existing and future unsecured unsubordinated debt. The 2025 Notes are effectively junior in right of payment to the Company’s existing and future secured debt, including under the Credit Facilities (to the extent of the value of the assets securing such debt), are structurally subordinated to all existing and future liabilities (including trade payables) of the Company’s subsidiaries that do not guarantee the 2025 Notes, and are senior in right of payment to all of the Company’s existing and future subordinated indebtedness.</w:t>
      </w:r>
    </w:p>
    <w:p>
      <w:pPr>
        <w:spacing w:after="0" w:line="149"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9"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Prior to September 15, 2020, the Company may redeem up to 40% of the 2025 Notes at a redemption price of 105.625% of the principal amount thereof, plus accrued and unpaid interest, if any, thereon to the redemption date, from the net cash proceeds of specified equity offerings. The Company may also redeem the 2025 Notes prior to September 15, 2020,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2025 Notes and (ii) the excess, if any, of (a) the present value at such date of redemption of (1) the redemption price of such 2025 Notes on September 15, 2020 plus (2) all required interest payments due on such 2025 Notes through September 15, 2020 (excluding accrued but unpaid interest to the date of redemption), computed using a discount rate equal to the treasury rate (as defined under the indenture governing the 2025 Notes) plus 50 basis points, over (b) the then-outstanding principal amount of such 2025 Notes. The 2025 Notes may be redeemed, in whole or in part, at any time during the 12 months beginning on September 15, 2020 at a redemption price of 102.813%, during the 12 months beginning on September 15, 2021 at a redemption price of 101.406%, and at any time on or after September 15, 2022 at a redemption price of 100%, in each case plus accrued and unpaid interest, if any, thereon to the redemption date.</w:t>
      </w:r>
    </w:p>
    <w:p>
      <w:pPr>
        <w:spacing w:after="0" w:line="151"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Product Warranty</w:t>
      </w:r>
    </w:p>
    <w:p>
      <w:pPr>
        <w:spacing w:after="0" w:line="99"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three months ended June 30, 2019 and 2018:</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r>
      <w:tr>
        <w:trPr>
          <w:trHeight w:val="169"/>
        </w:trPr>
        <w:tc>
          <w:tcPr>
            <w:tcW w:w="5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8"/>
              </w:rPr>
              <w:t>June 30, 2019</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June 30, 2018</w:t>
            </w:r>
          </w:p>
        </w:tc>
        <w:tc>
          <w:tcPr>
            <w:tcW w:w="80" w:type="dxa"/>
            <w:vAlign w:val="bottom"/>
          </w:tcPr>
          <w:p>
            <w:pPr>
              <w:spacing w:after="0"/>
              <w:rPr>
                <w:sz w:val="14"/>
                <w:szCs w:val="14"/>
                <w:color w:val="auto"/>
              </w:rPr>
            </w:pPr>
          </w:p>
        </w:tc>
      </w:tr>
      <w:tr>
        <w:trPr>
          <w:trHeight w:val="169"/>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6,914</w:t>
            </w:r>
          </w:p>
        </w:tc>
        <w:tc>
          <w:tcPr>
            <w:tcW w:w="80" w:type="dxa"/>
            <w:vAlign w:val="bottom"/>
            <w:shd w:val="clear" w:color="auto" w:fill="CFF0FC"/>
          </w:tcPr>
          <w:p>
            <w:pPr>
              <w:spacing w:after="0"/>
              <w:rPr>
                <w:sz w:val="18"/>
                <w:szCs w:val="18"/>
                <w:color w:val="auto"/>
              </w:rPr>
            </w:pPr>
          </w:p>
        </w:tc>
      </w:tr>
      <w:tr>
        <w:trPr>
          <w:trHeight w:val="216"/>
        </w:trPr>
        <w:tc>
          <w:tcPr>
            <w:tcW w:w="5400" w:type="dxa"/>
            <w:vAlign w:val="bottom"/>
          </w:tcPr>
          <w:p>
            <w:pPr>
              <w:ind w:left="240"/>
              <w:spacing w:after="0"/>
              <w:rPr>
                <w:sz w:val="20"/>
                <w:szCs w:val="20"/>
                <w:color w:val="auto"/>
              </w:rPr>
            </w:pPr>
            <w:r>
              <w:rPr>
                <w:rFonts w:ascii="Arial" w:cs="Arial" w:eastAsia="Arial" w:hAnsi="Arial"/>
                <w:sz w:val="18"/>
                <w:szCs w:val="18"/>
                <w:color w:val="auto"/>
              </w:rPr>
              <w:t>Change in liability for warranties issued in period</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8"/>
                <w:szCs w:val="18"/>
                <w:color w:val="auto"/>
              </w:rPr>
            </w:pPr>
          </w:p>
        </w:tc>
      </w:tr>
      <w:tr>
        <w:trPr>
          <w:trHeight w:val="215"/>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Settlements made (in cash or in kind) during the</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54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period</w:t>
            </w: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(1,316)</w:t>
            </w: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(914)</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8,450</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6,475</w:t>
            </w:r>
          </w:p>
        </w:tc>
        <w:tc>
          <w:tcPr>
            <w:tcW w:w="8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85"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In July 2019, the Company entered into an agreement with Boeing for the construction and purchase of a third ViaSat-3 class satellite and the integration of Viasat’s payload technologies into the satellite, which replaced and superseded the limited agreement to proceed entered into in January 2019 for the satellite. This satellite is expected to provide broadband services over the Asia and Pacific (APAC) region.</w:t>
      </w:r>
    </w:p>
    <w:p>
      <w:pPr>
        <w:spacing w:after="0" w:line="149"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From time to time,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49" w:lineRule="exact"/>
        <w:rPr>
          <w:sz w:val="20"/>
          <w:szCs w:val="20"/>
          <w:color w:val="auto"/>
        </w:rPr>
      </w:pPr>
    </w:p>
    <w:p>
      <w:pPr>
        <w:ind w:right="40" w:firstLine="518"/>
        <w:spacing w:after="0" w:line="235" w:lineRule="auto"/>
        <w:rPr>
          <w:sz w:val="20"/>
          <w:szCs w:val="20"/>
          <w:color w:val="auto"/>
        </w:rPr>
      </w:pPr>
      <w:r>
        <w:rPr>
          <w:rFonts w:ascii="Arial" w:cs="Arial" w:eastAsia="Arial" w:hAnsi="Arial"/>
          <w:sz w:val="18"/>
          <w:szCs w:val="18"/>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 2019. As of June 30, 2019, the DCAA had completed its incurred cost audit for fiscal years 2004 and 2016 and approved the Company’s incurred costs for those fiscal years, as well as approved the Company’s incurred costs for fiscal years 2005 through 2015, 2017 and 2018 without further audit based on the determination of low risk. Although the Company has recorded contract revenues subsequent to fiscal year 2018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June 30, 2019 and March 31, 2019, the Company had $4.9 million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Ordinarily, the Company calculates its provision for income taxes at the end of each interim reporting period on the basis of an estimated annual effective tax rate adjusted for tax items that are discrete to each period. However, when a reliable estimate cannot be made, the Company computes its provision for income taxes using the actual effective tax rate (discrete method) for the year-to-date period. The Company’s effective tax rate is highly influenced by the amount of its R&amp;D tax credits. A small change in estimated annual pretax income (loss) can produce a significant variance in the annual effective tax rate given the Company’s expected amount of R&amp;D tax credits. This variability provides an unreliable estimate of the annual effective tax rate. As a result, and in accordance with the authoritative guidance for accounting for income taxes in interim periods, the Company has computed its provision for income taxes for the three months ended June 30, 2019 by applying the actual effective tax rate to the year-to-date income for the three-month period.</w:t>
      </w:r>
    </w:p>
    <w:p>
      <w:pPr>
        <w:spacing w:after="0" w:line="154" w:lineRule="exact"/>
        <w:rPr>
          <w:sz w:val="20"/>
          <w:szCs w:val="20"/>
          <w:color w:val="auto"/>
        </w:rPr>
      </w:pPr>
    </w:p>
    <w:p>
      <w:pPr>
        <w:ind w:right="120" w:firstLine="518"/>
        <w:spacing w:after="0"/>
        <w:rPr>
          <w:sz w:val="20"/>
          <w:szCs w:val="20"/>
          <w:color w:val="auto"/>
        </w:rPr>
      </w:pPr>
      <w:r>
        <w:rPr>
          <w:rFonts w:ascii="Arial" w:cs="Arial" w:eastAsia="Arial" w:hAnsi="Arial"/>
          <w:sz w:val="18"/>
          <w:szCs w:val="18"/>
          <w:color w:val="auto"/>
        </w:rPr>
        <w:t>For the three months ended June 30, 2019, the Company recorded an income tax benefit of $7.2 million resulting in an effective tax benefit rate of 39%. The effective tax benefit rate in the first quarter of fiscal year 2020 differed from the U.S. statutory rate due primarily to the benefit of R&amp;D tax credits.</w:t>
      </w:r>
    </w:p>
    <w:p>
      <w:pPr>
        <w:spacing w:after="0" w:line="149" w:lineRule="exact"/>
        <w:rPr>
          <w:sz w:val="20"/>
          <w:szCs w:val="20"/>
          <w:color w:val="auto"/>
        </w:rPr>
      </w:pPr>
    </w:p>
    <w:p>
      <w:pPr>
        <w:ind w:right="120" w:firstLine="518"/>
        <w:spacing w:after="0"/>
        <w:rPr>
          <w:sz w:val="20"/>
          <w:szCs w:val="20"/>
          <w:color w:val="auto"/>
        </w:rPr>
      </w:pPr>
      <w:r>
        <w:rPr>
          <w:rFonts w:ascii="Arial" w:cs="Arial" w:eastAsia="Arial" w:hAnsi="Arial"/>
          <w:sz w:val="18"/>
          <w:szCs w:val="18"/>
          <w:color w:val="auto"/>
        </w:rPr>
        <w:t>For the three months ended June 30, 2018, the Company recorded an income tax benefit of $29.2 million, resulting in an effective tax benefit rate of 44%. The effective tax benefit rate in the first quarter of fiscal year 2019 differed from the U.S. statutory rate due primarily to the benefit of R&amp;D tax credits.</w:t>
      </w:r>
    </w:p>
    <w:p>
      <w:pPr>
        <w:spacing w:after="0" w:line="149"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w:t>
      </w:r>
    </w:p>
    <w:p>
      <w:pPr>
        <w:spacing w:after="0" w:line="148" w:lineRule="exact"/>
        <w:rPr>
          <w:sz w:val="20"/>
          <w:szCs w:val="20"/>
          <w:color w:val="auto"/>
        </w:rPr>
      </w:pPr>
    </w:p>
    <w:p>
      <w:pPr>
        <w:ind w:right="360" w:firstLine="518"/>
        <w:spacing w:after="0" w:line="246" w:lineRule="auto"/>
        <w:rPr>
          <w:sz w:val="20"/>
          <w:szCs w:val="20"/>
          <w:color w:val="auto"/>
        </w:rPr>
      </w:pPr>
      <w:r>
        <w:rPr>
          <w:rFonts w:ascii="Arial" w:cs="Arial" w:eastAsia="Arial" w:hAnsi="Arial"/>
          <w:sz w:val="18"/>
          <w:szCs w:val="18"/>
          <w:color w:val="auto"/>
        </w:rPr>
        <w:t>For the three months ended June 30, 2019, the Company’s gross unrecognized tax benefits increased by $3.1 million. In the next 12 months it is reasonably possible that the amount of unrecognized tax benefits will not change significantly.</w:t>
      </w:r>
    </w:p>
    <w:p>
      <w:pPr>
        <w:spacing w:after="0" w:line="202" w:lineRule="exact"/>
        <w:rPr>
          <w:sz w:val="20"/>
          <w:szCs w:val="20"/>
          <w:color w:val="auto"/>
        </w:rPr>
      </w:pPr>
    </w:p>
    <w:p>
      <w:pPr>
        <w:ind w:right="5380"/>
        <w:spacing w:after="0" w:line="325" w:lineRule="auto"/>
        <w:rPr>
          <w:sz w:val="20"/>
          <w:szCs w:val="20"/>
          <w:color w:val="auto"/>
        </w:rPr>
      </w:pPr>
      <w:r>
        <w:rPr>
          <w:rFonts w:ascii="Arial" w:cs="Arial" w:eastAsia="Arial" w:hAnsi="Arial"/>
          <w:sz w:val="18"/>
          <w:szCs w:val="18"/>
          <w:b w:val="1"/>
          <w:bCs w:val="1"/>
          <w:color w:val="auto"/>
        </w:rPr>
        <w:t xml:space="preserve">Note 11 — Equity Method Investments and Related-Party Transactions </w:t>
      </w:r>
      <w:r>
        <w:rPr>
          <w:rFonts w:ascii="Arial" w:cs="Arial" w:eastAsia="Arial" w:hAnsi="Arial"/>
          <w:sz w:val="18"/>
          <w:szCs w:val="18"/>
          <w:b w:val="1"/>
          <w:bCs w:val="1"/>
          <w:i w:val="1"/>
          <w:iCs w:val="1"/>
          <w:color w:val="auto"/>
        </w:rPr>
        <w:t>Eutelsat strategic partnering arrangement</w:t>
      </w:r>
    </w:p>
    <w:p>
      <w:pPr>
        <w:spacing w:after="0" w:line="2"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In March 2017, the Company acquired a 49% interest in Euro Broadband Infrastructure Sàrl (Euro Infrastructure Co.) for $139.5 million as part of the consummation of the Company’s strategic partnering arrangement with Eutelsat. The Company’s investment in Euro Infrastructure Co. is accounted for under the equity method and the total investment, including basis difference allocated to tangible assets, identifiable intangible assets, deferred income taxes and goodwill, is classified as a single line item, as an investment in unconsolidated affiliate, on the Company’s condensed consolidated balance sheets. Because the underlying net assets in Euro Infrastructure Co. and the related excess carrying value of investment over the proportionate share of net assets are denominated in Euros, foreign currency translation gains or losses impact the recorded value of the Company’s investment. The Company recorded a foreign currency translation loss, net of tax, of approximately $2.5 million and a foreign currency translation gain, net of tax, of approximately $3.5 million for the three months ended June 30, 2019 and 2018, respectively, in accumulated other comprehensive income (loss). The Company records its proportionate share of the results of Euro Infrastructure Co., and any related basis difference amortization expense, within equity in income (loss) of unconsolidated affiliate, net, one quarter in arrears. Accordingly, the Company included its share of the results of Euro Infrastructure Co. for the three months ended March 31, 2019 and March 31, 2018 in its condensed consolidated financial statements for the three months ended June 30, 2019 and June 30, 2018, respectively. The Company’s investment in Euro Infrastructure Co. is presented at cost of investment plus its accumulated proportional share of income or loss, including amortization of the difference in the historical basis of the Company’s contribution, less any distributions it has received.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200" w:firstLine="518"/>
        <w:spacing w:after="0" w:line="246" w:lineRule="auto"/>
        <w:rPr>
          <w:sz w:val="20"/>
          <w:szCs w:val="20"/>
          <w:color w:val="auto"/>
        </w:rPr>
      </w:pPr>
      <w:r>
        <w:rPr>
          <w:rFonts w:ascii="Arial" w:cs="Arial" w:eastAsia="Arial" w:hAnsi="Arial"/>
          <w:sz w:val="18"/>
          <w:szCs w:val="18"/>
          <w:color w:val="auto"/>
        </w:rPr>
        <w:t>The difference between the Company’s carrying value of its investment in Euro Infrastructure Co. and its proportionate share of the net assets of Euro Infrastructure Co. as of June 30, 2019 and March 31, 2019 is summarized as follows:</w:t>
      </w:r>
    </w:p>
    <w:p>
      <w:pPr>
        <w:spacing w:after="0" w:line="185"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As of</w:t>
            </w:r>
          </w:p>
        </w:tc>
        <w:tc>
          <w:tcPr>
            <w:tcW w:w="0" w:type="dxa"/>
            <w:vAlign w:val="bottom"/>
          </w:tcPr>
          <w:p>
            <w:pPr>
              <w:spacing w:after="0"/>
              <w:rPr>
                <w:sz w:val="1"/>
                <w:szCs w:val="1"/>
                <w:color w:val="auto"/>
              </w:rPr>
            </w:pPr>
          </w:p>
        </w:tc>
      </w:tr>
      <w:tr>
        <w:trPr>
          <w:trHeight w:val="175"/>
        </w:trPr>
        <w:tc>
          <w:tcPr>
            <w:tcW w:w="5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June 30, 2019</w:t>
            </w:r>
          </w:p>
        </w:tc>
        <w:tc>
          <w:tcPr>
            <w:tcW w:w="80" w:type="dxa"/>
            <w:vAlign w:val="bottom"/>
          </w:tcPr>
          <w:p>
            <w:pPr>
              <w:spacing w:after="0"/>
              <w:rPr>
                <w:sz w:val="15"/>
                <w:szCs w:val="15"/>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spacing w:after="0"/>
              <w:rPr>
                <w:sz w:val="20"/>
                <w:szCs w:val="20"/>
                <w:color w:val="auto"/>
              </w:rPr>
            </w:pPr>
            <w:r>
              <w:rPr>
                <w:rFonts w:ascii="Arial" w:cs="Arial" w:eastAsia="Arial" w:hAnsi="Arial"/>
                <w:sz w:val="17"/>
                <w:szCs w:val="17"/>
                <w:color w:val="auto"/>
              </w:rPr>
              <w:t>Carrying value of investment in Euro Infrastructure Co.</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158,868</w:t>
            </w:r>
          </w:p>
        </w:tc>
        <w:tc>
          <w:tcPr>
            <w:tcW w:w="1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08"/>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160,711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Pr>
          <w:p>
            <w:pPr>
              <w:spacing w:after="0"/>
              <w:rPr>
                <w:sz w:val="20"/>
                <w:szCs w:val="20"/>
                <w:color w:val="auto"/>
              </w:rPr>
            </w:pPr>
            <w:r>
              <w:rPr>
                <w:rFonts w:ascii="Arial" w:cs="Arial" w:eastAsia="Arial" w:hAnsi="Arial"/>
                <w:sz w:val="17"/>
                <w:szCs w:val="17"/>
                <w:color w:val="auto"/>
              </w:rPr>
              <w:t>Less: proportionate share of net assets of Euro</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400" w:type="dxa"/>
            <w:vAlign w:val="bottom"/>
            <w:tcBorders>
              <w:bottom w:val="single" w:sz="8" w:color="CFF0FC"/>
            </w:tcBorders>
          </w:tcPr>
          <w:p>
            <w:pPr>
              <w:ind w:left="140"/>
              <w:spacing w:after="0"/>
              <w:rPr>
                <w:sz w:val="20"/>
                <w:szCs w:val="20"/>
                <w:color w:val="auto"/>
              </w:rPr>
            </w:pPr>
            <w:r>
              <w:rPr>
                <w:rFonts w:ascii="Arial" w:cs="Arial" w:eastAsia="Arial" w:hAnsi="Arial"/>
                <w:sz w:val="17"/>
                <w:szCs w:val="17"/>
                <w:color w:val="auto"/>
              </w:rPr>
              <w:t>Infrastructure Co.</w:t>
            </w: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143,429</w:t>
            </w:r>
          </w:p>
        </w:tc>
        <w:tc>
          <w:tcPr>
            <w:tcW w:w="1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145,016</w:t>
            </w:r>
          </w:p>
        </w:tc>
        <w:tc>
          <w:tcPr>
            <w:tcW w:w="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00" w:type="dxa"/>
            <w:vAlign w:val="bottom"/>
            <w:shd w:val="clear" w:color="auto" w:fill="CFF0FC"/>
          </w:tcPr>
          <w:p>
            <w:pPr>
              <w:ind w:left="240"/>
              <w:spacing w:after="0" w:line="190" w:lineRule="exact"/>
              <w:rPr>
                <w:sz w:val="20"/>
                <w:szCs w:val="20"/>
                <w:color w:val="auto"/>
              </w:rPr>
            </w:pPr>
            <w:r>
              <w:rPr>
                <w:rFonts w:ascii="Arial" w:cs="Arial" w:eastAsia="Arial" w:hAnsi="Arial"/>
                <w:sz w:val="17"/>
                <w:szCs w:val="17"/>
                <w:color w:val="auto"/>
              </w:rPr>
              <w:t>Excess carrying value of investment over</w:t>
            </w:r>
          </w:p>
        </w:tc>
        <w:tc>
          <w:tcPr>
            <w:tcW w:w="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0" w:type="dxa"/>
            <w:vAlign w:val="bottom"/>
            <w:shd w:val="clear" w:color="auto" w:fill="CFF0FC"/>
          </w:tcPr>
          <w:p>
            <w:pPr>
              <w:ind w:left="400"/>
              <w:spacing w:after="0"/>
              <w:rPr>
                <w:sz w:val="20"/>
                <w:szCs w:val="20"/>
                <w:color w:val="auto"/>
              </w:rPr>
            </w:pPr>
            <w:r>
              <w:rPr>
                <w:rFonts w:ascii="Arial" w:cs="Arial" w:eastAsia="Arial" w:hAnsi="Arial"/>
                <w:sz w:val="17"/>
                <w:szCs w:val="17"/>
                <w:color w:val="auto"/>
              </w:rPr>
              <w:t>proportionate share of net assets</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15,439</w:t>
            </w:r>
          </w:p>
        </w:tc>
        <w:tc>
          <w:tcPr>
            <w:tcW w:w="140" w:type="dxa"/>
            <w:vAlign w:val="bottom"/>
            <w:shd w:val="clear" w:color="auto" w:fill="CFF0FC"/>
          </w:tcPr>
          <w:p>
            <w:pPr>
              <w:spacing w:after="0"/>
              <w:rPr>
                <w:sz w:val="16"/>
                <w:szCs w:val="16"/>
                <w:color w:val="auto"/>
              </w:rPr>
            </w:pPr>
          </w:p>
        </w:tc>
        <w:tc>
          <w:tcPr>
            <w:tcW w:w="460" w:type="dxa"/>
            <w:vAlign w:val="bottom"/>
            <w:gridSpan w:val="2"/>
            <w:shd w:val="clear" w:color="auto" w:fill="CFF0FC"/>
          </w:tcPr>
          <w:p>
            <w:pPr>
              <w:jc w:val="right"/>
              <w:ind w:right="208"/>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15,695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The excess carrying value has been primarily assigned to:</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Goodwill</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22,031</w:t>
            </w:r>
          </w:p>
        </w:tc>
        <w:tc>
          <w:tcPr>
            <w:tcW w:w="1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08"/>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22,476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40"/>
              <w:spacing w:after="0"/>
              <w:rPr>
                <w:sz w:val="20"/>
                <w:szCs w:val="20"/>
                <w:color w:val="auto"/>
              </w:rPr>
            </w:pPr>
            <w:r>
              <w:rPr>
                <w:rFonts w:ascii="Arial" w:cs="Arial" w:eastAsia="Arial" w:hAnsi="Arial"/>
                <w:sz w:val="17"/>
                <w:szCs w:val="17"/>
                <w:color w:val="auto"/>
              </w:rPr>
              <w:t>Identifiable intangible assets</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10,068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10,670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Tangible assets</w:t>
            </w:r>
          </w:p>
        </w:tc>
        <w:tc>
          <w:tcPr>
            <w:tcW w:w="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(17,699)</w:t>
            </w: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(18,522)</w:t>
            </w:r>
          </w:p>
        </w:tc>
        <w:tc>
          <w:tcPr>
            <w:tcW w:w="0" w:type="dxa"/>
            <w:vAlign w:val="bottom"/>
          </w:tcPr>
          <w:p>
            <w:pPr>
              <w:spacing w:after="0"/>
              <w:rPr>
                <w:sz w:val="1"/>
                <w:szCs w:val="1"/>
                <w:color w:val="auto"/>
              </w:rPr>
            </w:pPr>
          </w:p>
        </w:tc>
      </w:tr>
      <w:tr>
        <w:trPr>
          <w:trHeight w:val="203"/>
        </w:trPr>
        <w:tc>
          <w:tcPr>
            <w:tcW w:w="540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Deferred income taxes</w:t>
            </w: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1,039</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1,071</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15,439</w:t>
            </w:r>
          </w:p>
        </w:tc>
        <w:tc>
          <w:tcPr>
            <w:tcW w:w="1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08"/>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15,695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firstLine="518"/>
        <w:spacing w:after="0"/>
        <w:rPr>
          <w:sz w:val="20"/>
          <w:szCs w:val="20"/>
          <w:color w:val="auto"/>
        </w:rPr>
      </w:pPr>
      <w:r>
        <w:rPr>
          <w:rFonts w:ascii="Arial" w:cs="Arial" w:eastAsia="Arial" w:hAnsi="Arial"/>
          <w:sz w:val="18"/>
          <w:szCs w:val="18"/>
          <w:color w:val="auto"/>
        </w:rPr>
        <w:t>The identifiable intangible assets have useful lives of up to 11 years and a weighted average useful life of approximately ten years, and tangible assets have useful lives of up to 11 years and a weighted average useful life of approximately 11 years. Goodwill is not deductible for tax purposes.</w:t>
      </w:r>
    </w:p>
    <w:p>
      <w:pPr>
        <w:spacing w:after="0" w:line="149" w:lineRule="exact"/>
        <w:rPr>
          <w:sz w:val="20"/>
          <w:szCs w:val="20"/>
          <w:color w:val="auto"/>
        </w:rPr>
      </w:pPr>
    </w:p>
    <w:p>
      <w:pPr>
        <w:ind w:right="540" w:firstLine="518"/>
        <w:spacing w:after="0"/>
        <w:rPr>
          <w:sz w:val="20"/>
          <w:szCs w:val="20"/>
          <w:color w:val="auto"/>
        </w:rPr>
      </w:pPr>
      <w:r>
        <w:rPr>
          <w:rFonts w:ascii="Arial" w:cs="Arial" w:eastAsia="Arial" w:hAnsi="Arial"/>
          <w:sz w:val="18"/>
          <w:szCs w:val="18"/>
          <w:color w:val="auto"/>
        </w:rPr>
        <w:t>The Company’s share of income on its investment in Euro Infrastructure Co. was $1.4 million and $1.1 million for the three months ended June 30, 2019 and 2018, respectively, consisting of the Company’s share of equity in Euro Infrastructure Co.’s income, including amortization of the difference in the historical basis of the Company’s contribution.</w:t>
      </w:r>
    </w:p>
    <w:p>
      <w:pPr>
        <w:spacing w:after="0" w:line="149" w:lineRule="exact"/>
        <w:rPr>
          <w:sz w:val="20"/>
          <w:szCs w:val="20"/>
          <w:color w:val="auto"/>
        </w:rPr>
      </w:pPr>
    </w:p>
    <w:p>
      <w:pPr>
        <w:ind w:right="580" w:firstLine="518"/>
        <w:spacing w:after="0" w:line="246" w:lineRule="auto"/>
        <w:rPr>
          <w:sz w:val="20"/>
          <w:szCs w:val="20"/>
          <w:color w:val="auto"/>
        </w:rPr>
      </w:pPr>
      <w:r>
        <w:rPr>
          <w:rFonts w:ascii="Arial" w:cs="Arial" w:eastAsia="Arial" w:hAnsi="Arial"/>
          <w:sz w:val="18"/>
          <w:szCs w:val="18"/>
          <w:color w:val="auto"/>
        </w:rPr>
        <w:t>Since acquiring its interest in Euro Infrastructure Co., the Company has recorded $7.8 million in retained earnings of undistributed cumulative earnings in equity interests, net of tax, as of June 30,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99" w:lineRule="exact"/>
        <w:rPr>
          <w:sz w:val="20"/>
          <w:szCs w:val="20"/>
          <w:color w:val="auto"/>
        </w:rPr>
      </w:pPr>
    </w:p>
    <w:p>
      <w:pPr>
        <w:ind w:right="600" w:firstLine="518"/>
        <w:spacing w:after="0"/>
        <w:rPr>
          <w:sz w:val="20"/>
          <w:szCs w:val="20"/>
          <w:color w:val="auto"/>
        </w:rPr>
      </w:pPr>
      <w:r>
        <w:rPr>
          <w:rFonts w:ascii="Arial" w:cs="Arial" w:eastAsia="Arial" w:hAnsi="Arial"/>
          <w:sz w:val="18"/>
          <w:szCs w:val="18"/>
          <w:color w:val="auto"/>
        </w:rPr>
        <w:t>Transactions with the equity method investee are considered related-party transactions. The following tables set forth the material related-party transactions entered into between Euro Infrastructure Co. and its subsidiaries, on the one hand, and the Company and its subsidiaries, on the other hand, in the ordinary course of business for the time periods presented: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center"/>
              <w:ind w:right="153"/>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tcPr>
          <w:p>
            <w:pPr>
              <w:spacing w:after="0"/>
              <w:rPr>
                <w:sz w:val="15"/>
                <w:szCs w:val="15"/>
                <w:color w:val="auto"/>
              </w:rPr>
            </w:pPr>
          </w:p>
        </w:tc>
      </w:tr>
      <w:tr>
        <w:trPr>
          <w:trHeight w:val="169"/>
        </w:trPr>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right"/>
              <w:ind w:right="138"/>
              <w:spacing w:after="0"/>
              <w:rPr>
                <w:sz w:val="20"/>
                <w:szCs w:val="20"/>
                <w:color w:val="auto"/>
              </w:rPr>
            </w:pPr>
            <w:r>
              <w:rPr>
                <w:rFonts w:ascii="Arial" w:cs="Arial" w:eastAsia="Arial" w:hAnsi="Arial"/>
                <w:sz w:val="14"/>
                <w:szCs w:val="14"/>
                <w:b w:val="1"/>
                <w:bCs w:val="1"/>
                <w:color w:val="auto"/>
              </w:rPr>
              <w:t>June 30, 2019</w:t>
            </w:r>
          </w:p>
        </w:tc>
        <w:tc>
          <w:tcPr>
            <w:tcW w:w="130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June 30, 2018</w:t>
            </w:r>
          </w:p>
        </w:tc>
        <w:tc>
          <w:tcPr>
            <w:tcW w:w="1720" w:type="dxa"/>
            <w:vAlign w:val="bottom"/>
          </w:tcPr>
          <w:p>
            <w:pPr>
              <w:spacing w:after="0"/>
              <w:rPr>
                <w:sz w:val="14"/>
                <w:szCs w:val="14"/>
                <w:color w:val="auto"/>
              </w:rPr>
            </w:pPr>
          </w:p>
        </w:tc>
      </w:tr>
      <w:tr>
        <w:trPr>
          <w:trHeight w:val="169"/>
        </w:trPr>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tcPr>
          <w:p>
            <w:pPr>
              <w:jc w:val="center"/>
              <w:ind w:left="478"/>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4"/>
                <w:szCs w:val="14"/>
                <w:color w:val="auto"/>
              </w:rPr>
            </w:pPr>
          </w:p>
        </w:tc>
        <w:tc>
          <w:tcPr>
            <w:tcW w:w="1720" w:type="dxa"/>
            <w:vAlign w:val="bottom"/>
          </w:tcPr>
          <w:p>
            <w:pPr>
              <w:spacing w:after="0"/>
              <w:rPr>
                <w:sz w:val="14"/>
                <w:szCs w:val="14"/>
                <w:color w:val="auto"/>
              </w:rPr>
            </w:pPr>
          </w:p>
        </w:tc>
      </w:tr>
      <w:tr>
        <w:trPr>
          <w:trHeight w:val="216"/>
        </w:trPr>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Revenue – Euro Infrastructure Co.</w:t>
            </w:r>
          </w:p>
        </w:tc>
        <w:tc>
          <w:tcPr>
            <w:tcW w:w="1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3,753</w:t>
            </w:r>
          </w:p>
        </w:tc>
        <w:tc>
          <w:tcPr>
            <w:tcW w:w="500" w:type="dxa"/>
            <w:vAlign w:val="bottom"/>
            <w:shd w:val="clear" w:color="auto" w:fill="CFF0FC"/>
          </w:tcPr>
          <w:p>
            <w:pPr>
              <w:jc w:val="right"/>
              <w:ind w:right="242"/>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1,851</w:t>
            </w:r>
          </w:p>
        </w:tc>
        <w:tc>
          <w:tcPr>
            <w:tcW w:w="17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Expense – Euro Infrastructure Co.</w:t>
            </w: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3,197</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2,159</w:t>
            </w:r>
          </w:p>
        </w:tc>
        <w:tc>
          <w:tcPr>
            <w:tcW w:w="17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Cash received – Euro Infrastructure Co.</w:t>
            </w:r>
          </w:p>
        </w:tc>
        <w:tc>
          <w:tcPr>
            <w:tcW w:w="1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2,430</w:t>
            </w:r>
          </w:p>
        </w:tc>
        <w:tc>
          <w:tcPr>
            <w:tcW w:w="1720" w:type="dxa"/>
            <w:vAlign w:val="bottom"/>
          </w:tcPr>
          <w:p>
            <w:pPr>
              <w:spacing w:after="0"/>
              <w:rPr>
                <w:sz w:val="18"/>
                <w:szCs w:val="18"/>
                <w:color w:val="auto"/>
              </w:rPr>
            </w:pPr>
          </w:p>
        </w:tc>
      </w:tr>
      <w:tr>
        <w:trPr>
          <w:trHeight w:val="230"/>
        </w:trPr>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Cash paid – Euro Infrastructure Co.</w:t>
            </w:r>
          </w:p>
        </w:tc>
        <w:tc>
          <w:tcPr>
            <w:tcW w:w="1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2,995</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1,947</w:t>
            </w:r>
          </w:p>
        </w:tc>
        <w:tc>
          <w:tcPr>
            <w:tcW w:w="1720" w:type="dxa"/>
            <w:vAlign w:val="bottom"/>
          </w:tcPr>
          <w:p>
            <w:pPr>
              <w:spacing w:after="0"/>
              <w:rPr>
                <w:sz w:val="19"/>
                <w:szCs w:val="19"/>
                <w:color w:val="auto"/>
              </w:rPr>
            </w:pPr>
          </w:p>
        </w:tc>
      </w:tr>
      <w:tr>
        <w:trPr>
          <w:trHeight w:val="351"/>
        </w:trPr>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378"/>
              <w:spacing w:after="0"/>
              <w:rPr>
                <w:sz w:val="20"/>
                <w:szCs w:val="20"/>
                <w:color w:val="auto"/>
              </w:rPr>
            </w:pPr>
            <w:r>
              <w:rPr>
                <w:rFonts w:ascii="Arial" w:cs="Arial" w:eastAsia="Arial" w:hAnsi="Arial"/>
                <w:sz w:val="14"/>
                <w:szCs w:val="14"/>
                <w:b w:val="1"/>
                <w:bCs w:val="1"/>
                <w:color w:val="auto"/>
              </w:rPr>
              <w:t>As of</w:t>
            </w:r>
          </w:p>
        </w:tc>
        <w:tc>
          <w:tcPr>
            <w:tcW w:w="500" w:type="dxa"/>
            <w:vAlign w:val="bottom"/>
          </w:tcPr>
          <w:p>
            <w:pPr>
              <w:spacing w:after="0"/>
              <w:rPr>
                <w:sz w:val="24"/>
                <w:szCs w:val="24"/>
                <w:color w:val="auto"/>
              </w:rPr>
            </w:pPr>
          </w:p>
        </w:tc>
        <w:tc>
          <w:tcPr>
            <w:tcW w:w="800" w:type="dxa"/>
            <w:vAlign w:val="bottom"/>
          </w:tcPr>
          <w:p>
            <w:pPr>
              <w:jc w:val="right"/>
              <w:ind w:right="353"/>
              <w:spacing w:after="0"/>
              <w:rPr>
                <w:sz w:val="20"/>
                <w:szCs w:val="20"/>
                <w:color w:val="auto"/>
              </w:rPr>
            </w:pPr>
            <w:r>
              <w:rPr>
                <w:rFonts w:ascii="Arial" w:cs="Arial" w:eastAsia="Arial" w:hAnsi="Arial"/>
                <w:sz w:val="14"/>
                <w:szCs w:val="14"/>
                <w:b w:val="1"/>
                <w:bCs w:val="1"/>
                <w:color w:val="auto"/>
                <w:w w:val="97"/>
              </w:rPr>
              <w:t>As of</w:t>
            </w:r>
          </w:p>
        </w:tc>
        <w:tc>
          <w:tcPr>
            <w:tcW w:w="1720" w:type="dxa"/>
            <w:vAlign w:val="bottom"/>
          </w:tcPr>
          <w:p>
            <w:pPr>
              <w:spacing w:after="0"/>
              <w:rPr>
                <w:sz w:val="24"/>
                <w:szCs w:val="24"/>
                <w:color w:val="auto"/>
              </w:rPr>
            </w:pPr>
          </w:p>
        </w:tc>
      </w:tr>
      <w:tr>
        <w:trPr>
          <w:trHeight w:val="175"/>
        </w:trPr>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98"/>
              <w:spacing w:after="0"/>
              <w:rPr>
                <w:sz w:val="20"/>
                <w:szCs w:val="20"/>
                <w:color w:val="auto"/>
              </w:rPr>
            </w:pPr>
            <w:r>
              <w:rPr>
                <w:rFonts w:ascii="Arial" w:cs="Arial" w:eastAsia="Arial" w:hAnsi="Arial"/>
                <w:sz w:val="14"/>
                <w:szCs w:val="14"/>
                <w:b w:val="1"/>
                <w:bCs w:val="1"/>
                <w:color w:val="auto"/>
                <w:w w:val="98"/>
              </w:rPr>
              <w:t>June 30, 2019</w:t>
            </w:r>
          </w:p>
        </w:tc>
        <w:tc>
          <w:tcPr>
            <w:tcW w:w="130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March 31, 2019</w:t>
            </w:r>
          </w:p>
        </w:tc>
        <w:tc>
          <w:tcPr>
            <w:tcW w:w="1720" w:type="dxa"/>
            <w:vAlign w:val="bottom"/>
          </w:tcPr>
          <w:p>
            <w:pPr>
              <w:spacing w:after="0"/>
              <w:rPr>
                <w:sz w:val="15"/>
                <w:szCs w:val="15"/>
                <w:color w:val="auto"/>
              </w:rPr>
            </w:pPr>
          </w:p>
        </w:tc>
      </w:tr>
      <w:tr>
        <w:trPr>
          <w:trHeight w:val="169"/>
        </w:trPr>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tcPr>
          <w:p>
            <w:pPr>
              <w:jc w:val="center"/>
              <w:ind w:left="538"/>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4"/>
                <w:szCs w:val="14"/>
                <w:color w:val="auto"/>
              </w:rPr>
            </w:pPr>
          </w:p>
        </w:tc>
        <w:tc>
          <w:tcPr>
            <w:tcW w:w="1720" w:type="dxa"/>
            <w:vAlign w:val="bottom"/>
          </w:tcPr>
          <w:p>
            <w:pPr>
              <w:spacing w:after="0"/>
              <w:rPr>
                <w:sz w:val="14"/>
                <w:szCs w:val="14"/>
                <w:color w:val="auto"/>
              </w:rPr>
            </w:pPr>
          </w:p>
        </w:tc>
      </w:tr>
      <w:tr>
        <w:trPr>
          <w:trHeight w:val="216"/>
        </w:trPr>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 Euro Infrastructure Co.</w:t>
            </w:r>
          </w:p>
        </w:tc>
        <w:tc>
          <w:tcPr>
            <w:tcW w:w="1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w:t>
            </w:r>
          </w:p>
        </w:tc>
        <w:tc>
          <w:tcPr>
            <w:tcW w:w="50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5"/>
        </w:trPr>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Collections in excess of revenues and deferred</w:t>
            </w: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7"/>
        </w:trPr>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revenues – Euro Infrastructure Co.</w:t>
            </w: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1,438</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4,703</w:t>
            </w:r>
          </w:p>
        </w:tc>
        <w:tc>
          <w:tcPr>
            <w:tcW w:w="1720" w:type="dxa"/>
            <w:vAlign w:val="bottom"/>
          </w:tcPr>
          <w:p>
            <w:pPr>
              <w:spacing w:after="0"/>
              <w:rPr>
                <w:sz w:val="18"/>
                <w:szCs w:val="18"/>
                <w:color w:val="auto"/>
              </w:rPr>
            </w:pPr>
          </w:p>
        </w:tc>
      </w:tr>
      <w:tr>
        <w:trPr>
          <w:trHeight w:val="81"/>
        </w:trPr>
        <w:tc>
          <w:tcPr>
            <w:tcW w:w="3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4000" w:type="dxa"/>
            <w:vAlign w:val="bottom"/>
            <w:gridSpan w:val="2"/>
          </w:tcPr>
          <w:p>
            <w:pPr>
              <w:spacing w:after="0"/>
              <w:rPr>
                <w:sz w:val="7"/>
                <w:szCs w:val="7"/>
                <w:color w:val="auto"/>
              </w:rPr>
            </w:pPr>
          </w:p>
        </w:tc>
        <w:tc>
          <w:tcPr>
            <w:tcW w:w="1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720" w:type="dxa"/>
            <w:vAlign w:val="bottom"/>
          </w:tcPr>
          <w:p>
            <w:pPr>
              <w:spacing w:after="0"/>
              <w:rPr>
                <w:sz w:val="7"/>
                <w:szCs w:val="7"/>
                <w:color w:val="auto"/>
              </w:rPr>
            </w:pPr>
          </w:p>
        </w:tc>
      </w:tr>
      <w:tr>
        <w:trPr>
          <w:trHeight w:val="250"/>
        </w:trPr>
        <w:tc>
          <w:tcPr>
            <w:tcW w:w="300" w:type="dxa"/>
            <w:vAlign w:val="bottom"/>
          </w:tcPr>
          <w:p>
            <w:pPr>
              <w:jc w:val="right"/>
              <w:ind w:right="130"/>
              <w:spacing w:after="0"/>
              <w:rPr>
                <w:sz w:val="20"/>
                <w:szCs w:val="20"/>
                <w:color w:val="auto"/>
              </w:rPr>
            </w:pPr>
            <w:r>
              <w:rPr>
                <w:rFonts w:ascii="Arial" w:cs="Arial" w:eastAsia="Arial" w:hAnsi="Arial"/>
                <w:sz w:val="18"/>
                <w:szCs w:val="18"/>
                <w:color w:val="auto"/>
                <w:w w:val="84"/>
              </w:rPr>
              <w:t>*</w:t>
            </w:r>
          </w:p>
        </w:tc>
        <w:tc>
          <w:tcPr>
            <w:tcW w:w="5240" w:type="dxa"/>
            <w:vAlign w:val="bottom"/>
            <w:gridSpan w:val="3"/>
          </w:tcPr>
          <w:p>
            <w:pPr>
              <w:ind w:left="220"/>
              <w:spacing w:after="0"/>
              <w:rPr>
                <w:sz w:val="20"/>
                <w:szCs w:val="20"/>
                <w:color w:val="auto"/>
              </w:rPr>
            </w:pPr>
            <w:r>
              <w:rPr>
                <w:rFonts w:ascii="Arial" w:cs="Arial" w:eastAsia="Arial" w:hAnsi="Arial"/>
                <w:sz w:val="18"/>
                <w:szCs w:val="18"/>
                <w:color w:val="auto"/>
              </w:rPr>
              <w:t>Amount was insignificant.</w:t>
            </w:r>
          </w:p>
        </w:tc>
        <w:tc>
          <w:tcPr>
            <w:tcW w:w="1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19"/>
        </w:trPr>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00" w:type="dxa"/>
            <w:vAlign w:val="bottom"/>
          </w:tcPr>
          <w:p>
            <w:pPr>
              <w:jc w:val="right"/>
              <w:ind w:right="123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02"/>
        </w:trPr>
        <w:tc>
          <w:tcPr>
            <w:tcW w:w="3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w:t>
      </w:r>
    </w:p>
    <w:p>
      <w:pPr>
        <w:spacing w:after="0" w:line="99"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and related services to residential customers, customers accessing our services via our Community and Urban Wi-Fi hotspot distribution channels, enterprises, commercial airlines and mobile broadband customers. The Company’s commercial networks segment develops and offers advanced satellite and wireless broadband platforms, ground networking equipment, radio frequency and advanced microwave solutions, Application-Specific Integrated Circuit chip design, satellite payload development and space-to-earth connectivity systems, some of which are ultimately used by the Company’s satellite services segment. The Company’s government systems segment provides global mobile broadband services to military and government users and develops and offers network-centric, internet protocol-based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Segment revenues and operating profits (losses) for the three months ended June 30, 2019 and 2018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jc w:val="right"/>
              <w:ind w:right="451"/>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8"/>
              </w:rPr>
              <w:t>June 30, 2019</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2018</w:t>
            </w: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Satellite services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5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196,815</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153,561</w:t>
            </w:r>
          </w:p>
        </w:tc>
        <w:tc>
          <w:tcPr>
            <w:tcW w:w="80" w:type="dxa"/>
            <w:vAlign w:val="bottom"/>
            <w:tcBorders>
              <w:bottom w:val="single" w:sz="8" w:color="CFF0FC"/>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8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196,815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153,561</w:t>
            </w: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Commercial networks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64,901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85,133</w:t>
            </w: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5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14,111</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9,933</w:t>
            </w:r>
          </w:p>
        </w:tc>
        <w:tc>
          <w:tcPr>
            <w:tcW w:w="80" w:type="dxa"/>
            <w:vAlign w:val="bottom"/>
            <w:tcBorders>
              <w:bottom w:val="single" w:sz="8" w:color="CFF0FC"/>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8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79,012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95,066</w:t>
            </w: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Government systems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198,714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132,996</w:t>
            </w: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5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62,496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57,246</w:t>
            </w:r>
          </w:p>
        </w:tc>
        <w:tc>
          <w:tcPr>
            <w:tcW w:w="80" w:type="dxa"/>
            <w:vAlign w:val="bottom"/>
            <w:tcBorders>
              <w:bottom w:val="single" w:sz="8" w:color="CFF0FC"/>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8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261,210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190,242</w:t>
            </w: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Elimination of intersegment revenues</w:t>
            </w:r>
          </w:p>
        </w:tc>
        <w:tc>
          <w:tcPr>
            <w:tcW w:w="15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537,037</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438,869</w:t>
            </w: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2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profits (losses):</w:t>
            </w: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Satellite services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(2,070)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(29,936)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networks</w:t>
            </w: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(49,861)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(47,008)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Government systems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45,903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24,918</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Elimination of intersegment operating profits</w:t>
            </w: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gridSpan w:val="2"/>
          </w:tcPr>
          <w:p>
            <w:pPr>
              <w:ind w:left="1720"/>
              <w:spacing w:after="0"/>
              <w:rPr>
                <w:sz w:val="20"/>
                <w:szCs w:val="20"/>
                <w:color w:val="auto"/>
              </w:rPr>
            </w:pPr>
            <w:r>
              <w:rPr>
                <w:rFonts w:ascii="Arial" w:cs="Arial" w:eastAsia="Arial" w:hAnsi="Arial"/>
                <w:sz w:val="18"/>
                <w:szCs w:val="18"/>
                <w:color w:val="auto"/>
              </w:rPr>
              <w:t>Segment operating loss before corporate and</w:t>
            </w:r>
          </w:p>
        </w:tc>
        <w:tc>
          <w:tcPr>
            <w:tcW w:w="1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820" w:type="dxa"/>
            <w:vAlign w:val="bottom"/>
          </w:tcPr>
          <w:p>
            <w:pPr>
              <w:ind w:left="160"/>
              <w:spacing w:after="0" w:line="203" w:lineRule="exact"/>
              <w:rPr>
                <w:sz w:val="20"/>
                <w:szCs w:val="20"/>
                <w:color w:val="auto"/>
              </w:rPr>
            </w:pPr>
            <w:r>
              <w:rPr>
                <w:rFonts w:ascii="Arial" w:cs="Arial" w:eastAsia="Arial" w:hAnsi="Arial"/>
                <w:sz w:val="18"/>
                <w:szCs w:val="18"/>
                <w:color w:val="auto"/>
              </w:rPr>
              <w:t>amortization of acquired intangible assets</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(6,028)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(52,026)</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w:t>
            </w: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Amortization of acquired intangible assets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(2,037)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(2,453)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2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(8,065)</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(54,479)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2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bottom w:val="single" w:sz="8" w:color="CFF0FC"/>
            </w:tcBorders>
            <w:vMerge w:val="restart"/>
          </w:tcPr>
          <w:p>
            <w:pPr>
              <w:jc w:val="right"/>
              <w:ind w:right="1210"/>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72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June 30, 2019 and March 31, 2019 were as follows:</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As of</w:t>
            </w:r>
          </w:p>
        </w:tc>
      </w:tr>
      <w:tr>
        <w:trPr>
          <w:trHeight w:val="162"/>
        </w:trPr>
        <w:tc>
          <w:tcPr>
            <w:tcW w:w="3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37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r>
      <w:tr>
        <w:trPr>
          <w:trHeight w:val="169"/>
        </w:trPr>
        <w:tc>
          <w:tcPr>
            <w:tcW w:w="3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5"/>
          </w:tcPr>
          <w:p>
            <w:pPr>
              <w:ind w:left="56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Segment assets:</w:t>
            </w:r>
          </w:p>
        </w:tc>
        <w:tc>
          <w:tcPr>
            <w:tcW w:w="1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3700" w:type="dxa"/>
            <w:vAlign w:val="bottom"/>
          </w:tcPr>
          <w:p>
            <w:pPr>
              <w:ind w:left="240"/>
              <w:spacing w:after="0"/>
              <w:rPr>
                <w:sz w:val="20"/>
                <w:szCs w:val="20"/>
                <w:color w:val="auto"/>
              </w:rPr>
            </w:pPr>
            <w:r>
              <w:rPr>
                <w:rFonts w:ascii="Arial" w:cs="Arial" w:eastAsia="Arial" w:hAnsi="Arial"/>
                <w:sz w:val="18"/>
                <w:szCs w:val="18"/>
                <w:color w:val="auto"/>
              </w:rPr>
              <w:t>Satellite services</w:t>
            </w:r>
          </w:p>
        </w:tc>
        <w:tc>
          <w:tcPr>
            <w:tcW w:w="1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78,854</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85,907</w:t>
            </w:r>
          </w:p>
        </w:tc>
        <w:tc>
          <w:tcPr>
            <w:tcW w:w="60" w:type="dxa"/>
            <w:vAlign w:val="bottom"/>
          </w:tcPr>
          <w:p>
            <w:pPr>
              <w:spacing w:after="0"/>
              <w:rPr>
                <w:sz w:val="18"/>
                <w:szCs w:val="18"/>
                <w:color w:val="auto"/>
              </w:rPr>
            </w:pPr>
          </w:p>
        </w:tc>
      </w:tr>
      <w:tr>
        <w:trPr>
          <w:trHeight w:val="216"/>
        </w:trPr>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networks</w:t>
            </w:r>
          </w:p>
        </w:tc>
        <w:tc>
          <w:tcPr>
            <w:tcW w:w="1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189,615</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183,200</w:t>
            </w:r>
          </w:p>
        </w:tc>
        <w:tc>
          <w:tcPr>
            <w:tcW w:w="60" w:type="dxa"/>
            <w:vAlign w:val="bottom"/>
            <w:shd w:val="clear" w:color="auto" w:fill="CFF0FC"/>
          </w:tcPr>
          <w:p>
            <w:pPr>
              <w:spacing w:after="0"/>
              <w:rPr>
                <w:sz w:val="18"/>
                <w:szCs w:val="18"/>
                <w:color w:val="auto"/>
              </w:rPr>
            </w:pPr>
          </w:p>
        </w:tc>
      </w:tr>
      <w:tr>
        <w:trPr>
          <w:trHeight w:val="216"/>
        </w:trPr>
        <w:tc>
          <w:tcPr>
            <w:tcW w:w="3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Government systems</w:t>
            </w:r>
          </w:p>
        </w:tc>
        <w:tc>
          <w:tcPr>
            <w:tcW w:w="17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439,739</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408,422</w:t>
            </w:r>
          </w:p>
        </w:tc>
        <w:tc>
          <w:tcPr>
            <w:tcW w:w="60" w:type="dxa"/>
            <w:vAlign w:val="bottom"/>
            <w:tcBorders>
              <w:bottom w:val="single" w:sz="8" w:color="CFF0FC"/>
            </w:tcBorders>
          </w:tcPr>
          <w:p>
            <w:pPr>
              <w:spacing w:after="0"/>
              <w:rPr>
                <w:sz w:val="18"/>
                <w:szCs w:val="18"/>
                <w:color w:val="auto"/>
              </w:rPr>
            </w:pPr>
          </w:p>
        </w:tc>
      </w:tr>
      <w:tr>
        <w:trPr>
          <w:trHeight w:val="210"/>
        </w:trPr>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segment assets</w:t>
            </w:r>
          </w:p>
        </w:tc>
        <w:tc>
          <w:tcPr>
            <w:tcW w:w="1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708,208</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677,529</w:t>
            </w:r>
          </w:p>
        </w:tc>
        <w:tc>
          <w:tcPr>
            <w:tcW w:w="60" w:type="dxa"/>
            <w:vAlign w:val="bottom"/>
            <w:shd w:val="clear" w:color="auto" w:fill="CFF0FC"/>
          </w:tcPr>
          <w:p>
            <w:pPr>
              <w:spacing w:after="0"/>
              <w:rPr>
                <w:sz w:val="18"/>
                <w:szCs w:val="18"/>
                <w:color w:val="auto"/>
              </w:rPr>
            </w:pPr>
          </w:p>
        </w:tc>
      </w:tr>
      <w:tr>
        <w:trPr>
          <w:trHeight w:val="216"/>
        </w:trPr>
        <w:tc>
          <w:tcPr>
            <w:tcW w:w="3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Corporate assets</w:t>
            </w:r>
          </w:p>
        </w:tc>
        <w:tc>
          <w:tcPr>
            <w:tcW w:w="17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3,554,078</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3,237,758</w:t>
            </w:r>
          </w:p>
        </w:tc>
        <w:tc>
          <w:tcPr>
            <w:tcW w:w="60" w:type="dxa"/>
            <w:vAlign w:val="bottom"/>
            <w:tcBorders>
              <w:bottom w:val="single" w:sz="8" w:color="CFF0FC"/>
            </w:tcBorders>
          </w:tcPr>
          <w:p>
            <w:pPr>
              <w:spacing w:after="0"/>
              <w:rPr>
                <w:sz w:val="18"/>
                <w:szCs w:val="18"/>
                <w:color w:val="auto"/>
              </w:rPr>
            </w:pPr>
          </w:p>
        </w:tc>
      </w:tr>
      <w:tr>
        <w:trPr>
          <w:trHeight w:val="21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4,262,286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3,915,287</w:t>
            </w:r>
          </w:p>
        </w:tc>
        <w:tc>
          <w:tcPr>
            <w:tcW w:w="60" w:type="dxa"/>
            <w:vAlign w:val="bottom"/>
            <w:shd w:val="clear" w:color="auto" w:fill="CFF0FC"/>
          </w:tcPr>
          <w:p>
            <w:pPr>
              <w:spacing w:after="0"/>
              <w:rPr>
                <w:sz w:val="18"/>
                <w:szCs w:val="18"/>
                <w:color w:val="auto"/>
              </w:rPr>
            </w:pPr>
          </w:p>
        </w:tc>
      </w:tr>
      <w:tr>
        <w:trPr>
          <w:trHeight w:val="20"/>
        </w:trPr>
        <w:tc>
          <w:tcPr>
            <w:tcW w:w="370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acquired intangible assets, net and goodwill included in segment assets as of June 30, 2019 and March 31, 2019 were as follows:</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4"/>
          </w:tcPr>
          <w:p>
            <w:pPr>
              <w:jc w:val="center"/>
              <w:ind w:right="116"/>
              <w:spacing w:after="0"/>
              <w:rPr>
                <w:sz w:val="20"/>
                <w:szCs w:val="20"/>
                <w:color w:val="auto"/>
              </w:rPr>
            </w:pPr>
            <w:r>
              <w:rPr>
                <w:rFonts w:ascii="Arial" w:cs="Arial" w:eastAsia="Arial" w:hAnsi="Arial"/>
                <w:sz w:val="14"/>
                <w:szCs w:val="14"/>
                <w:b w:val="1"/>
                <w:bCs w:val="1"/>
                <w:color w:val="auto"/>
              </w:rPr>
              <w:t>Other Acquired Intangible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3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rPr>
              <w:t>Assets, Net</w:t>
            </w: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Goodwill</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35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78"/>
              <w:spacing w:after="0" w:line="156"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276"/>
              <w:spacing w:after="0" w:line="156" w:lineRule="exact"/>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center"/>
              <w:ind w:right="460"/>
              <w:spacing w:after="0" w:line="156" w:lineRule="exact"/>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3"/>
                <w:szCs w:val="13"/>
                <w:color w:val="auto"/>
              </w:rPr>
            </w:pPr>
          </w:p>
        </w:tc>
        <w:tc>
          <w:tcPr>
            <w:tcW w:w="920" w:type="dxa"/>
            <w:vAlign w:val="bottom"/>
            <w:gridSpan w:val="2"/>
          </w:tcPr>
          <w:p>
            <w:pPr>
              <w:ind w:left="80"/>
              <w:spacing w:after="0" w:line="156" w:lineRule="exact"/>
              <w:rPr>
                <w:sz w:val="20"/>
                <w:szCs w:val="20"/>
                <w:color w:val="auto"/>
              </w:rPr>
            </w:pPr>
            <w:r>
              <w:rPr>
                <w:rFonts w:ascii="Arial" w:cs="Arial" w:eastAsia="Arial" w:hAnsi="Arial"/>
                <w:sz w:val="14"/>
                <w:szCs w:val="14"/>
                <w:b w:val="1"/>
                <w:bCs w:val="1"/>
                <w:color w:val="auto"/>
              </w:rPr>
              <w:t>As of</w:t>
            </w:r>
          </w:p>
        </w:tc>
      </w:tr>
      <w:tr>
        <w:trPr>
          <w:trHeight w:val="175"/>
        </w:trPr>
        <w:tc>
          <w:tcPr>
            <w:tcW w:w="3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Pr>
          <w:p>
            <w:pPr>
              <w:spacing w:after="0"/>
              <w:rPr>
                <w:sz w:val="15"/>
                <w:szCs w:val="15"/>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June 30, 2019</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March 31, 2019</w:t>
            </w:r>
          </w:p>
        </w:tc>
      </w:tr>
      <w:tr>
        <w:trPr>
          <w:trHeight w:val="169"/>
        </w:trPr>
        <w:tc>
          <w:tcPr>
            <w:tcW w:w="3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196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9,721</w:t>
            </w:r>
          </w:p>
        </w:tc>
        <w:tc>
          <w:tcPr>
            <w:tcW w:w="5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10,453</w:t>
            </w:r>
          </w:p>
        </w:tc>
        <w:tc>
          <w:tcPr>
            <w:tcW w:w="4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13,617</w:t>
            </w:r>
          </w:p>
        </w:tc>
        <w:tc>
          <w:tcPr>
            <w:tcW w:w="120" w:type="dxa"/>
            <w:vAlign w:val="bottom"/>
            <w:shd w:val="clear" w:color="auto" w:fill="CFF0FC"/>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Commercial networks</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43,973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43,933</w:t>
            </w:r>
          </w:p>
        </w:tc>
        <w:tc>
          <w:tcPr>
            <w:tcW w:w="120" w:type="dxa"/>
            <w:vAlign w:val="bottom"/>
          </w:tcPr>
          <w:p>
            <w:pPr>
              <w:spacing w:after="0"/>
              <w:rPr>
                <w:sz w:val="18"/>
                <w:szCs w:val="18"/>
                <w:color w:val="auto"/>
              </w:rPr>
            </w:pPr>
          </w:p>
        </w:tc>
      </w:tr>
      <w:tr>
        <w:trPr>
          <w:trHeight w:val="21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17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9,220</w:t>
            </w:r>
          </w:p>
        </w:tc>
        <w:tc>
          <w:tcPr>
            <w:tcW w:w="2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10,050</w:t>
            </w:r>
          </w:p>
        </w:tc>
        <w:tc>
          <w:tcPr>
            <w:tcW w:w="2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63,975</w:t>
            </w:r>
          </w:p>
        </w:tc>
        <w:tc>
          <w:tcPr>
            <w:tcW w:w="2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64,169</w:t>
            </w:r>
          </w:p>
        </w:tc>
        <w:tc>
          <w:tcPr>
            <w:tcW w:w="120" w:type="dxa"/>
            <w:vAlign w:val="bottom"/>
            <w:shd w:val="clear" w:color="auto" w:fill="CFF0FC"/>
          </w:tcPr>
          <w:p>
            <w:pPr>
              <w:spacing w:after="0"/>
              <w:rPr>
                <w:sz w:val="18"/>
                <w:szCs w:val="18"/>
                <w:color w:val="auto"/>
              </w:rPr>
            </w:pPr>
          </w:p>
        </w:tc>
      </w:tr>
      <w:tr>
        <w:trPr>
          <w:trHeight w:val="210"/>
        </w:trPr>
        <w:tc>
          <w:tcPr>
            <w:tcW w:w="3500" w:type="dxa"/>
            <w:vAlign w:val="bottom"/>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20,354</w:t>
            </w: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22,301</w:t>
            </w:r>
          </w:p>
        </w:tc>
        <w:tc>
          <w:tcPr>
            <w:tcW w:w="4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121,615</w:t>
            </w:r>
          </w:p>
        </w:tc>
        <w:tc>
          <w:tcPr>
            <w:tcW w:w="2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121,719</w:t>
            </w:r>
          </w:p>
        </w:tc>
        <w:tc>
          <w:tcPr>
            <w:tcW w:w="120" w:type="dxa"/>
            <w:vAlign w:val="bottom"/>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of acquired intangible assets by segment for the three months ended June 30, 2019 and 2018 was as follows:</w:t>
      </w:r>
    </w:p>
    <w:p>
      <w:pPr>
        <w:spacing w:after="0" w:line="280" w:lineRule="exact"/>
        <w:rPr>
          <w:sz w:val="20"/>
          <w:szCs w:val="20"/>
          <w:color w:val="auto"/>
        </w:rPr>
      </w:pPr>
    </w:p>
    <w:tbl>
      <w:tblPr>
        <w:tblLayout w:type="fixed"/>
        <w:tblInd w:w="172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center"/>
              <w:ind w:right="34"/>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5"/>
                <w:szCs w:val="15"/>
                <w:color w:val="auto"/>
              </w:rPr>
            </w:pPr>
          </w:p>
        </w:tc>
      </w:tr>
      <w:tr>
        <w:trPr>
          <w:trHeight w:val="169"/>
        </w:trPr>
        <w:tc>
          <w:tcPr>
            <w:tcW w:w="4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June 30, 2018</w:t>
            </w:r>
          </w:p>
        </w:tc>
        <w:tc>
          <w:tcPr>
            <w:tcW w:w="60" w:type="dxa"/>
            <w:vAlign w:val="bottom"/>
          </w:tcPr>
          <w:p>
            <w:pPr>
              <w:spacing w:after="0"/>
              <w:rPr>
                <w:sz w:val="14"/>
                <w:szCs w:val="14"/>
                <w:color w:val="auto"/>
              </w:rPr>
            </w:pPr>
          </w:p>
        </w:tc>
      </w:tr>
      <w:tr>
        <w:trPr>
          <w:trHeight w:val="169"/>
        </w:trPr>
        <w:tc>
          <w:tcPr>
            <w:tcW w:w="4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w:t>
            </w:r>
          </w:p>
        </w:tc>
        <w:tc>
          <w:tcPr>
            <w:tcW w:w="6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Commercial networks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385</w:t>
            </w:r>
          </w:p>
        </w:tc>
        <w:tc>
          <w:tcPr>
            <w:tcW w:w="6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8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60" w:type="dxa"/>
            <w:vAlign w:val="bottom"/>
            <w:shd w:val="clear" w:color="auto" w:fill="CFF0FC"/>
          </w:tcPr>
          <w:p>
            <w:pPr>
              <w:spacing w:after="0"/>
              <w:rPr>
                <w:sz w:val="18"/>
                <w:szCs w:val="18"/>
                <w:color w:val="auto"/>
              </w:rPr>
            </w:pP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Total amortization of acquired intangible assets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2,037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2,453</w:t>
            </w:r>
          </w:p>
        </w:tc>
        <w:tc>
          <w:tcPr>
            <w:tcW w:w="6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31" w:name="page32"/>
    <w:bookmarkEnd w:id="31"/>
    <w:p>
      <w:pPr>
        <w:ind w:right="3140"/>
        <w:spacing w:after="0" w:line="333"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the performance and anticipated benefits of our ViaSat-2 and ViaSat-3 class satellites and any future satellite we may construct or acquire; the impacts on overall coverage area, planned services and financial results of the identified antenna deployment issue on the ViaSat-2 satellite; the expected completion, capacity, service, coverage, service speeds and other features of our satellites, and the timing, cost, economics and other benefits associated therewith; anticipated subscriber growth; plans, objectives and strategies for future operations; the number of IFC systems expected to be installed under existing contracts with commercial airlines;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the ViaSat-2 and ViaSat-3 class satellites and any future satellite we may construct or acquire; unexpected expenses related to our satellite projects; our ability to successfully implement our business plan for our broadband services on our anticipated timeline or at all; risks associated with the construction, launch and operation of satellites, including the effect of any anomaly, operational failure or degradation in satellite performance; our ability to realize the anticipated benefits of our acquisitions or strategic partnering arrangements;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recent changes to U.S.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March 31, 2019, under the heading “Risk Factors” in Part II,</w:t>
      </w:r>
    </w:p>
    <w:p>
      <w:pPr>
        <w:spacing w:after="0" w:line="25"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85"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We are an innovator in communications technologies and services. Our end-to-end platform of high-capacity Ka-band satellites, ground infrastructure and user terminals enables us to provide cost-effective, high-speed, high-quality broadband solutions to enterprises, consumers and government users around the globe, whether on the ground, on the move or in flight. In addition, we develop and provide advanced wireless communications systems, military tactical data link systems, secure networking systems and cybersecurity and information assurance products and services. Our product, system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Inc. was incorporated in California in 1986, and reincorporated as a Delaware corporation in 1996.</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Satellite Services</w:t>
      </w:r>
    </w:p>
    <w:p>
      <w:pPr>
        <w:spacing w:after="0" w:line="99"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Our satellite services segment uses our proprietary technology platform to provide satellite-based high-speed broadband services with multiple applications to consumers, enterprises and mobile broadband customers (including commercial airlines and maritime vessels) both in the United States and abroad. Our Viasat Internet and Viasat Business Internet fixed broadband services offer high-speed, high-quality broadband internet access. For commercial aircraft, we offer high-speed internet and other in-flight services, including our wireless in-flight entertainment (W-IFE) platform. Our Community and Urban Wi-Fi hotspot services provide satellite-powered Wi-Fi to rural, suburban and urban areas in a number of countries in the Americas.</w:t>
      </w:r>
    </w:p>
    <w:p>
      <w:pPr>
        <w:spacing w:after="0" w:line="151"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Our proprietary Ka-band satellites are at the core of our technology platform. We own three Ka-band satellites in service: ViaSat-2 (our second-generation high-capacity Ka-band spot beam satellite, which was placed into service in the fourth quarter of fiscal year 2018), ViaSat-1 (our first-generation high-capacity Ka-band spot-beam satellite, which was placed into service in January 2012), and WildBlue-1 (which was placed into service in March 2007). We also have two third-generation ViaSat-3 class satellites that have entered the phase of full construction. In July 2019, we entered into an agreement with The Boeing Company (Boeing) for the construction and purchase of a third ViaSat-3 class satellite and the integration of Viasat’s payload technologies into the satellite.</w:t>
      </w:r>
    </w:p>
    <w:p>
      <w:pPr>
        <w:spacing w:after="0" w:line="151"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In the fourth quarter of fiscal year 2018, shortly before the launch of commercial broadband services on our ViaSat-2 satellite, we reported an antenna deployment issue. We worked with the satellite manufacturer to determine the root cause of the antenna deployment issue, potential correcting measures, and resulting damage. In fiscal year 2019, we filed insurance claims for resulting damages and collected most of the claims. Pursuant to the terms of the Ex-Im Credit Facility (used to finance the ViaSat-2 satellite), insurance proceeds received from such claims were used to pay down outstanding borrowings under the Ex-Im Credit Facility (see Note 1 to our condensed consolidated financial statements for additional information).</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104" w:lineRule="exact"/>
        <w:rPr>
          <w:sz w:val="20"/>
          <w:szCs w:val="20"/>
          <w:color w:val="auto"/>
        </w:rPr>
      </w:pPr>
    </w:p>
    <w:p>
      <w:pPr>
        <w:ind w:left="1040" w:right="140" w:hanging="519"/>
        <w:spacing w:after="0" w:line="274"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Fixed broadband services, which provide consumers and businesses with high-speed broadband internet access and Voice over Internet Protocol (VoIP) services. As of June 30, 2019, we provided fixed broadband services to approximately 587,000 U.S. subscribers. In addition, our satellite-powered Community and Urban Wi-Fi hotspot services are now available within walking distance to more than 1.7 million people living and working in thousands of rural, suburban and urban Mexican communities.</w:t>
      </w:r>
    </w:p>
    <w:p>
      <w:pPr>
        <w:spacing w:after="0" w:line="66" w:lineRule="exact"/>
        <w:rPr>
          <w:rFonts w:ascii="Arial" w:cs="Arial" w:eastAsia="Arial" w:hAnsi="Arial"/>
          <w:sz w:val="17"/>
          <w:szCs w:val="17"/>
          <w:color w:val="auto"/>
        </w:rPr>
      </w:pPr>
    </w:p>
    <w:p>
      <w:pPr>
        <w:ind w:left="1040" w:right="180" w:hanging="519"/>
        <w:spacing w:after="0" w:line="246"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In-flight services including our flagship Viasat in-flight internet, W-IFE and aviation software services. As of June 30, 2019, 1,335 commercial aircraft were in service receiving our in-flight services through our in-flight connectivity (IFC) systems.</w:t>
      </w:r>
    </w:p>
    <w:p>
      <w:pPr>
        <w:spacing w:after="0" w:line="88" w:lineRule="exact"/>
        <w:rPr>
          <w:rFonts w:ascii="Arial" w:cs="Arial" w:eastAsia="Arial" w:hAnsi="Arial"/>
          <w:sz w:val="18"/>
          <w:szCs w:val="18"/>
          <w:color w:val="auto"/>
        </w:rPr>
      </w:pPr>
    </w:p>
    <w:p>
      <w:pPr>
        <w:ind w:left="1040" w:right="800" w:hanging="519"/>
        <w:spacing w:after="0" w:line="246"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Mobile broadband services, which provide global network management and high-speed internet connectivity services for customers using airborne, maritime and ground-mobile satellite systems.</w:t>
      </w:r>
    </w:p>
    <w:p>
      <w:pPr>
        <w:spacing w:after="0" w:line="143" w:lineRule="exact"/>
        <w:rPr>
          <w:sz w:val="20"/>
          <w:szCs w:val="20"/>
          <w:color w:val="auto"/>
        </w:rPr>
      </w:pPr>
    </w:p>
    <w:p>
      <w:pPr>
        <w:ind w:right="200" w:firstLine="518"/>
        <w:spacing w:after="0" w:line="246" w:lineRule="auto"/>
        <w:rPr>
          <w:sz w:val="20"/>
          <w:szCs w:val="20"/>
          <w:color w:val="auto"/>
        </w:rPr>
      </w:pPr>
      <w:r>
        <w:rPr>
          <w:rFonts w:ascii="Arial" w:cs="Arial" w:eastAsia="Arial" w:hAnsi="Arial"/>
          <w:sz w:val="18"/>
          <w:szCs w:val="18"/>
          <w:color w:val="auto"/>
        </w:rPr>
        <w:t>We also offer a variety of other broadband services and capabilities, including live on-line event streaming and oil and natural gas data gathering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commercial networks segment develops and produces a variety of advanced satellite and wireless products, systems and solutions that enable the provision of high-speed fixed and mobile broadband services. Our products, systems and solutions include an array of satellite-based and wireless broadband platforms, networking equipment, space hardware, radio frequency and advanced microwave solutions, space-to-earth connectivity systems, customer premise equipment (CPE), satellite modems and antenna technologies, as well as satellite payload development and Application-Specific Integrated Circuit (ASIC) chip design. Our products, systems and solutions are generally developed through a combination of customer and discretionary internal research and development (R&amp;D) funding, are utilized to provide services through our satellite services segment and are also sold to commercial networks customers (with sales of complementary products, systems and solutions to government customers included in our government systems segment). The primary products, systems, solutions and services offered by our commercial networks segment are comprised of:</w:t>
      </w:r>
    </w:p>
    <w:p>
      <w:pPr>
        <w:spacing w:after="0" w:line="99"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and seagoing vessels.</w:t>
      </w:r>
    </w:p>
    <w:p>
      <w:pPr>
        <w:spacing w:after="0" w:line="117" w:lineRule="exact"/>
        <w:rPr>
          <w:rFonts w:ascii="Arial" w:cs="Arial" w:eastAsia="Arial" w:hAnsi="Arial"/>
          <w:sz w:val="18"/>
          <w:szCs w:val="18"/>
          <w:color w:val="auto"/>
        </w:rPr>
      </w:pPr>
    </w:p>
    <w:p>
      <w:pPr>
        <w:ind w:left="1040" w:right="660" w:hanging="519"/>
        <w:spacing w:after="0" w:line="246"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Fixed satellite networks, including next-generation satellite network infrastructure and ground terminals to access Ka-band broadband services on high-capacity satellites.</w:t>
      </w:r>
    </w:p>
    <w:p>
      <w:pPr>
        <w:spacing w:after="0" w:line="88" w:lineRule="exact"/>
        <w:rPr>
          <w:rFonts w:ascii="Arial" w:cs="Arial" w:eastAsia="Arial" w:hAnsi="Arial"/>
          <w:sz w:val="18"/>
          <w:szCs w:val="18"/>
          <w:color w:val="auto"/>
        </w:rPr>
      </w:pPr>
    </w:p>
    <w:p>
      <w:pPr>
        <w:ind w:left="1040" w:right="60" w:hanging="519"/>
        <w:spacing w:after="0" w:line="246"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Antenna systems specializing in earth imaging, remote sensing, mobile satellite communication, Ka-band earth stations and other multi-band antennas.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33" w:name="page34"/>
    <w:bookmarkEnd w:id="33"/>
    <w:p>
      <w:pPr>
        <w:ind w:left="1040" w:right="420" w:hanging="519"/>
        <w:spacing w:after="0" w:line="239"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Satellite networking development, including specialized design and technology services covering all aspects of satellite communication system architecture and technology, including satellite and ground systems, fabless semiconductor design for ASIC and Monolithic Microwave Integrated Circuit (MMIC) chips and network function virtualization, as well as modules and subsystems for various commercial, military and space uses and radio frequency and advanced microwave solutions.</w:t>
      </w:r>
    </w:p>
    <w:p>
      <w:pPr>
        <w:spacing w:after="0" w:line="93" w:lineRule="exact"/>
        <w:rPr>
          <w:rFonts w:ascii="Arial" w:cs="Arial" w:eastAsia="Arial" w:hAnsi="Arial"/>
          <w:sz w:val="18"/>
          <w:szCs w:val="18"/>
          <w:color w:val="auto"/>
        </w:rPr>
      </w:pPr>
    </w:p>
    <w:p>
      <w:pPr>
        <w:ind w:left="1040" w:right="220" w:hanging="519"/>
        <w:spacing w:after="0" w:line="246"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Space systems, including the design and development of high-capacity Ka-band satellites for our own satellite fleet and for third parties, including development and production of the associated satellite payload technologies.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99"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Our government systems segment provides global mobile broadband services to military and government users, and develops and produces network-centric internet protocol (IP)-based fixed and mobile secure communications products and solutions. Our government systems products and solutions are designed to enable the collection and dissemination of secure real-time digital information and intelligence between individuals on the tactical edge, in command centers, leveraging strategic communications nodes, and those individuals on the ground, in the air or on a maritime platform. Customers of our government systems segment include the U.S. Department of Defense, those serving the Five Eye (FVEY) intelligence alliance (Australia, Canada, New Zealand, the United Kingdom and the United States), allied foreign governments, allied armed forces, public safety first-responders and remote government employees.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104" w:lineRule="exact"/>
        <w:rPr>
          <w:sz w:val="20"/>
          <w:szCs w:val="20"/>
          <w:color w:val="auto"/>
        </w:rPr>
      </w:pPr>
    </w:p>
    <w:p>
      <w:pPr>
        <w:jc w:val="both"/>
        <w:ind w:left="1040" w:right="26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mobile broadband products and services, which provide military and government users with high-speed, real-time, broadband and multimedia connectivity in key regions of the world, as well as line-of-sight and beyond-line-of-sight Intelligence Surveillance and Reconnaissance (ISR) missions.</w:t>
      </w:r>
    </w:p>
    <w:p>
      <w:pPr>
        <w:spacing w:after="0" w:line="94" w:lineRule="exact"/>
        <w:rPr>
          <w:rFonts w:ascii="Arial" w:cs="Arial" w:eastAsia="Arial" w:hAnsi="Arial"/>
          <w:sz w:val="18"/>
          <w:szCs w:val="18"/>
          <w:color w:val="auto"/>
        </w:rPr>
      </w:pPr>
    </w:p>
    <w:p>
      <w:pPr>
        <w:ind w:left="1040" w:right="360" w:hanging="519"/>
        <w:spacing w:after="0" w:line="238"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satellite communication systems, which comprise an array of portable, mobile and fixed broadband modems, terminals, network access control systems and antenna systems using a range of satellite frequency bands for Command and Control (C2) missions, satellite networking services and network management systems for Wi-Fi and other internet access networks, and include products designed for manpacks, aircraft, unmanned aerial vehicles (UAVs), seagoing vessels, ground-mobile vehicles and fixed applications.</w:t>
      </w:r>
    </w:p>
    <w:p>
      <w:pPr>
        <w:spacing w:after="0" w:line="94" w:lineRule="exact"/>
        <w:rPr>
          <w:rFonts w:ascii="Arial" w:cs="Arial" w:eastAsia="Arial" w:hAnsi="Arial"/>
          <w:sz w:val="18"/>
          <w:szCs w:val="18"/>
          <w:color w:val="auto"/>
        </w:rPr>
      </w:pPr>
    </w:p>
    <w:p>
      <w:pPr>
        <w:jc w:val="both"/>
        <w:ind w:left="1040" w:right="12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Cybersecurity and information assurance products, which provide advanced, high-speed IP-based “Type 1” and High Assurance Internet Protocol Encryption (HAIPE</w:t>
      </w:r>
      <w:r>
        <w:rPr>
          <w:rFonts w:ascii="Arial" w:cs="Arial" w:eastAsia="Arial" w:hAnsi="Arial"/>
          <w:sz w:val="15"/>
          <w:szCs w:val="15"/>
          <w:color w:val="auto"/>
        </w:rPr>
        <w:t>®</w:t>
      </w:r>
      <w:r>
        <w:rPr>
          <w:rFonts w:ascii="Arial" w:cs="Arial" w:eastAsia="Arial" w:hAnsi="Arial"/>
          <w:sz w:val="18"/>
          <w:szCs w:val="18"/>
          <w:color w:val="auto"/>
        </w:rPr>
        <w:t>)-compliant encryption solutions that enable military and government users to communicate information securely over networks, and that protect the integrity of data stored on computers and storage devices.</w:t>
      </w:r>
    </w:p>
    <w:p>
      <w:pPr>
        <w:spacing w:after="0" w:line="94" w:lineRule="exact"/>
        <w:rPr>
          <w:rFonts w:ascii="Arial" w:cs="Arial" w:eastAsia="Arial" w:hAnsi="Arial"/>
          <w:sz w:val="18"/>
          <w:szCs w:val="18"/>
          <w:color w:val="auto"/>
        </w:rPr>
      </w:pPr>
    </w:p>
    <w:p>
      <w:pPr>
        <w:ind w:left="1040" w:hanging="519"/>
        <w:spacing w:after="0" w:line="239"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Tactical data links, including our Battlefield Awareness and Targeting System — Dismounted (BATS-D) AN/PRC-161 handheld Link 16 radios, our Small Tactical Terminal (STT) KOR-24A 2-channel radios for manned and unmanned applications, “disposable” defense data links, our Multifunctional Information Distribution System (MIDS) terminals for military fighter jets and their successor, MIDS Joint Tactical Radio System (MIDS-JTRS).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85" w:lineRule="exact"/>
        <w:rPr>
          <w:sz w:val="20"/>
          <w:szCs w:val="20"/>
          <w:color w:val="auto"/>
        </w:rPr>
      </w:pPr>
    </w:p>
    <w:p>
      <w:pPr>
        <w:ind w:right="300" w:firstLine="518"/>
        <w:spacing w:after="0" w:line="246" w:lineRule="auto"/>
        <w:rPr>
          <w:sz w:val="20"/>
          <w:szCs w:val="20"/>
          <w:color w:val="auto"/>
        </w:rPr>
      </w:pPr>
      <w:r>
        <w:rPr>
          <w:rFonts w:ascii="Arial" w:cs="Arial" w:eastAsia="Arial" w:hAnsi="Arial"/>
          <w:sz w:val="18"/>
          <w:szCs w:val="18"/>
          <w:color w:val="auto"/>
        </w:rPr>
        <w:t>Our satellite services segment revenues are primarily derived from our fixed broadband services, in-flight services (including services using our IFC systems and W-IFE platform) and worldwide managed network services.</w:t>
      </w:r>
    </w:p>
    <w:p>
      <w:pPr>
        <w:spacing w:after="0" w:line="14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Revenues in our commercial networks and government systems segments are primarily derived from three types of contracts: fixed-price, cost-reimbursement and time-and-materials contracts. Fixed-price contracts (which require us to provide products and services under a contract at a specified price) comprised approximately 87% and 89% of our total revenues for these segments for the three months ended June 30, 2019 and 2018, respectively. The remainder of our revenues in these segments for such periods was derived primarily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4" w:name="page35"/>
    <w:bookmarkEnd w:id="34"/>
    <w:p>
      <w:pPr>
        <w:ind w:firstLine="518"/>
        <w:spacing w:after="0" w:line="239" w:lineRule="auto"/>
        <w:rPr>
          <w:sz w:val="20"/>
          <w:szCs w:val="20"/>
          <w:color w:val="auto"/>
        </w:rPr>
      </w:pPr>
      <w:r>
        <w:rPr>
          <w:rFonts w:ascii="Arial" w:cs="Arial" w:eastAsia="Arial" w:hAnsi="Arial"/>
          <w:sz w:val="18"/>
          <w:szCs w:val="18"/>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48"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Historically, a significant portion of our revenues in our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development from our customer contracts were approximately 23% and 18% of our total revenues for the three months ended June 30, 2019 and 2018, respectively.</w:t>
      </w:r>
    </w:p>
    <w:p>
      <w:pPr>
        <w:spacing w:after="0" w:line="149" w:lineRule="exact"/>
        <w:rPr>
          <w:sz w:val="20"/>
          <w:szCs w:val="20"/>
          <w:color w:val="auto"/>
        </w:rPr>
      </w:pPr>
    </w:p>
    <w:p>
      <w:pPr>
        <w:ind w:right="180" w:firstLine="518"/>
        <w:spacing w:after="0" w:line="239" w:lineRule="auto"/>
        <w:rPr>
          <w:sz w:val="20"/>
          <w:szCs w:val="20"/>
          <w:color w:val="auto"/>
        </w:rPr>
      </w:pPr>
      <w:r>
        <w:rPr>
          <w:rFonts w:ascii="Arial" w:cs="Arial" w:eastAsia="Arial" w:hAnsi="Arial"/>
          <w:sz w:val="18"/>
          <w:szCs w:val="18"/>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R&amp;D projects. IR&amp;D expenses were approximately 6% and 8% of total revenues during the three months ended June 30, 2019 and 2018, respectively. As a government contractor, we are able to recover a portion of our IR&amp;D expenses pursuant to our government contracts.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right="120" w:firstLine="518"/>
        <w:spacing w:after="0" w:line="234" w:lineRule="auto"/>
        <w:rPr>
          <w:sz w:val="20"/>
          <w:szCs w:val="20"/>
          <w:color w:val="auto"/>
        </w:rPr>
      </w:pPr>
      <w:r>
        <w:rPr>
          <w:rFonts w:ascii="Arial" w:cs="Arial" w:eastAsia="Arial" w:hAnsi="Arial"/>
          <w:sz w:val="18"/>
          <w:szCs w:val="18"/>
          <w:color w:val="auto"/>
        </w:rPr>
        <w:t>We apply the five-step revenue recognition model under Accounting Standards Update (ASU) 2014-09, Revenue from Contracts with Customers (commonly referred to as Accounting Standards Codification (ASC) 606) to our contracts with our customers. Under this model we</w:t>
      </w:r>
    </w:p>
    <w:p>
      <w:pPr>
        <w:spacing w:after="0" w:line="2" w:lineRule="exact"/>
        <w:rPr>
          <w:sz w:val="20"/>
          <w:szCs w:val="20"/>
          <w:color w:val="auto"/>
        </w:rPr>
      </w:pPr>
    </w:p>
    <w:p>
      <w:pPr>
        <w:ind w:right="300" w:firstLine="8"/>
        <w:spacing w:after="0" w:line="238" w:lineRule="auto"/>
        <w:tabs>
          <w:tab w:leader="none" w:pos="2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189"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 xml:space="preserve">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 as part of the delivery of connectivity services represents a lease in accordance with ASC 842. As discussed in Note 1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in our condensed consolidated financial statements, for broadband equipment leased to consumer broadband customers in conjunction with the delivery of connectivity services, we account for the lease and non-lease components of connectivity services arrangement as a single performance obligation as the connectivity services represent the predominant component.</w:t>
      </w:r>
    </w:p>
    <w:p>
      <w:pPr>
        <w:spacing w:after="0" w:line="194"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35" w:name="page36"/>
    <w:bookmarkEnd w:id="35"/>
    <w:p>
      <w:pPr>
        <w:ind w:firstLine="518"/>
        <w:spacing w:after="0" w:line="235" w:lineRule="auto"/>
        <w:rPr>
          <w:sz w:val="20"/>
          <w:szCs w:val="20"/>
          <w:color w:val="auto"/>
        </w:rPr>
      </w:pPr>
      <w:r>
        <w:rPr>
          <w:rFonts w:ascii="Arial" w:cs="Arial" w:eastAsia="Arial" w:hAnsi="Arial"/>
          <w:sz w:val="18"/>
          <w:szCs w:val="18"/>
          <w:color w:val="auto"/>
        </w:rPr>
        <w:t>The vast majority of our revenues from long-term contracts to develop and deliver complex equipment built to customer specifications are derived from contracts with the U.S. government (including foreign military sales contracted through the U.S. government). 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201"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June 30, 2019 would change our loss before income taxes by an insignificant amount.</w:t>
      </w:r>
    </w:p>
    <w:p>
      <w:pPr>
        <w:spacing w:after="0" w:line="192"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188" w:lineRule="exact"/>
        <w:rPr>
          <w:sz w:val="20"/>
          <w:szCs w:val="20"/>
          <w:color w:val="auto"/>
        </w:rPr>
      </w:pPr>
    </w:p>
    <w:p>
      <w:pPr>
        <w:ind w:right="160" w:firstLine="518"/>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9"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8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53"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We own three satellites in service: ViaSat-2 (our second-generation high-capacity Ka-band spot-beam satellite, which was placed into service in the fourth quarter of fiscal year 2018), ViaSat-1 (our first-generation high-capacity Ka-band spot-beam satellite, which was placed into service in January 2012) and WildBlue-1 (which was placed into service in March 2007). We also have two third-generation ViaSat-3 class satellites that have entered the phase of full construction. In July 2019, we entered into an agreement with Boeing for the construction and purchase of a third ViaSat-3 class satellite and the integration of Viasat’s payload technologies into the satellite. In addition, we have an exclusive prepaid lifetime capital lease of Ka-band capacity over the contiguous United States on Telesat Canada’s Anik F2 satellite (which was placed into service in April 2005) and own related earth stations and networking equipment for all of our satellites. Property and equipment also includes the CPE units leased to subscribers under a retail leasing program as part of our satellite services segment.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assess at contract inception whether the contract is, or contains, a lease. Generally, we determine that a lease exists when (i) the contract involves the use of a distinct identified asset, (ii) we obtain the right to substantially all economic benefits from use of the asset, and (iii) we have the right to direct the use of the asset. A lease is classified as a finance lease when one or more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asset is of such a specialized nature that it is expected to have no alternative use to the lessor at the end of the lease term. A lease is classified as an operating lease if it does not meet any of these criteria.</w:t>
      </w:r>
    </w:p>
    <w:p>
      <w:pPr>
        <w:spacing w:after="0" w:line="154"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Starting with April 1, 2019, 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7" w:name="page38"/>
    <w:bookmarkEnd w:id="37"/>
    <w:p>
      <w:pPr>
        <w:ind w:right="80" w:firstLine="518"/>
        <w:spacing w:after="0" w:line="237" w:lineRule="auto"/>
        <w:rPr>
          <w:sz w:val="20"/>
          <w:szCs w:val="20"/>
          <w:color w:val="auto"/>
        </w:rPr>
      </w:pPr>
      <w:r>
        <w:rPr>
          <w:rFonts w:ascii="Arial" w:cs="Arial" w:eastAsia="Arial" w:hAnsi="Arial"/>
          <w:sz w:val="18"/>
          <w:szCs w:val="18"/>
          <w:color w:val="auto"/>
        </w:rPr>
        <w:t>Lease payments included in the measurement of lease liabilities consist of (i) fixed lease payments for the noncancelable lease term, (ii) fixed lease payments for optional renewal periods where it is reasonably certain the renewal option will be exercised, and (iii) variable 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 Lease expense for operating leases consists of the fixed lease payments recognized on a straight-line basis over the lease term plus variable lease payments as incurred.</w:t>
      </w:r>
    </w:p>
    <w:p>
      <w:pPr>
        <w:spacing w:after="0" w:line="149"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For broadband equipment leased to consumer broadband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9"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months ended June 30, 2019 and 2018.</w:t>
      </w:r>
    </w:p>
    <w:p>
      <w:pPr>
        <w:spacing w:after="0" w:line="154"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We account for our goodwill under the authoritative guidance for goodwill and other intangible assets (ASC 350) and the provisions of ASU 2011-08, Testing Goodwill for Impairment, which simplifies how we test goodwill for impairment. Current authoritative guidance allows us to first assess qualitative factors to determine whether it is necessary to perform the two-step quantitative goodwill impairment test. If, after completing the qualitative assessment, we determine that it is more likely than not that the estimated fair value is greater than the carrying value, we conclude that no impairment exists. If it is more likely than not that the carrying value of the reporting unit exceeds its estimated fair value, we compare the fair value of the reporting unit to its carrying value.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53"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49"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Based on our qualitative assessment performed during the fourth quarter of fiscal year 2019, we concluded that it was more likely than not that the estimated fair value of our reporting units exceeded their carrying value as of March 31, 2019 and, therefore, determined it was not necessary to perform the two-step goodwill impairment test.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9"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$33.5 million at March 31, 2019 to $35.1 million at June 30, 2019. The valuation allowance relates to state and foreign net operating loss carryforwards, state R&amp;D tax credit carryforwards and foreign tax credit carryforwards.</w:t>
      </w:r>
    </w:p>
    <w:p>
      <w:pPr>
        <w:spacing w:after="0" w:line="154"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Our analysis of the need for a valuation allowance on deferred tax assets considered historical as well as forecasted future operating results. In addition, our evaluation considered other factors, including our contractual backlog, our history of positive 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w:t>
      </w:r>
    </w:p>
    <w:p>
      <w:pPr>
        <w:spacing w:after="0" w:line="149"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49"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6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56"/>
        </w:trPr>
        <w:tc>
          <w:tcPr>
            <w:tcW w:w="17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80" w:type="dxa"/>
            <w:vAlign w:val="bottom"/>
            <w:gridSpan w:val="2"/>
          </w:tcPr>
          <w:p>
            <w:pPr>
              <w:jc w:val="right"/>
              <w:ind w:right="560"/>
              <w:spacing w:after="0" w:line="156" w:lineRule="exact"/>
              <w:rPr>
                <w:sz w:val="20"/>
                <w:szCs w:val="20"/>
                <w:color w:val="auto"/>
              </w:rPr>
            </w:pPr>
            <w:r>
              <w:rPr>
                <w:rFonts w:ascii="Arial" w:cs="Arial" w:eastAsia="Arial" w:hAnsi="Arial"/>
                <w:sz w:val="14"/>
                <w:szCs w:val="14"/>
                <w:b w:val="1"/>
                <w:bCs w:val="1"/>
                <w:color w:val="auto"/>
              </w:rPr>
              <w:t>June 30,</w:t>
            </w:r>
          </w:p>
        </w:tc>
        <w:tc>
          <w:tcPr>
            <w:tcW w:w="1260" w:type="dxa"/>
            <w:vAlign w:val="bottom"/>
            <w:gridSpan w:val="2"/>
          </w:tcPr>
          <w:p>
            <w:pPr>
              <w:jc w:val="right"/>
              <w:ind w:right="420"/>
              <w:spacing w:after="0" w:line="156" w:lineRule="exact"/>
              <w:rPr>
                <w:sz w:val="20"/>
                <w:szCs w:val="20"/>
                <w:color w:val="auto"/>
              </w:rPr>
            </w:pPr>
            <w:r>
              <w:rPr>
                <w:rFonts w:ascii="Arial" w:cs="Arial" w:eastAsia="Arial" w:hAnsi="Arial"/>
                <w:sz w:val="14"/>
                <w:szCs w:val="14"/>
                <w:b w:val="1"/>
                <w:bCs w:val="1"/>
                <w:color w:val="auto"/>
              </w:rPr>
              <w:t>June 30,</w:t>
            </w:r>
          </w:p>
        </w:tc>
        <w:tc>
          <w:tcPr>
            <w:tcW w:w="1720" w:type="dxa"/>
            <w:vAlign w:val="bottom"/>
          </w:tcPr>
          <w:p>
            <w:pPr>
              <w:spacing w:after="0"/>
              <w:rPr>
                <w:sz w:val="13"/>
                <w:szCs w:val="13"/>
                <w:color w:val="auto"/>
              </w:rPr>
            </w:pPr>
          </w:p>
        </w:tc>
      </w:tr>
      <w:tr>
        <w:trPr>
          <w:trHeight w:val="175"/>
        </w:trPr>
        <w:tc>
          <w:tcPr>
            <w:tcW w:w="1720" w:type="dxa"/>
            <w:vAlign w:val="bottom"/>
          </w:tcPr>
          <w:p>
            <w:pPr>
              <w:spacing w:after="0"/>
              <w:rPr>
                <w:sz w:val="15"/>
                <w:szCs w:val="15"/>
                <w:color w:val="auto"/>
              </w:rPr>
            </w:pPr>
          </w:p>
        </w:tc>
        <w:tc>
          <w:tcPr>
            <w:tcW w:w="3740" w:type="dxa"/>
            <w:vAlign w:val="bottom"/>
            <w:tcBorders>
              <w:bottom w:val="single" w:sz="8" w:color="CFF0FC"/>
            </w:tcBorders>
          </w:tcPr>
          <w:p>
            <w:pPr>
              <w:spacing w:after="0"/>
              <w:rPr>
                <w:sz w:val="15"/>
                <w:szCs w:val="15"/>
                <w:color w:val="auto"/>
              </w:rPr>
            </w:pPr>
          </w:p>
        </w:tc>
        <w:tc>
          <w:tcPr>
            <w:tcW w:w="160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5"/>
                <w:szCs w:val="15"/>
                <w:color w:val="auto"/>
              </w:rPr>
            </w:pPr>
          </w:p>
        </w:tc>
        <w:tc>
          <w:tcPr>
            <w:tcW w:w="1720" w:type="dxa"/>
            <w:vAlign w:val="bottom"/>
          </w:tcPr>
          <w:p>
            <w:pPr>
              <w:spacing w:after="0"/>
              <w:rPr>
                <w:sz w:val="15"/>
                <w:szCs w:val="15"/>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9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Product revenues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Service revenues</w:t>
            </w:r>
          </w:p>
        </w:tc>
        <w:tc>
          <w:tcPr>
            <w:tcW w:w="2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5460" w:type="dxa"/>
            <w:vAlign w:val="bottom"/>
            <w:gridSpan w:val="2"/>
          </w:tcPr>
          <w:p>
            <w:pPr>
              <w:ind w:left="1720"/>
              <w:spacing w:after="0"/>
              <w:rPr>
                <w:sz w:val="20"/>
                <w:szCs w:val="20"/>
                <w:color w:val="auto"/>
              </w:rPr>
            </w:pPr>
            <w:r>
              <w:rPr>
                <w:rFonts w:ascii="Arial" w:cs="Arial" w:eastAsia="Arial" w:hAnsi="Arial"/>
                <w:sz w:val="18"/>
                <w:szCs w:val="18"/>
                <w:color w:val="auto"/>
              </w:rPr>
              <w:t>Operating expenses:</w:t>
            </w:r>
          </w:p>
        </w:tc>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product revenues</w:t>
            </w:r>
          </w:p>
        </w:tc>
        <w:tc>
          <w:tcPr>
            <w:tcW w:w="2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Cost of service revenues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2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Independent research and development</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acquired intangible assets</w:t>
            </w:r>
          </w:p>
        </w:tc>
        <w:tc>
          <w:tcPr>
            <w:tcW w:w="1600" w:type="dxa"/>
            <w:vAlign w:val="bottom"/>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5460" w:type="dxa"/>
            <w:vAlign w:val="bottom"/>
            <w:gridSpan w:val="2"/>
          </w:tcPr>
          <w:p>
            <w:pPr>
              <w:ind w:left="1720"/>
              <w:spacing w:after="0"/>
              <w:rPr>
                <w:sz w:val="20"/>
                <w:szCs w:val="20"/>
                <w:color w:val="auto"/>
              </w:rPr>
            </w:pPr>
            <w:r>
              <w:rPr>
                <w:rFonts w:ascii="Arial" w:cs="Arial" w:eastAsia="Arial" w:hAnsi="Arial"/>
                <w:sz w:val="18"/>
                <w:szCs w:val="18"/>
                <w:color w:val="auto"/>
              </w:rPr>
              <w:t>Loss from operations</w:t>
            </w:r>
          </w:p>
        </w:tc>
        <w:tc>
          <w:tcPr>
            <w:tcW w:w="2980" w:type="dxa"/>
            <w:vAlign w:val="bottom"/>
            <w:gridSpan w:val="3"/>
          </w:tcPr>
          <w:p>
            <w:pPr>
              <w:jc w:val="right"/>
              <w:ind w:right="240"/>
              <w:spacing w:after="0"/>
              <w:rPr>
                <w:sz w:val="20"/>
                <w:szCs w:val="20"/>
                <w:color w:val="auto"/>
              </w:rPr>
            </w:pPr>
            <w:r>
              <w:rPr>
                <w:rFonts w:ascii="Arial" w:cs="Arial" w:eastAsia="Arial" w:hAnsi="Arial"/>
                <w:sz w:val="18"/>
                <w:szCs w:val="18"/>
                <w:color w:val="auto"/>
              </w:rPr>
              <w:t>(2)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 (expense), net</w:t>
            </w:r>
          </w:p>
        </w:tc>
        <w:tc>
          <w:tcPr>
            <w:tcW w:w="16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1720" w:type="dxa"/>
            <w:vAlign w:val="bottom"/>
          </w:tcPr>
          <w:p>
            <w:pPr>
              <w:spacing w:after="0"/>
              <w:rPr>
                <w:sz w:val="18"/>
                <w:szCs w:val="18"/>
                <w:color w:val="auto"/>
              </w:rPr>
            </w:pPr>
          </w:p>
        </w:tc>
      </w:tr>
      <w:tr>
        <w:trPr>
          <w:trHeight w:val="20"/>
        </w:trPr>
        <w:tc>
          <w:tcPr>
            <w:tcW w:w="54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5460" w:type="dxa"/>
            <w:vAlign w:val="bottom"/>
            <w:gridSpan w:val="2"/>
          </w:tcPr>
          <w:p>
            <w:pPr>
              <w:ind w:left="1720"/>
              <w:spacing w:after="0"/>
              <w:rPr>
                <w:sz w:val="20"/>
                <w:szCs w:val="20"/>
                <w:color w:val="auto"/>
              </w:rPr>
            </w:pPr>
            <w:r>
              <w:rPr>
                <w:rFonts w:ascii="Arial" w:cs="Arial" w:eastAsia="Arial" w:hAnsi="Arial"/>
                <w:sz w:val="18"/>
                <w:szCs w:val="18"/>
                <w:color w:val="auto"/>
              </w:rPr>
              <w:t>Loss before income taxes</w:t>
            </w:r>
          </w:p>
        </w:tc>
        <w:tc>
          <w:tcPr>
            <w:tcW w:w="16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2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5460" w:type="dxa"/>
            <w:vAlign w:val="bottom"/>
            <w:gridSpan w:val="2"/>
          </w:tcPr>
          <w:p>
            <w:pPr>
              <w:ind w:left="1720"/>
              <w:spacing w:after="0"/>
              <w:rPr>
                <w:sz w:val="20"/>
                <w:szCs w:val="20"/>
                <w:color w:val="auto"/>
              </w:rPr>
            </w:pPr>
            <w:r>
              <w:rPr>
                <w:rFonts w:ascii="Arial" w:cs="Arial" w:eastAsia="Arial" w:hAnsi="Arial"/>
                <w:sz w:val="18"/>
                <w:szCs w:val="18"/>
                <w:color w:val="auto"/>
              </w:rPr>
              <w:t>Net loss</w:t>
            </w:r>
          </w:p>
        </w:tc>
        <w:tc>
          <w:tcPr>
            <w:tcW w:w="2980" w:type="dxa"/>
            <w:vAlign w:val="bottom"/>
            <w:gridSpan w:val="3"/>
          </w:tcPr>
          <w:p>
            <w:pPr>
              <w:jc w:val="right"/>
              <w:ind w:right="240"/>
              <w:spacing w:after="0"/>
              <w:rPr>
                <w:sz w:val="20"/>
                <w:szCs w:val="20"/>
                <w:color w:val="auto"/>
              </w:rPr>
            </w:pPr>
            <w:r>
              <w:rPr>
                <w:rFonts w:ascii="Arial" w:cs="Arial" w:eastAsia="Arial" w:hAnsi="Arial"/>
                <w:sz w:val="18"/>
                <w:szCs w:val="18"/>
                <w:color w:val="auto"/>
              </w:rPr>
              <w:t>(2)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Viasat, Inc.</w:t>
            </w:r>
          </w:p>
        </w:tc>
        <w:tc>
          <w:tcPr>
            <w:tcW w:w="29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w:t>
            </w:r>
          </w:p>
        </w:tc>
        <w:tc>
          <w:tcPr>
            <w:tcW w:w="1720" w:type="dxa"/>
            <w:vAlign w:val="bottom"/>
          </w:tcPr>
          <w:p>
            <w:pPr>
              <w:spacing w:after="0"/>
              <w:rPr>
                <w:sz w:val="18"/>
                <w:szCs w:val="18"/>
                <w:color w:val="auto"/>
              </w:rPr>
            </w:pPr>
          </w:p>
        </w:tc>
      </w:tr>
      <w:tr>
        <w:trPr>
          <w:trHeight w:val="635"/>
        </w:trPr>
        <w:tc>
          <w:tcPr>
            <w:tcW w:w="1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00" w:type="dxa"/>
            <w:vAlign w:val="bottom"/>
          </w:tcPr>
          <w:p>
            <w:pPr>
              <w:jc w:val="right"/>
              <w:ind w:right="1150"/>
              <w:spacing w:after="0"/>
              <w:rPr>
                <w:sz w:val="20"/>
                <w:szCs w:val="20"/>
                <w:color w:val="auto"/>
              </w:rPr>
            </w:pPr>
            <w:r>
              <w:rPr>
                <w:rFonts w:ascii="Arial" w:cs="Arial" w:eastAsia="Arial" w:hAnsi="Arial"/>
                <w:sz w:val="18"/>
                <w:szCs w:val="18"/>
                <w:color w:val="auto"/>
              </w:rPr>
              <w:t>39</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02"/>
        </w:trPr>
        <w:tc>
          <w:tcPr>
            <w:tcW w:w="1720" w:type="dxa"/>
            <w:vAlign w:val="bottom"/>
            <w:tcBorders>
              <w:bottom w:val="single" w:sz="8" w:color="9A9A9A"/>
            </w:tcBorders>
          </w:tcPr>
          <w:p>
            <w:pPr>
              <w:spacing w:after="0"/>
              <w:rPr>
                <w:sz w:val="8"/>
                <w:szCs w:val="8"/>
                <w:color w:val="auto"/>
              </w:rPr>
            </w:pPr>
          </w:p>
        </w:tc>
        <w:tc>
          <w:tcPr>
            <w:tcW w:w="374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9" w:name="page40"/>
    <w:bookmarkEnd w:id="39"/>
    <w:p>
      <w:pPr>
        <w:ind w:right="5060"/>
        <w:spacing w:after="0" w:line="365" w:lineRule="auto"/>
        <w:rPr>
          <w:sz w:val="20"/>
          <w:szCs w:val="20"/>
          <w:color w:val="auto"/>
        </w:rPr>
      </w:pPr>
      <w:r>
        <w:rPr>
          <w:rFonts w:ascii="Arial" w:cs="Arial" w:eastAsia="Arial" w:hAnsi="Arial"/>
          <w:sz w:val="18"/>
          <w:szCs w:val="18"/>
          <w:b w:val="1"/>
          <w:bCs w:val="1"/>
          <w:color w:val="auto"/>
        </w:rPr>
        <w:t xml:space="preserve">Three Months Ended June 30, 2019 vs. Three Months Ended June 30, 2018 </w:t>
      </w:r>
      <w:r>
        <w:rPr>
          <w:rFonts w:ascii="Arial" w:cs="Arial" w:eastAsia="Arial" w:hAnsi="Arial"/>
          <w:sz w:val="18"/>
          <w:szCs w:val="18"/>
          <w:i w:val="1"/>
          <w:iCs w:val="1"/>
          <w:color w:val="auto"/>
        </w:rPr>
        <w:t>Revenues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179"/>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157"/>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24%</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537.0</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438.9</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r>
    </w:tbl>
    <w:p>
      <w:pPr>
        <w:spacing w:after="0" w:line="202"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Our total revenues grew by $98.2 million as a result of a $52.7 million increase in service revenues and a $45.5 million increase in product revenues. The service revenue increase was due to increases of $43.3 million in our satellite services segment, $5.3 million in our government systems segment and $4.2 million in our commercial networks segment. The product revenue increase was driven primarily by an increase of $65.7 million in our government systems segment, partially offset by a decrease in product revenues of $20.2 million in our commercial networks segment.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179"/>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157"/>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9%</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384.5</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344.9</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r>
    </w:tbl>
    <w:p>
      <w:pPr>
        <w:spacing w:after="0" w:line="202"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Cost of revenues increased by $39.6 million due to increases of $23.5 million in cost of product revenues and $16.1 million in cost of service revenues. The cost of product revenue increase was primarily due to increased revenues, mainly from our government satellite communication systems products, tactical data link products, government mobile broadband products and tactical satcom radio products in our government systems segment, partially offset by decreased revenues in our commercial networks segment, mainly from our mobile broadband satellite communication systems products, causing a net $36.2 million increase in cost of product revenues on a constant margin basis. The increase in cost of product revenues was partially offset by improved margins, primarily due to our satellite networking development program products in our commercial networks segment and government satellite communication systems products in our government systems segment. The cost of service revenue increase primarily related to increased revenues, mainly from our fixed broadband services and in-flight internet services in our satellite services segment and increased revenues from government mobile broadband services in our government systems segment, causing a $40.9 million increase in cost of service revenues on a constant margin basis. The increase in cost of service revenues was partially offset by improved margins, primarily due to our fixed broadband services and in-flight internet services in our satellite services segment.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124"/>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102"/>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r>
    </w:tbl>
    <w:p>
      <w:pPr>
        <w:spacing w:after="0" w:line="202"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The $12.5 million increase in selling, general and administrative (SG&amp;A) expenses was primarily due to an increase in support costs of $10.6 million and an increase in selling costs of $1.2 million. The increase in support costs was reflected in all three segments. The increase in selling costs was primarily due to an increase in our satellite services segment. SG&amp;A expenses consisted primarily of personnel costs and expenses for business development, marketing and sales, bid and proposal, facilities, finance, contract administration and general 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124"/>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102"/>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16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Independent research and development</w:t>
            </w:r>
          </w:p>
        </w:tc>
        <w:tc>
          <w:tcPr>
            <w:tcW w:w="13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r>
      <w:tr>
        <w:trPr>
          <w:trHeight w:val="432"/>
        </w:trPr>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1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40" w:name="page41"/>
    <w:bookmarkEnd w:id="40"/>
    <w:p>
      <w:pPr>
        <w:ind w:right="40" w:firstLine="518"/>
        <w:spacing w:after="0" w:line="246" w:lineRule="auto"/>
        <w:rPr>
          <w:sz w:val="20"/>
          <w:szCs w:val="20"/>
          <w:color w:val="auto"/>
        </w:rPr>
      </w:pPr>
      <w:r>
        <w:rPr>
          <w:rFonts w:ascii="Arial" w:cs="Arial" w:eastAsia="Arial" w:hAnsi="Arial"/>
          <w:sz w:val="18"/>
          <w:szCs w:val="18"/>
          <w:color w:val="auto"/>
        </w:rPr>
        <w:t>IR&amp;D expenses were relatively flat year-over-year. We continue to invest in IR&amp;D in support of our next-generation consumer broadband integrated networking technologies in our commercial networks segment.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5"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slight decrease in amortization of acquired intangible assets in the first quarter of fiscal year 2020 compared to the prior year period was primarily the result of certain acquired intangibles in our satellite services segment becoming fully amortized during the prior fiscal year. Current and expected amortization expense for acquired intangible assets for each of the following periods is as follows:</w:t>
      </w:r>
    </w:p>
    <w:p>
      <w:pPr>
        <w:spacing w:after="0" w:line="271" w:lineRule="exact"/>
        <w:rPr>
          <w:sz w:val="20"/>
          <w:szCs w:val="20"/>
          <w:color w:val="auto"/>
        </w:rPr>
      </w:pPr>
    </w:p>
    <w:tbl>
      <w:tblPr>
        <w:tblLayout w:type="fixed"/>
        <w:tblInd w:w="2300" w:type="dxa"/>
        <w:tblCellMar>
          <w:top w:w="0" w:type="dxa"/>
          <w:left w:w="0" w:type="dxa"/>
          <w:bottom w:w="0" w:type="dxa"/>
          <w:right w:w="0" w:type="dxa"/>
        </w:tblCellMar>
      </w:tblPr>
      <w:tr>
        <w:trPr>
          <w:trHeight w:val="175"/>
        </w:trPr>
        <w:tc>
          <w:tcPr>
            <w:tcW w:w="4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5"/>
                <w:szCs w:val="15"/>
                <w:color w:val="auto"/>
              </w:rPr>
            </w:pPr>
          </w:p>
        </w:tc>
      </w:tr>
      <w:tr>
        <w:trPr>
          <w:trHeight w:val="169"/>
        </w:trPr>
        <w:tc>
          <w:tcPr>
            <w:tcW w:w="4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For the three months ended June 30, 2019</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w:t>
            </w:r>
          </w:p>
        </w:tc>
        <w:tc>
          <w:tcPr>
            <w:tcW w:w="6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2020</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5,556</w:t>
            </w:r>
          </w:p>
        </w:tc>
        <w:tc>
          <w:tcPr>
            <w:tcW w:w="6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Expected for fiscal year 2021</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5,118</w:t>
            </w:r>
          </w:p>
        </w:tc>
        <w:tc>
          <w:tcPr>
            <w:tcW w:w="6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2022</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3,295</w:t>
            </w:r>
          </w:p>
        </w:tc>
        <w:tc>
          <w:tcPr>
            <w:tcW w:w="6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Expected for fiscal year 2023</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2,990</w:t>
            </w:r>
          </w:p>
        </w:tc>
        <w:tc>
          <w:tcPr>
            <w:tcW w:w="6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2024</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w:t>
            </w:r>
          </w:p>
        </w:tc>
        <w:tc>
          <w:tcPr>
            <w:tcW w:w="60" w:type="dxa"/>
            <w:vAlign w:val="bottom"/>
            <w:shd w:val="clear" w:color="auto" w:fill="CFF0FC"/>
          </w:tcPr>
          <w:p>
            <w:pPr>
              <w:spacing w:after="0"/>
              <w:rPr>
                <w:sz w:val="18"/>
                <w:szCs w:val="18"/>
                <w:color w:val="auto"/>
              </w:rPr>
            </w:pPr>
          </w:p>
        </w:tc>
      </w:tr>
      <w:tr>
        <w:trPr>
          <w:trHeight w:val="216"/>
        </w:trPr>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9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60" w:type="dxa"/>
            <w:vAlign w:val="bottom"/>
            <w:tcBorders>
              <w:bottom w:val="single" w:sz="8" w:color="CFF0FC"/>
            </w:tcBorders>
          </w:tcPr>
          <w:p>
            <w:pPr>
              <w:spacing w:after="0"/>
              <w:rPr>
                <w:sz w:val="18"/>
                <w:szCs w:val="18"/>
                <w:color w:val="auto"/>
              </w:rPr>
            </w:pPr>
          </w:p>
        </w:tc>
      </w:tr>
      <w:tr>
        <w:trPr>
          <w:trHeight w:val="210"/>
        </w:trPr>
        <w:tc>
          <w:tcPr>
            <w:tcW w:w="46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20,354</w:t>
            </w:r>
          </w:p>
        </w:tc>
        <w:tc>
          <w:tcPr>
            <w:tcW w:w="60" w:type="dxa"/>
            <w:vAlign w:val="bottom"/>
            <w:shd w:val="clear" w:color="auto" w:fill="CFF0FC"/>
          </w:tcPr>
          <w:p>
            <w:pPr>
              <w:spacing w:after="0"/>
              <w:rPr>
                <w:sz w:val="18"/>
                <w:szCs w:val="18"/>
                <w:color w:val="auto"/>
              </w:rPr>
            </w:pPr>
          </w:p>
        </w:tc>
      </w:tr>
      <w:tr>
        <w:trPr>
          <w:trHeight w:val="20"/>
        </w:trPr>
        <w:tc>
          <w:tcPr>
            <w:tcW w:w="46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81" w:lineRule="exact"/>
        <w:rPr>
          <w:sz w:val="20"/>
          <w:szCs w:val="20"/>
          <w:color w:val="auto"/>
        </w:rPr>
      </w:pPr>
    </w:p>
    <w:p>
      <w:pPr>
        <w:ind w:right="420" w:firstLine="518"/>
        <w:spacing w:after="0" w:line="246" w:lineRule="auto"/>
        <w:rPr>
          <w:sz w:val="20"/>
          <w:szCs w:val="20"/>
          <w:color w:val="auto"/>
        </w:rPr>
      </w:pPr>
      <w:r>
        <w:rPr>
          <w:rFonts w:ascii="Arial" w:cs="Arial" w:eastAsia="Arial" w:hAnsi="Arial"/>
          <w:sz w:val="18"/>
          <w:szCs w:val="18"/>
          <w:color w:val="auto"/>
        </w:rPr>
        <w:t>The slight increase in interest income for the three months ended June 30, 2019 compared to the prior year period was the result of higher average invested cash balances during the first quarter of fiscal year 2020 compared to the prior year period.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81"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The slight decrease in interest expense in the three months ended June 30, 2019 compared to the prior year period was primarily due to an increase in the amount of interest capitalized during the first quarter of fiscal year 2020 compared to the prior year period, partially offset by an increase in interest expense attributable to our 5.625% Senior Secured Notes due 2027 (the 2027 Notes), which were issued in March 2019. Capitalized interest expense during the three months ended June 30, 2019 and June 30, 2018 related to the construction of our ViaSat-3 class satellites, gateway and networking equipment and other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months ended June 30, 2019, we recorded an income tax benefit of $7.2 million, resulting in an effective tax benefit rate of</w:t>
      </w:r>
    </w:p>
    <w:p>
      <w:pPr>
        <w:spacing w:after="0" w:line="234" w:lineRule="auto"/>
        <w:rPr>
          <w:sz w:val="20"/>
          <w:szCs w:val="20"/>
          <w:color w:val="auto"/>
        </w:rPr>
      </w:pPr>
      <w:r>
        <w:rPr>
          <w:rFonts w:ascii="Arial" w:cs="Arial" w:eastAsia="Arial" w:hAnsi="Arial"/>
          <w:sz w:val="18"/>
          <w:szCs w:val="18"/>
          <w:color w:val="auto"/>
        </w:rPr>
        <w:t>39%. For the three months ended June 30, 2018, we recorded an income tax benefit of $29.2 million, resulting in an effective tax benefit rate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44%. The effective tax rates for the periods differed from the U.S. statutory rate due primarily to the benefit of federal and state R&amp;D tax credits.</w:t>
      </w:r>
    </w:p>
    <w:p>
      <w:pPr>
        <w:spacing w:after="0" w:line="169"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Ordinarily, the effective tax rate at the end of an interim period is calculated using an estimate of the annual effective tax rate expected to be applicable for the full fiscal year. However, when a reliable estimate cannot be made, we compute our provision for income taxes using the actual effective tax rate (discrete method) for the year-to-date period. Our effective tax rate is highly influenced by the amount of our R&amp;D tax credits. A small change in estimated annual pretax income (loss) can produce a significant variance in the annual effective tax rate given our expected amount of R&amp;D tax credits. This variability provides an unreliable estimate of the annual effective tax rate. As a result, and in accordance with the authoritative guidance for accounting for income taxes in interim periods, we have computed our provision for income taxes for the three months ended June 30, 2019 by applying the actual effective tax rate to the year-to-date income for the three-month period.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Segment Results for the Three Months Ended June 30, 2019 vs. Three Months Ended June 30, 2018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179"/>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157"/>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28%</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r>
    </w:tbl>
    <w:p>
      <w:pPr>
        <w:spacing w:after="0" w:line="202"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Our satellite services segment revenues increased by $43.3 million due to an increase in service revenues. The increase in service revenues was primarily driven by the expansion of our fixed broadband services and in-flight internet services. The fixed broadband service revenue increase was driven by higher average revenue per fixed broadband subscriber in the United States when compared to the same period last fiscal year, reflecting a higher mix of new and existing subscribers choosing Viasat’s premium highest speed plans. Total subscribers at June 30, 2019 were approximately 587,000 compared to 577,000 subscribers at June 30, 2018. The in-flight service revenue increase was driven primarily by the increase in the number of commercial aircraft receiving our in-flight services through our IFC systems,</w:t>
      </w:r>
    </w:p>
    <w:p>
      <w:pPr>
        <w:spacing w:after="0" w:line="5"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with 1,335 commercial aircraft in service utilizing our IFC systems as of June 30, 2019, compared to 757 commercial aircraft in service as of June 30,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480"/>
              <w:spacing w:after="0" w:line="156" w:lineRule="exact"/>
              <w:rPr>
                <w:sz w:val="20"/>
                <w:szCs w:val="20"/>
                <w:color w:val="auto"/>
              </w:rPr>
            </w:pPr>
            <w:r>
              <w:rPr>
                <w:rFonts w:ascii="Arial" w:cs="Arial" w:eastAsia="Arial" w:hAnsi="Arial"/>
                <w:sz w:val="14"/>
                <w:szCs w:val="14"/>
                <w:b w:val="1"/>
                <w:bCs w:val="1"/>
                <w:color w:val="auto"/>
                <w:w w:val="99"/>
              </w:rPr>
              <w:t>June 30,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480"/>
              <w:spacing w:after="0" w:line="156"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loss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(29.9)</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8" w:lineRule="exact"/>
        <w:rPr>
          <w:sz w:val="20"/>
          <w:szCs w:val="20"/>
          <w:color w:val="auto"/>
        </w:rPr>
      </w:pPr>
    </w:p>
    <w:p>
      <w:pPr>
        <w:ind w:right="40" w:firstLine="518"/>
        <w:spacing w:after="0"/>
        <w:rPr>
          <w:sz w:val="20"/>
          <w:szCs w:val="20"/>
          <w:color w:val="auto"/>
        </w:rPr>
      </w:pPr>
      <w:r>
        <w:rPr>
          <w:rFonts w:ascii="Arial" w:cs="Arial" w:eastAsia="Arial" w:hAnsi="Arial"/>
          <w:sz w:val="18"/>
          <w:szCs w:val="18"/>
          <w:color w:val="auto"/>
        </w:rPr>
        <w:t>The decrease in our satellite services segment operating loss was driven primarily by higher earnings contributions of $32.5 million, primarily due to an increase in revenues and improved margins from our fixed broadband services and in-flight internet services, partially offset by higher support and selling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159"/>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177"/>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(20.2)</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(16.1)</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r>
    </w:tbl>
    <w:p>
      <w:pPr>
        <w:spacing w:after="0" w:line="202" w:lineRule="exact"/>
        <w:rPr>
          <w:sz w:val="20"/>
          <w:szCs w:val="20"/>
          <w:color w:val="auto"/>
        </w:rPr>
      </w:pPr>
    </w:p>
    <w:p>
      <w:pPr>
        <w:ind w:right="100" w:firstLine="518"/>
        <w:spacing w:after="0" w:line="239" w:lineRule="auto"/>
        <w:rPr>
          <w:sz w:val="20"/>
          <w:szCs w:val="20"/>
          <w:color w:val="auto"/>
        </w:rPr>
      </w:pPr>
      <w:r>
        <w:rPr>
          <w:rFonts w:ascii="Arial" w:cs="Arial" w:eastAsia="Arial" w:hAnsi="Arial"/>
          <w:sz w:val="18"/>
          <w:szCs w:val="18"/>
          <w:color w:val="auto"/>
        </w:rPr>
        <w:t>Our commercial networks segment revenues decreased by $ 16.1 million, primarily due to a $20.2 million decrease in product revenues. The decrease in product revenues was primarily due to a decrease of $ 30.0 million in mobile broadband satellite communication systems products as IFC terminal deliveries returned to more normalized levels, following accelerated deliveries in the first quarter of fiscal year 2019, partially offset by an increase of $8.7 million in satellite networking development program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460"/>
              <w:spacing w:after="0" w:line="156"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460"/>
              <w:spacing w:after="0" w:line="156"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loss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(49.9)</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(47.0)</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42" w:name="page43"/>
    <w:bookmarkEnd w:id="42"/>
    <w:p>
      <w:pPr>
        <w:ind w:left="520"/>
        <w:spacing w:after="0"/>
        <w:rPr>
          <w:sz w:val="20"/>
          <w:szCs w:val="20"/>
          <w:color w:val="auto"/>
        </w:rPr>
      </w:pPr>
      <w:r>
        <w:rPr>
          <w:rFonts w:ascii="Arial" w:cs="Arial" w:eastAsia="Arial" w:hAnsi="Arial"/>
          <w:sz w:val="18"/>
          <w:szCs w:val="18"/>
          <w:color w:val="auto"/>
        </w:rPr>
        <w:t>The $2.9 million increase in our commercial networks segment operating loss was driven primarily by a $2.7 million increase in SG&amp;A</w:t>
      </w:r>
    </w:p>
    <w:p>
      <w:pPr>
        <w:spacing w:after="0"/>
        <w:rPr>
          <w:sz w:val="20"/>
          <w:szCs w:val="20"/>
          <w:color w:val="auto"/>
        </w:rPr>
      </w:pPr>
      <w:r>
        <w:rPr>
          <w:rFonts w:ascii="Arial" w:cs="Arial" w:eastAsia="Arial" w:hAnsi="Arial"/>
          <w:sz w:val="18"/>
          <w:szCs w:val="18"/>
          <w:color w:val="auto"/>
        </w:rPr>
        <w:t>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179"/>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157"/>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9%</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261.2</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r>
    </w:tbl>
    <w:p>
      <w:pPr>
        <w:spacing w:after="0" w:line="202" w:lineRule="exact"/>
        <w:rPr>
          <w:sz w:val="20"/>
          <w:szCs w:val="20"/>
          <w:color w:val="auto"/>
        </w:rPr>
      </w:pPr>
    </w:p>
    <w:p>
      <w:pPr>
        <w:ind w:right="260" w:firstLine="518"/>
        <w:spacing w:after="0" w:line="238" w:lineRule="auto"/>
        <w:rPr>
          <w:sz w:val="20"/>
          <w:szCs w:val="20"/>
          <w:color w:val="auto"/>
        </w:rPr>
      </w:pPr>
      <w:r>
        <w:rPr>
          <w:rFonts w:ascii="Arial" w:cs="Arial" w:eastAsia="Arial" w:hAnsi="Arial"/>
          <w:sz w:val="18"/>
          <w:szCs w:val="18"/>
          <w:color w:val="auto"/>
        </w:rPr>
        <w:t>Our government systems segment revenues increased by $71.0 million due to increases of $ 65.7 million in product revenues and $5.3 million in service revenues. The product revenue increase was due to a $ 21.2 million increase in government satellite communication systems products, a $13.4 million increase in tactical satcom radio products, a $13.0 million increase in tactical data link products, an $11.8 million increase in government mobile broadband products and a $6.4 million increase in cybersecurity and information assurance products. The service revenue increase was primarily due to a $4.2 million increase in government mobile broadband services.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6"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6"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2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8" w:lineRule="exact"/>
        <w:rPr>
          <w:sz w:val="20"/>
          <w:szCs w:val="20"/>
          <w:color w:val="auto"/>
        </w:rPr>
      </w:pPr>
    </w:p>
    <w:p>
      <w:pPr>
        <w:ind w:right="340" w:firstLine="518"/>
        <w:spacing w:after="0"/>
        <w:rPr>
          <w:sz w:val="20"/>
          <w:szCs w:val="20"/>
          <w:color w:val="auto"/>
        </w:rPr>
      </w:pPr>
      <w:r>
        <w:rPr>
          <w:rFonts w:ascii="Arial" w:cs="Arial" w:eastAsia="Arial" w:hAnsi="Arial"/>
          <w:sz w:val="18"/>
          <w:szCs w:val="18"/>
          <w:color w:val="auto"/>
        </w:rPr>
        <w:t>The $21.0 million increase in our government systems segment operating profit was primarily due to higher earnings contributions of $25.2 million, primarily due to an increase in revenues and improved margins from our government satellite communication systems and tactical satcom radio products. This increase was partially offset by higher SG&amp;A costs of $4.9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9" w:lineRule="exact"/>
        <w:rPr>
          <w:sz w:val="20"/>
          <w:szCs w:val="20"/>
          <w:color w:val="auto"/>
        </w:rPr>
      </w:pPr>
    </w:p>
    <w:p>
      <w:pPr>
        <w:ind w:right="440" w:firstLine="518"/>
        <w:spacing w:after="0" w:line="246" w:lineRule="auto"/>
        <w:rPr>
          <w:sz w:val="20"/>
          <w:szCs w:val="20"/>
          <w:color w:val="auto"/>
        </w:rPr>
      </w:pPr>
      <w:r>
        <w:rPr>
          <w:rFonts w:ascii="Arial" w:cs="Arial" w:eastAsia="Arial" w:hAnsi="Arial"/>
          <w:sz w:val="18"/>
          <w:szCs w:val="18"/>
          <w:color w:val="auto"/>
        </w:rPr>
        <w:t>As reflected in the table below, our overall firm and funded backlog decreased during the first three months of fiscal year 2020. The decreases in both firm and funded backlog were attributable to decreases in our government systems segment.</w:t>
      </w:r>
    </w:p>
    <w:p>
      <w:pPr>
        <w:spacing w:after="0" w:line="185"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4"/>
                <w:szCs w:val="14"/>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3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June 30, 2019</w:t>
            </w:r>
          </w:p>
        </w:tc>
        <w:tc>
          <w:tcPr>
            <w:tcW w:w="1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Firm backlog</w:t>
            </w: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590.2</w:t>
            </w:r>
          </w:p>
        </w:tc>
        <w:tc>
          <w:tcPr>
            <w:tcW w:w="2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Commercial networks segment</w:t>
            </w: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370.6</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Government systems segment</w:t>
            </w:r>
          </w:p>
        </w:tc>
        <w:tc>
          <w:tcPr>
            <w:tcW w:w="14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879.0</w:t>
            </w:r>
          </w:p>
        </w:tc>
        <w:tc>
          <w:tcPr>
            <w:tcW w:w="2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931.2</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1,839.8</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1,866.3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14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 segment</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370.6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 segment</w:t>
            </w:r>
          </w:p>
        </w:tc>
        <w:tc>
          <w:tcPr>
            <w:tcW w:w="14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852.9</w:t>
            </w:r>
          </w:p>
        </w:tc>
        <w:tc>
          <w:tcPr>
            <w:tcW w:w="2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rPr>
              <w:t>Total</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1,813.7</w:t>
            </w:r>
          </w:p>
        </w:tc>
        <w:tc>
          <w:tcPr>
            <w:tcW w:w="2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1,847.1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firm backlog does not include contract options. Of the $1.8 billion in firm backlog, a little over half is expected to be delivered during the next twelve months, with the balance delivered thereafter. We include in our backlog only those orders for which we have accepted purchase orders. Our backlog includes contracts with subscribers for fixed broadband services in our satellite services segment. Backlog does not include anticipated purchase orders and requests for the installation of IFC systems or future recurring in-flight internet service revenues under commercial in-flight internet agreements recorded in our commercial networks and satellite services segments, respectively. As of June 30, 2019, we expected to install IFC systems on approximately 510 additional aircraft under our existing customer agreements with commercial airlines, approximately 290 of which relate to accepted purchase orders (and are included in firm backlog in</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3" w:name="page44"/>
    <w:bookmarkEnd w:id="43"/>
    <w:p>
      <w:pPr>
        <w:spacing w:after="0" w:line="246" w:lineRule="auto"/>
        <w:rPr>
          <w:sz w:val="20"/>
          <w:szCs w:val="20"/>
          <w:color w:val="auto"/>
        </w:rPr>
      </w:pPr>
      <w:r>
        <w:rPr>
          <w:rFonts w:ascii="Arial" w:cs="Arial" w:eastAsia="Arial" w:hAnsi="Arial"/>
          <w:sz w:val="18"/>
          <w:szCs w:val="18"/>
          <w:color w:val="auto"/>
        </w:rPr>
        <w:t>our commercial networks segment) and approximately 220 of which relate to anticipated purchase orders and requests under existing customer agreements. There can be no assurance that all anticipated purchase orders and requests will be placed.</w:t>
      </w:r>
    </w:p>
    <w:p>
      <w:pPr>
        <w:spacing w:after="0" w:line="143" w:lineRule="exact"/>
        <w:rPr>
          <w:sz w:val="20"/>
          <w:szCs w:val="20"/>
          <w:color w:val="auto"/>
        </w:rPr>
      </w:pPr>
    </w:p>
    <w:p>
      <w:pPr>
        <w:ind w:right="1040" w:firstLine="518"/>
        <w:spacing w:after="0" w:line="246" w:lineRule="auto"/>
        <w:rPr>
          <w:sz w:val="20"/>
          <w:szCs w:val="20"/>
          <w:color w:val="auto"/>
        </w:rPr>
      </w:pPr>
      <w:r>
        <w:rPr>
          <w:rFonts w:ascii="Arial" w:cs="Arial" w:eastAsia="Arial" w:hAnsi="Arial"/>
          <w:sz w:val="18"/>
          <w:szCs w:val="18"/>
          <w:color w:val="auto"/>
        </w:rPr>
        <w:t>Our total new awards exclude future revenue under recurring consumer commitment arrangements and were approximately $505.8 million and $569.7 million for the three months ended June 30, 2019 and 2018, respectively.</w:t>
      </w:r>
    </w:p>
    <w:p>
      <w:pPr>
        <w:spacing w:after="0" w:line="143" w:lineRule="exact"/>
        <w:rPr>
          <w:sz w:val="20"/>
          <w:szCs w:val="20"/>
          <w:color w:val="auto"/>
        </w:rPr>
      </w:pPr>
    </w:p>
    <w:p>
      <w:pPr>
        <w:ind w:right="60" w:firstLine="518"/>
        <w:spacing w:after="0" w:line="239"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48"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85" w:lineRule="exact"/>
        <w:rPr>
          <w:sz w:val="20"/>
          <w:szCs w:val="20"/>
          <w:color w:val="auto"/>
        </w:rPr>
      </w:pPr>
    </w:p>
    <w:p>
      <w:pPr>
        <w:ind w:right="180" w:firstLine="518"/>
        <w:spacing w:after="0" w:line="237" w:lineRule="auto"/>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export credit agency financing and equity financing. At June 30, 2019, we had $129.9 million in cash and cash equivalents, $314.1 million in working capital, and no outstanding borrowings and borrowing availability of $680.7 million under our revolving credit facility (the Revolving Credit Facility). At March 31, 2019, we had $261.7 million in cash and cash equivalents, $401.7 million in working capital, and no outstanding borrowings and borrowing availability of $680.4 million under the Revolving Credit Facility. We invest our cash in excess of current operating requirements in short-term, highly liquid bank money market accounts.</w:t>
      </w:r>
    </w:p>
    <w:p>
      <w:pPr>
        <w:spacing w:after="0" w:line="151"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our satellite projects and any future broadband satellite projects we may engage in, expansion of our R&amp;D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48"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The general cash needs of our satellite services, commercial networks and government systems segments can vary significantly. The cash needs of our satellite services segment tend to be driven by the timing and amount of capital expenditures (e.g., payments under satellite construction and launch contracts and investments in ground infrastructure roll-out), investments in joint ventures, strategic partnering arrangements and network expansion activities, as well as the quality of customer, type of contract and payment terms. 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51" w:lineRule="exact"/>
        <w:rPr>
          <w:sz w:val="20"/>
          <w:szCs w:val="20"/>
          <w:color w:val="auto"/>
        </w:rPr>
      </w:pPr>
    </w:p>
    <w:p>
      <w:pPr>
        <w:ind w:right="140" w:firstLine="518"/>
        <w:spacing w:after="0" w:line="236" w:lineRule="auto"/>
        <w:rPr>
          <w:sz w:val="20"/>
          <w:szCs w:val="20"/>
          <w:color w:val="auto"/>
        </w:rPr>
      </w:pPr>
      <w:r>
        <w:rPr>
          <w:rFonts w:ascii="Arial" w:cs="Arial" w:eastAsia="Arial" w:hAnsi="Arial"/>
          <w:sz w:val="18"/>
          <w:szCs w:val="18"/>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In February 2019,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We believe that our current cash balances and net cash expected to be provided by operating activities along with availability under our Revolving Credit Facility will be sufficient to meet our anticipated operating requirements for at least the next 12 months.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9"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Cash provided by operating activities for the first three months of fiscal year 2020 was $46.5 million compared to $53.8 million in the prior year period. This $7.4 million decrease was primarily driven by a $65.8 million year-over-year increase in cash used to fund net operating assets, partially offset by our operating results (net loss adjusted for depreciation, amortization and other non-cash charges) which resulted in $58.4 million of higher cash provided by operating activities year-over-year. The increase in cash used to fund net operating assets during the first three months of fiscal year 2020 when compared to the prior year period was primarily due to a decrease in cash inflows year-over-year from combined billed and unbilled accounts receivable, net, attributable to the timing of contractual milestones for certain larger development programs in our government systems segment and an increase in cash outflows year-over-year due to timing of accrued liabilities payments.</w:t>
      </w:r>
    </w:p>
    <w:p>
      <w:pPr>
        <w:spacing w:after="0" w:line="149"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Cash used in investing activities for the first three months of fiscal year 2020 was $185.8 million compared to $160.9 million in the prior year period. This $24.9 million increase in cash used in investing activities year-over-year reflects an increase of $37.8 million in cash used for satellite construction and $9.8 million in cash used for patents, licenses and other assets, partially offset by a decrease of $11.2 million in capital expenditures used for property and other general purpose equipment and $7.1 million in cash used for the construction of earth stations and network operation systems.</w:t>
      </w:r>
    </w:p>
    <w:p>
      <w:pPr>
        <w:spacing w:after="0" w:line="149"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Cash provided by financing activities for the first three months of fiscal year 2020 was $7.5 million compared to $ 91.7 million for the prior year period. This $84.2 million decrease in cash provided by financing activities year-over-year was primarily related to $ 115.0 million in net proceeds from borrowings under our Revolving Credit Facility in the first quarter of fiscal year 2019 compared to none in the current year period, partially offset by a $ 10.8 million decrease in payments on borrowings under our direct loan facility with the Ex-Im Credit Facility (together with the Revolving Credit Facility, the Credit Facilities) year-over-year. Cash provided by financing activities for both periods included cash received from stock option exercises and employee stock purchase plan purchases, offset by cash used for the repurchase of common stock related to net share settlement of certain employee tax liabilities in connection with the vesting of restricted stock unit awards.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85"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On June 1, 2017, our second-generation ViaSat-2 satellite was successfully launched into orbit. Following satellite launch, in fiscal years 2018 and 2019 we incurred additional operating costs as we prepared for and launched commercial services on the satellite. These additional operating costs included depreciation, amortization of capitalized software development, earth station connectivity, marketing and advertising costs, logistics, customer care and various support systems, and contributed to an operating loss for our satellite services segment in fiscal year 2019. However, as the services we provide using the new satellite start to scale, we expect to expand the revenue base for our fixed broadband and in-flight services and gain operating cost efficiencies, which together we expect will yield incremental segment earnings contributions, partially offset by investments associated with our global business and emerging markets growth. However, there can be no assurance that we will be successful in significantly increasing revenues or achieving operating profit in our satellite services segment. Moreover, we anticipate that we will incur a similar cycle of increased operating costs as we prepare for and launch commercial services on future satellites, including our ViaSat-3 constellation, followed by increases in revenue base and in scale.</w:t>
      </w:r>
    </w:p>
    <w:p>
      <w:pPr>
        <w:spacing w:after="0" w:line="15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first two ViaSat-3 class satellites, which are expected to cover the Americas and the Europe, Middle East and Africa (EMEA) region, respectively, entered the phase of full construction during the second half of fiscal year 2018. In July 2019, we entered into an agreement with Boeing for the construction and purchase of a third ViaSat-3 class satellite and the integration of Viasat’s payload technologies into the satellite, which replaced and superseded the limited agreement to proceed entered into in January 2019 for the satellite. This satellite is expected to provide broadband services over the Asia and Pacific (APAC) region, enabling us, following the launch of commercial service on all three ViaSat-3 class satellites, to deliver affordable connectivity worldwide. We believe we have adequate sources of funding for the ViaSat-3 class satellites, which include our cash on hand, borrowing capacity and the cash we expect to generate from operations over the next few years. Our total cash funding may be reduced through various third-party agreements, including potential joint service offerings and other strategic partnering arrangements.</w:t>
      </w:r>
    </w:p>
    <w:p>
      <w:pPr>
        <w:spacing w:after="0" w:line="153"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Our IR&amp;D investments are expected to continue through fiscal year 2020 and beyond relating to ViaSat-3 ground infrastructure and support of our growing government and commercial air mobility businesses. We expect to continue to invest in IR&amp;D at a significant level as we continue our focus on leadership and innovation in satellite and space technologies. However, the level of investment in a given fiscal year will depend on a variety of factors, including the stage of development of our satellite projects, new market opportunities and our overall operating</w:t>
      </w:r>
    </w:p>
    <w:p>
      <w:pPr>
        <w:spacing w:after="0" w:line="13"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performance. In fiscal year 2020, capital expenditures are expected to increase when compared to fiscal year 2019, as we will have a third ViaSat-3 class satellite under construction, as well as increased ground network investments related to international expansion.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9" w:lineRule="exact"/>
        <w:rPr>
          <w:sz w:val="20"/>
          <w:szCs w:val="20"/>
          <w:color w:val="auto"/>
        </w:rPr>
      </w:pPr>
    </w:p>
    <w:p>
      <w:pPr>
        <w:ind w:right="140" w:firstLine="518"/>
        <w:spacing w:after="0" w:line="239" w:lineRule="auto"/>
        <w:rPr>
          <w:sz w:val="20"/>
          <w:szCs w:val="20"/>
          <w:color w:val="auto"/>
        </w:rPr>
      </w:pPr>
      <w:r>
        <w:rPr>
          <w:rFonts w:ascii="Arial" w:cs="Arial" w:eastAsia="Arial" w:hAnsi="Arial"/>
          <w:sz w:val="18"/>
          <w:szCs w:val="18"/>
          <w:color w:val="auto"/>
        </w:rPr>
        <w:t>As of June 30, 2019, the Revolving Credit Facility provided a $700.0 million revolving line of credit (including up to $150.0 million of letters of credit), with a maturity date of January 18, 2024. As of June 30, 2019, we had no outstanding borrowings under the Revolving Credit Facility and $19.3 million outstanding under standby letters of credit, leaving borrowing availability under the Revolving Credit Facility as of June 30, 2019 of $680.7 million.</w:t>
      </w:r>
    </w:p>
    <w:p>
      <w:pPr>
        <w:spacing w:after="0" w:line="148"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Borrowings under the Revolving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The Revolving Credit Facility is required to be guaranteed by certain significant domestic subsidiaries of Viasat (as defined in the Revolving Credit Facility) and secured by substantially all of our assets. As of June 30, 2019, none of our subsidiaries guaranteed the Revolving Credit Facility.</w:t>
      </w:r>
    </w:p>
    <w:p>
      <w:pPr>
        <w:spacing w:after="0" w:line="149" w:lineRule="exact"/>
        <w:rPr>
          <w:sz w:val="20"/>
          <w:szCs w:val="20"/>
          <w:color w:val="auto"/>
        </w:rPr>
      </w:pPr>
    </w:p>
    <w:p>
      <w:pPr>
        <w:ind w:right="120" w:firstLine="518"/>
        <w:spacing w:after="0"/>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our ability to sell assets, make investments and acquisitions, make capital expenditures, grant liens, pay dividends and make certain other restricted payments.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w:t>
      </w:r>
    </w:p>
    <w:p>
      <w:pPr>
        <w:spacing w:after="0" w:line="234" w:lineRule="auto"/>
        <w:rPr>
          <w:sz w:val="20"/>
          <w:szCs w:val="20"/>
          <w:color w:val="auto"/>
        </w:rPr>
      </w:pPr>
      <w:r>
        <w:rPr>
          <w:rFonts w:ascii="Arial" w:cs="Arial" w:eastAsia="Arial" w:hAnsi="Arial"/>
          <w:sz w:val="18"/>
          <w:szCs w:val="18"/>
          <w:color w:val="auto"/>
        </w:rPr>
        <w:t>$362.4 million in principal amount of borrowings made under the Ex-Im Credit Facility, $321.2 million was used to finance up to 85% of the</w:t>
      </w:r>
    </w:p>
    <w:p>
      <w:pPr>
        <w:spacing w:after="0" w:line="235" w:lineRule="auto"/>
        <w:rPr>
          <w:sz w:val="20"/>
          <w:szCs w:val="20"/>
          <w:color w:val="auto"/>
        </w:rPr>
      </w:pPr>
      <w:r>
        <w:rPr>
          <w:rFonts w:ascii="Arial" w:cs="Arial" w:eastAsia="Arial" w:hAnsi="Arial"/>
          <w:sz w:val="18"/>
          <w:szCs w:val="18"/>
          <w:color w:val="auto"/>
        </w:rPr>
        <w:t>costs of construction, launch and insurance of the ViaSat-2 satellite and related goods and services (including costs incurred on or after</w:t>
      </w:r>
    </w:p>
    <w:p>
      <w:pPr>
        <w:spacing w:after="0" w:line="235" w:lineRule="auto"/>
        <w:rPr>
          <w:sz w:val="20"/>
          <w:szCs w:val="20"/>
          <w:color w:val="auto"/>
        </w:rPr>
      </w:pPr>
      <w:r>
        <w:rPr>
          <w:rFonts w:ascii="Arial" w:cs="Arial" w:eastAsia="Arial" w:hAnsi="Arial"/>
          <w:sz w:val="18"/>
          <w:szCs w:val="18"/>
          <w:color w:val="auto"/>
        </w:rPr>
        <w:t>September 18, 2012), with the remaining $41.2 million used to finance the total exposure fees incurred under the Ex-Im Credit Facility (which</w:t>
      </w:r>
    </w:p>
    <w:p>
      <w:pPr>
        <w:spacing w:after="0" w:line="235" w:lineRule="auto"/>
        <w:rPr>
          <w:sz w:val="20"/>
          <w:szCs w:val="20"/>
          <w:color w:val="auto"/>
        </w:rPr>
      </w:pPr>
      <w:r>
        <w:rPr>
          <w:rFonts w:ascii="Arial" w:cs="Arial" w:eastAsia="Arial" w:hAnsi="Arial"/>
          <w:sz w:val="18"/>
          <w:szCs w:val="18"/>
          <w:color w:val="auto"/>
        </w:rPr>
        <w:t>included all previously accrued completion exposure fees). At June 30, 2019, we had $127.7 million in principal amount of outstanding</w:t>
      </w:r>
    </w:p>
    <w:p>
      <w:pPr>
        <w:spacing w:after="0"/>
        <w:rPr>
          <w:sz w:val="20"/>
          <w:szCs w:val="20"/>
          <w:color w:val="auto"/>
        </w:rPr>
      </w:pPr>
      <w:r>
        <w:rPr>
          <w:rFonts w:ascii="Arial" w:cs="Arial" w:eastAsia="Arial" w:hAnsi="Arial"/>
          <w:sz w:val="18"/>
          <w:szCs w:val="18"/>
          <w:color w:val="auto"/>
        </w:rPr>
        <w:t>borrowings under the Ex-Im Credit Facility.</w:t>
      </w:r>
    </w:p>
    <w:p>
      <w:pPr>
        <w:spacing w:after="0" w:line="15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our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Pursuant to the terms of the Ex-Im Credit Facility, certain insurance recovery proceeds related to the ViaSat-2 satellite must be used to pay down outstanding borrowings under the Ex-Im Credit Facility upon receipt. During the three months ended June 30, 2019 and during fiscal year 2019, we received $2.3 million and $185.7 million, respectively, of insurance proceeds related to the ViaSat-2 satellite, all of which were used to pay down outstanding borrowings under the Ex-Im Credit Facility upon receipt. The Ex-Im Credit Facility is guaranteed by Viasat and is secured by first-priority liens on the ViaSat-2 satellite and related assets as well as a pledge of the capital stock of the borrower under the facility.</w:t>
      </w:r>
    </w:p>
    <w:p>
      <w:pPr>
        <w:spacing w:after="0" w:line="153"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our ability to sell assets, make investments and acquisitions, make capital expenditures, grant liens, pay dividends and make certain other restricted payments.</w:t>
      </w:r>
    </w:p>
    <w:p>
      <w:pPr>
        <w:spacing w:after="0" w:line="149" w:lineRule="exact"/>
        <w:rPr>
          <w:sz w:val="20"/>
          <w:szCs w:val="20"/>
          <w:color w:val="auto"/>
        </w:rPr>
      </w:pPr>
    </w:p>
    <w:p>
      <w:pPr>
        <w:ind w:right="160" w:firstLine="518"/>
        <w:spacing w:after="0" w:line="238" w:lineRule="auto"/>
        <w:rPr>
          <w:sz w:val="20"/>
          <w:szCs w:val="20"/>
          <w:color w:val="auto"/>
        </w:rPr>
      </w:pPr>
      <w:r>
        <w:rPr>
          <w:rFonts w:ascii="Arial" w:cs="Arial" w:eastAsia="Arial" w:hAnsi="Arial"/>
          <w:sz w:val="18"/>
          <w:szCs w:val="18"/>
          <w:color w:val="auto"/>
        </w:rPr>
        <w:t>The borrowings under the Ex-Im Credit Facility are recorded as current portion of long-term debt and as other long-term debt, net of unamortized discount and debt issuance costs, in our condensed consolidated financial statements. The discount of $42.3 million (comprising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81"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In March 2019, we issued $ 600.0 million in principal amount of 2027 Notes in a private placement to institutional buyers. The 2027 Notes were issued at face value and are recorded as long-term debt, net of debt issuance costs, in our consolidated financial statements. The 2027 Notes bear interest at the rate of 5.625% per year, payable semi-annually in cash in arrears, which interest payments will commence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49" w:lineRule="exact"/>
        <w:rPr>
          <w:sz w:val="20"/>
          <w:szCs w:val="20"/>
          <w:color w:val="auto"/>
        </w:rPr>
      </w:pPr>
    </w:p>
    <w:p>
      <w:pPr>
        <w:ind w:right="60" w:firstLine="518"/>
        <w:spacing w:after="0"/>
        <w:rPr>
          <w:sz w:val="20"/>
          <w:szCs w:val="20"/>
          <w:color w:val="auto"/>
        </w:rPr>
      </w:pPr>
      <w:r>
        <w:rPr>
          <w:rFonts w:ascii="Arial" w:cs="Arial" w:eastAsia="Arial" w:hAnsi="Arial"/>
          <w:sz w:val="18"/>
          <w:szCs w:val="18"/>
          <w:color w:val="auto"/>
        </w:rPr>
        <w:t>The 2027 Notes are required to be guaranteed on a senior secured basis by each of our existing and future subsidiaries that guarantees the Revolving Credit Facility. As of June 30, 2019, none of our subsidiaries guaranteed the 2027 Notes. The 2027 Notes are secured, equally and ratably with the Revolving Credit Facility and any future parity lien debt, by liens on substantially all of our assets.</w:t>
      </w:r>
    </w:p>
    <w:p>
      <w:pPr>
        <w:spacing w:after="0" w:line="149"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The 2027 Notes are our general senior secured obligations and rank equally in right of payment with all of our existing and future unsubordinated debt. The 2027 Notes are effectively senior to all of our existing and future unsecured debt (including our 5.625% Senior Notes due 2025 (the 2025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are structurally subordinated to all existing and future liabilities (including trade payables) of our subsidiaries that do not guarantee the 2027 Notes (including obligations of the borrower under the Ex-Im Credit Facility), and are senior in right of payment to all of our existing and future subordinated indebtedness.</w:t>
      </w:r>
    </w:p>
    <w:p>
      <w:pPr>
        <w:spacing w:after="0" w:line="149" w:lineRule="exact"/>
        <w:rPr>
          <w:sz w:val="20"/>
          <w:szCs w:val="20"/>
          <w:color w:val="auto"/>
        </w:rPr>
      </w:pPr>
    </w:p>
    <w:p>
      <w:pPr>
        <w:ind w:right="220" w:firstLine="518"/>
        <w:spacing w:after="0" w:line="238" w:lineRule="auto"/>
        <w:rPr>
          <w:sz w:val="20"/>
          <w:szCs w:val="20"/>
          <w:color w:val="auto"/>
        </w:rPr>
      </w:pPr>
      <w:r>
        <w:rPr>
          <w:rFonts w:ascii="Arial" w:cs="Arial" w:eastAsia="Arial" w:hAnsi="Arial"/>
          <w:sz w:val="18"/>
          <w:szCs w:val="18"/>
          <w:color w:val="auto"/>
        </w:rPr>
        <w:t>The indenture governing the 2027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49" w:lineRule="exact"/>
        <w:rPr>
          <w:sz w:val="20"/>
          <w:szCs w:val="20"/>
          <w:color w:val="auto"/>
        </w:rPr>
      </w:pPr>
    </w:p>
    <w:p>
      <w:pPr>
        <w:ind w:right="80" w:firstLine="518"/>
        <w:spacing w:after="0" w:line="248" w:lineRule="auto"/>
        <w:rPr>
          <w:sz w:val="20"/>
          <w:szCs w:val="20"/>
          <w:color w:val="auto"/>
        </w:rPr>
      </w:pPr>
      <w:r>
        <w:rPr>
          <w:rFonts w:ascii="Arial" w:cs="Arial" w:eastAsia="Arial" w:hAnsi="Arial"/>
          <w:sz w:val="17"/>
          <w:szCs w:val="17"/>
          <w:color w:val="auto"/>
        </w:rPr>
        <w:t>Prior to April 15, 2022, we may redeem up to 40% of the 2027 Notes at a redemption price of 105.625% of the principal amount thereof, plus accrued and unpaid interest, if any, thereon to the redemption date, from the net cash proceeds of specified equity offerings. We may also redeem the 2027 Notes prior to April 15, 2022,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2027 Notes and (ii) the excess, if any, of (a) the present value at such date of redemption of</w:t>
      </w:r>
    </w:p>
    <w:p>
      <w:pPr>
        <w:spacing w:after="0" w:line="3" w:lineRule="exact"/>
        <w:rPr>
          <w:sz w:val="20"/>
          <w:szCs w:val="20"/>
          <w:color w:val="auto"/>
        </w:rPr>
      </w:pPr>
    </w:p>
    <w:p>
      <w:pPr>
        <w:ind w:right="60" w:firstLine="8"/>
        <w:spacing w:after="0" w:line="234" w:lineRule="auto"/>
        <w:tabs>
          <w:tab w:leader="none" w:pos="2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redemption price of such 2027 Notes on April 15, 2022 plus (2) all required interest payments due on such 2027 Notes through April 15, 2022 (excluding accrued but unpaid interest to the date of redemption), computed using a discount rate equal to the treasury rate (as defined under the indenture governing the 2027 Notes) plus 50 basis points, over (b) the then-outstanding principal amount of such 2027 Notes. The 2027 Notes may be redeemed, in whole or in part, at any time during the 12 months beginning on April 15, 2022 at a redemption price of</w:t>
      </w:r>
    </w:p>
    <w:p>
      <w:pPr>
        <w:spacing w:after="0" w:line="3" w:lineRule="exact"/>
        <w:rPr>
          <w:rFonts w:ascii="Arial" w:cs="Arial" w:eastAsia="Arial" w:hAnsi="Arial"/>
          <w:sz w:val="18"/>
          <w:szCs w:val="18"/>
          <w:color w:val="auto"/>
        </w:rPr>
      </w:pPr>
    </w:p>
    <w:p>
      <w:pPr>
        <w:ind w:right="60"/>
        <w:spacing w:after="0" w:line="246" w:lineRule="auto"/>
        <w:rPr>
          <w:rFonts w:ascii="Arial" w:cs="Arial" w:eastAsia="Arial" w:hAnsi="Arial"/>
          <w:sz w:val="18"/>
          <w:szCs w:val="18"/>
          <w:color w:val="auto"/>
        </w:rPr>
      </w:pPr>
      <w:r>
        <w:rPr>
          <w:rFonts w:ascii="Arial" w:cs="Arial" w:eastAsia="Arial" w:hAnsi="Arial"/>
          <w:sz w:val="18"/>
          <w:szCs w:val="18"/>
          <w:color w:val="auto"/>
        </w:rPr>
        <w:t>102.813%, during the 12 months beginning on April 15, 2023 at a redemption price of 101.406%, and at any time on or after April 15, 2024 at a redemption price of 100%, in each case plus accrued and unpaid interest, if any, thereon to the redemption date.</w:t>
      </w:r>
    </w:p>
    <w:p>
      <w:pPr>
        <w:spacing w:after="0" w:line="143"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us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Senior Notes due 2025</w:t>
      </w:r>
    </w:p>
    <w:p>
      <w:pPr>
        <w:spacing w:after="0" w:line="95"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In September 2017, we issued $700.0 million in principal amount of the 2025 Notes in a private placement to institutional buyers. The 2025 Notes were issued at face value and are recorded as long-term debt, net of debt issuance costs, in our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49"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The 2025 Notes are required to be guaranteed on an unsecured senior basis by each of our existing and future subsidiaries that guarantees the Revolving Credit Facility. As of June 30, 2019, none of our subsidiaries guaranteed the 2025 Notes. The 2025 Notes are our general senior unsecured obligations and rank equally in right of payment with all of our existing and future unsecured unsubordinated debt. The 2025 Notes are effectively junior in right of payment to our existing and future secured debt, including under the Credit Facilities (to the extent of the value of the assets securing such debt), are structurally subordinated to all existing and future liabilities (including trade payables) of our subsidiaries that do not guarantee the 2025 Notes, and are senior in right of payment to all of our existing and future subordinated indebtedness.</w:t>
      </w:r>
    </w:p>
    <w:p>
      <w:pPr>
        <w:spacing w:after="0" w:line="149" w:lineRule="exact"/>
        <w:rPr>
          <w:sz w:val="20"/>
          <w:szCs w:val="20"/>
          <w:color w:val="auto"/>
        </w:rPr>
      </w:pPr>
    </w:p>
    <w:p>
      <w:pPr>
        <w:ind w:right="200" w:firstLine="518"/>
        <w:spacing w:after="0" w:line="238" w:lineRule="auto"/>
        <w:rPr>
          <w:sz w:val="20"/>
          <w:szCs w:val="20"/>
          <w:color w:val="auto"/>
        </w:rPr>
      </w:pPr>
      <w:r>
        <w:rPr>
          <w:rFonts w:ascii="Arial" w:cs="Arial" w:eastAsia="Arial" w:hAnsi="Arial"/>
          <w:sz w:val="18"/>
          <w:szCs w:val="18"/>
          <w:color w:val="auto"/>
        </w:rPr>
        <w:t>The indenture governing the 2025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49" w:lineRule="exact"/>
        <w:rPr>
          <w:sz w:val="20"/>
          <w:szCs w:val="20"/>
          <w:color w:val="auto"/>
        </w:rPr>
      </w:pPr>
    </w:p>
    <w:p>
      <w:pPr>
        <w:ind w:right="20" w:firstLine="518"/>
        <w:spacing w:after="0" w:line="234" w:lineRule="auto"/>
        <w:rPr>
          <w:sz w:val="20"/>
          <w:szCs w:val="20"/>
          <w:color w:val="auto"/>
        </w:rPr>
      </w:pPr>
      <w:r>
        <w:rPr>
          <w:rFonts w:ascii="Arial" w:cs="Arial" w:eastAsia="Arial" w:hAnsi="Arial"/>
          <w:sz w:val="18"/>
          <w:szCs w:val="18"/>
          <w:color w:val="auto"/>
        </w:rPr>
        <w:t>Prior to September 15, 2020, we may redeem up to 40% of the 2025 Notes at a redemption price of 105.625% of the principal amount thereof, plus accrued and unpaid interest, if any, thereon to the redemption date, from the net cash proceeds of specified equity offerings. We may also redeem the 2025 Notes prior to September 15, 2020,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2025 Notes and (ii) the excess, if any, of (a) the present value at such date of redemption of (1) the redemption price of such 2025 Notes on September 15, 2020 plus (2) all required interest payments due on such 2025 Notes through September 15, 2020 (excluding accrued but unpaid interest to the date of redemption), computed using a discount rate equal to the treasury rate (as defined under the indenture governing the 2025 Notes) plus 50 basis points, over (b) the then-outstanding principal amount of such 2025 Notes. The 2025 Notes may be redeemed, in whole or in part, at any time during the 12 months beginning on September 15, 2020 at a redemption price of 102.813%, during the 12 months beginning on September 15, 2021 at a redemption price of</w:t>
      </w:r>
    </w:p>
    <w:p>
      <w:pPr>
        <w:spacing w:after="0" w:line="8"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101.406%, and at any time on or after September 15, 2022 at a redemption price of 100%, in each case plus accrued and unpaid interest, if any, thereon to the redemption date.</w:t>
      </w:r>
    </w:p>
    <w:p>
      <w:pPr>
        <w:spacing w:after="0" w:line="143"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us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Contractual Obligations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obligations at June 30, 2019: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For the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5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Remainder of</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15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7"/>
          </w:tcPr>
          <w:p>
            <w:pPr>
              <w:jc w:val="right"/>
              <w:ind w:right="772"/>
              <w:spacing w:after="0"/>
              <w:rPr>
                <w:sz w:val="20"/>
                <w:szCs w:val="20"/>
                <w:color w:val="auto"/>
              </w:rPr>
            </w:pPr>
            <w:r>
              <w:rPr>
                <w:rFonts w:ascii="Arial" w:cs="Arial" w:eastAsia="Arial" w:hAnsi="Arial"/>
                <w:sz w:val="14"/>
                <w:szCs w:val="14"/>
                <w:b w:val="1"/>
                <w:bCs w:val="1"/>
                <w:color w:val="auto"/>
              </w:rPr>
              <w:t>For the Fiscal Years Ending</w:t>
            </w:r>
          </w:p>
        </w:tc>
        <w:tc>
          <w:tcPr>
            <w:tcW w:w="100" w:type="dxa"/>
            <w:vAlign w:val="bottom"/>
          </w:tcPr>
          <w:p>
            <w:pPr>
              <w:spacing w:after="0"/>
              <w:rPr>
                <w:sz w:val="15"/>
                <w:szCs w:val="15"/>
                <w:color w:val="auto"/>
              </w:rPr>
            </w:pPr>
          </w:p>
        </w:tc>
      </w:tr>
      <w:tr>
        <w:trPr>
          <w:trHeight w:val="169"/>
        </w:trPr>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2021-2022</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2023-2024</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FF0FC"/>
            </w:tcBorders>
          </w:tcPr>
          <w:p>
            <w:pPr>
              <w:spacing w:after="0"/>
              <w:rPr>
                <w:sz w:val="14"/>
                <w:szCs w:val="14"/>
                <w:color w:val="auto"/>
              </w:rPr>
            </w:pPr>
          </w:p>
        </w:tc>
      </w:tr>
      <w:tr>
        <w:trPr>
          <w:trHeight w:val="210"/>
        </w:trPr>
        <w:tc>
          <w:tcPr>
            <w:tcW w:w="52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Operating leases and satellite capacity agreements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657,263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95,423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230,376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132,047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199,417</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2027 Notes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871,781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67,500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67,500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718,125</w:t>
            </w:r>
          </w:p>
        </w:tc>
        <w:tc>
          <w:tcPr>
            <w:tcW w:w="100" w:type="dxa"/>
            <w:vAlign w:val="bottom"/>
          </w:tcPr>
          <w:p>
            <w:pPr>
              <w:spacing w:after="0"/>
              <w:rPr>
                <w:sz w:val="18"/>
                <w:szCs w:val="18"/>
                <w:color w:val="auto"/>
              </w:rPr>
            </w:pPr>
          </w:p>
        </w:tc>
      </w:tr>
      <w:tr>
        <w:trPr>
          <w:trHeight w:val="216"/>
        </w:trPr>
        <w:tc>
          <w:tcPr>
            <w:tcW w:w="52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2025 Notes</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955,938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39,375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78,750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78,750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759,063</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Revolving Credit Facility</w:t>
            </w:r>
          </w:p>
        </w:tc>
        <w:tc>
          <w:tcPr>
            <w:tcW w:w="1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Ex-Im Credit Facility</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138,392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44,222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42,344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40,476</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Satellite performance incentive obligations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36,782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10,102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18,384</w:t>
            </w:r>
          </w:p>
        </w:tc>
        <w:tc>
          <w:tcPr>
            <w:tcW w:w="100" w:type="dxa"/>
            <w:vAlign w:val="bottom"/>
          </w:tcPr>
          <w:p>
            <w:pPr>
              <w:spacing w:after="0"/>
              <w:rPr>
                <w:sz w:val="18"/>
                <w:szCs w:val="18"/>
                <w:color w:val="auto"/>
              </w:rPr>
            </w:pPr>
          </w:p>
        </w:tc>
      </w:tr>
      <w:tr>
        <w:trPr>
          <w:trHeight w:val="215"/>
        </w:trPr>
        <w:tc>
          <w:tcPr>
            <w:tcW w:w="52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Purchase commitments including satellite-related</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240" w:type="dxa"/>
            <w:vAlign w:val="bottom"/>
            <w:gridSpan w:val="3"/>
            <w:shd w:val="clear" w:color="auto" w:fill="CFF0FC"/>
          </w:tcPr>
          <w:p>
            <w:pPr>
              <w:ind w:left="160"/>
              <w:spacing w:after="0" w:line="203" w:lineRule="exact"/>
              <w:rPr>
                <w:sz w:val="20"/>
                <w:szCs w:val="20"/>
                <w:color w:val="auto"/>
              </w:rPr>
            </w:pPr>
            <w:r>
              <w:rPr>
                <w:rFonts w:ascii="Arial" w:cs="Arial" w:eastAsia="Arial" w:hAnsi="Arial"/>
                <w:sz w:val="18"/>
                <w:szCs w:val="18"/>
                <w:color w:val="auto"/>
              </w:rPr>
              <w:t>agreements (1)</w:t>
            </w:r>
          </w:p>
        </w:tc>
        <w:tc>
          <w:tcPr>
            <w:tcW w:w="1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1,639,117</w:t>
            </w:r>
          </w:p>
        </w:tc>
        <w:tc>
          <w:tcPr>
            <w:tcW w:w="24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732,584</w:t>
            </w:r>
          </w:p>
        </w:tc>
        <w:tc>
          <w:tcPr>
            <w:tcW w:w="22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644,059</w:t>
            </w:r>
          </w:p>
        </w:tc>
        <w:tc>
          <w:tcPr>
            <w:tcW w:w="22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206,726</w:t>
            </w:r>
          </w:p>
        </w:tc>
        <w:tc>
          <w:tcPr>
            <w:tcW w:w="2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55,748</w:t>
            </w:r>
          </w:p>
        </w:tc>
        <w:tc>
          <w:tcPr>
            <w:tcW w:w="100" w:type="dxa"/>
            <w:vAlign w:val="bottom"/>
            <w:shd w:val="clear" w:color="auto" w:fill="CFF0FC"/>
          </w:tcPr>
          <w:p>
            <w:pPr>
              <w:spacing w:after="0"/>
              <w:rPr>
                <w:sz w:val="17"/>
                <w:szCs w:val="17"/>
                <w:color w:val="auto"/>
              </w:rPr>
            </w:pPr>
          </w:p>
        </w:tc>
      </w:tr>
      <w:tr>
        <w:trPr>
          <w:trHeight w:val="210"/>
        </w:trPr>
        <w:tc>
          <w:tcPr>
            <w:tcW w:w="5240" w:type="dxa"/>
            <w:vAlign w:val="bottom"/>
            <w:gridSpan w:val="3"/>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4,299,273</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899,823</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1,070,768</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537,469</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1,791,213</w:t>
            </w:r>
          </w:p>
        </w:tc>
        <w:tc>
          <w:tcPr>
            <w:tcW w:w="100" w:type="dxa"/>
            <w:vAlign w:val="bottom"/>
          </w:tcPr>
          <w:p>
            <w:pPr>
              <w:spacing w:after="0"/>
              <w:rPr>
                <w:sz w:val="18"/>
                <w:szCs w:val="18"/>
                <w:color w:val="auto"/>
              </w:rPr>
            </w:pPr>
          </w:p>
        </w:tc>
      </w:tr>
      <w:tr>
        <w:trPr>
          <w:trHeight w:val="20"/>
        </w:trPr>
        <w:tc>
          <w:tcPr>
            <w:tcW w:w="15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540" w:type="dxa"/>
            <w:vAlign w:val="bottom"/>
            <w:tcBorders>
              <w:bottom w:val="single" w:sz="8" w:color="auto"/>
            </w:tcBorders>
          </w:tcPr>
          <w:p>
            <w:pPr>
              <w:spacing w:after="0"/>
              <w:rPr>
                <w:sz w:val="6"/>
                <w:szCs w:val="6"/>
                <w:color w:val="auto"/>
              </w:rPr>
            </w:pPr>
          </w:p>
        </w:tc>
        <w:tc>
          <w:tcPr>
            <w:tcW w:w="3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53" w:lineRule="exact"/>
        <w:rPr>
          <w:sz w:val="20"/>
          <w:szCs w:val="20"/>
          <w:color w:val="auto"/>
        </w:rPr>
      </w:pPr>
    </w:p>
    <w:p>
      <w:pPr>
        <w:ind w:left="520" w:hanging="512"/>
        <w:spacing w:after="0" w:line="238"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purchase commitments for our third ViaSat-3 class satellite, the amounts listed reflect the limited authorization to proceed entered into with Boeing in January 2019 for the satellite. Subsequent to the first quarter of fiscal year 2020, in July 2019 we entered into agreement with Boeing for the construction and purchase of the third ViaSat-3 class satellite and the integration of our payload technologies into the ViaSat-3 satellite, which replaced and superseded this limited authorization to proceed. See “Liquidity and Capital Resources – Satellite-related activities.”</w:t>
      </w:r>
    </w:p>
    <w:p>
      <w:pPr>
        <w:spacing w:after="0" w:line="149"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49"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Our condensed consolidated balance sheets included $118.1 million and $120.8 million of “other liabilities” as of June 30, 2019 and March 31, 2019, respectively, which primarily consisted of the long-term portion of deferred revenues, the long-term portion of our satellite performance incentive obligations relating to the ViaSat-1 and ViaSat-2 satellites, our long-term warranty obligations, the long-term portion of deferred rent and deferred income taxes. With the exception of the long-term portion of our satellite performance incentive obligations relating to the ViaSat-1 and ViaSat-2 satellites (which is included under “Satellite performance incentive obligations”), these remaining liabilities have been excluded from the above table as the timing and/or the amount of any cash payment is uncertain. See Note 11 to our consolidated financial statements included in our Annual Report on Form 10-K for the year ended March 31, 2019 for additional information regarding satellite performance incentive obligations relating to the ViaSat-1 and ViaSat-2 satellites. See Note 10 to our condensed consolidated financial statements for additional information regarding our income taxes and related tax positions and Note 8 to our condensed consolidated financial statements for a discussion of our product warranties.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9" w:lineRule="exact"/>
        <w:rPr>
          <w:sz w:val="20"/>
          <w:szCs w:val="20"/>
          <w:color w:val="auto"/>
        </w:rPr>
      </w:pPr>
    </w:p>
    <w:p>
      <w:pPr>
        <w:ind w:right="280" w:firstLine="518"/>
        <w:spacing w:after="0"/>
        <w:rPr>
          <w:sz w:val="20"/>
          <w:szCs w:val="20"/>
          <w:color w:val="auto"/>
        </w:rPr>
      </w:pPr>
      <w:r>
        <w:rPr>
          <w:rFonts w:ascii="Arial" w:cs="Arial" w:eastAsia="Arial" w:hAnsi="Arial"/>
          <w:sz w:val="18"/>
          <w:szCs w:val="18"/>
          <w:color w:val="auto"/>
        </w:rPr>
        <w:t>We had no material off-balance sheet arrangements at June 30, 2019 as defined in Regulation S-K Item 303(a)(4) other than as discussed under Contractual Obligations above or disclosed in the notes to our consolidated financial statements included in this report or in our Annual Report on Form 10-K for the year ended March 31,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85" w:lineRule="exact"/>
        <w:rPr>
          <w:sz w:val="20"/>
          <w:szCs w:val="20"/>
          <w:color w:val="auto"/>
        </w:rPr>
      </w:pPr>
    </w:p>
    <w:p>
      <w:pPr>
        <w:ind w:right="80" w:firstLine="518"/>
        <w:spacing w:after="0" w:line="246" w:lineRule="auto"/>
        <w:rPr>
          <w:sz w:val="20"/>
          <w:szCs w:val="20"/>
          <w:color w:val="auto"/>
        </w:rPr>
      </w:pPr>
      <w:r>
        <w:rPr>
          <w:rFonts w:ascii="Arial" w:cs="Arial" w:eastAsia="Arial" w:hAnsi="Arial"/>
          <w:sz w:val="18"/>
          <w:szCs w:val="18"/>
          <w:color w:val="auto"/>
        </w:rPr>
        <w:t>For information regarding recently adopted and issued accounting pronouncements, see Note 1 to our condensed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49" w:name="page50"/>
    <w:bookmarkEnd w:id="49"/>
    <w:p>
      <w:pPr>
        <w:ind w:right="5700"/>
        <w:spacing w:after="0" w:line="333"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spacing w:after="0" w:line="1"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Our financial instruments consist of cash and cash equivalents, accounts receivable, accounts payable, short-term and long-term obligations, including the Credit Facilities, the 2025 Notes and the 2027 Notes, and foreign currency forward contracts. We consider investments in highly liquid instruments purchased with a remaining maturity of three months or less at the date of purchase to be cash equivalents. As of June 30, 2019, we had no outstanding borrowings under our Revolving Credit Facility, $127.7 million in principal amount of outstanding borrowings under our Ex-Im Credit Facility, $700.0 million in aggregate principal amount outstanding of the 2025 Notes and $600.0 million in aggregate principal amount outstanding of the 2027 Notes, and we held no short-term investments. Our 2025 Notes, 2027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54"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The primary objective of our investment activities is to preserve principal while at the same time maximizing the income we receive from our investments without significantly increasing risk. To minimize this risk, we maintain a significant amount of our cash balance in money market accounts.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an insignificant amount for the three months ended June 30, 2019 and 2018.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53" w:lineRule="exact"/>
        <w:rPr>
          <w:sz w:val="20"/>
          <w:szCs w:val="20"/>
          <w:color w:val="auto"/>
        </w:rPr>
      </w:pPr>
    </w:p>
    <w:p>
      <w:pPr>
        <w:ind w:right="300" w:firstLine="518"/>
        <w:spacing w:after="0" w:line="238" w:lineRule="auto"/>
        <w:rPr>
          <w:sz w:val="20"/>
          <w:szCs w:val="20"/>
          <w:color w:val="auto"/>
        </w:rPr>
      </w:pPr>
      <w:r>
        <w:rPr>
          <w:rFonts w:ascii="Arial" w:cs="Arial" w:eastAsia="Arial" w:hAnsi="Arial"/>
          <w:sz w:val="18"/>
          <w:szCs w:val="18"/>
          <w:color w:val="auto"/>
        </w:rPr>
        <w:t>Our primary interest rate under the Revolving Credit Facility is the Eurodollar rate plus an applicable margin that is based on our total leverage ratio. Under the Revolving Credit Facility, the effective interest rate as of June 30, 2019 that would have been applied to any new Eurodollar-based borrowings under the Revolving Credit Facility was approximately 3.68%. As of June 30, 2019, we had no outstanding borrowings under our Revolving Credit Facility. Accordingly, assuming the outstanding balance remained constant over a year, changes in interest rates applicable to our Revolving Credit Facility would have no effect on our interest incurred or cash flow.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9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Our investment in Euro Broadband Infrastructure Sàrl during the fourth quarter of fiscal year 2017, which is denominated in Euros, increases our exposure to foreign currency risk. A five percent variance in foreign currencies in which our international business is conducted would change our loss before income taxes by an insignificant amount for the three months ended June 30, 2019 and 2018.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54"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As of June 30, 2019, we had a number of foreign currency forward contracts outstanding which are intended to reduce the foreign currency risk for amounts payable to vendors in Euros and Australian dollars. The foreign currency forward contracts with a notional amount of $6.6 million had an insignificant amount of fair value recorded in accrued and other liabilities as of June 30, 2019. If the foreign currency forward rate on these foreign currency forward contracts had changed by 10%, the fair value of these foreign currency forward contracts as of June 30, 2019 would have changed by an insignificant amount.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9"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49"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June 30, 2019, the end of the period covered by this report. Based upon the foregoing, our Chief Executive Officer and Chief Financial Officer concluded that our disclosure controls and procedures were effective at a reasonable assurance level as of June 30, 2019.</w:t>
      </w:r>
    </w:p>
    <w:p>
      <w:pPr>
        <w:spacing w:after="0" w:line="148" w:lineRule="exact"/>
        <w:rPr>
          <w:sz w:val="20"/>
          <w:szCs w:val="20"/>
          <w:color w:val="auto"/>
        </w:rPr>
      </w:pPr>
    </w:p>
    <w:p>
      <w:pPr>
        <w:ind w:right="560" w:firstLine="518"/>
        <w:spacing w:after="0" w:line="246"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5"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March 31, 2019, which factors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6. Exhibits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60" w:type="dxa"/>
            <w:vAlign w:val="bottom"/>
          </w:tcPr>
          <w:p>
            <w:pPr>
              <w:ind w:left="280"/>
              <w:spacing w:after="0"/>
              <w:rPr>
                <w:sz w:val="20"/>
                <w:szCs w:val="20"/>
                <w:color w:val="auto"/>
              </w:rPr>
            </w:pPr>
            <w:r>
              <w:rPr>
                <w:rFonts w:ascii="Arial" w:cs="Arial" w:eastAsia="Arial" w:hAnsi="Arial"/>
                <w:sz w:val="12"/>
                <w:szCs w:val="12"/>
                <w:b w:val="1"/>
                <w:bCs w:val="1"/>
                <w:color w:val="auto"/>
              </w:rPr>
              <w:t>Exhibit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7"/>
        </w:trPr>
        <w:tc>
          <w:tcPr>
            <w:tcW w:w="96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4540" w:type="dxa"/>
            <w:vAlign w:val="bottom"/>
            <w:tcBorders>
              <w:bottom w:val="single" w:sz="8" w:color="auto"/>
            </w:tcBorders>
            <w:gridSpan w:val="5"/>
          </w:tcPr>
          <w:p>
            <w:pPr>
              <w:ind w:left="1120"/>
              <w:spacing w:after="0"/>
              <w:rPr>
                <w:sz w:val="20"/>
                <w:szCs w:val="20"/>
                <w:color w:val="auto"/>
              </w:rPr>
            </w:pPr>
            <w:r>
              <w:rPr>
                <w:rFonts w:ascii="Arial" w:cs="Arial" w:eastAsia="Arial" w:hAnsi="Arial"/>
                <w:sz w:val="12"/>
                <w:szCs w:val="12"/>
                <w:b w:val="1"/>
                <w:bCs w:val="1"/>
                <w:color w:val="auto"/>
              </w:rPr>
              <w:t>Exhibit Description</w:t>
            </w:r>
          </w:p>
        </w:tc>
      </w:tr>
      <w:tr>
        <w:trPr>
          <w:trHeight w:val="213"/>
        </w:trPr>
        <w:tc>
          <w:tcPr>
            <w:tcW w:w="960" w:type="dxa"/>
            <w:vAlign w:val="bottom"/>
          </w:tcPr>
          <w:p>
            <w:pPr>
              <w:ind w:left="22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5740" w:type="dxa"/>
            <w:vAlign w:val="bottom"/>
            <w:tcBorders>
              <w:bottom w:val="single" w:sz="8" w:color="0000EE"/>
            </w:tcBorders>
            <w:gridSpan w:val="6"/>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Certification of Chief Executive Officer Pursuant to Section 302 of the Sarbanes-</w:t>
              </w:r>
            </w:hyperlink>
          </w:p>
        </w:tc>
        <w:tc>
          <w:tcPr>
            <w:tcW w:w="80" w:type="dxa"/>
            <w:vAlign w:val="bottom"/>
          </w:tcPr>
          <w:p>
            <w:pPr>
              <w:spacing w:after="0"/>
              <w:rPr>
                <w:sz w:val="18"/>
                <w:szCs w:val="18"/>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bottom w:val="single" w:sz="8" w:color="0000EE"/>
            </w:tcBorders>
            <w:gridSpan w:val="2"/>
          </w:tcPr>
          <w:p>
            <w:pPr>
              <w:spacing w:after="0" w:line="169" w:lineRule="exact"/>
              <w:rPr>
                <w:rFonts w:ascii="Arial" w:cs="Arial" w:eastAsia="Arial" w:hAnsi="Arial"/>
                <w:sz w:val="16"/>
                <w:szCs w:val="16"/>
                <w:color w:val="0000EE"/>
                <w:w w:val="99"/>
              </w:rPr>
            </w:pPr>
            <w:hyperlink w:anchor="page54">
              <w:r>
                <w:rPr>
                  <w:rFonts w:ascii="Arial" w:cs="Arial" w:eastAsia="Arial" w:hAnsi="Arial"/>
                  <w:sz w:val="16"/>
                  <w:szCs w:val="16"/>
                  <w:color w:val="0000EE"/>
                  <w:w w:val="99"/>
                </w:rPr>
                <w:t>Oxley Act of 2002</w:t>
              </w:r>
            </w:hyperlink>
          </w:p>
        </w:tc>
        <w:tc>
          <w:tcPr>
            <w:tcW w:w="4540" w:type="dxa"/>
            <w:vAlign w:val="bottom"/>
            <w:gridSpan w:val="5"/>
          </w:tcPr>
          <w:p>
            <w:pPr>
              <w:spacing w:after="0"/>
              <w:rPr>
                <w:sz w:val="14"/>
                <w:szCs w:val="14"/>
                <w:color w:val="auto"/>
              </w:rPr>
            </w:pPr>
          </w:p>
        </w:tc>
      </w:tr>
      <w:tr>
        <w:trPr>
          <w:trHeight w:val="372"/>
        </w:trPr>
        <w:tc>
          <w:tcPr>
            <w:tcW w:w="960" w:type="dxa"/>
            <w:vAlign w:val="bottom"/>
          </w:tcPr>
          <w:p>
            <w:pPr>
              <w:ind w:left="2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4"/>
                <w:szCs w:val="24"/>
                <w:color w:val="auto"/>
              </w:rPr>
            </w:pPr>
          </w:p>
        </w:tc>
        <w:tc>
          <w:tcPr>
            <w:tcW w:w="5820" w:type="dxa"/>
            <w:vAlign w:val="bottom"/>
            <w:gridSpan w:val="7"/>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Certification of Chief Financial Officer Pursuant to Section 302 of the Sarbanes-</w:t>
              </w:r>
            </w:hyperlink>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w w:val="99"/>
              </w:rPr>
            </w:pPr>
            <w:hyperlink w:anchor="page55">
              <w:r>
                <w:rPr>
                  <w:rFonts w:ascii="Arial" w:cs="Arial" w:eastAsia="Arial" w:hAnsi="Arial"/>
                  <w:sz w:val="16"/>
                  <w:szCs w:val="16"/>
                  <w:color w:val="0000EE"/>
                  <w:w w:val="99"/>
                </w:rPr>
                <w:t>Oxley Act of 2002</w:t>
              </w:r>
            </w:hyperlink>
          </w:p>
        </w:tc>
        <w:tc>
          <w:tcPr>
            <w:tcW w:w="4400" w:type="dxa"/>
            <w:vAlign w:val="bottom"/>
            <w:tcBorders>
              <w:top w:val="single" w:sz="8" w:color="0000EE"/>
            </w:tcBorders>
            <w:gridSpan w:val="3"/>
          </w:tcPr>
          <w:p>
            <w:pPr>
              <w:spacing w:after="0"/>
              <w:rPr>
                <w:sz w:val="14"/>
                <w:szCs w:val="14"/>
                <w:color w:val="auto"/>
              </w:rPr>
            </w:pPr>
          </w:p>
        </w:tc>
        <w:tc>
          <w:tcPr>
            <w:tcW w:w="140" w:type="dxa"/>
            <w:vAlign w:val="bottom"/>
            <w:gridSpan w:val="2"/>
          </w:tcPr>
          <w:p>
            <w:pPr>
              <w:spacing w:after="0"/>
              <w:rPr>
                <w:sz w:val="14"/>
                <w:szCs w:val="14"/>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4"/>
                <w:szCs w:val="24"/>
                <w:color w:val="auto"/>
              </w:rPr>
            </w:pPr>
          </w:p>
        </w:tc>
        <w:tc>
          <w:tcPr>
            <w:tcW w:w="5820" w:type="dxa"/>
            <w:vAlign w:val="bottom"/>
            <w:gridSpan w:val="7"/>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Certifications Pursuant to 18 U.S.C. Section 1350, as Adopted Pursuant to</w:t>
              </w:r>
            </w:hyperlink>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rPr>
            </w:pPr>
            <w:hyperlink w:anchor="page56">
              <w:r>
                <w:rPr>
                  <w:rFonts w:ascii="Arial" w:cs="Arial" w:eastAsia="Arial" w:hAnsi="Arial"/>
                  <w:sz w:val="16"/>
                  <w:szCs w:val="16"/>
                  <w:color w:val="0000EE"/>
                </w:rPr>
                <w:t>Section 906 of the Sarbanes-Oxley Act of 2002</w:t>
              </w:r>
            </w:hyperlink>
          </w:p>
        </w:tc>
        <w:tc>
          <w:tcPr>
            <w:tcW w:w="1900" w:type="dxa"/>
            <w:vAlign w:val="bottom"/>
            <w:tcBorders>
              <w:top w:val="single" w:sz="8" w:color="0000EE"/>
            </w:tcBorders>
          </w:tcPr>
          <w:p>
            <w:pPr>
              <w:spacing w:after="0"/>
              <w:rPr>
                <w:sz w:val="14"/>
                <w:szCs w:val="14"/>
                <w:color w:val="auto"/>
              </w:rPr>
            </w:pPr>
          </w:p>
        </w:tc>
        <w:tc>
          <w:tcPr>
            <w:tcW w:w="500" w:type="dxa"/>
            <w:vAlign w:val="bottom"/>
            <w:gridSpan w:val="3"/>
          </w:tcPr>
          <w:p>
            <w:pPr>
              <w:spacing w:after="0"/>
              <w:rPr>
                <w:sz w:val="14"/>
                <w:szCs w:val="14"/>
                <w:color w:val="auto"/>
              </w:rPr>
            </w:pPr>
          </w:p>
        </w:tc>
      </w:tr>
      <w:tr>
        <w:trPr>
          <w:trHeight w:val="320"/>
        </w:trPr>
        <w:tc>
          <w:tcPr>
            <w:tcW w:w="960" w:type="dxa"/>
            <w:vAlign w:val="bottom"/>
          </w:tcPr>
          <w:p>
            <w:pPr>
              <w:ind w:left="140"/>
              <w:spacing w:after="0"/>
              <w:rPr>
                <w:sz w:val="20"/>
                <w:szCs w:val="20"/>
                <w:color w:val="auto"/>
              </w:rPr>
            </w:pPr>
            <w:r>
              <w:rPr>
                <w:rFonts w:ascii="Arial" w:cs="Arial" w:eastAsia="Arial" w:hAnsi="Arial"/>
                <w:sz w:val="16"/>
                <w:szCs w:val="16"/>
                <w:color w:val="auto"/>
              </w:rPr>
              <w:t>101.INS</w:t>
            </w:r>
          </w:p>
        </w:tc>
        <w:tc>
          <w:tcPr>
            <w:tcW w:w="100" w:type="dxa"/>
            <w:vAlign w:val="bottom"/>
          </w:tcPr>
          <w:p>
            <w:pPr>
              <w:spacing w:after="0"/>
              <w:rPr>
                <w:sz w:val="24"/>
                <w:szCs w:val="24"/>
                <w:color w:val="auto"/>
              </w:rPr>
            </w:pPr>
          </w:p>
        </w:tc>
        <w:tc>
          <w:tcPr>
            <w:tcW w:w="5820" w:type="dxa"/>
            <w:vAlign w:val="bottom"/>
            <w:gridSpan w:val="7"/>
          </w:tcPr>
          <w:p>
            <w:pPr>
              <w:spacing w:after="0"/>
              <w:rPr>
                <w:sz w:val="20"/>
                <w:szCs w:val="20"/>
                <w:color w:val="auto"/>
              </w:rPr>
            </w:pPr>
            <w:r>
              <w:rPr>
                <w:rFonts w:ascii="Arial" w:cs="Arial" w:eastAsia="Arial" w:hAnsi="Arial"/>
                <w:sz w:val="16"/>
                <w:szCs w:val="16"/>
                <w:color w:val="auto"/>
              </w:rPr>
              <w:t>XBRL Instance Document – the instance document does not appear in the</w:t>
            </w:r>
          </w:p>
        </w:tc>
      </w:tr>
      <w:tr>
        <w:trPr>
          <w:trHeight w:val="189"/>
        </w:trPr>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20" w:type="dxa"/>
            <w:vAlign w:val="bottom"/>
            <w:gridSpan w:val="7"/>
          </w:tcPr>
          <w:p>
            <w:pPr>
              <w:spacing w:after="0"/>
              <w:rPr>
                <w:sz w:val="20"/>
                <w:szCs w:val="20"/>
                <w:color w:val="auto"/>
              </w:rPr>
            </w:pPr>
            <w:r>
              <w:rPr>
                <w:rFonts w:ascii="Arial" w:cs="Arial" w:eastAsia="Arial" w:hAnsi="Arial"/>
                <w:sz w:val="16"/>
                <w:szCs w:val="16"/>
                <w:color w:val="auto"/>
              </w:rPr>
              <w:t>Interactive Data File because its XBRL tags are embedded within the Inline</w:t>
            </w:r>
          </w:p>
        </w:tc>
      </w:tr>
      <w:tr>
        <w:trPr>
          <w:trHeight w:val="195"/>
        </w:trPr>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20" w:type="dxa"/>
            <w:vAlign w:val="bottom"/>
            <w:gridSpan w:val="7"/>
          </w:tcPr>
          <w:p>
            <w:pPr>
              <w:spacing w:after="0"/>
              <w:rPr>
                <w:sz w:val="20"/>
                <w:szCs w:val="20"/>
                <w:color w:val="auto"/>
              </w:rPr>
            </w:pPr>
            <w:r>
              <w:rPr>
                <w:rFonts w:ascii="Arial" w:cs="Arial" w:eastAsia="Arial" w:hAnsi="Arial"/>
                <w:sz w:val="16"/>
                <w:szCs w:val="16"/>
                <w:color w:val="auto"/>
              </w:rPr>
              <w:t>XBRL document.</w:t>
            </w:r>
          </w:p>
        </w:tc>
      </w:tr>
      <w:tr>
        <w:trPr>
          <w:trHeight w:val="311"/>
        </w:trPr>
        <w:tc>
          <w:tcPr>
            <w:tcW w:w="960" w:type="dxa"/>
            <w:vAlign w:val="bottom"/>
          </w:tcPr>
          <w:p>
            <w:pPr>
              <w:ind w:left="140"/>
              <w:spacing w:after="0"/>
              <w:rPr>
                <w:sz w:val="20"/>
                <w:szCs w:val="20"/>
                <w:color w:val="auto"/>
              </w:rPr>
            </w:pPr>
            <w:r>
              <w:rPr>
                <w:rFonts w:ascii="Arial" w:cs="Arial" w:eastAsia="Arial" w:hAnsi="Arial"/>
                <w:sz w:val="16"/>
                <w:szCs w:val="16"/>
                <w:color w:val="auto"/>
              </w:rPr>
              <w:t>101.SCH</w:t>
            </w:r>
          </w:p>
        </w:tc>
        <w:tc>
          <w:tcPr>
            <w:tcW w:w="100" w:type="dxa"/>
            <w:vAlign w:val="bottom"/>
          </w:tcPr>
          <w:p>
            <w:pPr>
              <w:spacing w:after="0"/>
              <w:rPr>
                <w:sz w:val="24"/>
                <w:szCs w:val="24"/>
                <w:color w:val="auto"/>
              </w:rPr>
            </w:pPr>
          </w:p>
        </w:tc>
        <w:tc>
          <w:tcPr>
            <w:tcW w:w="5820" w:type="dxa"/>
            <w:vAlign w:val="bottom"/>
            <w:gridSpan w:val="7"/>
          </w:tcPr>
          <w:p>
            <w:pPr>
              <w:spacing w:after="0"/>
              <w:rPr>
                <w:sz w:val="20"/>
                <w:szCs w:val="20"/>
                <w:color w:val="auto"/>
              </w:rPr>
            </w:pPr>
            <w:r>
              <w:rPr>
                <w:rFonts w:ascii="Arial" w:cs="Arial" w:eastAsia="Arial" w:hAnsi="Arial"/>
                <w:sz w:val="16"/>
                <w:szCs w:val="16"/>
                <w:color w:val="auto"/>
              </w:rPr>
              <w:t>XBRL Taxonomy Extension Schema</w:t>
            </w:r>
          </w:p>
        </w:tc>
      </w:tr>
      <w:tr>
        <w:trPr>
          <w:trHeight w:val="324"/>
        </w:trPr>
        <w:tc>
          <w:tcPr>
            <w:tcW w:w="960" w:type="dxa"/>
            <w:vAlign w:val="bottom"/>
          </w:tcPr>
          <w:p>
            <w:pPr>
              <w:ind w:left="140"/>
              <w:spacing w:after="0"/>
              <w:rPr>
                <w:sz w:val="20"/>
                <w:szCs w:val="20"/>
                <w:color w:val="auto"/>
              </w:rPr>
            </w:pPr>
            <w:r>
              <w:rPr>
                <w:rFonts w:ascii="Arial" w:cs="Arial" w:eastAsia="Arial" w:hAnsi="Arial"/>
                <w:sz w:val="16"/>
                <w:szCs w:val="16"/>
                <w:color w:val="auto"/>
              </w:rPr>
              <w:t>101.CAL</w:t>
            </w:r>
          </w:p>
        </w:tc>
        <w:tc>
          <w:tcPr>
            <w:tcW w:w="100" w:type="dxa"/>
            <w:vAlign w:val="bottom"/>
          </w:tcPr>
          <w:p>
            <w:pPr>
              <w:spacing w:after="0"/>
              <w:rPr>
                <w:sz w:val="24"/>
                <w:szCs w:val="24"/>
                <w:color w:val="auto"/>
              </w:rPr>
            </w:pPr>
          </w:p>
        </w:tc>
        <w:tc>
          <w:tcPr>
            <w:tcW w:w="5820" w:type="dxa"/>
            <w:vAlign w:val="bottom"/>
            <w:gridSpan w:val="7"/>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324"/>
        </w:trPr>
        <w:tc>
          <w:tcPr>
            <w:tcW w:w="960" w:type="dxa"/>
            <w:vAlign w:val="bottom"/>
          </w:tcPr>
          <w:p>
            <w:pPr>
              <w:ind w:left="140"/>
              <w:spacing w:after="0"/>
              <w:rPr>
                <w:sz w:val="20"/>
                <w:szCs w:val="20"/>
                <w:color w:val="auto"/>
              </w:rPr>
            </w:pPr>
            <w:r>
              <w:rPr>
                <w:rFonts w:ascii="Arial" w:cs="Arial" w:eastAsia="Arial" w:hAnsi="Arial"/>
                <w:sz w:val="16"/>
                <w:szCs w:val="16"/>
                <w:color w:val="auto"/>
              </w:rPr>
              <w:t>101.DEF</w:t>
            </w:r>
          </w:p>
        </w:tc>
        <w:tc>
          <w:tcPr>
            <w:tcW w:w="100" w:type="dxa"/>
            <w:vAlign w:val="bottom"/>
          </w:tcPr>
          <w:p>
            <w:pPr>
              <w:spacing w:after="0"/>
              <w:rPr>
                <w:sz w:val="24"/>
                <w:szCs w:val="24"/>
                <w:color w:val="auto"/>
              </w:rPr>
            </w:pPr>
          </w:p>
        </w:tc>
        <w:tc>
          <w:tcPr>
            <w:tcW w:w="5820" w:type="dxa"/>
            <w:vAlign w:val="bottom"/>
            <w:gridSpan w:val="7"/>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324"/>
        </w:trPr>
        <w:tc>
          <w:tcPr>
            <w:tcW w:w="960" w:type="dxa"/>
            <w:vAlign w:val="bottom"/>
          </w:tcPr>
          <w:p>
            <w:pPr>
              <w:ind w:left="140"/>
              <w:spacing w:after="0"/>
              <w:rPr>
                <w:sz w:val="20"/>
                <w:szCs w:val="20"/>
                <w:color w:val="auto"/>
              </w:rPr>
            </w:pPr>
            <w:r>
              <w:rPr>
                <w:rFonts w:ascii="Arial" w:cs="Arial" w:eastAsia="Arial" w:hAnsi="Arial"/>
                <w:sz w:val="16"/>
                <w:szCs w:val="16"/>
                <w:color w:val="auto"/>
              </w:rPr>
              <w:t>101.LAB</w:t>
            </w:r>
          </w:p>
        </w:tc>
        <w:tc>
          <w:tcPr>
            <w:tcW w:w="100" w:type="dxa"/>
            <w:vAlign w:val="bottom"/>
          </w:tcPr>
          <w:p>
            <w:pPr>
              <w:spacing w:after="0"/>
              <w:rPr>
                <w:sz w:val="24"/>
                <w:szCs w:val="24"/>
                <w:color w:val="auto"/>
              </w:rPr>
            </w:pPr>
          </w:p>
        </w:tc>
        <w:tc>
          <w:tcPr>
            <w:tcW w:w="5820" w:type="dxa"/>
            <w:vAlign w:val="bottom"/>
            <w:gridSpan w:val="7"/>
          </w:tcPr>
          <w:p>
            <w:pPr>
              <w:spacing w:after="0"/>
              <w:rPr>
                <w:sz w:val="20"/>
                <w:szCs w:val="20"/>
                <w:color w:val="auto"/>
              </w:rPr>
            </w:pPr>
            <w:r>
              <w:rPr>
                <w:rFonts w:ascii="Arial" w:cs="Arial" w:eastAsia="Arial" w:hAnsi="Arial"/>
                <w:sz w:val="16"/>
                <w:szCs w:val="16"/>
                <w:color w:val="auto"/>
              </w:rPr>
              <w:t>XBRL Taxonomy Extension Labels Linkbase</w:t>
            </w:r>
          </w:p>
        </w:tc>
      </w:tr>
      <w:tr>
        <w:trPr>
          <w:trHeight w:val="324"/>
        </w:trPr>
        <w:tc>
          <w:tcPr>
            <w:tcW w:w="960" w:type="dxa"/>
            <w:vAlign w:val="bottom"/>
          </w:tcPr>
          <w:p>
            <w:pPr>
              <w:ind w:left="140"/>
              <w:spacing w:after="0"/>
              <w:rPr>
                <w:sz w:val="20"/>
                <w:szCs w:val="20"/>
                <w:color w:val="auto"/>
              </w:rPr>
            </w:pPr>
            <w:r>
              <w:rPr>
                <w:rFonts w:ascii="Arial" w:cs="Arial" w:eastAsia="Arial" w:hAnsi="Arial"/>
                <w:sz w:val="16"/>
                <w:szCs w:val="16"/>
                <w:color w:val="auto"/>
              </w:rPr>
              <w:t>101.PRE</w:t>
            </w:r>
          </w:p>
        </w:tc>
        <w:tc>
          <w:tcPr>
            <w:tcW w:w="100" w:type="dxa"/>
            <w:vAlign w:val="bottom"/>
          </w:tcPr>
          <w:p>
            <w:pPr>
              <w:spacing w:after="0"/>
              <w:rPr>
                <w:sz w:val="24"/>
                <w:szCs w:val="24"/>
                <w:color w:val="auto"/>
              </w:rPr>
            </w:pPr>
          </w:p>
        </w:tc>
        <w:tc>
          <w:tcPr>
            <w:tcW w:w="5820" w:type="dxa"/>
            <w:vAlign w:val="bottom"/>
            <w:gridSpan w:val="7"/>
          </w:tcPr>
          <w:p>
            <w:pPr>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4"/>
          </w:tcPr>
          <w:p>
            <w:pPr>
              <w:ind w:left="260"/>
              <w:spacing w:after="0"/>
              <w:rPr>
                <w:sz w:val="20"/>
                <w:szCs w:val="20"/>
                <w:color w:val="auto"/>
              </w:rPr>
            </w:pPr>
            <w:r>
              <w:rPr>
                <w:rFonts w:ascii="Arial" w:cs="Arial" w:eastAsia="Arial" w:hAnsi="Arial"/>
                <w:sz w:val="12"/>
                <w:szCs w:val="12"/>
                <w:b w:val="1"/>
                <w:bCs w:val="1"/>
                <w:color w:val="auto"/>
              </w:rPr>
              <w:t>Incorporated by Reference</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5"/>
              </w:rPr>
              <w:t>Filed or</w:t>
            </w:r>
          </w:p>
        </w:tc>
        <w:tc>
          <w:tcPr>
            <w:tcW w:w="0" w:type="dxa"/>
            <w:vAlign w:val="bottom"/>
          </w:tcPr>
          <w:p>
            <w:pPr>
              <w:spacing w:after="0"/>
              <w:rPr>
                <w:sz w:val="1"/>
                <w:szCs w:val="1"/>
                <w:color w:val="auto"/>
              </w:rPr>
            </w:pPr>
          </w:p>
        </w:tc>
      </w:tr>
      <w:tr>
        <w:trPr>
          <w:trHeight w:val="41"/>
        </w:trPr>
        <w:tc>
          <w:tcPr>
            <w:tcW w:w="6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660" w:type="dxa"/>
            <w:vAlign w:val="bottom"/>
            <w:vMerge w:val="restart"/>
          </w:tcPr>
          <w:p>
            <w:pPr>
              <w:jc w:val="center"/>
              <w:spacing w:after="0" w:line="106" w:lineRule="exact"/>
              <w:rPr>
                <w:sz w:val="20"/>
                <w:szCs w:val="20"/>
                <w:color w:val="auto"/>
              </w:rPr>
            </w:pPr>
            <w:r>
              <w:rPr>
                <w:rFonts w:ascii="Arial" w:cs="Arial" w:eastAsia="Arial" w:hAnsi="Arial"/>
                <w:sz w:val="11"/>
                <w:szCs w:val="11"/>
                <w:b w:val="1"/>
                <w:bCs w:val="1"/>
                <w:color w:val="auto"/>
                <w:w w:val="97"/>
              </w:rPr>
              <w:t>Furnished</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3"/>
                <w:szCs w:val="3"/>
                <w:color w:val="auto"/>
              </w:rPr>
            </w:pPr>
          </w:p>
        </w:tc>
        <w:tc>
          <w:tcPr>
            <w:tcW w:w="9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File No.</w:t>
            </w:r>
          </w:p>
        </w:tc>
        <w:tc>
          <w:tcPr>
            <w:tcW w:w="140" w:type="dxa"/>
            <w:vAlign w:val="bottom"/>
          </w:tcPr>
          <w:p>
            <w:pPr>
              <w:spacing w:after="0"/>
              <w:rPr>
                <w:sz w:val="3"/>
                <w:szCs w:val="3"/>
                <w:color w:val="auto"/>
              </w:rPr>
            </w:pPr>
          </w:p>
        </w:tc>
        <w:tc>
          <w:tcPr>
            <w:tcW w:w="6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Exhibit</w:t>
            </w:r>
          </w:p>
        </w:tc>
        <w:tc>
          <w:tcPr>
            <w:tcW w:w="140" w:type="dxa"/>
            <w:vAlign w:val="bottom"/>
            <w:vMerge w:val="restart"/>
          </w:tcPr>
          <w:p>
            <w:pPr>
              <w:spacing w:after="0"/>
              <w:rPr>
                <w:sz w:val="3"/>
                <w:szCs w:val="3"/>
                <w:color w:val="auto"/>
              </w:rPr>
            </w:pPr>
          </w:p>
        </w:tc>
        <w:tc>
          <w:tcPr>
            <w:tcW w:w="9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Filing Date</w:t>
            </w:r>
          </w:p>
        </w:tc>
        <w:tc>
          <w:tcPr>
            <w:tcW w:w="1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66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Herewith</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X</w:t>
      </w:r>
    </w:p>
    <w:p>
      <w:pPr>
        <w:spacing w:after="0" w:line="397"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X</w:t>
      </w:r>
    </w:p>
    <w:p>
      <w:pPr>
        <w:spacing w:after="0" w:line="316"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X</w:t>
      </w:r>
    </w:p>
    <w:p>
      <w:pPr>
        <w:spacing w:after="0" w:line="316"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305"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X</w:t>
      </w:r>
    </w:p>
    <w:p>
      <w:pPr>
        <w:sectPr>
          <w:pgSz w:w="11900" w:h="16838" w:orient="portrait"/>
          <w:cols w:equalWidth="0" w:num="2">
            <w:col w:w="6880" w:space="140"/>
            <w:col w:w="4400"/>
          </w:cols>
          <w:pgMar w:left="240" w:top="319"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51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VIASAT, INC.</w:t>
      </w:r>
    </w:p>
    <w:p>
      <w:pPr>
        <w:spacing w:after="0" w:line="198"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August 9, 2019</w:t>
      </w:r>
      <w:r>
        <w:rPr>
          <w:sz w:val="20"/>
          <w:szCs w:val="20"/>
          <w:color w:val="auto"/>
        </w:rPr>
        <w:tab/>
      </w:r>
      <w:r>
        <w:rPr>
          <w:rFonts w:ascii="Arial" w:cs="Arial" w:eastAsia="Arial" w:hAnsi="Arial"/>
          <w:sz w:val="18"/>
          <w:szCs w:val="18"/>
          <w:color w:val="auto"/>
        </w:rPr>
        <w:t>/s/ M</w:t>
      </w:r>
      <w:r>
        <w:rPr>
          <w:rFonts w:ascii="Arial" w:cs="Arial" w:eastAsia="Arial" w:hAnsi="Arial"/>
          <w:sz w:val="13"/>
          <w:szCs w:val="13"/>
          <w:color w:val="auto"/>
        </w:rPr>
        <w:t>ARK</w:t>
      </w:r>
      <w:r>
        <w:rPr>
          <w:rFonts w:ascii="Arial" w:cs="Arial" w:eastAsia="Arial" w:hAnsi="Arial"/>
          <w:sz w:val="18"/>
          <w:szCs w:val="18"/>
          <w:color w:val="auto"/>
        </w:rPr>
        <w:t xml:space="preserve"> D</w:t>
      </w:r>
      <w:r>
        <w:rPr>
          <w:rFonts w:ascii="Arial" w:cs="Arial" w:eastAsia="Arial" w:hAnsi="Arial"/>
          <w:sz w:val="13"/>
          <w:szCs w:val="13"/>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-1905</wp:posOffset>
            </wp:positionV>
            <wp:extent cx="35502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8"/>
          <w:szCs w:val="18"/>
          <w:color w:val="auto"/>
        </w:rPr>
        <w:t>Mark Dankberg</w:t>
      </w:r>
    </w:p>
    <w:p>
      <w:pPr>
        <w:ind w:left="5820"/>
        <w:spacing w:after="0" w:line="234" w:lineRule="auto"/>
        <w:rPr>
          <w:sz w:val="20"/>
          <w:szCs w:val="20"/>
          <w:color w:val="auto"/>
        </w:rPr>
      </w:pPr>
      <w:r>
        <w:rPr>
          <w:rFonts w:ascii="Arial" w:cs="Arial" w:eastAsia="Arial" w:hAnsi="Arial"/>
          <w:sz w:val="18"/>
          <w:szCs w:val="18"/>
          <w:color w:val="auto"/>
        </w:rPr>
        <w:t>Chairman of the Board and Chief Executive Officer</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-1905</wp:posOffset>
            </wp:positionV>
            <wp:extent cx="35502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8"/>
          <w:szCs w:val="18"/>
          <w:color w:val="auto"/>
        </w:rPr>
        <w:t>Shawn Duffy</w:t>
      </w:r>
    </w:p>
    <w:p>
      <w:pPr>
        <w:ind w:left="5820"/>
        <w:spacing w:after="0" w:line="234" w:lineRule="auto"/>
        <w:rPr>
          <w:sz w:val="20"/>
          <w:szCs w:val="20"/>
          <w:color w:val="auto"/>
        </w:rPr>
      </w:pPr>
      <w:r>
        <w:rPr>
          <w:rFonts w:ascii="Arial" w:cs="Arial" w:eastAsia="Arial" w:hAnsi="Arial"/>
          <w:sz w:val="18"/>
          <w:szCs w:val="18"/>
          <w:color w:val="auto"/>
        </w:rPr>
        <w:t>Senior Vice President and Chief Financial Officer</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319" w:right="2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04"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20" w:right="6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20" w:right="160" w:hanging="512"/>
        <w:spacing w:after="0" w:line="275"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520" w:right="120" w:hanging="512"/>
        <w:spacing w:after="0" w:line="234"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03" w:lineRule="exact"/>
        <w:rPr>
          <w:rFonts w:ascii="Arial" w:cs="Arial" w:eastAsia="Arial" w:hAnsi="Arial"/>
          <w:sz w:val="18"/>
          <w:szCs w:val="18"/>
          <w:color w:val="auto"/>
        </w:rPr>
      </w:pPr>
    </w:p>
    <w:p>
      <w:pPr>
        <w:jc w:val="both"/>
        <w:ind w:left="1040" w:right="100" w:hanging="519"/>
        <w:spacing w:after="0"/>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40" w:right="440" w:hanging="519"/>
        <w:spacing w:after="0"/>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ind w:left="1040" w:hanging="519"/>
        <w:spacing w:after="0"/>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40" w:right="180" w:hanging="519"/>
        <w:spacing w:after="0"/>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20" w:right="1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40" w:right="60" w:hanging="519"/>
        <w:spacing w:after="0" w:line="246"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8"/>
          <w:szCs w:val="18"/>
          <w:color w:val="auto"/>
        </w:rPr>
      </w:pPr>
    </w:p>
    <w:p>
      <w:pPr>
        <w:ind w:left="1040" w:right="300" w:hanging="519"/>
        <w:spacing w:after="0" w:line="246"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August 9, 2019</w:t>
      </w:r>
      <w:r>
        <w:rPr>
          <w:sz w:val="20"/>
          <w:szCs w:val="20"/>
          <w:color w:val="auto"/>
        </w:rPr>
        <w:tab/>
      </w: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w:t>
      </w:r>
      <w:r>
        <w:rPr>
          <w:rFonts w:ascii="Arial" w:cs="Arial" w:eastAsia="Arial" w:hAnsi="Arial"/>
          <w:sz w:val="12"/>
          <w:szCs w:val="12"/>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6350</wp:posOffset>
            </wp:positionV>
            <wp:extent cx="28213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Mark Dankberg</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3"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CERTIFICATION OF CHIEF FINANCIAL OFFICER PURSUANT</w:t>
      </w:r>
    </w:p>
    <w:p>
      <w:pPr>
        <w:ind w:left="3220"/>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04"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20" w:right="6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20" w:right="160" w:hanging="512"/>
        <w:spacing w:after="0" w:line="275"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520" w:right="120" w:hanging="512"/>
        <w:spacing w:after="0" w:line="234"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03" w:lineRule="exact"/>
        <w:rPr>
          <w:rFonts w:ascii="Arial" w:cs="Arial" w:eastAsia="Arial" w:hAnsi="Arial"/>
          <w:sz w:val="18"/>
          <w:szCs w:val="18"/>
          <w:color w:val="auto"/>
        </w:rPr>
      </w:pPr>
    </w:p>
    <w:p>
      <w:pPr>
        <w:jc w:val="both"/>
        <w:ind w:left="1040" w:right="100" w:hanging="519"/>
        <w:spacing w:after="0"/>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40" w:right="440" w:hanging="519"/>
        <w:spacing w:after="0"/>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ind w:left="1040" w:hanging="519"/>
        <w:spacing w:after="0"/>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40" w:right="180" w:hanging="519"/>
        <w:spacing w:after="0"/>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20" w:right="1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40" w:right="60" w:hanging="519"/>
        <w:spacing w:after="0" w:line="246"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8"/>
          <w:szCs w:val="18"/>
          <w:color w:val="auto"/>
        </w:rPr>
      </w:pPr>
    </w:p>
    <w:p>
      <w:pPr>
        <w:ind w:left="1040" w:right="300" w:hanging="519"/>
        <w:spacing w:after="0" w:line="246"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August 9, 2019</w:t>
      </w:r>
      <w:r>
        <w:rPr>
          <w:sz w:val="20"/>
          <w:szCs w:val="20"/>
          <w:color w:val="auto"/>
        </w:rPr>
        <w:tab/>
      </w: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6350</wp:posOffset>
            </wp:positionV>
            <wp:extent cx="28213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Shawn Duffy</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3"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ind w:left="1040" w:right="6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2019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1040" w:right="160" w:hanging="519"/>
        <w:spacing w:after="0" w:line="246"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August 9, 2019</w:t>
      </w:r>
      <w:r>
        <w:rPr>
          <w:sz w:val="20"/>
          <w:szCs w:val="20"/>
          <w:color w:val="auto"/>
        </w:rPr>
        <w:tab/>
      </w:r>
      <w:r>
        <w:rPr>
          <w:rFonts w:ascii="Arial" w:cs="Arial" w:eastAsia="Arial" w:hAnsi="Arial"/>
          <w:sz w:val="18"/>
          <w:szCs w:val="18"/>
          <w:color w:val="auto"/>
        </w:rPr>
        <w:t>/s/ M</w:t>
      </w:r>
      <w:r>
        <w:rPr>
          <w:rFonts w:ascii="Arial" w:cs="Arial" w:eastAsia="Arial" w:hAnsi="Arial"/>
          <w:sz w:val="13"/>
          <w:szCs w:val="13"/>
          <w:color w:val="auto"/>
        </w:rPr>
        <w:t>ARK</w:t>
      </w:r>
      <w:r>
        <w:rPr>
          <w:rFonts w:ascii="Arial" w:cs="Arial" w:eastAsia="Arial" w:hAnsi="Arial"/>
          <w:sz w:val="18"/>
          <w:szCs w:val="18"/>
          <w:color w:val="auto"/>
        </w:rPr>
        <w:t xml:space="preserve"> D</w:t>
      </w:r>
      <w:r>
        <w:rPr>
          <w:rFonts w:ascii="Arial" w:cs="Arial" w:eastAsia="Arial" w:hAnsi="Arial"/>
          <w:sz w:val="13"/>
          <w:szCs w:val="13"/>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6350</wp:posOffset>
            </wp:positionV>
            <wp:extent cx="28213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Mark Dankberg</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ind w:left="1040" w:right="6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2019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1040" w:right="160" w:hanging="519"/>
        <w:spacing w:after="0" w:line="246"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August 9, 2019</w:t>
      </w:r>
      <w:r>
        <w:rPr>
          <w:sz w:val="20"/>
          <w:szCs w:val="20"/>
          <w:color w:val="auto"/>
        </w:rPr>
        <w:tab/>
      </w: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6350</wp:posOffset>
            </wp:positionV>
            <wp:extent cx="28213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Shawn Duffy</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lowerRoman"/>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2019-12-28T07:40:29Z</dcterms:created>
  <dcterms:modified xsi:type="dcterms:W3CDTF">2019-12-28T07:40:29Z</dcterms:modified>
</cp:coreProperties>
</file>