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ownership.xml.htm"/>
      <w:bookmarkStart w:id="1" w:name="ksownership"/>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Miller Craig Andrew</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VIASAT INC</w:t>
              </w:r>
            </w:hyperlink>
            <w:r>
              <w:t xml:space="preserve"> [ </w:t>
            </w:r>
            <w:r>
              <w:rPr>
                <w:rFonts w:ascii="Times;serif" w:hAnsi="Times;serif"/>
                <w:color w:val="0000FF"/>
                <w:sz w:val="24"/>
                <w:shd w:fill="FFFFFF" w:val="clear"/>
              </w:rPr>
              <w:t>VSAT</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Pres Viasat Government</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6"/>
        <w:gridCol w:w="914"/>
        <w:gridCol w:w="783"/>
        <w:gridCol w:w="607"/>
        <w:gridCol w:w="346"/>
        <w:gridCol w:w="923"/>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6" w:type="dxa"/>
            <w:vMerge w:val="continue"/>
            <w:tcBorders>
              <w:left w:val="single" w:sz="6" w:space="0" w:color="808080"/>
              <w:bottom w:val="single" w:sz="2" w:space="0" w:color="808080"/>
              <w:right w:val="single" w:sz="6" w:space="0" w:color="808080"/>
            </w:tcBorders>
          </w:tcPr>
          <w:p>
            <w:pPr>
              <w:pStyle w:val="Normal"/>
              <w:bidi w:val="0"/>
              <w:jc w:val="left"/>
            </w:pPr>
            <w:r/>
          </w:p>
        </w:tc>
        <w:tc>
          <w:tcPr>
            <w:tcW w:w="914" w:type="dxa"/>
            <w:vMerge w:val="continue"/>
            <w:tcBorders>
              <w:left w:val="single" w:sz="2" w:space="0" w:color="808080"/>
              <w:bottom w:val="single" w:sz="2" w:space="0" w:color="808080"/>
              <w:right w:val="single" w:sz="6" w:space="0" w:color="808080"/>
            </w:tcBorders>
          </w:tcPr>
          <w:p>
            <w:pPr>
              <w:pStyle w:val="Normal"/>
              <w:bidi w:val="0"/>
              <w:jc w:val="left"/>
            </w:pPr>
            <w:r/>
          </w:p>
        </w:tc>
        <w:tc>
          <w:tcPr>
            <w:tcW w:w="783" w:type="dxa"/>
            <w:vMerge w:val="continue"/>
            <w:tcBorders>
              <w:left w:val="single" w:sz="2" w:space="0" w:color="808080"/>
              <w:bottom w:val="single" w:sz="2" w:space="0" w:color="808080"/>
              <w:right w:val="single" w:sz="6" w:space="0" w:color="808080"/>
            </w:tcBorders>
          </w:tcPr>
          <w:p>
            <w:pPr>
              <w:pStyle w:val="Normal"/>
              <w:bidi w:val="0"/>
              <w:jc w:val="left"/>
            </w:p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pPr>
            <w:r/>
          </w:p>
        </w:tc>
        <w:tc>
          <w:tcPr>
            <w:tcW w:w="986" w:type="dxa"/>
            <w:vMerge w:val="continue"/>
            <w:tcBorders>
              <w:left w:val="single" w:sz="2" w:space="0" w:color="808080"/>
              <w:bottom w:val="single" w:sz="2" w:space="0" w:color="808080"/>
              <w:right w:val="single" w:sz="6" w:space="0" w:color="808080"/>
            </w:tcBorders>
          </w:tcPr>
          <w:p>
            <w:pPr>
              <w:pStyle w:val="Normal"/>
              <w:bidi w:val="0"/>
              <w:jc w:val="left"/>
            </w:pPr>
            <w:r/>
          </w:p>
        </w:tc>
        <w:tc>
          <w:tcPr>
            <w:tcW w:w="924"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34</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11,850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70.0111</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70.3825</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r>
        <w:tc>
          <w:tcPr>
            <w:tcW w:w="21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55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846"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A</w:t>
            </w:r>
            <w:r>
              <w:rPr>
                <w:rFonts w:ascii="Times;serif" w:hAnsi="Times;serif"/>
                <w:color w:val="008000"/>
                <w:position w:val="7"/>
                <w:sz w:val="16"/>
                <w:sz w:val="20"/>
                <w:shd w:fill="FFFFFF" w:val="clear"/>
              </w:rPr>
              <w:t>(4)</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11/17/2028</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11/17/2028</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pursuant to Rule 10b5-1 Plan adopted on November 25, 2025.</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$69.34 to $70.305.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$70.34 to $70.4.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was originally granted on November 17, 2022, and was subject to both time-based and performance-based vesting conditions. On November 3, 2026, the Compensation and Human Resources Committee of the Issuer's Board of Directors determined that the financial performance goals had been met. Following certification of performance results, the Stock Option is fully vested and currently exercisable with respect to 75% of the shares and will vest with respect to the remaining shares on November 17,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4468"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878</Words>
  <Characters>4702</Characters>
  <CharactersWithSpaces>5462</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