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202E39"/>
        </w:rPr>
        <w:t>SCHEDULE 14A INFORMATION</w:t>
      </w:r>
    </w:p>
    <w:p>
      <w:pPr>
        <w:spacing w:after="0" w:line="23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202E39"/>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202E39"/>
        </w:rPr>
        <w:t>Securities Exchange Act of 1934</w:t>
      </w:r>
    </w:p>
    <w:p>
      <w:pPr>
        <w:spacing w:after="0" w:line="19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02E39"/>
        </w:rPr>
        <w:t xml:space="preserve">Filed by the Registrant </w:t>
      </w:r>
      <w:r>
        <w:rPr>
          <w:rFonts w:ascii="MS PGothic" w:cs="MS PGothic" w:eastAsia="MS PGothic" w:hAnsi="MS PGothic"/>
          <w:sz w:val="18"/>
          <w:szCs w:val="18"/>
          <w:color w:val="202E39"/>
        </w:rPr>
        <w:t>☒</w:t>
      </w:r>
    </w:p>
    <w:p>
      <w:pPr>
        <w:spacing w:after="0" w:line="51"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202E39"/>
        </w:rPr>
        <w:t xml:space="preserve">Filed by a Party other than the Registrant </w:t>
      </w:r>
      <w:r>
        <w:rPr>
          <w:rFonts w:ascii="MS PGothic" w:cs="MS PGothic" w:eastAsia="MS PGothic" w:hAnsi="MS PGothic"/>
          <w:sz w:val="18"/>
          <w:szCs w:val="18"/>
          <w:color w:val="202E39"/>
        </w:rPr>
        <w:t>☐</w:t>
      </w:r>
    </w:p>
    <w:p>
      <w:pPr>
        <w:spacing w:after="0" w:line="256" w:lineRule="exact"/>
        <w:rPr>
          <w:sz w:val="24"/>
          <w:szCs w:val="24"/>
          <w:color w:val="auto"/>
        </w:rPr>
      </w:pPr>
    </w:p>
    <w:p>
      <w:pPr>
        <w:ind w:left="120"/>
        <w:spacing w:after="0"/>
        <w:rPr>
          <w:sz w:val="20"/>
          <w:szCs w:val="20"/>
          <w:color w:val="auto"/>
        </w:rPr>
      </w:pPr>
      <w:r>
        <w:rPr>
          <w:rFonts w:ascii="Arial" w:cs="Arial" w:eastAsia="Arial" w:hAnsi="Arial"/>
          <w:sz w:val="18"/>
          <w:szCs w:val="18"/>
          <w:color w:val="202E39"/>
        </w:rPr>
        <w:t>Check the appropriate box:</w:t>
      </w:r>
    </w:p>
    <w:p>
      <w:pPr>
        <w:spacing w:after="0" w:line="23" w:lineRule="exact"/>
        <w:rPr>
          <w:sz w:val="24"/>
          <w:szCs w:val="24"/>
          <w:color w:val="auto"/>
        </w:rPr>
      </w:pP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Preliminary Proxy Statement</w:t>
      </w:r>
    </w:p>
    <w:p>
      <w:pPr>
        <w:spacing w:after="0" w:line="9" w:lineRule="exact"/>
        <w:rPr>
          <w:rFonts w:ascii="MS PGothic" w:cs="MS PGothic" w:eastAsia="MS PGothic" w:hAnsi="MS PGothic"/>
          <w:sz w:val="18"/>
          <w:szCs w:val="18"/>
          <w:color w:val="202E39"/>
        </w:rPr>
      </w:pPr>
    </w:p>
    <w:p>
      <w:pPr>
        <w:ind w:left="120" w:right="4260" w:hanging="4"/>
        <w:spacing w:after="0" w:line="216" w:lineRule="exact"/>
        <w:tabs>
          <w:tab w:leader="none" w:pos="457"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 xml:space="preserve">Confidential, for Use of the Commission Only (as permitted by Rule 14a-6(e)(2)) </w:t>
      </w:r>
      <w:r>
        <w:rPr>
          <w:rFonts w:ascii="MS PGothic" w:cs="MS PGothic" w:eastAsia="MS PGothic" w:hAnsi="MS PGothic"/>
          <w:sz w:val="18"/>
          <w:szCs w:val="18"/>
          <w:color w:val="202E39"/>
        </w:rPr>
        <w:t>☒</w:t>
      </w:r>
      <w:r>
        <w:rPr>
          <w:rFonts w:ascii="Arial" w:cs="Arial" w:eastAsia="Arial" w:hAnsi="Arial"/>
          <w:sz w:val="18"/>
          <w:szCs w:val="18"/>
          <w:color w:val="202E39"/>
        </w:rPr>
        <w:t xml:space="preserve"> Definitive Proxy Statement</w:t>
      </w: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Definitive Additional Materials</w:t>
      </w:r>
    </w:p>
    <w:p>
      <w:pPr>
        <w:spacing w:after="0" w:line="9" w:lineRule="exact"/>
        <w:rPr>
          <w:rFonts w:ascii="MS PGothic" w:cs="MS PGothic" w:eastAsia="MS PGothic" w:hAnsi="MS PGothic"/>
          <w:sz w:val="18"/>
          <w:szCs w:val="18"/>
          <w:color w:val="202E39"/>
        </w:rPr>
      </w:pPr>
    </w:p>
    <w:p>
      <w:pPr>
        <w:ind w:left="460" w:hanging="344"/>
        <w:spacing w:after="0"/>
        <w:tabs>
          <w:tab w:leader="none" w:pos="46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Soliciting Material under Rule 14a-12</w:t>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202E39"/>
        </w:rPr>
        <w:t>VIASAT, INC.</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202E3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ind w:left="2760"/>
        <w:spacing w:after="0"/>
        <w:rPr>
          <w:sz w:val="20"/>
          <w:szCs w:val="20"/>
          <w:color w:val="auto"/>
        </w:rPr>
      </w:pPr>
      <w:r>
        <w:rPr>
          <w:rFonts w:ascii="Arial" w:cs="Arial" w:eastAsia="Arial" w:hAnsi="Arial"/>
          <w:sz w:val="18"/>
          <w:szCs w:val="18"/>
          <w:color w:val="202E39"/>
        </w:rPr>
        <w:t>(Name of Person(s) Filing Proxy Statement, if other than the Registrant)</w:t>
      </w:r>
    </w:p>
    <w:p>
      <w:pPr>
        <w:spacing w:after="0" w:line="239" w:lineRule="exact"/>
        <w:rPr>
          <w:sz w:val="24"/>
          <w:szCs w:val="24"/>
          <w:color w:val="auto"/>
        </w:rPr>
      </w:pPr>
    </w:p>
    <w:p>
      <w:pPr>
        <w:ind w:left="120"/>
        <w:spacing w:after="0"/>
        <w:rPr>
          <w:sz w:val="20"/>
          <w:szCs w:val="20"/>
          <w:color w:val="auto"/>
        </w:rPr>
      </w:pPr>
      <w:r>
        <w:rPr>
          <w:rFonts w:ascii="Arial" w:cs="Arial" w:eastAsia="Arial" w:hAnsi="Arial"/>
          <w:sz w:val="18"/>
          <w:szCs w:val="18"/>
          <w:color w:val="202E39"/>
        </w:rPr>
        <w:t>Payment of Filing Fee (Check the appropriate box):</w:t>
      </w:r>
    </w:p>
    <w:p>
      <w:pPr>
        <w:spacing w:after="0" w:line="266" w:lineRule="exact"/>
        <w:rPr>
          <w:sz w:val="24"/>
          <w:szCs w:val="24"/>
          <w:color w:val="auto"/>
        </w:rPr>
      </w:pPr>
    </w:p>
    <w:p>
      <w:pPr>
        <w:ind w:left="440" w:hanging="324"/>
        <w:spacing w:after="0"/>
        <w:tabs>
          <w:tab w:leader="none" w:pos="440" w:val="left"/>
        </w:tabs>
        <w:numPr>
          <w:ilvl w:val="0"/>
          <w:numId w:val="2"/>
        </w:numPr>
        <w:rPr>
          <w:rFonts w:ascii="MS PGothic" w:cs="MS PGothic" w:eastAsia="MS PGothic" w:hAnsi="MS PGothic"/>
          <w:sz w:val="18"/>
          <w:szCs w:val="18"/>
          <w:color w:val="202E39"/>
        </w:rPr>
      </w:pPr>
      <w:r>
        <w:rPr>
          <w:rFonts w:ascii="Arial" w:cs="Arial" w:eastAsia="Arial" w:hAnsi="Arial"/>
          <w:sz w:val="18"/>
          <w:szCs w:val="18"/>
          <w:color w:val="202E39"/>
        </w:rPr>
        <w:t>No fee required.</w:t>
      </w:r>
    </w:p>
    <w:p>
      <w:pPr>
        <w:spacing w:after="0" w:line="261" w:lineRule="exact"/>
        <w:rPr>
          <w:sz w:val="24"/>
          <w:szCs w:val="24"/>
          <w:color w:val="auto"/>
        </w:rPr>
      </w:pPr>
    </w:p>
    <w:p>
      <w:pPr>
        <w:ind w:left="440" w:hanging="324"/>
        <w:spacing w:after="0"/>
        <w:tabs>
          <w:tab w:leader="none" w:pos="44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computed on table below per Exchange Act Rules 14a-6(i)(1) and 0-11.</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Title of each class of securities to which transaction applies:</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Aggregate number of securities to which transaction applies:</w:t>
      </w:r>
    </w:p>
    <w:p>
      <w:pPr>
        <w:ind w:left="780" w:right="32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202E39"/>
        </w:rPr>
      </w:pP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Proposed maximum aggregate value of transaction:</w:t>
      </w:r>
    </w:p>
    <w:p>
      <w:pPr>
        <w:ind w:left="780" w:hanging="340"/>
        <w:spacing w:after="0"/>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Total fee paid:</w:t>
      </w:r>
    </w:p>
    <w:p>
      <w:pPr>
        <w:spacing w:after="0" w:line="238" w:lineRule="exact"/>
        <w:rPr>
          <w:rFonts w:ascii="Arial" w:cs="Arial" w:eastAsia="Arial" w:hAnsi="Arial"/>
          <w:sz w:val="18"/>
          <w:szCs w:val="18"/>
          <w:color w:val="202E39"/>
        </w:rPr>
      </w:pPr>
    </w:p>
    <w:p>
      <w:pPr>
        <w:ind w:left="440" w:hanging="324"/>
        <w:spacing w:after="0"/>
        <w:tabs>
          <w:tab w:leader="none" w:pos="44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paid previously with preliminary materials.</w:t>
      </w:r>
    </w:p>
    <w:p>
      <w:pPr>
        <w:spacing w:after="0" w:line="306" w:lineRule="exact"/>
        <w:rPr>
          <w:rFonts w:ascii="MS PGothic" w:cs="MS PGothic" w:eastAsia="MS PGothic" w:hAnsi="MS PGothic"/>
          <w:sz w:val="18"/>
          <w:szCs w:val="18"/>
          <w:color w:val="202E39"/>
        </w:rPr>
      </w:pPr>
    </w:p>
    <w:p>
      <w:pPr>
        <w:ind w:left="440" w:hanging="324"/>
        <w:spacing w:after="0" w:line="274" w:lineRule="auto"/>
        <w:tabs>
          <w:tab w:leader="none" w:pos="440" w:val="left"/>
        </w:tabs>
        <w:numPr>
          <w:ilvl w:val="0"/>
          <w:numId w:val="3"/>
        </w:numPr>
        <w:rPr>
          <w:rFonts w:ascii="MS PGothic" w:cs="MS PGothic" w:eastAsia="MS PGothic" w:hAnsi="MS PGothic"/>
          <w:sz w:val="17"/>
          <w:szCs w:val="17"/>
          <w:color w:val="202E39"/>
        </w:rPr>
      </w:pPr>
      <w:r>
        <w:rPr>
          <w:rFonts w:ascii="Arial" w:cs="Arial" w:eastAsia="Arial" w:hAnsi="Arial"/>
          <w:sz w:val="17"/>
          <w:szCs w:val="17"/>
          <w:color w:val="202E39"/>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7"/>
          <w:szCs w:val="17"/>
          <w:color w:val="202E39"/>
        </w:rPr>
      </w:pPr>
    </w:p>
    <w:p>
      <w:pPr>
        <w:ind w:left="780" w:hanging="340"/>
        <w:spacing w:after="0"/>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Amount Previously Paid:</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Form, Schedule or Registration Statement No.:</w:t>
      </w:r>
    </w:p>
    <w:p>
      <w:pPr>
        <w:ind w:left="780" w:hanging="340"/>
        <w:spacing w:after="0" w:line="234" w:lineRule="auto"/>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Filing Party:</w:t>
      </w:r>
    </w:p>
    <w:p>
      <w:pPr>
        <w:ind w:left="780" w:hanging="340"/>
        <w:spacing w:after="0"/>
        <w:tabs>
          <w:tab w:leader="none" w:pos="78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Date Filed:</w:t>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3980" w:right="1900"/>
        <w:spacing w:after="0" w:line="268" w:lineRule="auto"/>
        <w:rPr>
          <w:sz w:val="20"/>
          <w:szCs w:val="20"/>
          <w:color w:val="auto"/>
        </w:rPr>
      </w:pPr>
      <w:r>
        <w:rPr>
          <w:rFonts w:ascii="Arial" w:cs="Arial" w:eastAsia="Arial" w:hAnsi="Arial"/>
          <w:sz w:val="35"/>
          <w:szCs w:val="35"/>
          <w:color w:val="009FE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-568960</wp:posOffset>
            </wp:positionV>
            <wp:extent cx="137160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810" w:type="dxa"/>
            <w:vAlign w:val="bottom"/>
          </w:tcPr>
          <w:p>
            <w:pPr>
              <w:spacing w:after="0"/>
              <w:rPr>
                <w:sz w:val="20"/>
                <w:szCs w:val="20"/>
                <w:color w:val="auto"/>
              </w:rPr>
            </w:pPr>
            <w:r>
              <w:rPr>
                <w:rFonts w:ascii="Arial" w:cs="Arial" w:eastAsia="Arial" w:hAnsi="Arial"/>
                <w:sz w:val="16"/>
                <w:szCs w:val="16"/>
                <w:b w:val="1"/>
                <w:bCs w:val="1"/>
                <w:color w:val="009FE3"/>
              </w:rPr>
              <w:t>Meeting Information</w:t>
            </w:r>
          </w:p>
        </w:tc>
        <w:tc>
          <w:tcPr>
            <w:tcW w:w="225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14"/>
        </w:trPr>
        <w:tc>
          <w:tcPr>
            <w:tcW w:w="2810" w:type="dxa"/>
            <w:vAlign w:val="bottom"/>
          </w:tcPr>
          <w:p>
            <w:pPr>
              <w:spacing w:after="0"/>
              <w:rPr>
                <w:sz w:val="9"/>
                <w:szCs w:val="9"/>
                <w:color w:val="auto"/>
              </w:rPr>
            </w:pPr>
          </w:p>
        </w:tc>
        <w:tc>
          <w:tcPr>
            <w:tcW w:w="2250" w:type="dxa"/>
            <w:vAlign w:val="bottom"/>
          </w:tcPr>
          <w:p>
            <w:pPr>
              <w:spacing w:after="0"/>
              <w:rPr>
                <w:sz w:val="9"/>
                <w:szCs w:val="9"/>
                <w:color w:val="auto"/>
              </w:rPr>
            </w:pPr>
          </w:p>
        </w:tc>
        <w:tc>
          <w:tcPr>
            <w:tcW w:w="2480" w:type="dxa"/>
            <w:vAlign w:val="bottom"/>
          </w:tcPr>
          <w:p>
            <w:pPr>
              <w:spacing w:after="0"/>
              <w:rPr>
                <w:sz w:val="9"/>
                <w:szCs w:val="9"/>
                <w:color w:val="auto"/>
              </w:rPr>
            </w:pPr>
          </w:p>
        </w:tc>
        <w:tc>
          <w:tcPr>
            <w:tcW w:w="3480" w:type="dxa"/>
            <w:vAlign w:val="bottom"/>
          </w:tcPr>
          <w:p>
            <w:pPr>
              <w:spacing w:after="0"/>
              <w:rPr>
                <w:sz w:val="9"/>
                <w:szCs w:val="9"/>
                <w:color w:val="auto"/>
              </w:rPr>
            </w:pPr>
          </w:p>
        </w:tc>
      </w:tr>
      <w:tr>
        <w:trPr>
          <w:trHeight w:val="312"/>
        </w:trPr>
        <w:tc>
          <w:tcPr>
            <w:tcW w:w="281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DATE:</w:t>
            </w:r>
          </w:p>
        </w:tc>
        <w:tc>
          <w:tcPr>
            <w:tcW w:w="2250" w:type="dxa"/>
            <w:vAlign w:val="bottom"/>
            <w:shd w:val="clear" w:color="auto" w:fill="009FE3"/>
          </w:tcPr>
          <w:p>
            <w:pPr>
              <w:ind w:left="70"/>
              <w:spacing w:after="0"/>
              <w:rPr>
                <w:sz w:val="20"/>
                <w:szCs w:val="20"/>
                <w:color w:val="auto"/>
              </w:rPr>
            </w:pPr>
            <w:r>
              <w:rPr>
                <w:rFonts w:ascii="Arial" w:cs="Arial" w:eastAsia="Arial" w:hAnsi="Arial"/>
                <w:sz w:val="16"/>
                <w:szCs w:val="16"/>
                <w:color w:val="FFFFFF"/>
              </w:rPr>
              <w:t>TIME:</w:t>
            </w:r>
          </w:p>
        </w:tc>
        <w:tc>
          <w:tcPr>
            <w:tcW w:w="248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PLACE:</w:t>
            </w:r>
          </w:p>
        </w:tc>
        <w:tc>
          <w:tcPr>
            <w:tcW w:w="3480" w:type="dxa"/>
            <w:vAlign w:val="bottom"/>
            <w:shd w:val="clear" w:color="auto" w:fill="009FE3"/>
          </w:tcPr>
          <w:p>
            <w:pPr>
              <w:ind w:left="840"/>
              <w:spacing w:after="0"/>
              <w:rPr>
                <w:sz w:val="20"/>
                <w:szCs w:val="20"/>
                <w:color w:val="auto"/>
              </w:rPr>
            </w:pPr>
            <w:r>
              <w:rPr>
                <w:rFonts w:ascii="Arial" w:cs="Arial" w:eastAsia="Arial" w:hAnsi="Arial"/>
                <w:sz w:val="16"/>
                <w:szCs w:val="16"/>
                <w:color w:val="FFFFFF"/>
              </w:rPr>
              <w:t>RECORD DATE:</w:t>
            </w:r>
          </w:p>
        </w:tc>
      </w:tr>
      <w:tr>
        <w:trPr>
          <w:trHeight w:val="195"/>
        </w:trPr>
        <w:tc>
          <w:tcPr>
            <w:tcW w:w="281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September 2, 2021</w:t>
            </w:r>
          </w:p>
        </w:tc>
        <w:tc>
          <w:tcPr>
            <w:tcW w:w="2250" w:type="dxa"/>
            <w:vAlign w:val="bottom"/>
            <w:shd w:val="clear" w:color="auto" w:fill="009FE3"/>
          </w:tcPr>
          <w:p>
            <w:pPr>
              <w:ind w:left="70"/>
              <w:spacing w:after="0"/>
              <w:rPr>
                <w:sz w:val="20"/>
                <w:szCs w:val="20"/>
                <w:color w:val="auto"/>
              </w:rPr>
            </w:pPr>
            <w:r>
              <w:rPr>
                <w:rFonts w:ascii="Arial" w:cs="Arial" w:eastAsia="Arial" w:hAnsi="Arial"/>
                <w:sz w:val="16"/>
                <w:szCs w:val="16"/>
                <w:color w:val="FFFFFF"/>
              </w:rPr>
              <w:t>8:30 a.m. Pacific Time</w:t>
            </w:r>
          </w:p>
        </w:tc>
        <w:tc>
          <w:tcPr>
            <w:tcW w:w="248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Virtual Meeting</w:t>
            </w:r>
          </w:p>
        </w:tc>
        <w:tc>
          <w:tcPr>
            <w:tcW w:w="3480" w:type="dxa"/>
            <w:vAlign w:val="bottom"/>
            <w:shd w:val="clear" w:color="auto" w:fill="009FE3"/>
          </w:tcPr>
          <w:p>
            <w:pPr>
              <w:ind w:left="840"/>
              <w:spacing w:after="0"/>
              <w:rPr>
                <w:sz w:val="20"/>
                <w:szCs w:val="20"/>
                <w:color w:val="auto"/>
              </w:rPr>
            </w:pPr>
            <w:r>
              <w:rPr>
                <w:rFonts w:ascii="Arial" w:cs="Arial" w:eastAsia="Arial" w:hAnsi="Arial"/>
                <w:sz w:val="16"/>
                <w:szCs w:val="16"/>
                <w:color w:val="FFFFFF"/>
              </w:rPr>
              <w:t>July 8, 2021</w:t>
            </w:r>
          </w:p>
        </w:tc>
      </w:tr>
      <w:tr>
        <w:trPr>
          <w:trHeight w:val="127"/>
        </w:trPr>
        <w:tc>
          <w:tcPr>
            <w:tcW w:w="2810" w:type="dxa"/>
            <w:vAlign w:val="bottom"/>
            <w:shd w:val="clear" w:color="auto" w:fill="009FE3"/>
          </w:tcPr>
          <w:p>
            <w:pPr>
              <w:spacing w:after="0"/>
              <w:rPr>
                <w:sz w:val="11"/>
                <w:szCs w:val="11"/>
                <w:color w:val="auto"/>
              </w:rPr>
            </w:pPr>
          </w:p>
        </w:tc>
        <w:tc>
          <w:tcPr>
            <w:tcW w:w="2250" w:type="dxa"/>
            <w:vAlign w:val="bottom"/>
            <w:shd w:val="clear" w:color="auto" w:fill="009FE3"/>
          </w:tcPr>
          <w:p>
            <w:pPr>
              <w:spacing w:after="0"/>
              <w:rPr>
                <w:sz w:val="11"/>
                <w:szCs w:val="11"/>
                <w:color w:val="auto"/>
              </w:rPr>
            </w:pPr>
          </w:p>
        </w:tc>
        <w:tc>
          <w:tcPr>
            <w:tcW w:w="2480" w:type="dxa"/>
            <w:vAlign w:val="bottom"/>
            <w:shd w:val="clear" w:color="auto" w:fill="009FE3"/>
          </w:tcPr>
          <w:p>
            <w:pPr>
              <w:spacing w:after="0"/>
              <w:rPr>
                <w:sz w:val="11"/>
                <w:szCs w:val="11"/>
                <w:color w:val="auto"/>
              </w:rPr>
            </w:pPr>
          </w:p>
        </w:tc>
        <w:tc>
          <w:tcPr>
            <w:tcW w:w="3480" w:type="dxa"/>
            <w:vAlign w:val="bottom"/>
            <w:shd w:val="clear" w:color="auto" w:fill="009FE3"/>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-325120</wp:posOffset>
            </wp:positionV>
            <wp:extent cx="8255"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4892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-325120</wp:posOffset>
            </wp:positionV>
            <wp:extent cx="8255"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48920"/>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-325120</wp:posOffset>
            </wp:positionV>
            <wp:extent cx="889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48920"/>
                    </a:xfrm>
                    <a:prstGeom prst="rect">
                      <a:avLst/>
                    </a:prstGeom>
                    <a:noFill/>
                  </pic:spPr>
                </pic:pic>
              </a:graphicData>
            </a:graphic>
          </wp:anchor>
        </w:drawing>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Dear Fellow Stockholder:</w:t>
      </w:r>
    </w:p>
    <w:p>
      <w:pPr>
        <w:spacing w:after="0" w:line="93" w:lineRule="exact"/>
        <w:rPr>
          <w:sz w:val="20"/>
          <w:szCs w:val="20"/>
          <w:color w:val="auto"/>
        </w:rPr>
      </w:pPr>
    </w:p>
    <w:p>
      <w:pPr>
        <w:ind w:left="120" w:right="440"/>
        <w:spacing w:after="0" w:line="254" w:lineRule="auto"/>
        <w:rPr>
          <w:sz w:val="20"/>
          <w:szCs w:val="20"/>
          <w:color w:val="auto"/>
        </w:rPr>
      </w:pPr>
      <w:r>
        <w:rPr>
          <w:rFonts w:ascii="Arial" w:cs="Arial" w:eastAsia="Arial" w:hAnsi="Arial"/>
          <w:sz w:val="16"/>
          <w:szCs w:val="16"/>
          <w:color w:val="202E39"/>
        </w:rPr>
        <w:t xml:space="preserve">You are cordially invited to attend our 2021 annual meeting of stockholders, which will be held on September 2, 2021 at 8:30 a.m. Pacific Time. </w:t>
      </w:r>
      <w:r>
        <w:rPr>
          <w:rFonts w:ascii="Arial" w:cs="Arial" w:eastAsia="Arial" w:hAnsi="Arial"/>
          <w:sz w:val="16"/>
          <w:szCs w:val="16"/>
          <w:b w:val="1"/>
          <w:bCs w:val="1"/>
          <w:color w:val="009FE3"/>
        </w:rPr>
        <w:t>This</w:t>
      </w:r>
      <w:r>
        <w:rPr>
          <w:rFonts w:ascii="Arial" w:cs="Arial" w:eastAsia="Arial" w:hAnsi="Arial"/>
          <w:sz w:val="16"/>
          <w:szCs w:val="16"/>
          <w:color w:val="202E39"/>
        </w:rPr>
        <w:t xml:space="preserve"> </w:t>
      </w:r>
      <w:r>
        <w:rPr>
          <w:rFonts w:ascii="Arial" w:cs="Arial" w:eastAsia="Arial" w:hAnsi="Arial"/>
          <w:sz w:val="16"/>
          <w:szCs w:val="16"/>
          <w:b w:val="1"/>
          <w:bCs w:val="1"/>
          <w:color w:val="009FE3"/>
        </w:rPr>
        <w:t>year’s annual meeting will be a completely virtual meeting of stockholders. We are hosting our annual meeting exclusively online via live webcast to safeguard the health and well-being of our stockholders and employees in light of the public health impact of the coronavirus (COVID-19) pandemic. To participate, vote or submit questions during the annual meeting via live webcast, please visit: www.virtualshareholdermeeting.com/VSAT2021. There will not be a physical location for the annual meeting. We are holding the annual meeting for the following purposes:</w:t>
      </w:r>
    </w:p>
    <w:p>
      <w:pPr>
        <w:spacing w:after="0" w:line="107" w:lineRule="exact"/>
        <w:rPr>
          <w:sz w:val="20"/>
          <w:szCs w:val="20"/>
          <w:color w:val="auto"/>
        </w:rPr>
      </w:pPr>
    </w:p>
    <w:p>
      <w:pPr>
        <w:ind w:left="980" w:right="420" w:hanging="432"/>
        <w:spacing w:after="0" w:line="260" w:lineRule="auto"/>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elect Robert Johnson, John Stenbit and Theresa Wise to serve as Class I Directors for a three-year term to expire at the 2024 annual meeting of stockholders.</w:t>
      </w:r>
    </w:p>
    <w:p>
      <w:pPr>
        <w:spacing w:after="0" w:line="46"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ratify the appointment of PricewaterhouseCoopers LLP as Viasat’s independent registered public accounting firm for fiscal year 2022.</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conduct an advisory vote on executive compensation.</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1996 Equity Participation Plan.</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Employee Stock Purchase Plan.</w:t>
      </w:r>
    </w:p>
    <w:p>
      <w:pPr>
        <w:spacing w:after="0" w:line="72" w:lineRule="exact"/>
        <w:rPr>
          <w:rFonts w:ascii="Arial" w:cs="Arial" w:eastAsia="Arial" w:hAnsi="Arial"/>
          <w:sz w:val="16"/>
          <w:szCs w:val="16"/>
          <w:color w:val="009FE3"/>
        </w:rPr>
      </w:pPr>
    </w:p>
    <w:p>
      <w:pPr>
        <w:ind w:left="980" w:hanging="432"/>
        <w:spacing w:after="0"/>
        <w:tabs>
          <w:tab w:leader="none" w:pos="98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transact other business that may properly come before the annual meeting or any adjournments or postponements of the meeting.</w:t>
      </w:r>
    </w:p>
    <w:p>
      <w:pPr>
        <w:spacing w:after="0" w:line="113"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202E39"/>
        </w:rPr>
        <w:t>These items are fully described in the proxy statement, which is part of this notice. We have not received notice of other matters that may be properly presented at the annual meeting.</w:t>
      </w:r>
    </w:p>
    <w:p>
      <w:pPr>
        <w:spacing w:after="0" w:line="67" w:lineRule="exact"/>
        <w:rPr>
          <w:sz w:val="20"/>
          <w:szCs w:val="20"/>
          <w:color w:val="auto"/>
        </w:rPr>
      </w:pPr>
    </w:p>
    <w:p>
      <w:pPr>
        <w:jc w:val="both"/>
        <w:ind w:left="120" w:right="260"/>
        <w:spacing w:after="0" w:line="266" w:lineRule="auto"/>
        <w:rPr>
          <w:sz w:val="20"/>
          <w:szCs w:val="20"/>
          <w:color w:val="auto"/>
        </w:rPr>
      </w:pPr>
      <w:r>
        <w:rPr>
          <w:rFonts w:ascii="Arial" w:cs="Arial" w:eastAsia="Arial" w:hAnsi="Arial"/>
          <w:sz w:val="16"/>
          <w:szCs w:val="16"/>
          <w:color w:val="202E39"/>
        </w:rPr>
        <w:t xml:space="preserve">All stockholders of record as of July 8, 2021, the record date, are entitled to vote at the annual meeting. </w:t>
      </w:r>
      <w:r>
        <w:rPr>
          <w:rFonts w:ascii="Arial" w:cs="Arial" w:eastAsia="Arial" w:hAnsi="Arial"/>
          <w:sz w:val="16"/>
          <w:szCs w:val="16"/>
          <w:b w:val="1"/>
          <w:bCs w:val="1"/>
          <w:color w:val="009FE3"/>
        </w:rPr>
        <w:t>Your vote is very important. Whether or not</w:t>
      </w:r>
      <w:r>
        <w:rPr>
          <w:rFonts w:ascii="Arial" w:cs="Arial" w:eastAsia="Arial" w:hAnsi="Arial"/>
          <w:sz w:val="16"/>
          <w:szCs w:val="16"/>
          <w:color w:val="202E39"/>
        </w:rPr>
        <w:t xml:space="preserve"> </w:t>
      </w:r>
      <w:r>
        <w:rPr>
          <w:rFonts w:ascii="Arial" w:cs="Arial" w:eastAsia="Arial" w:hAnsi="Arial"/>
          <w:sz w:val="16"/>
          <w:szCs w:val="16"/>
          <w:b w:val="1"/>
          <w:bCs w:val="1"/>
          <w:color w:val="009FE3"/>
        </w:rPr>
        <w:t>you expect to attend the virtual annual meeting, please vote via one of the methods specified below as soon as possible to ensure that your shares are represented at the annual meeting.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FE3"/>
        </w:rPr>
        <w:t>How to Vote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92075</wp:posOffset>
            </wp:positionV>
            <wp:extent cx="657479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4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60" w:type="dxa"/>
            <w:vAlign w:val="bottom"/>
          </w:tcPr>
          <w:p>
            <w:pPr>
              <w:jc w:val="center"/>
              <w:ind w:right="308"/>
              <w:spacing w:after="0"/>
              <w:rPr>
                <w:sz w:val="20"/>
                <w:szCs w:val="20"/>
                <w:color w:val="auto"/>
              </w:rPr>
            </w:pPr>
            <w:r>
              <w:rPr>
                <w:rFonts w:ascii="Arial" w:cs="Arial" w:eastAsia="Arial" w:hAnsi="Arial"/>
                <w:sz w:val="14"/>
                <w:szCs w:val="14"/>
                <w:color w:val="202E39"/>
              </w:rPr>
              <w:t>Call the telephone number specified on your</w:t>
            </w:r>
          </w:p>
        </w:tc>
        <w:tc>
          <w:tcPr>
            <w:tcW w:w="3800" w:type="dxa"/>
            <w:vAlign w:val="bottom"/>
          </w:tcPr>
          <w:p>
            <w:pPr>
              <w:jc w:val="center"/>
              <w:spacing w:after="0"/>
              <w:rPr>
                <w:sz w:val="20"/>
                <w:szCs w:val="20"/>
                <w:color w:val="auto"/>
              </w:rPr>
            </w:pPr>
            <w:r>
              <w:rPr>
                <w:rFonts w:ascii="Arial" w:cs="Arial" w:eastAsia="Arial" w:hAnsi="Arial"/>
                <w:sz w:val="14"/>
                <w:szCs w:val="14"/>
                <w:color w:val="202E39"/>
              </w:rPr>
              <w:t>Sign, date and return your proxy card or voting</w:t>
            </w:r>
          </w:p>
        </w:tc>
        <w:tc>
          <w:tcPr>
            <w:tcW w:w="3200" w:type="dxa"/>
            <w:vAlign w:val="bottom"/>
          </w:tcPr>
          <w:p>
            <w:pPr>
              <w:jc w:val="center"/>
              <w:ind w:left="348"/>
              <w:spacing w:after="0"/>
              <w:rPr>
                <w:sz w:val="20"/>
                <w:szCs w:val="20"/>
                <w:color w:val="auto"/>
              </w:rPr>
            </w:pPr>
            <w:r>
              <w:rPr>
                <w:rFonts w:ascii="Arial" w:cs="Arial" w:eastAsia="Arial" w:hAnsi="Arial"/>
                <w:sz w:val="14"/>
                <w:szCs w:val="14"/>
                <w:color w:val="202E39"/>
              </w:rPr>
              <w:t>Follow the instructions in your proxy card or</w:t>
            </w:r>
          </w:p>
        </w:tc>
      </w:tr>
      <w:tr>
        <w:trPr>
          <w:trHeight w:val="162"/>
        </w:trPr>
        <w:tc>
          <w:tcPr>
            <w:tcW w:w="3260" w:type="dxa"/>
            <w:vAlign w:val="bottom"/>
          </w:tcPr>
          <w:p>
            <w:pPr>
              <w:jc w:val="center"/>
              <w:ind w:right="308"/>
              <w:spacing w:after="0"/>
              <w:rPr>
                <w:sz w:val="20"/>
                <w:szCs w:val="20"/>
                <w:color w:val="auto"/>
              </w:rPr>
            </w:pPr>
            <w:r>
              <w:rPr>
                <w:rFonts w:ascii="Arial" w:cs="Arial" w:eastAsia="Arial" w:hAnsi="Arial"/>
                <w:sz w:val="14"/>
                <w:szCs w:val="14"/>
                <w:color w:val="202E39"/>
              </w:rPr>
              <w:t>proxy card or voting instruction form provided</w:t>
            </w:r>
          </w:p>
        </w:tc>
        <w:tc>
          <w:tcPr>
            <w:tcW w:w="3800" w:type="dxa"/>
            <w:vAlign w:val="bottom"/>
          </w:tcPr>
          <w:p>
            <w:pPr>
              <w:jc w:val="center"/>
              <w:spacing w:after="0"/>
              <w:rPr>
                <w:sz w:val="20"/>
                <w:szCs w:val="20"/>
                <w:color w:val="auto"/>
              </w:rPr>
            </w:pPr>
            <w:r>
              <w:rPr>
                <w:rFonts w:ascii="Arial" w:cs="Arial" w:eastAsia="Arial" w:hAnsi="Arial"/>
                <w:sz w:val="14"/>
                <w:szCs w:val="14"/>
                <w:color w:val="202E39"/>
              </w:rPr>
              <w:t>instruction form in the postage-paid envelope</w:t>
            </w: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voting instruction form to vote at</w:t>
            </w:r>
          </w:p>
        </w:tc>
      </w:tr>
      <w:tr>
        <w:trPr>
          <w:trHeight w:val="162"/>
        </w:trPr>
        <w:tc>
          <w:tcPr>
            <w:tcW w:w="3260" w:type="dxa"/>
            <w:vAlign w:val="bottom"/>
          </w:tcPr>
          <w:p>
            <w:pPr>
              <w:jc w:val="center"/>
              <w:ind w:right="308"/>
              <w:spacing w:after="0"/>
              <w:rPr>
                <w:sz w:val="20"/>
                <w:szCs w:val="20"/>
                <w:color w:val="auto"/>
              </w:rPr>
            </w:pPr>
            <w:r>
              <w:rPr>
                <w:rFonts w:ascii="Arial" w:cs="Arial" w:eastAsia="Arial" w:hAnsi="Arial"/>
                <w:sz w:val="14"/>
                <w:szCs w:val="14"/>
                <w:color w:val="202E39"/>
              </w:rPr>
              <w:t>by your bank or broker</w:t>
            </w:r>
          </w:p>
        </w:tc>
        <w:tc>
          <w:tcPr>
            <w:tcW w:w="3800" w:type="dxa"/>
            <w:vAlign w:val="bottom"/>
          </w:tcPr>
          <w:p>
            <w:pPr>
              <w:jc w:val="center"/>
              <w:spacing w:after="0"/>
              <w:rPr>
                <w:sz w:val="20"/>
                <w:szCs w:val="20"/>
                <w:color w:val="auto"/>
              </w:rPr>
            </w:pPr>
            <w:r>
              <w:rPr>
                <w:rFonts w:ascii="Arial" w:cs="Arial" w:eastAsia="Arial" w:hAnsi="Arial"/>
                <w:sz w:val="14"/>
                <w:szCs w:val="14"/>
                <w:color w:val="202E39"/>
              </w:rPr>
              <w:t>provided</w:t>
            </w: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www.proxyvote.com prior to 11:59 p.m.</w:t>
            </w:r>
          </w:p>
        </w:tc>
      </w:tr>
      <w:tr>
        <w:trPr>
          <w:trHeight w:val="162"/>
        </w:trPr>
        <w:tc>
          <w:tcPr>
            <w:tcW w:w="3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0" w:type="dxa"/>
            <w:vAlign w:val="bottom"/>
          </w:tcPr>
          <w:p>
            <w:pPr>
              <w:jc w:val="center"/>
              <w:ind w:left="368"/>
              <w:spacing w:after="0"/>
              <w:rPr>
                <w:sz w:val="20"/>
                <w:szCs w:val="20"/>
                <w:color w:val="auto"/>
              </w:rPr>
            </w:pPr>
            <w:r>
              <w:rPr>
                <w:rFonts w:ascii="Arial" w:cs="Arial" w:eastAsia="Arial" w:hAnsi="Arial"/>
                <w:sz w:val="14"/>
                <w:szCs w:val="14"/>
                <w:color w:val="202E39"/>
              </w:rPr>
              <w:t>Eastern Time on</w:t>
            </w:r>
          </w:p>
        </w:tc>
      </w:tr>
      <w:tr>
        <w:trPr>
          <w:trHeight w:val="172"/>
        </w:trPr>
        <w:tc>
          <w:tcPr>
            <w:tcW w:w="3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0" w:type="dxa"/>
            <w:vAlign w:val="bottom"/>
          </w:tcPr>
          <w:p>
            <w:pPr>
              <w:jc w:val="center"/>
              <w:ind w:left="348"/>
              <w:spacing w:after="0"/>
              <w:rPr>
                <w:sz w:val="20"/>
                <w:szCs w:val="20"/>
                <w:color w:val="auto"/>
              </w:rPr>
            </w:pPr>
            <w:r>
              <w:rPr>
                <w:rFonts w:ascii="Arial" w:cs="Arial" w:eastAsia="Arial" w:hAnsi="Arial"/>
                <w:sz w:val="14"/>
                <w:szCs w:val="14"/>
                <w:color w:val="202E39"/>
              </w:rPr>
              <w:t>September 1, 2021</w:t>
            </w:r>
          </w:p>
        </w:tc>
      </w:tr>
    </w:tbl>
    <w:p>
      <w:pPr>
        <w:spacing w:after="0" w:line="365"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By Order of the Board of Directors</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/s/ Richard Baldridge</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Richard Baldridge</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202E39"/>
        </w:rPr>
        <w:t>President, Chief Executive Officer and Board Director</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202E39"/>
        </w:rPr>
        <w:t>Carlsbad, California</w:t>
      </w:r>
    </w:p>
    <w:p>
      <w:pPr>
        <w:ind w:left="120"/>
        <w:spacing w:after="0"/>
        <w:rPr>
          <w:sz w:val="20"/>
          <w:szCs w:val="20"/>
          <w:color w:val="auto"/>
        </w:rPr>
      </w:pPr>
      <w:r>
        <w:rPr>
          <w:rFonts w:ascii="Arial" w:cs="Arial" w:eastAsia="Arial" w:hAnsi="Arial"/>
          <w:sz w:val="18"/>
          <w:szCs w:val="18"/>
          <w:color w:val="202E39"/>
        </w:rPr>
        <w:t>July 26, 2021</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02E39"/>
        </w:rPr>
        <w:t>YOUR VOTE IS IMPORTANT.</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02E39"/>
        </w:rPr>
        <w:t>WHETHER OR NOT YOU PLAN TO ATTEND THE VIRTUAL ANNUAL MEETING,</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202E39"/>
        </w:rPr>
        <w:t>PLEASE SIGN, DATE AND RETURN THE ACCOMPANYING PROXY CARD.</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TABLE OF CONTENTS</w:t>
      </w:r>
    </w:p>
    <w:p>
      <w:pPr>
        <w:spacing w:after="0" w:line="27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9FE3"/>
              </w:rPr>
              <w:t>1</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980" w:type="dxa"/>
            <w:vAlign w:val="bottom"/>
            <w:tcBorders>
              <w:bottom w:val="single" w:sz="8" w:color="0000EE"/>
            </w:tcBorders>
            <w:gridSpan w:val="18"/>
          </w:tcPr>
          <w:p>
            <w:pPr>
              <w:spacing w:after="0" w:line="169"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About the Annual Meeting and Voting</w:t>
              </w:r>
            </w:hyperlink>
          </w:p>
        </w:tc>
        <w:tc>
          <w:tcPr>
            <w:tcW w:w="1900" w:type="dxa"/>
            <w:vAlign w:val="bottom"/>
            <w:gridSpan w:val="18"/>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PROXY STATEMENT SUMMARY</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9FE3"/>
              </w:rPr>
              <w:t>5</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80" w:type="dxa"/>
            <w:vAlign w:val="bottom"/>
            <w:gridSpan w:val="36"/>
          </w:tcPr>
          <w:p>
            <w:pPr>
              <w:spacing w:after="0" w:line="169"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CORPORATE GOVERNANCE PRINCIPLES AND BOARD</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6</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740" w:type="dxa"/>
            <w:vAlign w:val="bottom"/>
            <w:tcBorders>
              <w:top w:val="single" w:sz="8" w:color="0000EE"/>
            </w:tcBorders>
            <w:gridSpan w:val="35"/>
          </w:tcPr>
          <w:p>
            <w:pPr>
              <w:spacing w:after="0" w:line="18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MATTERS</w:t>
              </w:r>
            </w:hyperlink>
          </w:p>
        </w:tc>
        <w:tc>
          <w:tcPr>
            <w:tcW w:w="1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780" w:type="dxa"/>
            <w:vAlign w:val="bottom"/>
            <w:tcBorders>
              <w:bottom w:val="single" w:sz="8" w:color="0000EE"/>
            </w:tcBorders>
            <w:gridSpan w:val="8"/>
          </w:tcPr>
          <w:p>
            <w:pPr>
              <w:spacing w:after="0" w:line="169" w:lineRule="exact"/>
              <w:rPr>
                <w:rFonts w:ascii="Arial" w:cs="Arial" w:eastAsia="Arial" w:hAnsi="Arial"/>
                <w:sz w:val="18"/>
                <w:szCs w:val="18"/>
                <w:color w:val="0000EE"/>
                <w:w w:val="98"/>
              </w:rPr>
            </w:pPr>
            <w:hyperlink w:anchor="page9">
              <w:r>
                <w:rPr>
                  <w:rFonts w:ascii="Arial" w:cs="Arial" w:eastAsia="Arial" w:hAnsi="Arial"/>
                  <w:sz w:val="18"/>
                  <w:szCs w:val="18"/>
                  <w:color w:val="0000EE"/>
                  <w:w w:val="98"/>
                </w:rPr>
                <w:t>Board Responsibilities</w:t>
              </w:r>
            </w:hyperlink>
          </w:p>
        </w:tc>
        <w:tc>
          <w:tcPr>
            <w:tcW w:w="3100" w:type="dxa"/>
            <w:vAlign w:val="bottom"/>
            <w:gridSpan w:val="28"/>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96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Board Leadership and Independence</w:t>
              </w:r>
            </w:hyperlink>
          </w:p>
        </w:tc>
        <w:tc>
          <w:tcPr>
            <w:tcW w:w="1920" w:type="dxa"/>
            <w:vAlign w:val="bottom"/>
            <w:gridSpan w:val="19"/>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80" w:type="dxa"/>
            <w:vAlign w:val="bottom"/>
            <w:tcBorders>
              <w:bottom w:val="single" w:sz="8" w:color="0000EE"/>
            </w:tcBorders>
            <w:gridSpan w:val="1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Board Committee Composition</w:t>
              </w:r>
            </w:hyperlink>
          </w:p>
        </w:tc>
        <w:tc>
          <w:tcPr>
            <w:tcW w:w="2400" w:type="dxa"/>
            <w:vAlign w:val="bottom"/>
            <w:gridSpan w:val="23"/>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80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Board Evaluation and Refreshment</w:t>
              </w:r>
            </w:hyperlink>
          </w:p>
        </w:tc>
        <w:tc>
          <w:tcPr>
            <w:tcW w:w="2080" w:type="dxa"/>
            <w:vAlign w:val="bottom"/>
            <w:gridSpan w:val="20"/>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54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Communications with the Board</w:t>
              </w:r>
            </w:hyperlink>
          </w:p>
        </w:tc>
        <w:tc>
          <w:tcPr>
            <w:tcW w:w="2340" w:type="dxa"/>
            <w:vAlign w:val="bottom"/>
            <w:gridSpan w:val="2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02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Stockholder Engagement</w:t>
              </w:r>
            </w:hyperlink>
          </w:p>
        </w:tc>
        <w:tc>
          <w:tcPr>
            <w:tcW w:w="2860" w:type="dxa"/>
            <w:vAlign w:val="bottom"/>
            <w:gridSpan w:val="2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PROPOSAL 1: ELECTION OF DIRECTORS</w:t>
              </w:r>
            </w:hyperlink>
          </w:p>
        </w:tc>
        <w:tc>
          <w:tcPr>
            <w:tcW w:w="320" w:type="dxa"/>
            <w:vAlign w:val="bottom"/>
          </w:tcPr>
          <w:p>
            <w:pPr>
              <w:jc w:val="right"/>
              <w:spacing w:after="0"/>
              <w:rPr>
                <w:sz w:val="20"/>
                <w:szCs w:val="20"/>
                <w:color w:val="auto"/>
              </w:rPr>
            </w:pPr>
            <w:r>
              <w:rPr>
                <w:rFonts w:ascii="Arial" w:cs="Arial" w:eastAsia="Arial" w:hAnsi="Arial"/>
                <w:sz w:val="18"/>
                <w:szCs w:val="18"/>
                <w:b w:val="1"/>
                <w:bCs w:val="1"/>
                <w:color w:val="009FE3"/>
              </w:rPr>
              <w:t>12</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tcBorders>
              <w:bottom w:val="single" w:sz="8" w:color="0000EE"/>
            </w:tcBorders>
            <w:gridSpan w:val="4"/>
          </w:tcPr>
          <w:p>
            <w:pPr>
              <w:spacing w:after="0" w:line="169"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Overview</w:t>
              </w:r>
            </w:hyperlink>
          </w:p>
        </w:tc>
        <w:tc>
          <w:tcPr>
            <w:tcW w:w="4120" w:type="dxa"/>
            <w:vAlign w:val="bottom"/>
            <w:gridSpan w:val="32"/>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Class I Directors Nominated for Election at this Annual</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Meeting</w:t>
              </w:r>
            </w:hyperlink>
          </w:p>
        </w:tc>
        <w:tc>
          <w:tcPr>
            <w:tcW w:w="3680" w:type="dxa"/>
            <w:vAlign w:val="bottom"/>
            <w:tcBorders>
              <w:top w:val="single" w:sz="8" w:color="0000EE"/>
            </w:tcBorders>
            <w:gridSpan w:val="29"/>
          </w:tcPr>
          <w:p>
            <w:pPr>
              <w:spacing w:after="0"/>
              <w:rPr>
                <w:sz w:val="15"/>
                <w:szCs w:val="15"/>
                <w:color w:val="auto"/>
              </w:rPr>
            </w:pPr>
          </w:p>
        </w:tc>
        <w:tc>
          <w:tcPr>
            <w:tcW w:w="560" w:type="dxa"/>
            <w:vAlign w:val="bottom"/>
            <w:gridSpan w:val="5"/>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620" w:type="dxa"/>
            <w:vAlign w:val="bottom"/>
            <w:tcBorders>
              <w:bottom w:val="single" w:sz="8" w:color="0000EE"/>
            </w:tcBorders>
            <w:gridSpan w:val="25"/>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Class II Directors with Terms Expiring in 2022</w:t>
              </w:r>
            </w:hyperlink>
          </w:p>
        </w:tc>
        <w:tc>
          <w:tcPr>
            <w:tcW w:w="1260" w:type="dxa"/>
            <w:vAlign w:val="bottom"/>
            <w:gridSpan w:val="11"/>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Class III Directors with Terms Expiring in 2023</w:t>
              </w:r>
            </w:hyperlink>
          </w:p>
        </w:tc>
        <w:tc>
          <w:tcPr>
            <w:tcW w:w="320" w:type="dxa"/>
            <w:vAlign w:val="bottom"/>
          </w:tcPr>
          <w:p>
            <w:pPr>
              <w:jc w:val="right"/>
              <w:spacing w:after="0"/>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Recommendation of the Board</w:t>
              </w:r>
            </w:hyperlink>
          </w:p>
        </w:tc>
        <w:tc>
          <w:tcPr>
            <w:tcW w:w="1200" w:type="dxa"/>
            <w:vAlign w:val="bottom"/>
            <w:tcBorders>
              <w:top w:val="single" w:sz="8" w:color="0000EE"/>
            </w:tcBorders>
            <w:gridSpan w:val="14"/>
          </w:tcPr>
          <w:p>
            <w:pPr>
              <w:spacing w:after="0"/>
              <w:rPr>
                <w:sz w:val="22"/>
                <w:szCs w:val="22"/>
                <w:color w:val="auto"/>
              </w:rPr>
            </w:pPr>
          </w:p>
        </w:tc>
        <w:tc>
          <w:tcPr>
            <w:tcW w:w="1220" w:type="dxa"/>
            <w:vAlign w:val="bottom"/>
            <w:gridSpan w:val="10"/>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PROPOSAL 2: RATIFICATION OF APPOINTMENT OF</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32"/>
          </w:tcPr>
          <w:p>
            <w:pPr>
              <w:spacing w:after="0" w:line="182"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INDEPENDENT REGISTERED PUBLIC ACCOUNTING</w:t>
              </w:r>
            </w:hyperlink>
          </w:p>
        </w:tc>
        <w:tc>
          <w:tcPr>
            <w:tcW w:w="40" w:type="dxa"/>
            <w:vAlign w:val="bottom"/>
            <w:tcBorders>
              <w:bottom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16</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00" w:type="dxa"/>
            <w:vAlign w:val="bottom"/>
            <w:gridSpan w:val="33"/>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FIRM</w:t>
              </w:r>
            </w:hyperlink>
          </w:p>
        </w:tc>
        <w:tc>
          <w:tcPr>
            <w:tcW w:w="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6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tcBorders>
              <w:bottom w:val="single" w:sz="8" w:color="0000EE"/>
            </w:tcBorders>
            <w:gridSpan w:val="4"/>
          </w:tcPr>
          <w:p>
            <w:pPr>
              <w:spacing w:after="0" w:line="169"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Overview</w:t>
              </w:r>
            </w:hyperlink>
          </w:p>
        </w:tc>
        <w:tc>
          <w:tcPr>
            <w:tcW w:w="4120" w:type="dxa"/>
            <w:vAlign w:val="bottom"/>
            <w:gridSpan w:val="32"/>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18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Principal Accountant Fees and Services</w:t>
              </w:r>
            </w:hyperlink>
          </w:p>
        </w:tc>
        <w:tc>
          <w:tcPr>
            <w:tcW w:w="1700" w:type="dxa"/>
            <w:vAlign w:val="bottom"/>
            <w:gridSpan w:val="1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46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Pre-Approval Policy of the Audit Committee</w:t>
              </w:r>
            </w:hyperlink>
          </w:p>
        </w:tc>
        <w:tc>
          <w:tcPr>
            <w:tcW w:w="1420" w:type="dxa"/>
            <w:vAlign w:val="bottom"/>
            <w:gridSpan w:val="14"/>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6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Recommendation of the Board</w:t>
              </w:r>
            </w:hyperlink>
          </w:p>
        </w:tc>
        <w:tc>
          <w:tcPr>
            <w:tcW w:w="2420" w:type="dxa"/>
            <w:vAlign w:val="bottom"/>
            <w:gridSpan w:val="24"/>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PROPOSAL 3: ADVISORY VOTE ON EXECUTIVE</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18</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12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COMPENSATION</w:t>
              </w:r>
            </w:hyperlink>
          </w:p>
        </w:tc>
        <w:tc>
          <w:tcPr>
            <w:tcW w:w="160" w:type="dxa"/>
            <w:vAlign w:val="bottom"/>
          </w:tcPr>
          <w:p>
            <w:pPr>
              <w:spacing w:after="0"/>
              <w:rPr>
                <w:sz w:val="15"/>
                <w:szCs w:val="15"/>
                <w:color w:val="auto"/>
              </w:rPr>
            </w:pPr>
          </w:p>
        </w:tc>
        <w:tc>
          <w:tcPr>
            <w:tcW w:w="260" w:type="dxa"/>
            <w:vAlign w:val="bottom"/>
            <w:gridSpan w:val="4"/>
          </w:tcPr>
          <w:p>
            <w:pPr>
              <w:spacing w:after="0"/>
              <w:rPr>
                <w:sz w:val="15"/>
                <w:szCs w:val="15"/>
                <w:color w:val="auto"/>
              </w:rPr>
            </w:pPr>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60" w:type="dxa"/>
            <w:vAlign w:val="bottom"/>
            <w:tcBorders>
              <w:bottom w:val="single" w:sz="8" w:color="0000EE"/>
            </w:tcBorders>
            <w:gridSpan w:val="4"/>
          </w:tcPr>
          <w:p>
            <w:pPr>
              <w:spacing w:after="0" w:line="169"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Overview</w:t>
              </w:r>
            </w:hyperlink>
          </w:p>
        </w:tc>
        <w:tc>
          <w:tcPr>
            <w:tcW w:w="4120" w:type="dxa"/>
            <w:vAlign w:val="bottom"/>
            <w:gridSpan w:val="32"/>
          </w:tcPr>
          <w:p>
            <w:pPr>
              <w:spacing w:after="0"/>
              <w:rPr>
                <w:sz w:val="14"/>
                <w:szCs w:val="14"/>
                <w:color w:val="auto"/>
              </w:rPr>
            </w:pPr>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Recommendation of the Board</w:t>
              </w:r>
            </w:hyperlink>
          </w:p>
        </w:tc>
        <w:tc>
          <w:tcPr>
            <w:tcW w:w="2440" w:type="dxa"/>
            <w:vAlign w:val="bottom"/>
            <w:gridSpan w:val="2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19</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4: AMENDMENT AND RESTATEMENT OF</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20</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40" w:type="dxa"/>
            <w:vAlign w:val="bottom"/>
            <w:tcBorders>
              <w:top w:val="single" w:sz="8" w:color="0000EE"/>
            </w:tcBorders>
            <w:gridSpan w:val="34"/>
          </w:tcPr>
          <w:p>
            <w:pPr>
              <w:spacing w:after="0" w:line="18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THE 1996 EQUITY PARTICIPATION PLAN</w:t>
              </w:r>
            </w:hyperlink>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80" w:type="dxa"/>
            <w:vAlign w:val="bottom"/>
            <w:gridSpan w:val="36"/>
          </w:tcPr>
          <w:p>
            <w:pPr>
              <w:spacing w:after="0" w:line="169" w:lineRule="exact"/>
              <w:rPr>
                <w:rFonts w:ascii="Arial" w:cs="Arial" w:eastAsia="Arial" w:hAnsi="Arial"/>
                <w:sz w:val="18"/>
                <w:szCs w:val="18"/>
                <w:color w:val="0000EE"/>
              </w:rPr>
            </w:pPr>
            <w:hyperlink w:anchor="page23">
              <w:r>
                <w:rPr>
                  <w:rFonts w:ascii="Arial" w:cs="Arial" w:eastAsia="Arial" w:hAnsi="Arial"/>
                  <w:sz w:val="18"/>
                  <w:szCs w:val="18"/>
                  <w:color w:val="0000EE"/>
                </w:rPr>
                <w:t>Overview</w:t>
              </w:r>
            </w:hyperlink>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540" w:type="dxa"/>
            <w:vAlign w:val="bottom"/>
            <w:gridSpan w:val="1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4020" w:type="dxa"/>
            <w:vAlign w:val="bottom"/>
            <w:tcBorders>
              <w:bottom w:val="single" w:sz="8" w:color="0000EE"/>
            </w:tcBorders>
            <w:gridSpan w:val="28"/>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Why You Should Vote for the Restated Equity Plan</w:t>
              </w:r>
            </w:hyperlink>
          </w:p>
        </w:tc>
        <w:tc>
          <w:tcPr>
            <w:tcW w:w="860" w:type="dxa"/>
            <w:vAlign w:val="bottom"/>
            <w:gridSpan w:val="8"/>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00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Summary of the Restated Equity Plan</w:t>
              </w:r>
            </w:hyperlink>
          </w:p>
        </w:tc>
        <w:tc>
          <w:tcPr>
            <w:tcW w:w="1880" w:type="dxa"/>
            <w:vAlign w:val="bottom"/>
            <w:gridSpan w:val="1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U.S. Federal Income Tax Consequences</w:t>
              </w:r>
            </w:hyperlink>
          </w:p>
        </w:tc>
        <w:tc>
          <w:tcPr>
            <w:tcW w:w="320" w:type="dxa"/>
            <w:vAlign w:val="bottom"/>
          </w:tcPr>
          <w:p>
            <w:pPr>
              <w:jc w:val="right"/>
              <w:spacing w:after="0"/>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3220" w:type="dxa"/>
            <w:vAlign w:val="bottom"/>
            <w:tcBorders>
              <w:top w:val="single" w:sz="8" w:color="0000EE"/>
            </w:tcBorders>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New Plan Benefits</w:t>
              </w:r>
            </w:hyperlink>
          </w:p>
        </w:tc>
        <w:tc>
          <w:tcPr>
            <w:tcW w:w="1660" w:type="dxa"/>
            <w:vAlign w:val="bottom"/>
            <w:gridSpan w:val="1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2220" w:type="dxa"/>
            <w:vAlign w:val="bottom"/>
            <w:gridSpan w:val="2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44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Recommendation of the Board</w:t>
              </w:r>
            </w:hyperlink>
          </w:p>
        </w:tc>
        <w:tc>
          <w:tcPr>
            <w:tcW w:w="2440" w:type="dxa"/>
            <w:vAlign w:val="bottom"/>
            <w:gridSpan w:val="25"/>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29</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880" w:type="dxa"/>
            <w:vAlign w:val="bottom"/>
            <w:gridSpan w:val="3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PROPOSAL 5: AMENDMENT AND RESTATEMENT OF</w:t>
              </w:r>
            </w:hyperlink>
          </w:p>
        </w:tc>
        <w:tc>
          <w:tcPr>
            <w:tcW w:w="32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30</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40" w:type="dxa"/>
            <w:vAlign w:val="bottom"/>
            <w:tcBorders>
              <w:top w:val="single" w:sz="8" w:color="0000EE"/>
            </w:tcBorders>
            <w:gridSpan w:val="34"/>
          </w:tcPr>
          <w:p>
            <w:pPr>
              <w:spacing w:after="0" w:line="182"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THE EMPLOYEE STOCK PURCHASE PLAN</w:t>
              </w:r>
            </w:hyperlink>
          </w:p>
        </w:tc>
        <w:tc>
          <w:tcPr>
            <w:tcW w:w="340" w:type="dxa"/>
            <w:vAlign w:val="bottom"/>
            <w:gridSpan w:val="2"/>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440" w:type="dxa"/>
            <w:vAlign w:val="bottom"/>
            <w:tcBorders>
              <w:top w:val="single" w:sz="8" w:color="0000EE"/>
              <w:bottom w:val="single" w:sz="8" w:color="009FE3"/>
            </w:tcBorders>
          </w:tcPr>
          <w:p>
            <w:pPr>
              <w:spacing w:after="0"/>
              <w:rPr>
                <w:sz w:val="7"/>
                <w:szCs w:val="7"/>
                <w:color w:val="auto"/>
              </w:rPr>
            </w:pPr>
          </w:p>
        </w:tc>
        <w:tc>
          <w:tcPr>
            <w:tcW w:w="20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6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14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880" w:type="dxa"/>
            <w:vAlign w:val="bottom"/>
            <w:gridSpan w:val="36"/>
          </w:tcPr>
          <w:p>
            <w:pPr>
              <w:spacing w:after="0" w:line="169" w:lineRule="exact"/>
              <w:rPr>
                <w:rFonts w:ascii="Arial" w:cs="Arial" w:eastAsia="Arial" w:hAnsi="Arial"/>
                <w:sz w:val="18"/>
                <w:szCs w:val="18"/>
                <w:color w:val="0000EE"/>
              </w:rPr>
            </w:pPr>
            <w:hyperlink w:anchor="page33">
              <w:r>
                <w:rPr>
                  <w:rFonts w:ascii="Arial" w:cs="Arial" w:eastAsia="Arial" w:hAnsi="Arial"/>
                  <w:sz w:val="18"/>
                  <w:szCs w:val="18"/>
                  <w:color w:val="0000EE"/>
                </w:rPr>
                <w:t>Overview</w:t>
              </w:r>
            </w:hyperlink>
          </w:p>
        </w:tc>
        <w:tc>
          <w:tcPr>
            <w:tcW w:w="320" w:type="dxa"/>
            <w:vAlign w:val="bottom"/>
          </w:tcPr>
          <w:p>
            <w:pPr>
              <w:jc w:val="right"/>
              <w:spacing w:after="0" w:line="169" w:lineRule="exact"/>
              <w:rPr>
                <w:sz w:val="20"/>
                <w:szCs w:val="20"/>
                <w:color w:val="auto"/>
              </w:rPr>
            </w:pPr>
            <w:r>
              <w:rPr>
                <w:rFonts w:ascii="Arial" w:cs="Arial" w:eastAsia="Arial" w:hAnsi="Arial"/>
                <w:sz w:val="18"/>
                <w:szCs w:val="18"/>
                <w:color w:val="202E39"/>
              </w:rPr>
              <w:t>30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540" w:type="dxa"/>
            <w:vAlign w:val="bottom"/>
            <w:gridSpan w:val="27"/>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4280" w:type="dxa"/>
            <w:vAlign w:val="bottom"/>
            <w:tcBorders>
              <w:bottom w:val="single" w:sz="8" w:color="0000EE"/>
            </w:tcBorders>
            <w:gridSpan w:val="30"/>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Why You Should Vote for the Restated Purchase Plan</w:t>
              </w:r>
            </w:hyperlink>
          </w:p>
        </w:tc>
        <w:tc>
          <w:tcPr>
            <w:tcW w:w="60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202E39"/>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26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34">
              <w:r>
                <w:rPr>
                  <w:rFonts w:ascii="Arial" w:cs="Arial" w:eastAsia="Arial" w:hAnsi="Arial"/>
                  <w:sz w:val="18"/>
                  <w:szCs w:val="18"/>
                  <w:color w:val="0000EE"/>
                  <w:w w:val="99"/>
                </w:rPr>
                <w:t>Summary of the Restated Purchase Plan</w:t>
              </w:r>
            </w:hyperlink>
          </w:p>
        </w:tc>
        <w:tc>
          <w:tcPr>
            <w:tcW w:w="1680" w:type="dxa"/>
            <w:vAlign w:val="bottom"/>
            <w:gridSpan w:val="10"/>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31</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U.S. Federal Income Tax Consequences</w:t>
              </w:r>
            </w:hyperlink>
          </w:p>
        </w:tc>
        <w:tc>
          <w:tcPr>
            <w:tcW w:w="380" w:type="dxa"/>
            <w:vAlign w:val="bottom"/>
          </w:tcPr>
          <w:p>
            <w:pPr>
              <w:jc w:val="right"/>
              <w:spacing w:after="0"/>
              <w:rPr>
                <w:sz w:val="20"/>
                <w:szCs w:val="20"/>
                <w:color w:val="auto"/>
              </w:rPr>
            </w:pPr>
            <w:r>
              <w:rPr>
                <w:rFonts w:ascii="Arial" w:cs="Arial" w:eastAsia="Arial" w:hAnsi="Arial"/>
                <w:sz w:val="18"/>
                <w:szCs w:val="18"/>
                <w:color w:val="202E39"/>
              </w:rPr>
              <w:t>33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220" w:type="dxa"/>
            <w:vAlign w:val="bottom"/>
            <w:tcBorders>
              <w:top w:val="single" w:sz="8" w:color="0000EE"/>
            </w:tcBorders>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New Plan Benefits</w:t>
              </w:r>
            </w:hyperlink>
          </w:p>
        </w:tc>
        <w:tc>
          <w:tcPr>
            <w:tcW w:w="1720" w:type="dxa"/>
            <w:vAlign w:val="bottom"/>
            <w:gridSpan w:val="11"/>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34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Plan Benefits under the Existing Purchase Plan</w:t>
              </w:r>
            </w:hyperlink>
          </w:p>
        </w:tc>
        <w:tc>
          <w:tcPr>
            <w:tcW w:w="380" w:type="dxa"/>
            <w:vAlign w:val="bottom"/>
          </w:tcPr>
          <w:p>
            <w:pPr>
              <w:jc w:val="right"/>
              <w:spacing w:after="0"/>
              <w:rPr>
                <w:sz w:val="20"/>
                <w:szCs w:val="20"/>
                <w:color w:val="auto"/>
              </w:rPr>
            </w:pPr>
            <w:r>
              <w:rPr>
                <w:rFonts w:ascii="Arial" w:cs="Arial" w:eastAsia="Arial" w:hAnsi="Arial"/>
                <w:sz w:val="18"/>
                <w:szCs w:val="18"/>
                <w:color w:val="202E39"/>
              </w:rPr>
              <w:t>34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4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Recommendation of the Board</w:t>
              </w:r>
            </w:hyperlink>
          </w:p>
        </w:tc>
        <w:tc>
          <w:tcPr>
            <w:tcW w:w="1320" w:type="dxa"/>
            <w:vAlign w:val="bottom"/>
            <w:tcBorders>
              <w:top w:val="single" w:sz="8" w:color="0000EE"/>
            </w:tcBorders>
            <w:gridSpan w:val="13"/>
          </w:tcPr>
          <w:p>
            <w:pPr>
              <w:spacing w:after="0"/>
              <w:rPr>
                <w:sz w:val="22"/>
                <w:szCs w:val="22"/>
                <w:color w:val="auto"/>
              </w:rPr>
            </w:pPr>
          </w:p>
        </w:tc>
        <w:tc>
          <w:tcPr>
            <w:tcW w:w="1180" w:type="dxa"/>
            <w:vAlign w:val="bottom"/>
            <w:gridSpan w:val="8"/>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34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OWNERSHIP OF SECURITIES</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009FE3"/>
              </w:rPr>
              <w:t>35</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180" w:type="dxa"/>
            <w:vAlign w:val="bottom"/>
            <w:tcBorders>
              <w:bottom w:val="single" w:sz="8" w:color="0000EE"/>
            </w:tcBorders>
            <w:gridSpan w:val="8"/>
          </w:tcPr>
          <w:p>
            <w:pPr>
              <w:spacing w:after="0" w:line="169"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Beneficial Ownership Table</w:t>
              </w:r>
            </w:hyperlink>
          </w:p>
        </w:tc>
        <w:tc>
          <w:tcPr>
            <w:tcW w:w="2760" w:type="dxa"/>
            <w:vAlign w:val="bottom"/>
            <w:gridSpan w:val="23"/>
          </w:tcPr>
          <w:p>
            <w:pPr>
              <w:spacing w:after="0"/>
              <w:rPr>
                <w:sz w:val="14"/>
                <w:szCs w:val="14"/>
                <w:color w:val="auto"/>
              </w:rPr>
            </w:pPr>
          </w:p>
        </w:tc>
        <w:tc>
          <w:tcPr>
            <w:tcW w:w="380" w:type="dxa"/>
            <w:vAlign w:val="bottom"/>
          </w:tcPr>
          <w:p>
            <w:pPr>
              <w:jc w:val="right"/>
              <w:spacing w:after="0" w:line="169" w:lineRule="exact"/>
              <w:rPr>
                <w:sz w:val="20"/>
                <w:szCs w:val="20"/>
                <w:color w:val="auto"/>
              </w:rPr>
            </w:pPr>
            <w:r>
              <w:rPr>
                <w:rFonts w:ascii="Arial" w:cs="Arial" w:eastAsia="Arial" w:hAnsi="Arial"/>
                <w:sz w:val="18"/>
                <w:szCs w:val="18"/>
                <w:color w:val="202E39"/>
              </w:rPr>
              <w:t>35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EXECUTIVE COMPENSATION</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009FE3"/>
              </w:rPr>
              <w:t>37</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31"/>
          </w:tcPr>
          <w:p>
            <w:pPr>
              <w:spacing w:after="0" w:line="169" w:lineRule="exact"/>
              <w:rPr>
                <w:rFonts w:ascii="Arial" w:cs="Arial" w:eastAsia="Arial" w:hAnsi="Arial"/>
                <w:sz w:val="18"/>
                <w:szCs w:val="18"/>
                <w:color w:val="0000EE"/>
              </w:rPr>
            </w:pPr>
            <w:hyperlink w:anchor="page40">
              <w:r>
                <w:rPr>
                  <w:rFonts w:ascii="Arial" w:cs="Arial" w:eastAsia="Arial" w:hAnsi="Arial"/>
                  <w:sz w:val="18"/>
                  <w:szCs w:val="18"/>
                  <w:color w:val="0000EE"/>
                </w:rPr>
                <w:t>Compensation Discussion and Analysis</w:t>
              </w:r>
            </w:hyperlink>
          </w:p>
        </w:tc>
        <w:tc>
          <w:tcPr>
            <w:tcW w:w="380" w:type="dxa"/>
            <w:vAlign w:val="bottom"/>
          </w:tcPr>
          <w:p>
            <w:pPr>
              <w:jc w:val="right"/>
              <w:spacing w:after="0" w:line="169" w:lineRule="exact"/>
              <w:rPr>
                <w:sz w:val="20"/>
                <w:szCs w:val="20"/>
                <w:color w:val="auto"/>
              </w:rPr>
            </w:pPr>
            <w:r>
              <w:rPr>
                <w:rFonts w:ascii="Arial" w:cs="Arial" w:eastAsia="Arial" w:hAnsi="Arial"/>
                <w:sz w:val="18"/>
                <w:szCs w:val="18"/>
                <w:color w:val="202E39"/>
              </w:rPr>
              <w:t>37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140" w:type="dxa"/>
            <w:vAlign w:val="bottom"/>
            <w:tcBorders>
              <w:top w:val="single" w:sz="8" w:color="0000EE"/>
            </w:tcBorders>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Clawback Policy</w:t>
              </w:r>
            </w:hyperlink>
          </w:p>
        </w:tc>
        <w:tc>
          <w:tcPr>
            <w:tcW w:w="1800" w:type="dxa"/>
            <w:vAlign w:val="bottom"/>
            <w:gridSpan w:val="12"/>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26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Anti-Hedging and Pledging Policy</w:t>
              </w:r>
            </w:hyperlink>
          </w:p>
        </w:tc>
        <w:tc>
          <w:tcPr>
            <w:tcW w:w="2260" w:type="dxa"/>
            <w:vAlign w:val="bottom"/>
            <w:gridSpan w:val="1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50</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Compensation Committee Report</w:t>
              </w:r>
            </w:hyperlink>
          </w:p>
        </w:tc>
        <w:tc>
          <w:tcPr>
            <w:tcW w:w="380" w:type="dxa"/>
            <w:vAlign w:val="bottom"/>
          </w:tcPr>
          <w:p>
            <w:pPr>
              <w:jc w:val="right"/>
              <w:spacing w:after="0"/>
              <w:rPr>
                <w:sz w:val="20"/>
                <w:szCs w:val="20"/>
                <w:color w:val="auto"/>
              </w:rPr>
            </w:pPr>
            <w:r>
              <w:rPr>
                <w:rFonts w:ascii="Arial" w:cs="Arial" w:eastAsia="Arial" w:hAnsi="Arial"/>
                <w:sz w:val="18"/>
                <w:szCs w:val="18"/>
                <w:color w:val="202E39"/>
              </w:rPr>
              <w:t>52</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Summary Compensation Table</w:t>
              </w:r>
            </w:hyperlink>
          </w:p>
        </w:tc>
        <w:tc>
          <w:tcPr>
            <w:tcW w:w="200" w:type="dxa"/>
            <w:vAlign w:val="bottom"/>
            <w:tcBorders>
              <w:top w:val="single" w:sz="8" w:color="0000EE"/>
            </w:tcBorders>
            <w:gridSpan w:val="4"/>
          </w:tcPr>
          <w:p>
            <w:pPr>
              <w:spacing w:after="0"/>
              <w:rPr>
                <w:sz w:val="22"/>
                <w:szCs w:val="22"/>
                <w:color w:val="auto"/>
              </w:rPr>
            </w:pPr>
          </w:p>
        </w:tc>
        <w:tc>
          <w:tcPr>
            <w:tcW w:w="2280" w:type="dxa"/>
            <w:vAlign w:val="bottom"/>
            <w:gridSpan w:val="1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940" w:type="dxa"/>
            <w:vAlign w:val="bottom"/>
            <w:tcBorders>
              <w:bottom w:val="single" w:sz="8" w:color="0000EE"/>
            </w:tcBorders>
            <w:gridSpan w:val="24"/>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Grants of Plan-Based Awards in Fiscal Year 2021</w:t>
              </w:r>
            </w:hyperlink>
          </w:p>
        </w:tc>
        <w:tc>
          <w:tcPr>
            <w:tcW w:w="1000" w:type="dxa"/>
            <w:vAlign w:val="bottom"/>
            <w:gridSpan w:val="7"/>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120" w:type="dxa"/>
            <w:vAlign w:val="bottom"/>
            <w:tcBorders>
              <w:bottom w:val="single" w:sz="8" w:color="0000EE"/>
            </w:tcBorders>
            <w:gridSpan w:val="26"/>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Outstanding Equity Awards at 2021 Fiscal Year End</w:t>
              </w:r>
            </w:hyperlink>
          </w:p>
        </w:tc>
        <w:tc>
          <w:tcPr>
            <w:tcW w:w="820" w:type="dxa"/>
            <w:vAlign w:val="bottom"/>
            <w:gridSpan w:val="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380" w:type="dxa"/>
            <w:vAlign w:val="bottom"/>
            <w:tcBorders>
              <w:bottom w:val="single" w:sz="8" w:color="0000EE"/>
            </w:tcBorders>
            <w:gridSpan w:val="27"/>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Option Exercises and Stock Vested in Fiscal Year 2021</w:t>
              </w:r>
            </w:hyperlink>
          </w:p>
        </w:tc>
        <w:tc>
          <w:tcPr>
            <w:tcW w:w="560" w:type="dxa"/>
            <w:vAlign w:val="bottom"/>
            <w:gridSpan w:val="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Pension Benefits</w:t>
              </w:r>
            </w:hyperlink>
          </w:p>
        </w:tc>
        <w:tc>
          <w:tcPr>
            <w:tcW w:w="380" w:type="dxa"/>
            <w:vAlign w:val="bottom"/>
          </w:tcPr>
          <w:p>
            <w:pPr>
              <w:jc w:val="right"/>
              <w:spacing w:after="0"/>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30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Non-Qualified Deferred Compensation</w:t>
              </w:r>
            </w:hyperlink>
          </w:p>
        </w:tc>
        <w:tc>
          <w:tcPr>
            <w:tcW w:w="1880" w:type="dxa"/>
            <w:vAlign w:val="bottom"/>
            <w:gridSpan w:val="13"/>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57</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Potential Payments Upon Termination</w:t>
              </w:r>
            </w:hyperlink>
          </w:p>
        </w:tc>
        <w:tc>
          <w:tcPr>
            <w:tcW w:w="380" w:type="dxa"/>
            <w:vAlign w:val="bottom"/>
          </w:tcPr>
          <w:p>
            <w:pPr>
              <w:jc w:val="right"/>
              <w:spacing w:after="0"/>
              <w:rPr>
                <w:sz w:val="20"/>
                <w:szCs w:val="20"/>
                <w:color w:val="auto"/>
              </w:rPr>
            </w:pPr>
            <w:r>
              <w:rPr>
                <w:rFonts w:ascii="Arial" w:cs="Arial" w:eastAsia="Arial" w:hAnsi="Arial"/>
                <w:sz w:val="18"/>
                <w:szCs w:val="18"/>
                <w:color w:val="202E39"/>
              </w:rPr>
              <w:t>58</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1220" w:type="dxa"/>
            <w:vAlign w:val="bottom"/>
            <w:tcBorders>
              <w:top w:val="single" w:sz="8" w:color="0000EE"/>
              <w:bottom w:val="single" w:sz="8" w:color="0000EE"/>
            </w:tcBorders>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CEO Pay Ratio</w:t>
              </w:r>
            </w:hyperlink>
          </w:p>
        </w:tc>
        <w:tc>
          <w:tcPr>
            <w:tcW w:w="1780" w:type="dxa"/>
            <w:vAlign w:val="bottom"/>
            <w:tcBorders>
              <w:top w:val="single" w:sz="8" w:color="0000EE"/>
            </w:tcBorders>
            <w:gridSpan w:val="16"/>
          </w:tcPr>
          <w:p>
            <w:pPr>
              <w:spacing w:after="0"/>
              <w:rPr>
                <w:sz w:val="22"/>
                <w:szCs w:val="22"/>
                <w:color w:val="auto"/>
              </w:rPr>
            </w:pPr>
          </w:p>
        </w:tc>
        <w:tc>
          <w:tcPr>
            <w:tcW w:w="1940" w:type="dxa"/>
            <w:vAlign w:val="bottom"/>
            <w:gridSpan w:val="14"/>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59</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63">
              <w:r>
                <w:rPr>
                  <w:rFonts w:ascii="Arial" w:cs="Arial" w:eastAsia="Arial" w:hAnsi="Arial"/>
                  <w:sz w:val="18"/>
                  <w:szCs w:val="18"/>
                  <w:color w:val="0000EE"/>
                  <w:w w:val="98"/>
                </w:rPr>
                <w:t>Director Compensation</w:t>
              </w:r>
            </w:hyperlink>
          </w:p>
        </w:tc>
        <w:tc>
          <w:tcPr>
            <w:tcW w:w="3100" w:type="dxa"/>
            <w:vAlign w:val="bottom"/>
            <w:gridSpan w:val="2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60</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880" w:type="dxa"/>
            <w:vAlign w:val="bottom"/>
            <w:tcBorders>
              <w:bottom w:val="single" w:sz="8" w:color="0000EE"/>
            </w:tcBorders>
            <w:gridSpan w:val="30"/>
          </w:tcPr>
          <w:p>
            <w:pPr>
              <w:spacing w:after="0"/>
              <w:rPr>
                <w:rFonts w:ascii="Arial" w:cs="Arial" w:eastAsia="Arial" w:hAnsi="Arial"/>
                <w:sz w:val="18"/>
                <w:szCs w:val="18"/>
                <w:color w:val="0000EE"/>
                <w:w w:val="99"/>
              </w:rPr>
            </w:pPr>
            <w:hyperlink w:anchor="page64">
              <w:r>
                <w:rPr>
                  <w:rFonts w:ascii="Arial" w:cs="Arial" w:eastAsia="Arial" w:hAnsi="Arial"/>
                  <w:sz w:val="18"/>
                  <w:szCs w:val="18"/>
                  <w:color w:val="0000EE"/>
                  <w:w w:val="99"/>
                </w:rPr>
                <w:t>Compensation Committee Interlocks and Insider Participation</w:t>
              </w:r>
            </w:hyperlink>
          </w:p>
        </w:tc>
        <w:tc>
          <w:tcPr>
            <w:tcW w:w="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61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Equity Compensation Plan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202E39"/>
              </w:rPr>
              <w:t>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CERTAIN RELATIONSHIPS AND RELATED</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62</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600" w:type="dxa"/>
            <w:vAlign w:val="bottom"/>
            <w:tcBorders>
              <w:top w:val="single" w:sz="8" w:color="0000EE"/>
            </w:tcBorders>
            <w:gridSpan w:val="22"/>
          </w:tcPr>
          <w:p>
            <w:pPr>
              <w:spacing w:after="0" w:line="18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TRANSACTIONS</w:t>
              </w:r>
            </w:hyperlink>
          </w:p>
        </w:tc>
        <w:tc>
          <w:tcPr>
            <w:tcW w:w="500" w:type="dxa"/>
            <w:vAlign w:val="bottom"/>
            <w:gridSpan w:val="3"/>
          </w:tcPr>
          <w:p>
            <w:pPr>
              <w:spacing w:after="0"/>
              <w:rPr>
                <w:sz w:val="15"/>
                <w:szCs w:val="15"/>
                <w:color w:val="auto"/>
              </w:rPr>
            </w:pPr>
          </w:p>
        </w:tc>
        <w:tc>
          <w:tcPr>
            <w:tcW w:w="52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31"/>
          </w:tcPr>
          <w:p>
            <w:pPr>
              <w:spacing w:after="0" w:line="169" w:lineRule="exact"/>
              <w:rPr>
                <w:rFonts w:ascii="Arial" w:cs="Arial" w:eastAsia="Arial" w:hAnsi="Arial"/>
                <w:sz w:val="18"/>
                <w:szCs w:val="18"/>
                <w:color w:val="0000EE"/>
              </w:rPr>
            </w:pPr>
            <w:hyperlink w:anchor="page65">
              <w:r>
                <w:rPr>
                  <w:rFonts w:ascii="Arial" w:cs="Arial" w:eastAsia="Arial" w:hAnsi="Arial"/>
                  <w:sz w:val="18"/>
                  <w:szCs w:val="18"/>
                  <w:color w:val="0000EE"/>
                </w:rPr>
                <w:t>Review and Approval of Related Party Transactions</w:t>
              </w:r>
            </w:hyperlink>
          </w:p>
        </w:tc>
        <w:tc>
          <w:tcPr>
            <w:tcW w:w="380" w:type="dxa"/>
            <w:vAlign w:val="bottom"/>
          </w:tcPr>
          <w:p>
            <w:pPr>
              <w:jc w:val="right"/>
              <w:spacing w:after="0" w:line="169" w:lineRule="exact"/>
              <w:rPr>
                <w:sz w:val="20"/>
                <w:szCs w:val="20"/>
                <w:color w:val="auto"/>
              </w:rPr>
            </w:pPr>
            <w:r>
              <w:rPr>
                <w:rFonts w:ascii="Arial" w:cs="Arial" w:eastAsia="Arial" w:hAnsi="Arial"/>
                <w:sz w:val="18"/>
                <w:szCs w:val="18"/>
                <w:color w:val="202E39"/>
              </w:rPr>
              <w:t>62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8"/>
              </w:rPr>
            </w:pPr>
            <w:hyperlink w:anchor="page65">
              <w:r>
                <w:rPr>
                  <w:rFonts w:ascii="Arial" w:cs="Arial" w:eastAsia="Arial" w:hAnsi="Arial"/>
                  <w:sz w:val="18"/>
                  <w:szCs w:val="18"/>
                  <w:color w:val="0000EE"/>
                  <w:w w:val="98"/>
                </w:rPr>
                <w:t>Related Party Transactions</w:t>
              </w:r>
            </w:hyperlink>
          </w:p>
        </w:tc>
        <w:tc>
          <w:tcPr>
            <w:tcW w:w="1940" w:type="dxa"/>
            <w:vAlign w:val="bottom"/>
            <w:tcBorders>
              <w:top w:val="single" w:sz="8" w:color="0000EE"/>
            </w:tcBorders>
            <w:gridSpan w:val="18"/>
          </w:tcPr>
          <w:p>
            <w:pPr>
              <w:spacing w:after="0"/>
              <w:rPr>
                <w:sz w:val="22"/>
                <w:szCs w:val="22"/>
                <w:color w:val="auto"/>
              </w:rPr>
            </w:pPr>
          </w:p>
        </w:tc>
        <w:tc>
          <w:tcPr>
            <w:tcW w:w="840" w:type="dxa"/>
            <w:vAlign w:val="bottom"/>
            <w:gridSpan w:val="6"/>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202E39"/>
              </w:rPr>
              <w:t>62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4940" w:type="dxa"/>
            <w:vAlign w:val="bottom"/>
            <w:gridSpan w:val="31"/>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AUDIT COMMITTEE REPORT</w:t>
              </w:r>
            </w:hyperlink>
          </w:p>
        </w:tc>
        <w:tc>
          <w:tcPr>
            <w:tcW w:w="380" w:type="dxa"/>
            <w:vAlign w:val="bottom"/>
          </w:tcPr>
          <w:p>
            <w:pPr>
              <w:jc w:val="right"/>
              <w:spacing w:after="0"/>
              <w:rPr>
                <w:sz w:val="20"/>
                <w:szCs w:val="20"/>
                <w:color w:val="auto"/>
              </w:rPr>
            </w:pPr>
            <w:r>
              <w:rPr>
                <w:rFonts w:ascii="Arial" w:cs="Arial" w:eastAsia="Arial" w:hAnsi="Arial"/>
                <w:sz w:val="18"/>
                <w:szCs w:val="18"/>
                <w:b w:val="1"/>
                <w:bCs w:val="1"/>
                <w:color w:val="009FE3"/>
              </w:rPr>
              <w:t>63</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0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31"/>
          </w:tcPr>
          <w:p>
            <w:pPr>
              <w:spacing w:after="0" w:line="169"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OTHER MATTERS</w:t>
              </w:r>
            </w:hyperlink>
          </w:p>
        </w:tc>
        <w:tc>
          <w:tcPr>
            <w:tcW w:w="380" w:type="dxa"/>
            <w:vAlign w:val="bottom"/>
          </w:tcPr>
          <w:p>
            <w:pPr>
              <w:jc w:val="right"/>
              <w:spacing w:after="0" w:line="169" w:lineRule="exact"/>
              <w:rPr>
                <w:sz w:val="20"/>
                <w:szCs w:val="20"/>
                <w:color w:val="auto"/>
              </w:rPr>
            </w:pPr>
            <w:r>
              <w:rPr>
                <w:rFonts w:ascii="Arial" w:cs="Arial" w:eastAsia="Arial" w:hAnsi="Arial"/>
                <w:sz w:val="18"/>
                <w:szCs w:val="18"/>
                <w:b w:val="1"/>
                <w:bCs w:val="1"/>
                <w:color w:val="009FE3"/>
              </w:rPr>
              <w:t>64</w:t>
            </w: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31"/>
          </w:tcPr>
          <w:p>
            <w:pPr>
              <w:spacing w:after="0" w:line="169"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APPENDIX A: 1996 EQUITY PARTICIPATION PLAN, AS</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A-1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62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AMENDED AND RESTATED</w:t>
              </w:r>
            </w:hyperlink>
          </w:p>
        </w:tc>
        <w:tc>
          <w:tcPr>
            <w:tcW w:w="2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4940" w:type="dxa"/>
            <w:vAlign w:val="bottom"/>
            <w:gridSpan w:val="31"/>
          </w:tcPr>
          <w:p>
            <w:pPr>
              <w:spacing w:after="0" w:line="169"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APPENDIX B: EMPLOYEE STOCK PURCHASE PLAN, AS</w:t>
              </w:r>
            </w:hyperlink>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009FE3"/>
              </w:rPr>
              <w:t>B-1</w:t>
            </w: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482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AMENDED AND RESTATED</w:t>
              </w:r>
            </w:hyperlink>
          </w:p>
        </w:tc>
        <w:tc>
          <w:tcPr>
            <w:tcW w:w="120" w:type="dxa"/>
            <w:vAlign w:val="bottom"/>
            <w:gridSpan w:val="2"/>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009FE3"/>
            </w:tcBorders>
          </w:tcPr>
          <w:p>
            <w:pPr>
              <w:spacing w:after="0"/>
              <w:rPr>
                <w:sz w:val="7"/>
                <w:szCs w:val="7"/>
                <w:color w:val="auto"/>
              </w:rPr>
            </w:pPr>
          </w:p>
        </w:tc>
        <w:tc>
          <w:tcPr>
            <w:tcW w:w="1220" w:type="dxa"/>
            <w:vAlign w:val="bottom"/>
            <w:tcBorders>
              <w:top w:val="single" w:sz="8" w:color="0000EE"/>
              <w:bottom w:val="single" w:sz="8" w:color="009FE3"/>
            </w:tcBorders>
          </w:tcPr>
          <w:p>
            <w:pPr>
              <w:spacing w:after="0"/>
              <w:rPr>
                <w:sz w:val="7"/>
                <w:szCs w:val="7"/>
                <w:color w:val="auto"/>
              </w:rPr>
            </w:pPr>
          </w:p>
        </w:tc>
        <w:tc>
          <w:tcPr>
            <w:tcW w:w="80" w:type="dxa"/>
            <w:vAlign w:val="bottom"/>
            <w:tcBorders>
              <w:top w:val="single" w:sz="8" w:color="0000EE"/>
              <w:bottom w:val="single" w:sz="8" w:color="009FE3"/>
            </w:tcBorders>
          </w:tcPr>
          <w:p>
            <w:pPr>
              <w:spacing w:after="0"/>
              <w:rPr>
                <w:sz w:val="7"/>
                <w:szCs w:val="7"/>
                <w:color w:val="auto"/>
              </w:rPr>
            </w:pPr>
          </w:p>
        </w:tc>
        <w:tc>
          <w:tcPr>
            <w:tcW w:w="40" w:type="dxa"/>
            <w:vAlign w:val="bottom"/>
            <w:tcBorders>
              <w:top w:val="single" w:sz="8" w:color="0000EE"/>
              <w:bottom w:val="single" w:sz="8" w:color="009FE3"/>
            </w:tcBorders>
          </w:tcPr>
          <w:p>
            <w:pPr>
              <w:spacing w:after="0"/>
              <w:rPr>
                <w:sz w:val="7"/>
                <w:szCs w:val="7"/>
                <w:color w:val="auto"/>
              </w:rPr>
            </w:pPr>
          </w:p>
        </w:tc>
        <w:tc>
          <w:tcPr>
            <w:tcW w:w="120" w:type="dxa"/>
            <w:vAlign w:val="bottom"/>
            <w:tcBorders>
              <w:top w:val="single" w:sz="8" w:color="0000EE"/>
              <w:bottom w:val="single" w:sz="8" w:color="009FE3"/>
            </w:tcBorders>
          </w:tcPr>
          <w:p>
            <w:pPr>
              <w:spacing w:after="0"/>
              <w:rPr>
                <w:sz w:val="7"/>
                <w:szCs w:val="7"/>
                <w:color w:val="auto"/>
              </w:rPr>
            </w:pPr>
          </w:p>
        </w:tc>
        <w:tc>
          <w:tcPr>
            <w:tcW w:w="6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320" w:type="dxa"/>
            <w:vAlign w:val="bottom"/>
            <w:tcBorders>
              <w:top w:val="single" w:sz="8" w:color="0000EE"/>
              <w:bottom w:val="single" w:sz="8" w:color="009FE3"/>
            </w:tcBorders>
          </w:tcPr>
          <w:p>
            <w:pPr>
              <w:spacing w:after="0"/>
              <w:rPr>
                <w:sz w:val="7"/>
                <w:szCs w:val="7"/>
                <w:color w:val="auto"/>
              </w:rPr>
            </w:pPr>
          </w:p>
        </w:tc>
        <w:tc>
          <w:tcPr>
            <w:tcW w:w="20" w:type="dxa"/>
            <w:vAlign w:val="bottom"/>
            <w:tcBorders>
              <w:top w:val="single" w:sz="8" w:color="0000EE"/>
              <w:bottom w:val="single" w:sz="8" w:color="009FE3"/>
            </w:tcBorders>
          </w:tcPr>
          <w:p>
            <w:pPr>
              <w:spacing w:after="0"/>
              <w:rPr>
                <w:sz w:val="7"/>
                <w:szCs w:val="7"/>
                <w:color w:val="auto"/>
              </w:rPr>
            </w:pPr>
          </w:p>
        </w:tc>
        <w:tc>
          <w:tcPr>
            <w:tcW w:w="160" w:type="dxa"/>
            <w:vAlign w:val="bottom"/>
            <w:tcBorders>
              <w:top w:val="single" w:sz="8" w:color="0000EE"/>
              <w:bottom w:val="single" w:sz="8" w:color="009FE3"/>
            </w:tcBorders>
          </w:tcPr>
          <w:p>
            <w:pPr>
              <w:spacing w:after="0"/>
              <w:rPr>
                <w:sz w:val="7"/>
                <w:szCs w:val="7"/>
                <w:color w:val="auto"/>
              </w:rPr>
            </w:pPr>
          </w:p>
        </w:tc>
        <w:tc>
          <w:tcPr>
            <w:tcW w:w="10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12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32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80" w:type="dxa"/>
            <w:vAlign w:val="bottom"/>
            <w:tcBorders>
              <w:bottom w:val="single" w:sz="8" w:color="009FE3"/>
            </w:tcBorders>
          </w:tcPr>
          <w:p>
            <w:pPr>
              <w:spacing w:after="0"/>
              <w:rPr>
                <w:sz w:val="7"/>
                <w:szCs w:val="7"/>
                <w:color w:val="auto"/>
              </w:rPr>
            </w:pPr>
          </w:p>
        </w:tc>
        <w:tc>
          <w:tcPr>
            <w:tcW w:w="40" w:type="dxa"/>
            <w:vAlign w:val="bottom"/>
            <w:tcBorders>
              <w:bottom w:val="single" w:sz="8" w:color="009FE3"/>
            </w:tcBorders>
          </w:tcPr>
          <w:p>
            <w:pPr>
              <w:spacing w:after="0"/>
              <w:rPr>
                <w:sz w:val="7"/>
                <w:szCs w:val="7"/>
                <w:color w:val="auto"/>
              </w:rPr>
            </w:pPr>
          </w:p>
        </w:tc>
        <w:tc>
          <w:tcPr>
            <w:tcW w:w="34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180" w:type="dxa"/>
            <w:vAlign w:val="bottom"/>
            <w:tcBorders>
              <w:bottom w:val="single" w:sz="8" w:color="009FE3"/>
            </w:tcBorders>
          </w:tcPr>
          <w:p>
            <w:pPr>
              <w:spacing w:after="0"/>
              <w:rPr>
                <w:sz w:val="7"/>
                <w:szCs w:val="7"/>
                <w:color w:val="auto"/>
              </w:rPr>
            </w:pPr>
          </w:p>
        </w:tc>
        <w:tc>
          <w:tcPr>
            <w:tcW w:w="160" w:type="dxa"/>
            <w:vAlign w:val="bottom"/>
            <w:tcBorders>
              <w:bottom w:val="single" w:sz="8" w:color="009FE3"/>
            </w:tcBorders>
          </w:tcPr>
          <w:p>
            <w:pPr>
              <w:spacing w:after="0"/>
              <w:rPr>
                <w:sz w:val="7"/>
                <w:szCs w:val="7"/>
                <w:color w:val="auto"/>
              </w:rPr>
            </w:pPr>
          </w:p>
        </w:tc>
        <w:tc>
          <w:tcPr>
            <w:tcW w:w="20" w:type="dxa"/>
            <w:vAlign w:val="bottom"/>
            <w:tcBorders>
              <w:bottom w:val="single" w:sz="8" w:color="009FE3"/>
            </w:tcBorders>
          </w:tcPr>
          <w:p>
            <w:pPr>
              <w:spacing w:after="0"/>
              <w:rPr>
                <w:sz w:val="7"/>
                <w:szCs w:val="7"/>
                <w:color w:val="auto"/>
              </w:rPr>
            </w:pPr>
          </w:p>
        </w:tc>
        <w:tc>
          <w:tcPr>
            <w:tcW w:w="260" w:type="dxa"/>
            <w:vAlign w:val="bottom"/>
            <w:tcBorders>
              <w:bottom w:val="single" w:sz="8" w:color="009FE3"/>
            </w:tcBorders>
          </w:tcPr>
          <w:p>
            <w:pPr>
              <w:spacing w:after="0"/>
              <w:rPr>
                <w:sz w:val="7"/>
                <w:szCs w:val="7"/>
                <w:color w:val="auto"/>
              </w:rPr>
            </w:pPr>
          </w:p>
        </w:tc>
        <w:tc>
          <w:tcPr>
            <w:tcW w:w="240" w:type="dxa"/>
            <w:vAlign w:val="bottom"/>
            <w:tcBorders>
              <w:bottom w:val="single" w:sz="8" w:color="009FE3"/>
            </w:tcBorders>
          </w:tcPr>
          <w:p>
            <w:pPr>
              <w:spacing w:after="0"/>
              <w:rPr>
                <w:sz w:val="7"/>
                <w:szCs w:val="7"/>
                <w:color w:val="auto"/>
              </w:rPr>
            </w:pPr>
          </w:p>
        </w:tc>
        <w:tc>
          <w:tcPr>
            <w:tcW w:w="20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60" w:type="dxa"/>
            <w:vAlign w:val="bottom"/>
            <w:tcBorders>
              <w:bottom w:val="single" w:sz="8" w:color="009FE3"/>
            </w:tcBorders>
          </w:tcPr>
          <w:p>
            <w:pPr>
              <w:spacing w:after="0"/>
              <w:rPr>
                <w:sz w:val="7"/>
                <w:szCs w:val="7"/>
                <w:color w:val="auto"/>
              </w:rPr>
            </w:pPr>
          </w:p>
        </w:tc>
        <w:tc>
          <w:tcPr>
            <w:tcW w:w="38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-6840220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r>
        <w:rPr>
          <w:sz w:val="20"/>
          <w:szCs w:val="20"/>
          <w:color w:val="auto"/>
        </w:rPr>
        <w:tab/>
      </w:r>
      <w:r>
        <w:rPr>
          <w:rFonts w:ascii="Arial" w:cs="Arial" w:eastAsia="Arial" w:hAnsi="Arial"/>
          <w:sz w:val="14"/>
          <w:szCs w:val="14"/>
          <w:b w:val="1"/>
          <w:bCs w:val="1"/>
          <w:color w:val="202E39"/>
        </w:rPr>
        <w:t>i</w:t>
      </w:r>
    </w:p>
    <w:p>
      <w:pPr>
        <w:sectPr>
          <w:pgSz w:w="11900" w:h="16838" w:orient="portrait"/>
          <w:cols w:equalWidth="0" w:num="2">
            <w:col w:w="5400" w:space="340"/>
            <w:col w:w="540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402590</wp:posOffset>
            </wp:positionV>
            <wp:extent cx="1397000" cy="4711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700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0"/>
        <w:spacing w:after="0"/>
        <w:rPr>
          <w:sz w:val="20"/>
          <w:szCs w:val="20"/>
          <w:color w:val="auto"/>
        </w:rPr>
      </w:pPr>
      <w:r>
        <w:rPr>
          <w:rFonts w:ascii="Arial" w:cs="Arial" w:eastAsia="Arial" w:hAnsi="Arial"/>
          <w:sz w:val="50"/>
          <w:szCs w:val="50"/>
          <w:color w:val="009FE3"/>
        </w:rPr>
        <w:t>PROXY STATEMENT</w:t>
      </w:r>
    </w:p>
    <w:p>
      <w:pPr>
        <w:ind w:left="120"/>
        <w:spacing w:after="0"/>
        <w:rPr>
          <w:sz w:val="20"/>
          <w:szCs w:val="20"/>
          <w:color w:val="auto"/>
        </w:rPr>
      </w:pPr>
      <w:r>
        <w:rPr>
          <w:rFonts w:ascii="Arial" w:cs="Arial" w:eastAsia="Arial" w:hAnsi="Arial"/>
          <w:sz w:val="16"/>
          <w:szCs w:val="16"/>
          <w:b w:val="1"/>
          <w:bCs w:val="1"/>
          <w:color w:val="202E39"/>
        </w:rPr>
        <w:t>6155 El Camino Real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Carlsbad, California 92009</w:t>
      </w:r>
    </w:p>
    <w:p>
      <w:pPr>
        <w:spacing w:after="0" w:line="235" w:lineRule="exact"/>
        <w:rPr>
          <w:sz w:val="20"/>
          <w:szCs w:val="20"/>
          <w:color w:val="auto"/>
        </w:rPr>
      </w:pPr>
    </w:p>
    <w:p>
      <w:pPr>
        <w:ind w:left="120" w:right="460"/>
        <w:spacing w:after="0" w:line="251" w:lineRule="auto"/>
        <w:rPr>
          <w:sz w:val="20"/>
          <w:szCs w:val="20"/>
          <w:color w:val="auto"/>
        </w:rPr>
      </w:pPr>
      <w:r>
        <w:rPr>
          <w:rFonts w:ascii="Arial" w:cs="Arial" w:eastAsia="Arial" w:hAnsi="Arial"/>
          <w:sz w:val="16"/>
          <w:szCs w:val="16"/>
          <w:color w:val="202E39"/>
        </w:rPr>
        <w:t xml:space="preserve">The Board of Directors of Viasat, Inc. is soliciting the enclosed proxy for use at the annual meeting of stockholders to be held on September 2, 2021 at 8:30 a.m. Pacific Time, and at any adjournments or postponements of the meeting, for the purposes set forth in the notice of annual meeting of stockholders. This year’s annual meeting will be a completely virtual meeting of stockholders and will be accessible via the internet at </w:t>
      </w:r>
      <w:r>
        <w:rPr>
          <w:rFonts w:ascii="Arial" w:cs="Arial" w:eastAsia="Arial" w:hAnsi="Arial"/>
          <w:sz w:val="16"/>
          <w:szCs w:val="16"/>
          <w:u w:val="single" w:color="auto"/>
          <w:color w:val="202E39"/>
        </w:rPr>
        <w:t>www.virtualshareholdermeeting.com/VSAT2021</w:t>
      </w:r>
      <w:r>
        <w:rPr>
          <w:rFonts w:ascii="Arial" w:cs="Arial" w:eastAsia="Arial" w:hAnsi="Arial"/>
          <w:sz w:val="16"/>
          <w:szCs w:val="16"/>
          <w:color w:val="202E39"/>
        </w:rPr>
        <w:t>.</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GENERAL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About the Annual Meeting and Voting</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am I receiving this proxy statement?</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We sent you this proxy statement and the enclosed proxy card because Viasat’s Board of Directors is soliciting your proxy to vote at the 2021 annual meeting of stockholders. This proxy statement summarizes the information you need to know to vote at the annual meeting. All stockholders who find it convenient to do so are cordially invited to attend the virtual annual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95"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202E39"/>
        </w:rPr>
        <w:t>We intend to begin mailing this proxy statement, the attached notice of our annual meeting and the enclosed proxy card on or about July 26, 2021 to all stockholders who owned Viasat common stock on the record date, July 8, 2021, and are thus entitled to vote at the annual meeting. On this record date, there were approximately 73,325,854 shares of Viasat common stock outstanding. Common stock is our only class of stock entitled to vote. Along with this proxy statement, we are also sending our fiscal year 2021 annual report, which includes our financial statements.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am I voting 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items of business scheduled to be voted on at the annual meeting are:</w:t>
      </w:r>
    </w:p>
    <w:p>
      <w:pPr>
        <w:spacing w:after="0" w:line="127" w:lineRule="exact"/>
        <w:rPr>
          <w:sz w:val="20"/>
          <w:szCs w:val="20"/>
          <w:color w:val="auto"/>
        </w:rPr>
      </w:pPr>
    </w:p>
    <w:p>
      <w:pPr>
        <w:ind w:left="660" w:right="300" w:hanging="220"/>
        <w:spacing w:after="0" w:line="260" w:lineRule="auto"/>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1: </w:t>
      </w:r>
      <w:r>
        <w:rPr>
          <w:rFonts w:ascii="Arial" w:cs="Arial" w:eastAsia="Arial" w:hAnsi="Arial"/>
          <w:sz w:val="16"/>
          <w:szCs w:val="16"/>
          <w:color w:val="202E39"/>
        </w:rPr>
        <w:t>The election of Robert Johnson, John Stenbit and Theresa Wise to serve as Class I Directors for a three-year term to expire at the</w:t>
      </w:r>
      <w:r>
        <w:rPr>
          <w:rFonts w:ascii="Arial" w:cs="Arial" w:eastAsia="Arial" w:hAnsi="Arial"/>
          <w:sz w:val="16"/>
          <w:szCs w:val="16"/>
          <w:color w:val="009FE3"/>
        </w:rPr>
        <w:t xml:space="preserve"> </w:t>
      </w:r>
      <w:r>
        <w:rPr>
          <w:rFonts w:ascii="Arial" w:cs="Arial" w:eastAsia="Arial" w:hAnsi="Arial"/>
          <w:sz w:val="16"/>
          <w:szCs w:val="16"/>
          <w:color w:val="202E39"/>
        </w:rPr>
        <w:t>2024 annual meeting of stockholders.</w:t>
      </w:r>
    </w:p>
    <w:p>
      <w:pPr>
        <w:spacing w:after="0" w:line="46" w:lineRule="exact"/>
        <w:rPr>
          <w:rFonts w:ascii="Arial" w:cs="Arial" w:eastAsia="Arial" w:hAnsi="Arial"/>
          <w:sz w:val="16"/>
          <w:szCs w:val="16"/>
          <w:color w:val="009FE3"/>
        </w:rPr>
      </w:pPr>
    </w:p>
    <w:p>
      <w:pPr>
        <w:ind w:left="660" w:right="340" w:hanging="220"/>
        <w:spacing w:after="0" w:line="260" w:lineRule="auto"/>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2: </w:t>
      </w:r>
      <w:r>
        <w:rPr>
          <w:rFonts w:ascii="Arial" w:cs="Arial" w:eastAsia="Arial" w:hAnsi="Arial"/>
          <w:sz w:val="16"/>
          <w:szCs w:val="16"/>
          <w:color w:val="202E39"/>
        </w:rPr>
        <w:t>The ratification of the appointment of PricewaterhouseCoopers as Viasat’s independent registered public accounting firm for fiscal</w:t>
      </w:r>
      <w:r>
        <w:rPr>
          <w:rFonts w:ascii="Arial" w:cs="Arial" w:eastAsia="Arial" w:hAnsi="Arial"/>
          <w:sz w:val="16"/>
          <w:szCs w:val="16"/>
          <w:color w:val="009FE3"/>
        </w:rPr>
        <w:t xml:space="preserve"> </w:t>
      </w:r>
      <w:r>
        <w:rPr>
          <w:rFonts w:ascii="Arial" w:cs="Arial" w:eastAsia="Arial" w:hAnsi="Arial"/>
          <w:sz w:val="16"/>
          <w:szCs w:val="16"/>
          <w:color w:val="202E39"/>
        </w:rPr>
        <w:t>year 2022.</w:t>
      </w:r>
    </w:p>
    <w:p>
      <w:pPr>
        <w:spacing w:after="0" w:line="46" w:lineRule="exact"/>
        <w:rPr>
          <w:rFonts w:ascii="Arial" w:cs="Arial" w:eastAsia="Arial" w:hAnsi="Arial"/>
          <w:sz w:val="16"/>
          <w:szCs w:val="16"/>
          <w:color w:val="009FE3"/>
        </w:rPr>
      </w:pPr>
    </w:p>
    <w:p>
      <w:pPr>
        <w:ind w:left="660" w:hanging="220"/>
        <w:spacing w:after="0"/>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3: </w:t>
      </w:r>
      <w:r>
        <w:rPr>
          <w:rFonts w:ascii="Arial" w:cs="Arial" w:eastAsia="Arial" w:hAnsi="Arial"/>
          <w:sz w:val="16"/>
          <w:szCs w:val="16"/>
          <w:color w:val="202E39"/>
        </w:rPr>
        <w:t>The advisory vote on executive compensation.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4: </w:t>
      </w:r>
      <w:r>
        <w:rPr>
          <w:rFonts w:ascii="Arial" w:cs="Arial" w:eastAsia="Arial" w:hAnsi="Arial"/>
          <w:sz w:val="16"/>
          <w:szCs w:val="16"/>
          <w:color w:val="202E39"/>
        </w:rPr>
        <w:t>The amendment and restatement of the 1996 Equity Participation Plan.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
        </w:numPr>
        <w:rPr>
          <w:rFonts w:ascii="Arial" w:cs="Arial" w:eastAsia="Arial" w:hAnsi="Arial"/>
          <w:sz w:val="16"/>
          <w:szCs w:val="16"/>
          <w:color w:val="009FE3"/>
        </w:rPr>
      </w:pPr>
      <w:r>
        <w:rPr>
          <w:rFonts w:ascii="Arial" w:cs="Arial" w:eastAsia="Arial" w:hAnsi="Arial"/>
          <w:sz w:val="16"/>
          <w:szCs w:val="16"/>
          <w:color w:val="009FE3"/>
        </w:rPr>
        <w:t xml:space="preserve">Proposal 5: </w:t>
      </w:r>
      <w:r>
        <w:rPr>
          <w:rFonts w:ascii="Arial" w:cs="Arial" w:eastAsia="Arial" w:hAnsi="Arial"/>
          <w:sz w:val="16"/>
          <w:szCs w:val="16"/>
          <w:color w:val="202E39"/>
        </w:rPr>
        <w:t>The amendment and restatement of the Employee Stock Purchase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We will also consider any other business that properly comes before the annual meeting.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does the Board recommend that I vote?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Our Board of Directors unanimously recommends that you vote:</w:t>
      </w:r>
    </w:p>
    <w:p>
      <w:pPr>
        <w:spacing w:after="0" w:line="107" w:lineRule="exact"/>
        <w:rPr>
          <w:sz w:val="20"/>
          <w:szCs w:val="20"/>
          <w:color w:val="auto"/>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election of Robert Johnson, John Stenbit and Theresa Wise (Proposal 1);</w:t>
      </w:r>
    </w:p>
    <w:p>
      <w:pPr>
        <w:spacing w:after="0" w:line="72" w:lineRule="exact"/>
        <w:rPr>
          <w:rFonts w:ascii="Arial" w:cs="Arial" w:eastAsia="Arial" w:hAnsi="Arial"/>
          <w:sz w:val="16"/>
          <w:szCs w:val="16"/>
          <w:color w:val="009FE3"/>
        </w:rPr>
      </w:pPr>
    </w:p>
    <w:p>
      <w:pPr>
        <w:ind w:left="660" w:right="360" w:hanging="220"/>
        <w:spacing w:after="0" w:line="286" w:lineRule="auto"/>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ratification of the appointment of PricewaterhouseCoopers as Viasat’s independent registered public accounting firm for fiscal year</w:t>
      </w:r>
      <w:r>
        <w:rPr>
          <w:rFonts w:ascii="Arial" w:cs="Arial" w:eastAsia="Arial" w:hAnsi="Arial"/>
          <w:sz w:val="16"/>
          <w:szCs w:val="16"/>
          <w:b w:val="1"/>
          <w:bCs w:val="1"/>
          <w:color w:val="009FE3"/>
        </w:rPr>
        <w:t xml:space="preserve"> </w:t>
      </w:r>
      <w:r>
        <w:rPr>
          <w:rFonts w:ascii="Arial" w:cs="Arial" w:eastAsia="Arial" w:hAnsi="Arial"/>
          <w:sz w:val="16"/>
          <w:szCs w:val="16"/>
          <w:color w:val="202E39"/>
        </w:rPr>
        <w:t>2022 (Proposal 2);</w:t>
      </w:r>
    </w:p>
    <w:p>
      <w:pPr>
        <w:spacing w:after="0" w:line="7"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approval of executive compensation (Proposal 3);</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1996 Equity Participation Plan (Proposal 4);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Employee Stock Purchase Plan (Proposal 5).</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many votes do I have?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You are entitled to one vote for every share of Viasat common stock that you own as of July 8, 2021.</w:t>
      </w:r>
    </w:p>
    <w:p>
      <w:pPr>
        <w:spacing w:after="0" w:line="138"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1</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do I vote by proxy?</w:t>
      </w:r>
    </w:p>
    <w:p>
      <w:pPr>
        <w:spacing w:after="0" w:line="124"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202E39"/>
        </w:rPr>
        <w:t>Your vote is important. Whether or not you plan to attend the virtual annual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annual meeting.</w:t>
      </w:r>
    </w:p>
    <w:p>
      <w:pPr>
        <w:spacing w:after="0" w:line="93"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the Board of Directors.</w:t>
      </w:r>
    </w:p>
    <w:p>
      <w:pPr>
        <w:spacing w:after="0" w:line="93" w:lineRule="exact"/>
        <w:rPr>
          <w:sz w:val="20"/>
          <w:szCs w:val="20"/>
          <w:color w:val="auto"/>
        </w:rPr>
      </w:pPr>
    </w:p>
    <w:p>
      <w:pPr>
        <w:ind w:left="120" w:right="240"/>
        <w:spacing w:after="0" w:line="251" w:lineRule="auto"/>
        <w:rPr>
          <w:sz w:val="20"/>
          <w:szCs w:val="20"/>
          <w:color w:val="auto"/>
        </w:rPr>
      </w:pPr>
      <w:r>
        <w:rPr>
          <w:rFonts w:ascii="Arial" w:cs="Arial" w:eastAsia="Arial" w:hAnsi="Arial"/>
          <w:sz w:val="16"/>
          <w:szCs w:val="16"/>
          <w:color w:val="202E39"/>
        </w:rPr>
        <w:t>If any other matters are properly presented for voting at the annual meeting, or any adjournments or postponements of the annual meeting occur, the proxy card or voting instruction form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May I revoke my proxy?</w:t>
      </w:r>
    </w:p>
    <w:p>
      <w:pPr>
        <w:spacing w:after="0" w:line="124"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202E39"/>
        </w:rPr>
        <w:t>If you give us your proxy, you may revoke it at any time before your proxy is voted at the annual meeting. You may revoke your proxy in any of the following three ways:</w:t>
      </w:r>
    </w:p>
    <w:p>
      <w:pPr>
        <w:spacing w:after="0" w:line="101" w:lineRule="exact"/>
        <w:rPr>
          <w:sz w:val="20"/>
          <w:szCs w:val="20"/>
          <w:color w:val="auto"/>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send in another signed proxy card bearing a later date;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deliver a written notice of revocation to Viasat’s Corporate Secretary prior to the annual meeting; or</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notify Viasat’s Corporate Secretary in writing before the annual meeting and submit your vote at the virtual annual meeting.</w:t>
      </w:r>
    </w:p>
    <w:p>
      <w:pPr>
        <w:spacing w:after="0" w:line="113"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202E39"/>
        </w:rPr>
        <w:t>If your shares are held in “street name,” which means your shares are held of record by a broker, bank or other financial institution, you must contact your broker, bank or financial institution to revoke any prior instructions.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if my shares are held by a broker, bank or other financial institution?</w:t>
      </w:r>
    </w:p>
    <w:p>
      <w:pPr>
        <w:spacing w:after="0" w:line="124" w:lineRule="exact"/>
        <w:rPr>
          <w:sz w:val="20"/>
          <w:szCs w:val="20"/>
          <w:color w:val="auto"/>
        </w:rPr>
      </w:pPr>
    </w:p>
    <w:p>
      <w:pPr>
        <w:ind w:left="120" w:right="120"/>
        <w:spacing w:after="0" w:line="250" w:lineRule="auto"/>
        <w:rPr>
          <w:sz w:val="20"/>
          <w:szCs w:val="20"/>
          <w:color w:val="auto"/>
        </w:rPr>
      </w:pPr>
      <w:r>
        <w:rPr>
          <w:rFonts w:ascii="Arial" w:cs="Arial" w:eastAsia="Arial" w:hAnsi="Arial"/>
          <w:sz w:val="16"/>
          <w:szCs w:val="16"/>
          <w:color w:val="202E39"/>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virtual annual meeting. However, you will need the control number included on your voting instruction form provided by your bank or broker to be able to vote your shares or submit questions.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Can I vote via the internet or by telephone?</w:t>
      </w:r>
    </w:p>
    <w:p>
      <w:pPr>
        <w:spacing w:after="0" w:line="124" w:lineRule="exact"/>
        <w:rPr>
          <w:sz w:val="20"/>
          <w:szCs w:val="20"/>
          <w:color w:val="auto"/>
        </w:rPr>
      </w:pPr>
    </w:p>
    <w:p>
      <w:pPr>
        <w:jc w:val="both"/>
        <w:ind w:left="120" w:right="440"/>
        <w:spacing w:after="0" w:line="253" w:lineRule="auto"/>
        <w:rPr>
          <w:sz w:val="20"/>
          <w:szCs w:val="20"/>
          <w:color w:val="auto"/>
        </w:rPr>
      </w:pPr>
      <w:r>
        <w:rPr>
          <w:rFonts w:ascii="Arial" w:cs="Arial" w:eastAsia="Arial" w:hAnsi="Arial"/>
          <w:sz w:val="16"/>
          <w:szCs w:val="16"/>
          <w:color w:val="202E39"/>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How can I attend the annual meeting?</w:t>
      </w:r>
    </w:p>
    <w:p>
      <w:pPr>
        <w:spacing w:after="0" w:line="124"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We will be hosting the 2021 annual meeting live via the internet and you will not be able to attend in person. Our Board annually considers the appropriate format of our annual meeting, and concluded that a virtual meeting would best promote the health and safety of stockholders, employees and directors this year. Our virtual annual meeting allows stockholders from around the world to participate and ask questions, and for us to give thoughtful responses.</w:t>
      </w:r>
    </w:p>
    <w:p>
      <w:pPr>
        <w:spacing w:after="0" w:line="93"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202E39"/>
        </w:rPr>
        <w:t>You are entitled to attend the annual meeting only if you were a Viasat stockholder or joint holder as of the record date, July 8, 2021, or you hold a valid proxy for the annual meeting. A stockholder can listen to and participate in the annual meeting live via the internet at www.virtualshareholdermeeting.com/VSAT2021. Stockholders may begin submitting written questions at 8:30 a.m. Pacific Time on September 2, 2021. Stockholders may also vote during the annual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www.virtualshareholdermeeting.com/VSAT2021.</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constitutes a quorum?</w:t>
      </w:r>
    </w:p>
    <w:p>
      <w:pPr>
        <w:spacing w:after="0" w:line="12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202E39"/>
        </w:rPr>
        <w:t>A quorum is present when at least a majority of the outstanding shares entitled to vote are represented at the annual meeting either in person or by proxy. Holders will be deemed present “in person” at the annual meeting by visiting www.virtualshareholdermeeting.com/VSAT2021 on the day of the annual meeting and properly registering their attendance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83820</wp:posOffset>
            </wp:positionV>
            <wp:extent cx="4368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840"/>
        <w:spacing w:after="0"/>
        <w:rPr>
          <w:sz w:val="20"/>
          <w:szCs w:val="20"/>
          <w:color w:val="auto"/>
        </w:rPr>
      </w:pPr>
      <w:r>
        <w:rPr>
          <w:rFonts w:ascii="Arial" w:cs="Arial" w:eastAsia="Arial" w:hAnsi="Arial"/>
          <w:sz w:val="14"/>
          <w:szCs w:val="14"/>
          <w:color w:val="009FE3"/>
        </w:rPr>
        <w:t xml:space="preserve">GENERAL INFORMATION • </w:t>
      </w:r>
      <w:r>
        <w:rPr>
          <w:rFonts w:ascii="Arial" w:cs="Arial" w:eastAsia="Arial" w:hAnsi="Arial"/>
          <w:sz w:val="14"/>
          <w:szCs w:val="14"/>
          <w:color w:val="202E39"/>
        </w:rPr>
        <w:t>About the Annual Meeting and Voting</w:t>
      </w:r>
    </w:p>
    <w:p>
      <w:pPr>
        <w:spacing w:after="0" w:line="147" w:lineRule="exact"/>
        <w:rPr>
          <w:sz w:val="20"/>
          <w:szCs w:val="20"/>
          <w:color w:val="auto"/>
        </w:rPr>
      </w:pPr>
    </w:p>
    <w:p>
      <w:pPr>
        <w:ind w:left="120" w:right="340"/>
        <w:spacing w:after="0" w:line="260" w:lineRule="auto"/>
        <w:rPr>
          <w:sz w:val="20"/>
          <w:szCs w:val="20"/>
          <w:color w:val="auto"/>
        </w:rPr>
      </w:pPr>
      <w:r>
        <w:rPr>
          <w:rFonts w:ascii="Arial" w:cs="Arial" w:eastAsia="Arial" w:hAnsi="Arial"/>
          <w:sz w:val="16"/>
          <w:szCs w:val="16"/>
          <w:color w:val="202E39"/>
        </w:rPr>
        <w:t>using the control number provided on your proxy card or voting instruction form provided by your bank or broker. This year, approximately 36,662,928 shares must be represented to constitute a quorum at the meeting and permit us to conduct our business.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vote is required to approve each proposal?</w:t>
      </w:r>
    </w:p>
    <w:p>
      <w:pPr>
        <w:spacing w:after="0" w:line="12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In the election of directors, the three nominees for director who receive the highest number of affirmative votes will be elected as directors. All other proposals require the affirmative vote of a majority of the votes cast on that proposal. Voting results will be tabulated and certified by Broadridge Financial Solutions.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will happen if I abstain from voting or fail to vote?</w:t>
      </w:r>
    </w:p>
    <w:p>
      <w:pPr>
        <w:spacing w:after="0" w:line="124"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202E39"/>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87"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2022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98"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202E39"/>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What are the costs of soliciting these proxies?</w:t>
      </w:r>
    </w:p>
    <w:p>
      <w:pPr>
        <w:spacing w:after="0" w:line="124"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color w:val="202E39"/>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73" w:lineRule="exact"/>
        <w:rPr>
          <w:sz w:val="20"/>
          <w:szCs w:val="20"/>
          <w:color w:val="auto"/>
        </w:rPr>
      </w:pPr>
    </w:p>
    <w:p>
      <w:pPr>
        <w:ind w:left="120" w:right="120"/>
        <w:spacing w:after="0" w:line="257" w:lineRule="auto"/>
        <w:rPr>
          <w:sz w:val="20"/>
          <w:szCs w:val="20"/>
          <w:color w:val="auto"/>
        </w:rPr>
      </w:pPr>
      <w:r>
        <w:rPr>
          <w:rFonts w:ascii="Arial" w:cs="Arial" w:eastAsia="Arial" w:hAnsi="Arial"/>
          <w:sz w:val="20"/>
          <w:szCs w:val="20"/>
          <w:b w:val="1"/>
          <w:bCs w:val="1"/>
          <w:color w:val="202E39"/>
        </w:rPr>
        <w:t>I share an address with another stockholder, but we received only one paper copy of the proxy materials. How may I obtain an additional copy of the proxy materials?</w:t>
      </w:r>
    </w:p>
    <w:p>
      <w:pPr>
        <w:spacing w:after="0" w:line="77" w:lineRule="exact"/>
        <w:rPr>
          <w:sz w:val="20"/>
          <w:szCs w:val="20"/>
          <w:color w:val="auto"/>
        </w:rPr>
      </w:pPr>
    </w:p>
    <w:p>
      <w:pPr>
        <w:ind w:left="120" w:right="140"/>
        <w:spacing w:after="0" w:line="247" w:lineRule="auto"/>
        <w:rPr>
          <w:sz w:val="20"/>
          <w:szCs w:val="20"/>
          <w:color w:val="auto"/>
        </w:rPr>
      </w:pPr>
      <w:r>
        <w:rPr>
          <w:rFonts w:ascii="Arial" w:cs="Arial" w:eastAsia="Arial" w:hAnsi="Arial"/>
          <w:sz w:val="16"/>
          <w:szCs w:val="16"/>
          <w:color w:val="202E39"/>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202E39"/>
        </w:rPr>
        <w:t>ir@viasat.com</w:t>
      </w:r>
      <w:r>
        <w:rPr>
          <w:rFonts w:ascii="Arial" w:cs="Arial" w:eastAsia="Arial" w:hAnsi="Arial"/>
          <w:sz w:val="16"/>
          <w:szCs w:val="16"/>
          <w:color w:val="202E39"/>
        </w:rPr>
        <w:t xml:space="preserve"> or by telephone at (760) 476-2633. We will promptly send additional copies of the annual report or proxy statement upon receipt of such request.</w:t>
      </w:r>
    </w:p>
    <w:p>
      <w:pPr>
        <w:spacing w:after="0" w:line="183" w:lineRule="exact"/>
        <w:rPr>
          <w:sz w:val="20"/>
          <w:szCs w:val="20"/>
          <w:color w:val="auto"/>
        </w:rPr>
      </w:pPr>
    </w:p>
    <w:p>
      <w:pPr>
        <w:ind w:left="120" w:right="460"/>
        <w:spacing w:after="0" w:line="257" w:lineRule="auto"/>
        <w:rPr>
          <w:sz w:val="20"/>
          <w:szCs w:val="20"/>
          <w:color w:val="auto"/>
        </w:rPr>
      </w:pPr>
      <w:r>
        <w:rPr>
          <w:rFonts w:ascii="Arial" w:cs="Arial" w:eastAsia="Arial" w:hAnsi="Arial"/>
          <w:sz w:val="20"/>
          <w:szCs w:val="20"/>
          <w:b w:val="1"/>
          <w:bCs w:val="1"/>
          <w:color w:val="202E39"/>
        </w:rPr>
        <w:t>Important notice regarding the availability of proxy materials for the Viasat annual meeting of stockholders to be held on September 2, 2021</w:t>
      </w:r>
    </w:p>
    <w:p>
      <w:pPr>
        <w:spacing w:after="0" w:line="77" w:lineRule="exact"/>
        <w:rPr>
          <w:sz w:val="20"/>
          <w:szCs w:val="20"/>
          <w:color w:val="auto"/>
        </w:rPr>
      </w:pPr>
    </w:p>
    <w:p>
      <w:pPr>
        <w:ind w:left="120" w:right="660"/>
        <w:spacing w:after="0" w:line="260" w:lineRule="auto"/>
        <w:rPr>
          <w:sz w:val="20"/>
          <w:szCs w:val="20"/>
          <w:color w:val="auto"/>
        </w:rPr>
      </w:pPr>
      <w:r>
        <w:rPr>
          <w:rFonts w:ascii="Arial" w:cs="Arial" w:eastAsia="Arial" w:hAnsi="Arial"/>
          <w:sz w:val="16"/>
          <w:szCs w:val="16"/>
          <w:color w:val="202E39"/>
        </w:rPr>
        <w:t>Under rules adopted by the SEC, we are also furnishing proxy materials to our stockholders via the internet. This process is designed to expedite stockholders’ receipt of proxy materials, lower the cost of the annual meeting and help conserve natural</w:t>
      </w:r>
    </w:p>
    <w:p>
      <w:pPr>
        <w:spacing w:after="0" w:line="11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3</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27"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202E39"/>
        </w:rPr>
        <w:t xml:space="preserve">resources. </w:t>
      </w:r>
      <w:r>
        <w:rPr>
          <w:rFonts w:ascii="Arial" w:cs="Arial" w:eastAsia="Arial" w:hAnsi="Arial"/>
          <w:sz w:val="16"/>
          <w:szCs w:val="16"/>
          <w:b w:val="1"/>
          <w:bCs w:val="1"/>
          <w:color w:val="202E39"/>
        </w:rPr>
        <w:t>This proxy statement and our annual report to stockholders are available on the Investor Relations section of our website at</w:t>
      </w:r>
      <w:r>
        <w:rPr>
          <w:rFonts w:ascii="Arial" w:cs="Arial" w:eastAsia="Arial" w:hAnsi="Arial"/>
          <w:sz w:val="16"/>
          <w:szCs w:val="16"/>
          <w:color w:val="202E39"/>
        </w:rPr>
        <w:t xml:space="preserve"> </w:t>
      </w:r>
      <w:r>
        <w:rPr>
          <w:rFonts w:ascii="Arial" w:cs="Arial" w:eastAsia="Arial" w:hAnsi="Arial"/>
          <w:sz w:val="16"/>
          <w:szCs w:val="16"/>
          <w:b w:val="1"/>
          <w:bCs w:val="1"/>
          <w:i w:val="1"/>
          <w:iCs w:val="1"/>
          <w:color w:val="202E39"/>
        </w:rPr>
        <w:t>investors.viasat.com</w:t>
      </w:r>
      <w:r>
        <w:rPr>
          <w:rFonts w:ascii="Arial" w:cs="Arial" w:eastAsia="Arial" w:hAnsi="Arial"/>
          <w:sz w:val="16"/>
          <w:szCs w:val="16"/>
          <w:b w:val="1"/>
          <w:bCs w:val="1"/>
          <w:color w:val="202E39"/>
        </w:rPr>
        <w:t>.</w:t>
      </w:r>
      <w:r>
        <w:rPr>
          <w:rFonts w:ascii="Arial" w:cs="Arial" w:eastAsia="Arial" w:hAnsi="Arial"/>
          <w:sz w:val="16"/>
          <w:szCs w:val="16"/>
          <w:b w:val="1"/>
          <w:bCs w:val="1"/>
          <w:i w:val="1"/>
          <w:iCs w:val="1"/>
          <w:color w:val="202E39"/>
        </w:rPr>
        <w:t xml:space="preserve"> </w:t>
      </w:r>
      <w:r>
        <w:rPr>
          <w:rFonts w:ascii="Arial" w:cs="Arial" w:eastAsia="Arial" w:hAnsi="Arial"/>
          <w:sz w:val="16"/>
          <w:szCs w:val="16"/>
          <w:color w:val="202E39"/>
        </w:rPr>
        <w:t>If you are a stockholder of record, you can elect to access future proxy statements and annual reports electronically by marking</w:t>
      </w:r>
      <w:r>
        <w:rPr>
          <w:rFonts w:ascii="Arial" w:cs="Arial" w:eastAsia="Arial" w:hAnsi="Arial"/>
          <w:sz w:val="16"/>
          <w:szCs w:val="16"/>
          <w:b w:val="1"/>
          <w:bCs w:val="1"/>
          <w:i w:val="1"/>
          <w:iCs w:val="1"/>
          <w:color w:val="202E39"/>
        </w:rPr>
        <w:t xml:space="preserve"> </w:t>
      </w:r>
      <w:r>
        <w:rPr>
          <w:rFonts w:ascii="Arial" w:cs="Arial" w:eastAsia="Arial" w:hAnsi="Arial"/>
          <w:sz w:val="16"/>
          <w:szCs w:val="16"/>
          <w:color w:val="202E39"/>
        </w:rPr>
        <w:t>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83820</wp:posOffset>
            </wp:positionV>
            <wp:extent cx="4368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PROXY STATEMENT SUMMARY</w:t>
      </w:r>
    </w:p>
    <w:p>
      <w:pPr>
        <w:spacing w:after="0" w:line="22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This summary highlights information contained elsewhere in this proxy statement. This summary does not contain all the relevant information you should consider. Please read the entire proxy statement before voting.</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393"/>
        </w:trPr>
        <w:tc>
          <w:tcPr>
            <w:tcW w:w="5280" w:type="dxa"/>
            <w:vAlign w:val="bottom"/>
            <w:tcBorders>
              <w:bottom w:val="single" w:sz="8" w:color="798188"/>
            </w:tcBorders>
          </w:tcPr>
          <w:p>
            <w:pPr>
              <w:spacing w:after="0"/>
              <w:rPr>
                <w:sz w:val="20"/>
                <w:szCs w:val="20"/>
                <w:color w:val="auto"/>
              </w:rPr>
            </w:pPr>
            <w:r>
              <w:rPr>
                <w:rFonts w:ascii="Arial" w:cs="Arial" w:eastAsia="Arial" w:hAnsi="Arial"/>
                <w:sz w:val="27"/>
                <w:szCs w:val="27"/>
                <w:b w:val="1"/>
                <w:bCs w:val="1"/>
                <w:color w:val="009FE3"/>
              </w:rPr>
              <w:t>Company Information</w:t>
            </w:r>
          </w:p>
        </w:tc>
        <w:tc>
          <w:tcPr>
            <w:tcW w:w="340" w:type="dxa"/>
            <w:vAlign w:val="bottom"/>
          </w:tcPr>
          <w:p>
            <w:pPr>
              <w:spacing w:after="0"/>
              <w:rPr>
                <w:sz w:val="24"/>
                <w:szCs w:val="24"/>
                <w:color w:val="auto"/>
              </w:rPr>
            </w:pPr>
          </w:p>
        </w:tc>
        <w:tc>
          <w:tcPr>
            <w:tcW w:w="5400" w:type="dxa"/>
            <w:vAlign w:val="bottom"/>
            <w:tcBorders>
              <w:bottom w:val="single" w:sz="8" w:color="798188"/>
            </w:tcBorders>
            <w:gridSpan w:val="2"/>
          </w:tcPr>
          <w:p>
            <w:pPr>
              <w:spacing w:after="0"/>
              <w:rPr>
                <w:sz w:val="20"/>
                <w:szCs w:val="20"/>
                <w:color w:val="auto"/>
              </w:rPr>
            </w:pPr>
            <w:r>
              <w:rPr>
                <w:rFonts w:ascii="Arial" w:cs="Arial" w:eastAsia="Arial" w:hAnsi="Arial"/>
                <w:sz w:val="27"/>
                <w:szCs w:val="27"/>
                <w:b w:val="1"/>
                <w:bCs w:val="1"/>
                <w:color w:val="009FE3"/>
              </w:rPr>
              <w:t>Corporate Governance</w:t>
            </w:r>
          </w:p>
        </w:tc>
      </w:tr>
      <w:tr>
        <w:trPr>
          <w:trHeight w:val="238"/>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Meeting: </w:t>
            </w:r>
            <w:r>
              <w:rPr>
                <w:rFonts w:ascii="Arial" w:cs="Arial" w:eastAsia="Arial" w:hAnsi="Arial"/>
                <w:sz w:val="16"/>
                <w:szCs w:val="16"/>
                <w:color w:val="202E39"/>
              </w:rPr>
              <w:t>Annual Meeting of Stockholders</w:t>
            </w:r>
          </w:p>
        </w:tc>
        <w:tc>
          <w:tcPr>
            <w:tcW w:w="34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Lead Independent Director: </w:t>
            </w:r>
            <w:r>
              <w:rPr>
                <w:rFonts w:ascii="Arial" w:cs="Arial" w:eastAsia="Arial" w:hAnsi="Arial"/>
                <w:sz w:val="16"/>
                <w:szCs w:val="16"/>
                <w:color w:val="202E39"/>
              </w:rPr>
              <w:t>Yes</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Date: </w:t>
            </w:r>
            <w:r>
              <w:rPr>
                <w:rFonts w:ascii="Arial" w:cs="Arial" w:eastAsia="Arial" w:hAnsi="Arial"/>
                <w:sz w:val="16"/>
                <w:szCs w:val="16"/>
                <w:color w:val="202E39"/>
              </w:rPr>
              <w:t>Thursday, September 2, 2021</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Director Nominees: </w:t>
            </w:r>
            <w:r>
              <w:rPr>
                <w:rFonts w:ascii="Arial" w:cs="Arial" w:eastAsia="Arial" w:hAnsi="Arial"/>
                <w:sz w:val="16"/>
                <w:szCs w:val="16"/>
                <w:color w:val="202E39"/>
              </w:rPr>
              <w:t>3</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Time: </w:t>
            </w:r>
            <w:r>
              <w:rPr>
                <w:rFonts w:ascii="Arial" w:cs="Arial" w:eastAsia="Arial" w:hAnsi="Arial"/>
                <w:sz w:val="16"/>
                <w:szCs w:val="16"/>
                <w:color w:val="202E39"/>
              </w:rPr>
              <w:t>8:30 a.m. Pacific Time</w:t>
            </w:r>
          </w:p>
        </w:tc>
        <w:tc>
          <w:tcPr>
            <w:tcW w:w="340" w:type="dxa"/>
            <w:vAlign w:val="bottom"/>
          </w:tcPr>
          <w:p>
            <w:pPr>
              <w:spacing w:after="0"/>
              <w:rPr>
                <w:sz w:val="16"/>
                <w:szCs w:val="16"/>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009FE3"/>
              </w:rPr>
              <w:t>•</w:t>
            </w:r>
          </w:p>
        </w:tc>
        <w:tc>
          <w:tcPr>
            <w:tcW w:w="5060" w:type="dxa"/>
            <w:vAlign w:val="bottom"/>
          </w:tcPr>
          <w:p>
            <w:pPr>
              <w:ind w:left="60"/>
              <w:spacing w:after="0"/>
              <w:rPr>
                <w:sz w:val="20"/>
                <w:szCs w:val="20"/>
                <w:color w:val="auto"/>
              </w:rPr>
            </w:pPr>
            <w:r>
              <w:rPr>
                <w:rFonts w:ascii="Arial" w:cs="Arial" w:eastAsia="Arial" w:hAnsi="Arial"/>
                <w:sz w:val="16"/>
                <w:szCs w:val="16"/>
                <w:color w:val="202E39"/>
              </w:rPr>
              <w:t>Robert Johnson (Independent)</w:t>
            </w: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Location: </w:t>
            </w:r>
            <w:r>
              <w:rPr>
                <w:rFonts w:ascii="Arial" w:cs="Arial" w:eastAsia="Arial" w:hAnsi="Arial"/>
                <w:sz w:val="16"/>
                <w:szCs w:val="16"/>
                <w:color w:val="202E39"/>
              </w:rPr>
              <w:t>Virtual meeting only, accessible at</w:t>
            </w:r>
          </w:p>
        </w:tc>
        <w:tc>
          <w:tcPr>
            <w:tcW w:w="340" w:type="dxa"/>
            <w:vAlign w:val="bottom"/>
          </w:tcPr>
          <w:p>
            <w:pPr>
              <w:spacing w:after="0"/>
              <w:rPr>
                <w:sz w:val="18"/>
                <w:szCs w:val="18"/>
                <w:color w:val="auto"/>
              </w:rPr>
            </w:pPr>
          </w:p>
        </w:tc>
        <w:tc>
          <w:tcPr>
            <w:tcW w:w="340" w:type="dxa"/>
            <w:vAlign w:val="bottom"/>
          </w:tcPr>
          <w:p>
            <w:pPr>
              <w:ind w:left="200"/>
              <w:spacing w:after="0"/>
              <w:rPr>
                <w:sz w:val="20"/>
                <w:szCs w:val="20"/>
                <w:color w:val="auto"/>
              </w:rPr>
            </w:pPr>
            <w:r>
              <w:rPr>
                <w:rFonts w:ascii="Arial" w:cs="Arial" w:eastAsia="Arial" w:hAnsi="Arial"/>
                <w:sz w:val="16"/>
                <w:szCs w:val="16"/>
                <w:color w:val="009FE3"/>
              </w:rPr>
              <w:t>•</w:t>
            </w:r>
          </w:p>
        </w:tc>
        <w:tc>
          <w:tcPr>
            <w:tcW w:w="5060" w:type="dxa"/>
            <w:vAlign w:val="bottom"/>
          </w:tcPr>
          <w:p>
            <w:pPr>
              <w:ind w:left="60"/>
              <w:spacing w:after="0"/>
              <w:rPr>
                <w:sz w:val="20"/>
                <w:szCs w:val="20"/>
                <w:color w:val="auto"/>
              </w:rPr>
            </w:pPr>
            <w:r>
              <w:rPr>
                <w:rFonts w:ascii="Arial" w:cs="Arial" w:eastAsia="Arial" w:hAnsi="Arial"/>
                <w:sz w:val="16"/>
                <w:szCs w:val="16"/>
                <w:color w:val="202E39"/>
              </w:rPr>
              <w:t>John Stenbit (Independent)</w:t>
            </w:r>
          </w:p>
        </w:tc>
      </w:tr>
      <w:tr>
        <w:trPr>
          <w:trHeight w:val="169"/>
        </w:trPr>
        <w:tc>
          <w:tcPr>
            <w:tcW w:w="5280" w:type="dxa"/>
            <w:vAlign w:val="bottom"/>
          </w:tcPr>
          <w:p>
            <w:pPr>
              <w:ind w:left="360"/>
              <w:spacing w:after="0" w:line="169" w:lineRule="exact"/>
              <w:rPr>
                <w:sz w:val="20"/>
                <w:szCs w:val="20"/>
                <w:color w:val="auto"/>
              </w:rPr>
            </w:pPr>
            <w:r>
              <w:rPr>
                <w:rFonts w:ascii="Arial" w:cs="Arial" w:eastAsia="Arial" w:hAnsi="Arial"/>
                <w:sz w:val="16"/>
                <w:szCs w:val="16"/>
                <w:color w:val="009FE3"/>
              </w:rPr>
              <w:t>www.virtualshareholdermeeting.com/VSAT2021</w:t>
            </w:r>
          </w:p>
        </w:tc>
        <w:tc>
          <w:tcPr>
            <w:tcW w:w="340" w:type="dxa"/>
            <w:vAlign w:val="bottom"/>
          </w:tcPr>
          <w:p>
            <w:pPr>
              <w:spacing w:after="0"/>
              <w:rPr>
                <w:sz w:val="14"/>
                <w:szCs w:val="14"/>
                <w:color w:val="auto"/>
              </w:rPr>
            </w:pPr>
          </w:p>
        </w:tc>
        <w:tc>
          <w:tcPr>
            <w:tcW w:w="340" w:type="dxa"/>
            <w:vAlign w:val="bottom"/>
          </w:tcPr>
          <w:p>
            <w:pPr>
              <w:ind w:left="200"/>
              <w:spacing w:after="0" w:line="169" w:lineRule="exact"/>
              <w:rPr>
                <w:sz w:val="20"/>
                <w:szCs w:val="20"/>
                <w:color w:val="auto"/>
              </w:rPr>
            </w:pPr>
            <w:r>
              <w:rPr>
                <w:rFonts w:ascii="Arial" w:cs="Arial" w:eastAsia="Arial" w:hAnsi="Arial"/>
                <w:sz w:val="16"/>
                <w:szCs w:val="16"/>
                <w:color w:val="009FE3"/>
              </w:rPr>
              <w:t>•</w:t>
            </w:r>
          </w:p>
        </w:tc>
        <w:tc>
          <w:tcPr>
            <w:tcW w:w="5060" w:type="dxa"/>
            <w:vAlign w:val="bottom"/>
          </w:tcPr>
          <w:p>
            <w:pPr>
              <w:ind w:left="60"/>
              <w:spacing w:after="0" w:line="169" w:lineRule="exact"/>
              <w:rPr>
                <w:sz w:val="20"/>
                <w:szCs w:val="20"/>
                <w:color w:val="auto"/>
              </w:rPr>
            </w:pPr>
            <w:r>
              <w:rPr>
                <w:rFonts w:ascii="Arial" w:cs="Arial" w:eastAsia="Arial" w:hAnsi="Arial"/>
                <w:sz w:val="16"/>
                <w:szCs w:val="16"/>
                <w:color w:val="202E39"/>
              </w:rPr>
              <w:t>Theresa Wise (Independent)</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Record Date: </w:t>
            </w:r>
            <w:r>
              <w:rPr>
                <w:rFonts w:ascii="Arial" w:cs="Arial" w:eastAsia="Arial" w:hAnsi="Arial"/>
                <w:sz w:val="16"/>
                <w:szCs w:val="16"/>
                <w:color w:val="202E39"/>
              </w:rPr>
              <w:t>July 8, 2021</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Board Meetings in Fiscal Year 2021: </w:t>
            </w:r>
            <w:r>
              <w:rPr>
                <w:rFonts w:ascii="Arial" w:cs="Arial" w:eastAsia="Arial" w:hAnsi="Arial"/>
                <w:sz w:val="16"/>
                <w:szCs w:val="16"/>
                <w:color w:val="202E39"/>
              </w:rPr>
              <w:t>8</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Stock Symbol: </w:t>
            </w:r>
            <w:r>
              <w:rPr>
                <w:rFonts w:ascii="Arial" w:cs="Arial" w:eastAsia="Arial" w:hAnsi="Arial"/>
                <w:sz w:val="16"/>
                <w:szCs w:val="16"/>
                <w:color w:val="202E39"/>
              </w:rPr>
              <w:t>VSAT</w:t>
            </w:r>
          </w:p>
        </w:tc>
        <w:tc>
          <w:tcPr>
            <w:tcW w:w="34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All Directors Attended at Least 75% of Board and</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Exchange: </w:t>
            </w:r>
            <w:r>
              <w:rPr>
                <w:rFonts w:ascii="Arial" w:cs="Arial" w:eastAsia="Arial" w:hAnsi="Arial"/>
                <w:sz w:val="16"/>
                <w:szCs w:val="16"/>
                <w:color w:val="202E39"/>
              </w:rPr>
              <w:t>The Nasdaq Global Select Market</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b w:val="1"/>
                <w:bCs w:val="1"/>
                <w:color w:val="202E39"/>
              </w:rPr>
              <w:t xml:space="preserve">Committee Meetings: </w:t>
            </w:r>
            <w:r>
              <w:rPr>
                <w:rFonts w:ascii="Arial" w:cs="Arial" w:eastAsia="Arial" w:hAnsi="Arial"/>
                <w:sz w:val="16"/>
                <w:szCs w:val="16"/>
                <w:color w:val="202E39"/>
              </w:rPr>
              <w:t>Yes</w:t>
            </w: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Common Stock Outstanding: </w:t>
            </w:r>
            <w:r>
              <w:rPr>
                <w:rFonts w:ascii="Arial" w:cs="Arial" w:eastAsia="Arial" w:hAnsi="Arial"/>
                <w:sz w:val="16"/>
                <w:szCs w:val="16"/>
                <w:color w:val="202E39"/>
              </w:rPr>
              <w:t>73,325,854 shares on</w:t>
            </w:r>
          </w:p>
        </w:tc>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Standing Board Committees (Fiscal Year 2021 Meetings):</w:t>
            </w:r>
          </w:p>
        </w:tc>
      </w:tr>
      <w:tr>
        <w:trPr>
          <w:trHeight w:val="169"/>
        </w:trPr>
        <w:tc>
          <w:tcPr>
            <w:tcW w:w="5280" w:type="dxa"/>
            <w:vAlign w:val="bottom"/>
          </w:tcPr>
          <w:p>
            <w:pPr>
              <w:ind w:left="160"/>
              <w:spacing w:after="0" w:line="169" w:lineRule="exact"/>
              <w:rPr>
                <w:sz w:val="20"/>
                <w:szCs w:val="20"/>
                <w:color w:val="auto"/>
              </w:rPr>
            </w:pPr>
            <w:r>
              <w:rPr>
                <w:rFonts w:ascii="Arial" w:cs="Arial" w:eastAsia="Arial" w:hAnsi="Arial"/>
                <w:sz w:val="16"/>
                <w:szCs w:val="16"/>
                <w:color w:val="202E39"/>
              </w:rPr>
              <w:t>July 8, 2021</w:t>
            </w:r>
          </w:p>
        </w:tc>
        <w:tc>
          <w:tcPr>
            <w:tcW w:w="340" w:type="dxa"/>
            <w:vAlign w:val="bottom"/>
          </w:tcPr>
          <w:p>
            <w:pPr>
              <w:spacing w:after="0"/>
              <w:rPr>
                <w:sz w:val="14"/>
                <w:szCs w:val="14"/>
                <w:color w:val="auto"/>
              </w:rPr>
            </w:pPr>
          </w:p>
        </w:tc>
        <w:tc>
          <w:tcPr>
            <w:tcW w:w="340" w:type="dxa"/>
            <w:vAlign w:val="bottom"/>
          </w:tcPr>
          <w:p>
            <w:pPr>
              <w:ind w:left="200"/>
              <w:spacing w:after="0" w:line="169" w:lineRule="exact"/>
              <w:rPr>
                <w:sz w:val="20"/>
                <w:szCs w:val="20"/>
                <w:color w:val="auto"/>
              </w:rPr>
            </w:pPr>
            <w:r>
              <w:rPr>
                <w:rFonts w:ascii="Arial" w:cs="Arial" w:eastAsia="Arial" w:hAnsi="Arial"/>
                <w:sz w:val="16"/>
                <w:szCs w:val="16"/>
                <w:color w:val="009FE3"/>
              </w:rPr>
              <w:t>•</w:t>
            </w:r>
          </w:p>
        </w:tc>
        <w:tc>
          <w:tcPr>
            <w:tcW w:w="5060" w:type="dxa"/>
            <w:vAlign w:val="bottom"/>
          </w:tcPr>
          <w:p>
            <w:pPr>
              <w:ind w:left="60"/>
              <w:spacing w:after="0" w:line="169" w:lineRule="exact"/>
              <w:rPr>
                <w:sz w:val="20"/>
                <w:szCs w:val="20"/>
                <w:color w:val="auto"/>
              </w:rPr>
            </w:pPr>
            <w:r>
              <w:rPr>
                <w:rFonts w:ascii="Arial" w:cs="Arial" w:eastAsia="Arial" w:hAnsi="Arial"/>
                <w:sz w:val="16"/>
                <w:szCs w:val="16"/>
                <w:color w:val="202E39"/>
              </w:rPr>
              <w:t>Audit: 5</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Registrar &amp; Transfer Agent: </w:t>
            </w:r>
            <w:r>
              <w:rPr>
                <w:rFonts w:ascii="Arial" w:cs="Arial" w:eastAsia="Arial" w:hAnsi="Arial"/>
                <w:sz w:val="16"/>
                <w:szCs w:val="16"/>
                <w:color w:val="202E39"/>
              </w:rPr>
              <w:t>Computershare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Compensation and Human Resources: 9</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State of Incorporation: </w:t>
            </w:r>
            <w:r>
              <w:rPr>
                <w:rFonts w:ascii="Arial" w:cs="Arial" w:eastAsia="Arial" w:hAnsi="Arial"/>
                <w:sz w:val="16"/>
                <w:szCs w:val="16"/>
                <w:color w:val="202E39"/>
              </w:rPr>
              <w:t>Delaware</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Nomination, Evaluation and Corporate Governance: 4</w:t>
            </w: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Public Company Since: </w:t>
            </w:r>
            <w:r>
              <w:rPr>
                <w:rFonts w:ascii="Arial" w:cs="Arial" w:eastAsia="Arial" w:hAnsi="Arial"/>
                <w:sz w:val="16"/>
                <w:szCs w:val="16"/>
                <w:color w:val="202E39"/>
              </w:rPr>
              <w:t>1996</w:t>
            </w:r>
          </w:p>
        </w:tc>
        <w:tc>
          <w:tcPr>
            <w:tcW w:w="340" w:type="dxa"/>
            <w:vAlign w:val="bottom"/>
          </w:tcPr>
          <w:p>
            <w:pPr>
              <w:spacing w:after="0"/>
              <w:rPr>
                <w:sz w:val="16"/>
                <w:szCs w:val="16"/>
                <w:color w:val="auto"/>
              </w:rPr>
            </w:pPr>
          </w:p>
        </w:tc>
        <w:tc>
          <w:tcPr>
            <w:tcW w:w="5400" w:type="dxa"/>
            <w:vAlign w:val="bottom"/>
            <w:gridSpan w:val="2"/>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Banking and Finance: 3</w:t>
            </w:r>
          </w:p>
        </w:tc>
      </w:tr>
      <w:tr>
        <w:trPr>
          <w:trHeight w:val="20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Corporate Headquarters: </w:t>
            </w:r>
            <w:r>
              <w:rPr>
                <w:rFonts w:ascii="Arial" w:cs="Arial" w:eastAsia="Arial" w:hAnsi="Arial"/>
                <w:sz w:val="16"/>
                <w:szCs w:val="16"/>
                <w:color w:val="202E39"/>
              </w:rPr>
              <w:t>6155 El Camino Real, Carlsbad,</w:t>
            </w:r>
          </w:p>
        </w:tc>
        <w:tc>
          <w:tcPr>
            <w:tcW w:w="3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202E39"/>
              </w:rPr>
              <w:t xml:space="preserve">Stockholder Rights Plan: </w:t>
            </w:r>
            <w:r>
              <w:rPr>
                <w:rFonts w:ascii="Arial" w:cs="Arial" w:eastAsia="Arial" w:hAnsi="Arial"/>
                <w:sz w:val="16"/>
                <w:szCs w:val="16"/>
                <w:color w:val="202E39"/>
              </w:rPr>
              <w:t>No</w:t>
            </w:r>
          </w:p>
        </w:tc>
      </w:tr>
      <w:tr>
        <w:trPr>
          <w:trHeight w:val="169"/>
        </w:trPr>
        <w:tc>
          <w:tcPr>
            <w:tcW w:w="5280" w:type="dxa"/>
            <w:vAlign w:val="bottom"/>
          </w:tcPr>
          <w:p>
            <w:pPr>
              <w:ind w:left="160"/>
              <w:spacing w:after="0" w:line="169" w:lineRule="exact"/>
              <w:rPr>
                <w:sz w:val="20"/>
                <w:szCs w:val="20"/>
                <w:color w:val="auto"/>
              </w:rPr>
            </w:pPr>
            <w:r>
              <w:rPr>
                <w:rFonts w:ascii="Arial" w:cs="Arial" w:eastAsia="Arial" w:hAnsi="Arial"/>
                <w:sz w:val="16"/>
                <w:szCs w:val="16"/>
                <w:color w:val="202E39"/>
              </w:rPr>
              <w:t>CA 92009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189"/>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Corporate Website: </w:t>
            </w:r>
            <w:r>
              <w:rPr>
                <w:rFonts w:ascii="Arial" w:cs="Arial" w:eastAsia="Arial" w:hAnsi="Arial"/>
                <w:sz w:val="16"/>
                <w:szCs w:val="16"/>
                <w:color w:val="202E39"/>
              </w:rPr>
              <w:t>www.viasat.com</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60" w:type="dxa"/>
            <w:vAlign w:val="bottom"/>
          </w:tcPr>
          <w:p>
            <w:pPr>
              <w:spacing w:after="0"/>
              <w:rPr>
                <w:sz w:val="16"/>
                <w:szCs w:val="16"/>
                <w:color w:val="auto"/>
              </w:rPr>
            </w:pPr>
          </w:p>
        </w:tc>
      </w:tr>
      <w:tr>
        <w:trPr>
          <w:trHeight w:val="215"/>
        </w:trPr>
        <w:tc>
          <w:tcPr>
            <w:tcW w:w="5280" w:type="dxa"/>
            <w:vAlign w:val="bottom"/>
          </w:tcPr>
          <w:p>
            <w:pPr>
              <w:spacing w:after="0"/>
              <w:rPr>
                <w:sz w:val="20"/>
                <w:szCs w:val="20"/>
                <w:color w:val="auto"/>
              </w:rPr>
            </w:pPr>
            <w:r>
              <w:rPr>
                <w:rFonts w:ascii="Arial" w:cs="Arial" w:eastAsia="Arial" w:hAnsi="Arial"/>
                <w:sz w:val="16"/>
                <w:szCs w:val="16"/>
                <w:b w:val="1"/>
                <w:bCs w:val="1"/>
                <w:color w:val="202E39"/>
              </w:rPr>
              <w:t xml:space="preserve">Investor Relations Website: </w:t>
            </w:r>
            <w:r>
              <w:rPr>
                <w:rFonts w:ascii="Arial" w:cs="Arial" w:eastAsia="Arial" w:hAnsi="Arial"/>
                <w:sz w:val="16"/>
                <w:szCs w:val="16"/>
                <w:color w:val="202E39"/>
              </w:rPr>
              <w:t>investors.viasat.com</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009FE3"/>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33604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0420" cy="25400"/>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CEO: </w:t>
      </w:r>
      <w:r>
        <w:rPr>
          <w:rFonts w:ascii="Arial" w:cs="Arial" w:eastAsia="Arial" w:hAnsi="Arial"/>
          <w:sz w:val="16"/>
          <w:szCs w:val="16"/>
          <w:color w:val="202E39"/>
        </w:rPr>
        <w:t>Richard Baldridge (age 63; CEO since 2020)</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Fiscal Year 2021 Summary Compensation:</w:t>
      </w:r>
    </w:p>
    <w:p>
      <w:pPr>
        <w:spacing w:after="0" w:line="5" w:lineRule="exact"/>
        <w:rPr>
          <w:sz w:val="20"/>
          <w:szCs w:val="20"/>
          <w:color w:val="auto"/>
        </w:rPr>
      </w:pPr>
    </w:p>
    <w:p>
      <w:pPr>
        <w:ind w:left="520" w:hanging="188"/>
        <w:spacing w:after="0" w:line="246" w:lineRule="auto"/>
        <w:tabs>
          <w:tab w:leader="none" w:pos="520" w:val="left"/>
        </w:tabs>
        <w:numPr>
          <w:ilvl w:val="0"/>
          <w:numId w:val="8"/>
        </w:numPr>
        <w:rPr>
          <w:rFonts w:ascii="Arial" w:cs="Arial" w:eastAsia="Arial" w:hAnsi="Arial"/>
          <w:sz w:val="16"/>
          <w:szCs w:val="16"/>
          <w:color w:val="009FE3"/>
        </w:rPr>
      </w:pPr>
      <w:r>
        <w:rPr>
          <w:rFonts w:ascii="Arial" w:cs="Arial" w:eastAsia="Arial" w:hAnsi="Arial"/>
          <w:sz w:val="16"/>
          <w:szCs w:val="16"/>
          <w:color w:val="202E39"/>
        </w:rPr>
        <w:t>Total Compensation: $9,227,089 (see full discussion in Executive Compensation section on p. 37)</w:t>
      </w: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Salary: $1,180,000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Annual Performance Cash Incentive: $1,820,000</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Long-Term Equity Incentives: $6,216,743</w:t>
      </w:r>
    </w:p>
    <w:p>
      <w:pPr>
        <w:spacing w:after="0" w:line="5" w:lineRule="exact"/>
        <w:rPr>
          <w:rFonts w:ascii="Arial" w:cs="Arial" w:eastAsia="Arial" w:hAnsi="Arial"/>
          <w:sz w:val="16"/>
          <w:szCs w:val="16"/>
          <w:color w:val="202E39"/>
        </w:rPr>
      </w:pPr>
    </w:p>
    <w:p>
      <w:pPr>
        <w:ind w:left="780" w:hanging="259"/>
        <w:spacing w:after="0"/>
        <w:tabs>
          <w:tab w:leader="none" w:pos="780" w:val="left"/>
        </w:tabs>
        <w:numPr>
          <w:ilvl w:val="1"/>
          <w:numId w:val="8"/>
        </w:numPr>
        <w:rPr>
          <w:rFonts w:ascii="Arial" w:cs="Arial" w:eastAsia="Arial" w:hAnsi="Arial"/>
          <w:sz w:val="16"/>
          <w:szCs w:val="16"/>
          <w:color w:val="202E39"/>
        </w:rPr>
      </w:pPr>
      <w:r>
        <w:rPr>
          <w:rFonts w:ascii="Arial" w:cs="Arial" w:eastAsia="Arial" w:hAnsi="Arial"/>
          <w:sz w:val="16"/>
          <w:szCs w:val="16"/>
          <w:color w:val="202E39"/>
        </w:rPr>
        <w:t>All Other Compensation: $10,346</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CEO Employment Agreement: </w:t>
      </w:r>
      <w:r>
        <w:rPr>
          <w:rFonts w:ascii="Arial" w:cs="Arial" w:eastAsia="Arial" w:hAnsi="Arial"/>
          <w:sz w:val="16"/>
          <w:szCs w:val="16"/>
          <w:color w:val="202E39"/>
        </w:rPr>
        <w:t>No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Change-in-Control Agreement: </w:t>
      </w:r>
      <w:r>
        <w:rPr>
          <w:rFonts w:ascii="Arial" w:cs="Arial" w:eastAsia="Arial" w:hAnsi="Arial"/>
          <w:sz w:val="16"/>
          <w:szCs w:val="16"/>
          <w:color w:val="202E39"/>
        </w:rPr>
        <w:t>Yes, double trigger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Stock Ownership Guidelines: </w:t>
      </w:r>
      <w:r>
        <w:rPr>
          <w:rFonts w:ascii="Arial" w:cs="Arial" w:eastAsia="Arial" w:hAnsi="Arial"/>
          <w:sz w:val="16"/>
          <w:szCs w:val="16"/>
          <w:color w:val="202E39"/>
        </w:rPr>
        <w:t>Yes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Anti-Hedging and Pledging Policy: </w:t>
      </w:r>
      <w:r>
        <w:rPr>
          <w:rFonts w:ascii="Arial" w:cs="Arial" w:eastAsia="Arial" w:hAnsi="Arial"/>
          <w:sz w:val="16"/>
          <w:szCs w:val="16"/>
          <w:color w:val="202E39"/>
        </w:rPr>
        <w:t>Yes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 xml:space="preserve">Clawback Policy: </w:t>
      </w:r>
      <w:r>
        <w:rPr>
          <w:rFonts w:ascii="Arial" w:cs="Arial" w:eastAsia="Arial" w:hAnsi="Arial"/>
          <w:sz w:val="16"/>
          <w:szCs w:val="16"/>
          <w:color w:val="202E39"/>
        </w:rPr>
        <w:t>Yes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6"/>
        <w:spacing w:after="0"/>
        <w:rPr>
          <w:sz w:val="20"/>
          <w:szCs w:val="20"/>
          <w:color w:val="auto"/>
        </w:rPr>
      </w:pPr>
      <w:r>
        <w:rPr>
          <w:rFonts w:ascii="Arial" w:cs="Arial" w:eastAsia="Arial" w:hAnsi="Arial"/>
          <w:sz w:val="27"/>
          <w:szCs w:val="27"/>
          <w:b w:val="1"/>
          <w:bCs w:val="1"/>
          <w:color w:val="009FE3"/>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34290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0" cy="25400"/>
                    </a:xfrm>
                    <a:prstGeom prst="rect">
                      <a:avLst/>
                    </a:prstGeom>
                    <a:noFill/>
                  </pic:spPr>
                </pic:pic>
              </a:graphicData>
            </a:graphic>
          </wp:anchor>
        </w:drawing>
      </w:r>
    </w:p>
    <w:p>
      <w:pPr>
        <w:spacing w:after="0" w:line="173" w:lineRule="exact"/>
        <w:rPr>
          <w:sz w:val="20"/>
          <w:szCs w:val="20"/>
          <w:color w:val="auto"/>
        </w:rPr>
      </w:pPr>
    </w:p>
    <w:p>
      <w:pPr>
        <w:ind w:left="326" w:right="160" w:hanging="326"/>
        <w:spacing w:after="0" w:line="259" w:lineRule="auto"/>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The election of Robert Johnson, John Stenbit and Theresa Wise as directors</w:t>
      </w: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right="420" w:hanging="326"/>
        <w:spacing w:after="0" w:line="246" w:lineRule="auto"/>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Ratification of appointment of independent registered public accounting firm</w:t>
      </w: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Advisory vote to approve executive officer compensation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Amendment and restatement of 1996 Equity Participation Plan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5" w:lineRule="exact"/>
        <w:rPr>
          <w:rFonts w:ascii="Arial" w:cs="Arial" w:eastAsia="Arial" w:hAnsi="Arial"/>
          <w:sz w:val="16"/>
          <w:szCs w:val="16"/>
          <w:color w:val="009FE3"/>
        </w:rPr>
      </w:pPr>
    </w:p>
    <w:p>
      <w:pPr>
        <w:ind w:left="326" w:hanging="326"/>
        <w:spacing w:after="0"/>
        <w:tabs>
          <w:tab w:leader="none" w:pos="326" w:val="left"/>
        </w:tabs>
        <w:numPr>
          <w:ilvl w:val="0"/>
          <w:numId w:val="9"/>
        </w:numPr>
        <w:rPr>
          <w:rFonts w:ascii="Arial" w:cs="Arial" w:eastAsia="Arial" w:hAnsi="Arial"/>
          <w:sz w:val="16"/>
          <w:szCs w:val="16"/>
          <w:b w:val="1"/>
          <w:bCs w:val="1"/>
          <w:color w:val="202E39"/>
        </w:rPr>
      </w:pPr>
      <w:r>
        <w:rPr>
          <w:rFonts w:ascii="Arial" w:cs="Arial" w:eastAsia="Arial" w:hAnsi="Arial"/>
          <w:sz w:val="16"/>
          <w:szCs w:val="16"/>
          <w:b w:val="1"/>
          <w:bCs w:val="1"/>
          <w:color w:val="202E39"/>
        </w:rPr>
        <w:t>Amendment and restatement of Employee Stock Purchase Plan</w:t>
      </w:r>
    </w:p>
    <w:p>
      <w:pPr>
        <w:spacing w:after="0" w:line="5" w:lineRule="exact"/>
        <w:rPr>
          <w:rFonts w:ascii="Arial" w:cs="Arial" w:eastAsia="Arial" w:hAnsi="Arial"/>
          <w:sz w:val="16"/>
          <w:szCs w:val="16"/>
          <w:b w:val="1"/>
          <w:bCs w:val="1"/>
          <w:color w:val="202E39"/>
        </w:rPr>
      </w:pPr>
    </w:p>
    <w:p>
      <w:pPr>
        <w:ind w:left="586" w:hanging="195"/>
        <w:spacing w:after="0"/>
        <w:tabs>
          <w:tab w:leader="none" w:pos="586" w:val="left"/>
        </w:tabs>
        <w:numPr>
          <w:ilvl w:val="1"/>
          <w:numId w:val="9"/>
        </w:numPr>
        <w:rPr>
          <w:rFonts w:ascii="Arial" w:cs="Arial" w:eastAsia="Arial" w:hAnsi="Arial"/>
          <w:sz w:val="16"/>
          <w:szCs w:val="16"/>
          <w:color w:val="009FE3"/>
        </w:rPr>
      </w:pPr>
      <w:r>
        <w:rPr>
          <w:rFonts w:ascii="Arial" w:cs="Arial" w:eastAsia="Arial" w:hAnsi="Arial"/>
          <w:sz w:val="16"/>
          <w:szCs w:val="16"/>
          <w:color w:val="202E39"/>
        </w:rPr>
        <w:t xml:space="preserve">Board recommendation: </w:t>
      </w:r>
      <w:r>
        <w:rPr>
          <w:rFonts w:ascii="Arial" w:cs="Arial" w:eastAsia="Arial" w:hAnsi="Arial"/>
          <w:sz w:val="16"/>
          <w:szCs w:val="16"/>
          <w:b w:val="1"/>
          <w:bCs w:val="1"/>
          <w:u w:val="single" w:color="auto"/>
          <w:color w:val="009FE3"/>
        </w:rPr>
        <w:t>FOR</w:t>
      </w:r>
    </w:p>
    <w:p>
      <w:pPr>
        <w:spacing w:after="0" w:line="200" w:lineRule="exact"/>
        <w:rPr>
          <w:sz w:val="20"/>
          <w:szCs w:val="20"/>
          <w:color w:val="auto"/>
        </w:rPr>
      </w:pPr>
    </w:p>
    <w:p>
      <w:pPr>
        <w:spacing w:after="0" w:line="235" w:lineRule="exact"/>
        <w:rPr>
          <w:sz w:val="20"/>
          <w:szCs w:val="20"/>
          <w:color w:val="auto"/>
        </w:rPr>
      </w:pPr>
    </w:p>
    <w:tbl>
      <w:tblPr>
        <w:tblLayout w:type="fixed"/>
        <w:tblInd w:w="3346"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5</w:t>
            </w:r>
          </w:p>
        </w:tc>
      </w:tr>
    </w:tbl>
    <w:p>
      <w:pPr>
        <w:sectPr>
          <w:pgSz w:w="11900" w:h="16838" w:orient="portrait"/>
          <w:cols w:equalWidth="0" w:num="2">
            <w:col w:w="5180" w:space="554"/>
            <w:col w:w="5406"/>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right="1620"/>
        <w:spacing w:after="0" w:line="254" w:lineRule="auto"/>
        <w:rPr>
          <w:sz w:val="20"/>
          <w:szCs w:val="20"/>
          <w:color w:val="auto"/>
        </w:rPr>
      </w:pPr>
      <w:r>
        <w:rPr>
          <w:rFonts w:ascii="Arial" w:cs="Arial" w:eastAsia="Arial" w:hAnsi="Arial"/>
          <w:sz w:val="36"/>
          <w:szCs w:val="36"/>
          <w:color w:val="009FE3"/>
        </w:rPr>
        <w:t>CORPORATE GOVERNANCE PRINCIPLES AND BOARD MATTERS</w:t>
      </w:r>
    </w:p>
    <w:p>
      <w:pPr>
        <w:spacing w:after="0" w:line="180"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 xml:space="preserve">We are dedicated to maintaining the highest standards of business integrity. We believe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Responsibilities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Primary Responsibilities</w:t>
      </w:r>
    </w:p>
    <w:p>
      <w:pPr>
        <w:spacing w:after="0" w:line="124"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202E39"/>
        </w:rPr>
        <w:t>The Board of Directors is the company’s governing body and is responsible for assuring that the long-term interests of the stockholders are being served. The Board of Directors is also responsible for overseeing Viasat’s Executive Chairman, Chief Executive Officer and other senior management in the competent and ethical operation of the company on a day-to-day basis. To satisfy its duties, directors are expected to take a proactive, focused approach to their position, and set standards to ensure that the company is committed to business success by maintaining the highest standards of responsibility and ethics.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Risk Oversight</w:t>
      </w:r>
    </w:p>
    <w:p>
      <w:pPr>
        <w:spacing w:after="0" w:line="124" w:lineRule="exact"/>
        <w:rPr>
          <w:sz w:val="20"/>
          <w:szCs w:val="20"/>
          <w:color w:val="auto"/>
        </w:rPr>
      </w:pPr>
    </w:p>
    <w:p>
      <w:pPr>
        <w:ind w:left="120" w:right="360"/>
        <w:spacing w:after="0" w:line="260" w:lineRule="auto"/>
        <w:rPr>
          <w:sz w:val="20"/>
          <w:szCs w:val="20"/>
          <w:color w:val="auto"/>
        </w:rPr>
      </w:pPr>
      <w:r>
        <w:rPr>
          <w:rFonts w:ascii="Arial" w:cs="Arial" w:eastAsia="Arial" w:hAnsi="Arial"/>
          <w:sz w:val="16"/>
          <w:szCs w:val="16"/>
          <w:color w:val="202E39"/>
        </w:rPr>
        <w:t>We take a comprehensive approach to risk management which is reflected in the reporting processes by which our management provides timely and comprehensive information to the Board to support the Board’s role in oversight, approval and decision-making.</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737235"/>
                    </a:xfrm>
                    <a:prstGeom prst="rect">
                      <a:avLst/>
                    </a:prstGeom>
                    <a:noFill/>
                  </pic:spPr>
                </pic:pic>
              </a:graphicData>
            </a:graphic>
          </wp:anchor>
        </w:drawing>
      </w:r>
    </w:p>
    <w:p>
      <w:pPr>
        <w:spacing w:after="0" w:line="19" w:lineRule="exact"/>
        <w:rPr>
          <w:sz w:val="20"/>
          <w:szCs w:val="20"/>
          <w:color w:val="auto"/>
        </w:rPr>
      </w:pPr>
    </w:p>
    <w:p>
      <w:pPr>
        <w:ind w:left="180" w:right="80"/>
        <w:spacing w:after="0" w:line="246" w:lineRule="auto"/>
        <w:rPr>
          <w:sz w:val="20"/>
          <w:szCs w:val="20"/>
          <w:color w:val="auto"/>
        </w:rPr>
      </w:pPr>
      <w:r>
        <w:rPr>
          <w:rFonts w:ascii="Arial" w:cs="Arial" w:eastAsia="Arial" w:hAnsi="Arial"/>
          <w:sz w:val="16"/>
          <w:szCs w:val="16"/>
          <w:color w:val="009FE3"/>
        </w:rPr>
        <w:t xml:space="preserve">The Board is responsible for </w:t>
      </w:r>
      <w:r>
        <w:rPr>
          <w:rFonts w:ascii="Arial" w:cs="Arial" w:eastAsia="Arial" w:hAnsi="Arial"/>
          <w:sz w:val="16"/>
          <w:szCs w:val="16"/>
          <w:color w:val="202E39"/>
        </w:rPr>
        <w:t>overseeing management in the execution of its responsibilities and for assessing the company’s approach to risk</w:t>
      </w:r>
      <w:r>
        <w:rPr>
          <w:rFonts w:ascii="Arial" w:cs="Arial" w:eastAsia="Arial" w:hAnsi="Arial"/>
          <w:sz w:val="16"/>
          <w:szCs w:val="16"/>
          <w:color w:val="009FE3"/>
        </w:rPr>
        <w:t xml:space="preserve"> </w:t>
      </w:r>
      <w:r>
        <w:rPr>
          <w:rFonts w:ascii="Arial" w:cs="Arial" w:eastAsia="Arial" w:hAnsi="Arial"/>
          <w:sz w:val="16"/>
          <w:szCs w:val="16"/>
          <w:color w:val="202E39"/>
        </w:rPr>
        <w:t>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jc w:val="center"/>
        <w:ind w:right="-159"/>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440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44018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9" w:lineRule="exact"/>
        <w:rPr>
          <w:sz w:val="20"/>
          <w:szCs w:val="20"/>
          <w:color w:val="auto"/>
        </w:rPr>
      </w:pPr>
    </w:p>
    <w:p>
      <w:pPr>
        <w:ind w:left="180"/>
        <w:spacing w:after="0" w:line="248" w:lineRule="auto"/>
        <w:rPr>
          <w:sz w:val="20"/>
          <w:szCs w:val="20"/>
          <w:color w:val="auto"/>
        </w:rPr>
      </w:pPr>
      <w:r>
        <w:rPr>
          <w:rFonts w:ascii="Arial" w:cs="Arial" w:eastAsia="Arial" w:hAnsi="Arial"/>
          <w:sz w:val="16"/>
          <w:szCs w:val="16"/>
          <w:color w:val="009FE3"/>
        </w:rPr>
        <w:t xml:space="preserve">The Audit Committee is responsible for </w:t>
      </w:r>
      <w:r>
        <w:rPr>
          <w:rFonts w:ascii="Arial" w:cs="Arial" w:eastAsia="Arial" w:hAnsi="Arial"/>
          <w:sz w:val="16"/>
          <w:szCs w:val="16"/>
          <w:color w:val="202E39"/>
        </w:rPr>
        <w:t>reviewing the</w:t>
      </w:r>
      <w:r>
        <w:rPr>
          <w:rFonts w:ascii="Arial" w:cs="Arial" w:eastAsia="Arial" w:hAnsi="Arial"/>
          <w:sz w:val="16"/>
          <w:szCs w:val="16"/>
          <w:color w:val="009FE3"/>
        </w:rPr>
        <w:t xml:space="preserve"> </w:t>
      </w:r>
      <w:r>
        <w:rPr>
          <w:rFonts w:ascii="Arial" w:cs="Arial" w:eastAsia="Arial" w:hAnsi="Arial"/>
          <w:sz w:val="16"/>
          <w:szCs w:val="16"/>
          <w:color w:val="202E39"/>
        </w:rPr>
        <w:t>professional services provided by our independent registered public accounting firm, the independence of such independent registered public accounting firm from our management, and our annual and quarterly financial statements.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48" w:lineRule="auto"/>
        <w:rPr>
          <w:sz w:val="20"/>
          <w:szCs w:val="20"/>
          <w:color w:val="auto"/>
        </w:rPr>
      </w:pPr>
      <w:r>
        <w:rPr>
          <w:rFonts w:ascii="Arial" w:cs="Arial" w:eastAsia="Arial" w:hAnsi="Arial"/>
          <w:sz w:val="16"/>
          <w:szCs w:val="16"/>
          <w:color w:val="009FE3"/>
        </w:rPr>
        <w:t xml:space="preserve">The Compensation and Human Resources Committee is responsible for </w:t>
      </w:r>
      <w:r>
        <w:rPr>
          <w:rFonts w:ascii="Arial" w:cs="Arial" w:eastAsia="Arial" w:hAnsi="Arial"/>
          <w:sz w:val="16"/>
          <w:szCs w:val="16"/>
          <w:color w:val="202E39"/>
        </w:rPr>
        <w:t>designing and</w:t>
      </w:r>
      <w:r>
        <w:rPr>
          <w:rFonts w:ascii="Arial" w:cs="Arial" w:eastAsia="Arial" w:hAnsi="Arial"/>
          <w:sz w:val="16"/>
          <w:szCs w:val="16"/>
          <w:color w:val="009FE3"/>
        </w:rPr>
        <w:t xml:space="preserve"> </w:t>
      </w:r>
      <w:r>
        <w:rPr>
          <w:rFonts w:ascii="Arial" w:cs="Arial" w:eastAsia="Arial" w:hAnsi="Arial"/>
          <w:sz w:val="16"/>
          <w:szCs w:val="16"/>
          <w:color w:val="202E39"/>
        </w:rPr>
        <w:t>evaluating Viasat’s compensation plans, policies and programs, including the compensation of our executive officers.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009FE3"/>
        </w:rPr>
        <w:t xml:space="preserve">The Nomination, Evaluation and Corporate Governance Committee is responsible for </w:t>
      </w:r>
      <w:r>
        <w:rPr>
          <w:rFonts w:ascii="Arial" w:cs="Arial" w:eastAsia="Arial" w:hAnsi="Arial"/>
          <w:sz w:val="16"/>
          <w:szCs w:val="16"/>
          <w:color w:val="202E39"/>
        </w:rPr>
        <w:t>developing and</w:t>
      </w:r>
      <w:r>
        <w:rPr>
          <w:rFonts w:ascii="Arial" w:cs="Arial" w:eastAsia="Arial" w:hAnsi="Arial"/>
          <w:sz w:val="16"/>
          <w:szCs w:val="16"/>
          <w:color w:val="009FE3"/>
        </w:rPr>
        <w:t xml:space="preserve"> </w:t>
      </w:r>
      <w:r>
        <w:rPr>
          <w:rFonts w:ascii="Arial" w:cs="Arial" w:eastAsia="Arial" w:hAnsi="Arial"/>
          <w:sz w:val="16"/>
          <w:szCs w:val="16"/>
          <w:color w:val="202E39"/>
        </w:rPr>
        <w:t>recommending to the Board a set of corporate governance guidelines and principles, providing oversight of the process for the self-assessment by the Board and each of its committees, and reviewing and recommending nominees for election as directors and committee members.</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17780</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47" w:lineRule="auto"/>
        <w:rPr>
          <w:sz w:val="20"/>
          <w:szCs w:val="20"/>
          <w:color w:val="auto"/>
        </w:rPr>
      </w:pPr>
      <w:r>
        <w:rPr>
          <w:rFonts w:ascii="Arial" w:cs="Arial" w:eastAsia="Arial" w:hAnsi="Arial"/>
          <w:sz w:val="16"/>
          <w:szCs w:val="16"/>
          <w:color w:val="009FE3"/>
        </w:rPr>
        <w:t xml:space="preserve">The Banking and Finance Committee is responsible for </w:t>
      </w:r>
      <w:r>
        <w:rPr>
          <w:rFonts w:ascii="Arial" w:cs="Arial" w:eastAsia="Arial" w:hAnsi="Arial"/>
          <w:sz w:val="16"/>
          <w:szCs w:val="16"/>
          <w:color w:val="202E39"/>
        </w:rPr>
        <w:t>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p>
      <w:pPr>
        <w:spacing w:after="0" w:line="336" w:lineRule="exact"/>
        <w:rPr>
          <w:sz w:val="20"/>
          <w:szCs w:val="20"/>
          <w:color w:val="auto"/>
        </w:rPr>
      </w:pPr>
    </w:p>
    <w:p>
      <w:pPr>
        <w:sectPr>
          <w:pgSz w:w="11900" w:h="16838" w:orient="portrait"/>
          <w:cols w:equalWidth="0" w:num="4">
            <w:col w:w="2660" w:space="240"/>
            <w:col w:w="2420" w:space="160"/>
            <w:col w:w="2900" w:space="120"/>
            <w:col w:w="262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pacing w:after="0" w:line="9" w:lineRule="exact"/>
        <w:rPr>
          <w:sz w:val="20"/>
          <w:szCs w:val="20"/>
          <w:color w:val="auto"/>
        </w:rPr>
      </w:pPr>
    </w:p>
    <w:p>
      <w:pPr>
        <w:ind w:left="180" w:right="560"/>
        <w:spacing w:after="0" w:line="260" w:lineRule="auto"/>
        <w:rPr>
          <w:sz w:val="20"/>
          <w:szCs w:val="20"/>
          <w:color w:val="auto"/>
        </w:rPr>
      </w:pPr>
      <w:r>
        <w:rPr>
          <w:rFonts w:ascii="Arial" w:cs="Arial" w:eastAsia="Arial" w:hAnsi="Arial"/>
          <w:sz w:val="16"/>
          <w:szCs w:val="16"/>
          <w:color w:val="009FE3"/>
        </w:rPr>
        <w:t xml:space="preserve">Our senior management is responsible for </w:t>
      </w:r>
      <w:r>
        <w:rPr>
          <w:rFonts w:ascii="Arial" w:cs="Arial" w:eastAsia="Arial" w:hAnsi="Arial"/>
          <w:sz w:val="16"/>
          <w:szCs w:val="16"/>
          <w:color w:val="202E39"/>
        </w:rPr>
        <w:t>assessing and managing the company’s various exposures to risk on a day-to-day basis, including the</w:t>
      </w:r>
      <w:r>
        <w:rPr>
          <w:rFonts w:ascii="Arial" w:cs="Arial" w:eastAsia="Arial" w:hAnsi="Arial"/>
          <w:sz w:val="16"/>
          <w:szCs w:val="16"/>
          <w:color w:val="009FE3"/>
        </w:rPr>
        <w:t xml:space="preserve"> </w:t>
      </w:r>
      <w:r>
        <w:rPr>
          <w:rFonts w:ascii="Arial" w:cs="Arial" w:eastAsia="Arial" w:hAnsi="Arial"/>
          <w:sz w:val="16"/>
          <w:szCs w:val="16"/>
          <w:color w:val="202E39"/>
        </w:rPr>
        <w:t>creation of appropriate risk management programs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80010</wp:posOffset>
            </wp:positionV>
            <wp:extent cx="43688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6</w:t>
      </w:r>
    </w:p>
    <w:p>
      <w:pPr>
        <w:sectPr>
          <w:pgSz w:w="11900" w:h="16838" w:orient="portrait"/>
          <w:cols w:equalWidth="0" w:num="1">
            <w:col w:w="11120"/>
          </w:cols>
          <w:pgMar w:left="32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08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Leadership and Independence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Leadership and Independence</w:t>
      </w:r>
    </w:p>
    <w:p>
      <w:pPr>
        <w:spacing w:after="0" w:line="125"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b w:val="1"/>
          <w:bCs w:val="1"/>
          <w:i w:val="1"/>
          <w:iCs w:val="1"/>
          <w:color w:val="009FE3"/>
        </w:rPr>
        <w:t xml:space="preserve">Enhanced Board Leadership Structure. </w:t>
      </w:r>
      <w:r>
        <w:rPr>
          <w:rFonts w:ascii="Arial" w:cs="Arial" w:eastAsia="Arial" w:hAnsi="Arial"/>
          <w:sz w:val="16"/>
          <w:szCs w:val="16"/>
          <w:color w:val="202E39"/>
        </w:rPr>
        <w:t>The Board regularly evaluates its leadership structure to ensure the best interests of the company and its</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stockholders are represented. The Board leadership structure is currently comprised of an Executive Chairman, who was formerly the company’s Chief Executive Officer, and a Lead Independent Director.</w:t>
      </w:r>
    </w:p>
    <w:p>
      <w:pPr>
        <w:spacing w:after="0" w:line="83" w:lineRule="exact"/>
        <w:rPr>
          <w:sz w:val="20"/>
          <w:szCs w:val="20"/>
          <w:color w:val="auto"/>
        </w:rPr>
      </w:pPr>
    </w:p>
    <w:p>
      <w:pPr>
        <w:jc w:val="both"/>
        <w:ind w:left="120" w:right="40"/>
        <w:spacing w:after="0" w:line="253" w:lineRule="auto"/>
        <w:rPr>
          <w:sz w:val="20"/>
          <w:szCs w:val="20"/>
          <w:color w:val="auto"/>
        </w:rPr>
      </w:pPr>
      <w:r>
        <w:rPr>
          <w:rFonts w:ascii="Arial" w:cs="Arial" w:eastAsia="Arial" w:hAnsi="Arial"/>
          <w:sz w:val="16"/>
          <w:szCs w:val="16"/>
          <w:color w:val="202E39"/>
        </w:rPr>
        <w:t>The role of Lead Independent Director was established in 2019 to provide strong independent leadership for the Board. The Lead Independent Director’s responsibilities include presiding over all meetings of the Board at which the Executive Chairman is not present, calling meetings of independent directors and functioning as a liaison with the Executive Chairman.</w:t>
      </w:r>
    </w:p>
    <w:p>
      <w:pPr>
        <w:spacing w:after="0" w:line="93"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202E39"/>
        </w:rPr>
        <w:t>In fiscal year 2021, the Board separated the Chairman of the Board and Chief Executive Officer roles. Mark Dankberg, who previously served as Chairman of the Board and Chief Executive Officer, was appointed Executive Chairman, and Richard Baldridge, who previously served as President and Chief Operating Officer, was appointed President and Chief Executive Officer, each in November 2020.</w:t>
      </w:r>
    </w:p>
    <w:p>
      <w:pPr>
        <w:spacing w:after="0" w:line="9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The Board believes that having an Executive Chairman who is a long-tenured employee and leader is in the best interests of the company and its stockholders because it enhances the Board’s ability to focus on and navigate the most important strategic issues facing the company. Coupled with a Lead Independent Director, this leadership structure allows the Board to exercise independent oversight while enabling the Board to have direct access to information related to the day-to-day management of Viasat’s business operations.</w:t>
      </w:r>
    </w:p>
    <w:p>
      <w:pPr>
        <w:spacing w:after="0" w:line="74"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b w:val="1"/>
          <w:bCs w:val="1"/>
          <w:i w:val="1"/>
          <w:iCs w:val="1"/>
          <w:color w:val="009FE3"/>
        </w:rPr>
        <w:t xml:space="preserve">Majority Independent Board. </w:t>
      </w:r>
      <w:r>
        <w:rPr>
          <w:rFonts w:ascii="Arial" w:cs="Arial" w:eastAsia="Arial" w:hAnsi="Arial"/>
          <w:sz w:val="16"/>
          <w:szCs w:val="16"/>
          <w:color w:val="202E39"/>
        </w:rPr>
        <w:t>The criteria established by The Nasdaq Stock Market, or Nasdaq, for director independence include various objective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w:t>
      </w:r>
    </w:p>
    <w:p>
      <w:pPr>
        <w:spacing w:after="0" w:line="94"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202E39"/>
        </w:rPr>
        <w:t>None of our existing directors were disqualified from independent status under the objective standards, other than Mr. Dankberg and Mr. Baldridge, who do not qualify as independent because they are Viasat employees.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95" w:lineRule="exact"/>
        <w:rPr>
          <w:sz w:val="20"/>
          <w:szCs w:val="20"/>
          <w:color w:val="auto"/>
        </w:rPr>
      </w:pPr>
    </w:p>
    <w:p>
      <w:pPr>
        <w:ind w:left="120" w:right="420"/>
        <w:spacing w:after="0" w:line="251" w:lineRule="auto"/>
        <w:rPr>
          <w:sz w:val="20"/>
          <w:szCs w:val="20"/>
          <w:color w:val="auto"/>
        </w:rPr>
      </w:pPr>
      <w:r>
        <w:rPr>
          <w:rFonts w:ascii="Arial" w:cs="Arial" w:eastAsia="Arial" w:hAnsi="Arial"/>
          <w:sz w:val="16"/>
          <w:szCs w:val="16"/>
          <w:color w:val="202E39"/>
        </w:rPr>
        <w:t>As a result of this evaluation, the Board of Directors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120"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7</w:t>
            </w: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Board Committee Composition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Committee Composition</w:t>
      </w:r>
    </w:p>
    <w:p>
      <w:pPr>
        <w:spacing w:after="0" w:line="145"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 xml:space="preserve">As of the date of this proxy statement, our Board of Directors has the following four standing committees: (1) Audit Committee, (2) 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During our fiscal year ended March 31, 2021, the Board held eight meetings. During this period, all of the directors attended or participated in at least 75% of the aggregate of the total number of meetings and the total number of meetings held by all standing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All our directors then in office attended last year’s annual meeting of stockholders.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300" w:type="dxa"/>
            <w:vAlign w:val="bottom"/>
            <w:tcBorders>
              <w:top w:val="single" w:sz="8" w:color="E8EAEB"/>
              <w:right w:val="single" w:sz="8" w:color="E8EAEB"/>
            </w:tcBorders>
          </w:tcPr>
          <w:p>
            <w:pPr>
              <w:spacing w:after="0"/>
              <w:rPr>
                <w:sz w:val="17"/>
                <w:szCs w:val="17"/>
                <w:color w:val="auto"/>
              </w:rPr>
            </w:pPr>
          </w:p>
        </w:tc>
        <w:tc>
          <w:tcPr>
            <w:tcW w:w="1720" w:type="dxa"/>
            <w:vAlign w:val="bottom"/>
            <w:tcBorders>
              <w:top w:val="single" w:sz="8" w:color="E8EAEB"/>
              <w:right w:val="single" w:sz="8" w:color="E8EAEB"/>
            </w:tcBorders>
          </w:tcPr>
          <w:p>
            <w:pPr>
              <w:spacing w:after="0"/>
              <w:rPr>
                <w:sz w:val="17"/>
                <w:szCs w:val="17"/>
                <w:color w:val="auto"/>
              </w:rPr>
            </w:pPr>
          </w:p>
        </w:tc>
        <w:tc>
          <w:tcPr>
            <w:tcW w:w="1860" w:type="dxa"/>
            <w:vAlign w:val="bottom"/>
            <w:tcBorders>
              <w:top w:val="single" w:sz="8" w:color="E8EAEB"/>
              <w:right w:val="single" w:sz="8" w:color="E8EAEB"/>
            </w:tcBorders>
          </w:tcPr>
          <w:p>
            <w:pPr>
              <w:spacing w:after="0"/>
              <w:rPr>
                <w:sz w:val="17"/>
                <w:szCs w:val="17"/>
                <w:color w:val="auto"/>
              </w:rPr>
            </w:pPr>
          </w:p>
        </w:tc>
        <w:tc>
          <w:tcPr>
            <w:tcW w:w="2120" w:type="dxa"/>
            <w:vAlign w:val="bottom"/>
            <w:tcBorders>
              <w:top w:val="single" w:sz="8" w:color="E8EAEB"/>
              <w:right w:val="single" w:sz="8" w:color="E8EAEB"/>
            </w:tcBorders>
          </w:tcPr>
          <w:p>
            <w:pPr>
              <w:jc w:val="center"/>
              <w:ind w:left="444"/>
              <w:spacing w:after="0"/>
              <w:rPr>
                <w:sz w:val="20"/>
                <w:szCs w:val="20"/>
                <w:color w:val="auto"/>
              </w:rPr>
            </w:pPr>
            <w:r>
              <w:rPr>
                <w:rFonts w:ascii="Arial" w:cs="Arial" w:eastAsia="Arial" w:hAnsi="Arial"/>
                <w:sz w:val="14"/>
                <w:szCs w:val="14"/>
                <w:b w:val="1"/>
                <w:bCs w:val="1"/>
                <w:color w:val="009FE3"/>
              </w:rPr>
              <w:t>Nomination,</w:t>
            </w:r>
          </w:p>
        </w:tc>
        <w:tc>
          <w:tcPr>
            <w:tcW w:w="2020" w:type="dxa"/>
            <w:vAlign w:val="bottom"/>
            <w:tcBorders>
              <w:top w:val="single" w:sz="8" w:color="E8EAEB"/>
            </w:tcBorders>
          </w:tcPr>
          <w:p>
            <w:pPr>
              <w:spacing w:after="0"/>
              <w:rPr>
                <w:sz w:val="17"/>
                <w:szCs w:val="17"/>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spacing w:after="0"/>
              <w:rPr>
                <w:sz w:val="14"/>
                <w:szCs w:val="14"/>
                <w:color w:val="auto"/>
              </w:rPr>
            </w:pPr>
          </w:p>
        </w:tc>
        <w:tc>
          <w:tcPr>
            <w:tcW w:w="1860" w:type="dxa"/>
            <w:vAlign w:val="bottom"/>
            <w:tcBorders>
              <w:right w:val="single" w:sz="8" w:color="E8EAEB"/>
            </w:tcBorders>
          </w:tcPr>
          <w:p>
            <w:pPr>
              <w:jc w:val="center"/>
              <w:ind w:left="442"/>
              <w:spacing w:after="0"/>
              <w:rPr>
                <w:sz w:val="20"/>
                <w:szCs w:val="20"/>
                <w:color w:val="auto"/>
              </w:rPr>
            </w:pPr>
            <w:r>
              <w:rPr>
                <w:rFonts w:ascii="Arial" w:cs="Arial" w:eastAsia="Arial" w:hAnsi="Arial"/>
                <w:sz w:val="14"/>
                <w:szCs w:val="14"/>
                <w:b w:val="1"/>
                <w:bCs w:val="1"/>
                <w:color w:val="009FE3"/>
              </w:rPr>
              <w:t>Compensation and</w:t>
            </w:r>
          </w:p>
        </w:tc>
        <w:tc>
          <w:tcPr>
            <w:tcW w:w="2120" w:type="dxa"/>
            <w:vAlign w:val="bottom"/>
            <w:tcBorders>
              <w:right w:val="single" w:sz="8" w:color="E8EAEB"/>
            </w:tcBorders>
          </w:tcPr>
          <w:p>
            <w:pPr>
              <w:jc w:val="center"/>
              <w:ind w:left="464"/>
              <w:spacing w:after="0"/>
              <w:rPr>
                <w:sz w:val="20"/>
                <w:szCs w:val="20"/>
                <w:color w:val="auto"/>
              </w:rPr>
            </w:pPr>
            <w:r>
              <w:rPr>
                <w:rFonts w:ascii="Arial" w:cs="Arial" w:eastAsia="Arial" w:hAnsi="Arial"/>
                <w:sz w:val="14"/>
                <w:szCs w:val="14"/>
                <w:b w:val="1"/>
                <w:bCs w:val="1"/>
                <w:color w:val="009FE3"/>
              </w:rPr>
              <w:t>Evaluation and</w:t>
            </w:r>
          </w:p>
        </w:tc>
        <w:tc>
          <w:tcPr>
            <w:tcW w:w="2020" w:type="dxa"/>
            <w:vAlign w:val="bottom"/>
          </w:tcPr>
          <w:p>
            <w:pPr>
              <w:spacing w:after="0"/>
              <w:rPr>
                <w:sz w:val="14"/>
                <w:szCs w:val="14"/>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spacing w:after="0"/>
              <w:rPr>
                <w:sz w:val="14"/>
                <w:szCs w:val="14"/>
                <w:color w:val="auto"/>
              </w:rPr>
            </w:pPr>
          </w:p>
        </w:tc>
        <w:tc>
          <w:tcPr>
            <w:tcW w:w="1860" w:type="dxa"/>
            <w:vAlign w:val="bottom"/>
            <w:tcBorders>
              <w:right w:val="single" w:sz="8" w:color="E8EAEB"/>
            </w:tcBorders>
          </w:tcPr>
          <w:p>
            <w:pPr>
              <w:jc w:val="center"/>
              <w:ind w:left="442"/>
              <w:spacing w:after="0"/>
              <w:rPr>
                <w:sz w:val="20"/>
                <w:szCs w:val="20"/>
                <w:color w:val="auto"/>
              </w:rPr>
            </w:pPr>
            <w:r>
              <w:rPr>
                <w:rFonts w:ascii="Arial" w:cs="Arial" w:eastAsia="Arial" w:hAnsi="Arial"/>
                <w:sz w:val="14"/>
                <w:szCs w:val="14"/>
                <w:b w:val="1"/>
                <w:bCs w:val="1"/>
                <w:color w:val="009FE3"/>
              </w:rPr>
              <w:t>Human Resources</w:t>
            </w:r>
          </w:p>
        </w:tc>
        <w:tc>
          <w:tcPr>
            <w:tcW w:w="2120" w:type="dxa"/>
            <w:vAlign w:val="bottom"/>
            <w:tcBorders>
              <w:right w:val="single" w:sz="8" w:color="E8EAEB"/>
            </w:tcBorders>
          </w:tcPr>
          <w:p>
            <w:pPr>
              <w:jc w:val="center"/>
              <w:ind w:left="444"/>
              <w:spacing w:after="0"/>
              <w:rPr>
                <w:sz w:val="20"/>
                <w:szCs w:val="20"/>
                <w:color w:val="auto"/>
              </w:rPr>
            </w:pPr>
            <w:r>
              <w:rPr>
                <w:rFonts w:ascii="Arial" w:cs="Arial" w:eastAsia="Arial" w:hAnsi="Arial"/>
                <w:sz w:val="14"/>
                <w:szCs w:val="14"/>
                <w:b w:val="1"/>
                <w:bCs w:val="1"/>
                <w:color w:val="009FE3"/>
              </w:rPr>
              <w:t>Corporate Governance</w:t>
            </w:r>
          </w:p>
        </w:tc>
        <w:tc>
          <w:tcPr>
            <w:tcW w:w="2020" w:type="dxa"/>
            <w:vAlign w:val="bottom"/>
          </w:tcPr>
          <w:p>
            <w:pPr>
              <w:jc w:val="center"/>
              <w:ind w:left="462"/>
              <w:spacing w:after="0"/>
              <w:rPr>
                <w:sz w:val="20"/>
                <w:szCs w:val="20"/>
                <w:color w:val="auto"/>
              </w:rPr>
            </w:pPr>
            <w:r>
              <w:rPr>
                <w:rFonts w:ascii="Arial" w:cs="Arial" w:eastAsia="Arial" w:hAnsi="Arial"/>
                <w:sz w:val="14"/>
                <w:szCs w:val="14"/>
                <w:b w:val="1"/>
                <w:bCs w:val="1"/>
                <w:color w:val="009FE3"/>
              </w:rPr>
              <w:t>Banking and Finance</w:t>
            </w:r>
          </w:p>
        </w:tc>
      </w:tr>
      <w:tr>
        <w:trPr>
          <w:trHeight w:val="196"/>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Director</w:t>
            </w:r>
          </w:p>
        </w:tc>
        <w:tc>
          <w:tcPr>
            <w:tcW w:w="1720" w:type="dxa"/>
            <w:vAlign w:val="bottom"/>
            <w:tcBorders>
              <w:bottom w:val="single" w:sz="8" w:color="009FE3"/>
              <w:right w:val="single" w:sz="8" w:color="E8EAEB"/>
            </w:tcBorders>
          </w:tcPr>
          <w:p>
            <w:pPr>
              <w:jc w:val="center"/>
              <w:ind w:left="441"/>
              <w:spacing w:after="0"/>
              <w:rPr>
                <w:sz w:val="20"/>
                <w:szCs w:val="20"/>
                <w:color w:val="auto"/>
              </w:rPr>
            </w:pPr>
            <w:r>
              <w:rPr>
                <w:rFonts w:ascii="Arial" w:cs="Arial" w:eastAsia="Arial" w:hAnsi="Arial"/>
                <w:sz w:val="14"/>
                <w:szCs w:val="14"/>
                <w:b w:val="1"/>
                <w:bCs w:val="1"/>
                <w:color w:val="009FE3"/>
              </w:rPr>
              <w:t>Audit Committee</w:t>
            </w:r>
          </w:p>
        </w:tc>
        <w:tc>
          <w:tcPr>
            <w:tcW w:w="1860" w:type="dxa"/>
            <w:vAlign w:val="bottom"/>
            <w:tcBorders>
              <w:bottom w:val="single" w:sz="8" w:color="009FE3"/>
              <w:right w:val="single" w:sz="8" w:color="E8EAEB"/>
            </w:tcBorders>
          </w:tcPr>
          <w:p>
            <w:pPr>
              <w:jc w:val="center"/>
              <w:ind w:left="442"/>
              <w:spacing w:after="0"/>
              <w:rPr>
                <w:sz w:val="20"/>
                <w:szCs w:val="20"/>
                <w:color w:val="auto"/>
              </w:rPr>
            </w:pPr>
            <w:r>
              <w:rPr>
                <w:rFonts w:ascii="Arial" w:cs="Arial" w:eastAsia="Arial" w:hAnsi="Arial"/>
                <w:sz w:val="14"/>
                <w:szCs w:val="14"/>
                <w:b w:val="1"/>
                <w:bCs w:val="1"/>
                <w:color w:val="009FE3"/>
              </w:rPr>
              <w:t>Committee</w:t>
            </w:r>
          </w:p>
        </w:tc>
        <w:tc>
          <w:tcPr>
            <w:tcW w:w="2120" w:type="dxa"/>
            <w:vAlign w:val="bottom"/>
            <w:tcBorders>
              <w:bottom w:val="single" w:sz="8" w:color="009FE3"/>
              <w:right w:val="single" w:sz="8" w:color="E8EAEB"/>
            </w:tcBorders>
          </w:tcPr>
          <w:p>
            <w:pPr>
              <w:jc w:val="center"/>
              <w:ind w:left="464"/>
              <w:spacing w:after="0"/>
              <w:rPr>
                <w:sz w:val="20"/>
                <w:szCs w:val="20"/>
                <w:color w:val="auto"/>
              </w:rPr>
            </w:pPr>
            <w:r>
              <w:rPr>
                <w:rFonts w:ascii="Arial" w:cs="Arial" w:eastAsia="Arial" w:hAnsi="Arial"/>
                <w:sz w:val="14"/>
                <w:szCs w:val="14"/>
                <w:b w:val="1"/>
                <w:bCs w:val="1"/>
                <w:color w:val="009FE3"/>
              </w:rPr>
              <w:t>Committee</w:t>
            </w:r>
          </w:p>
        </w:tc>
        <w:tc>
          <w:tcPr>
            <w:tcW w:w="2020" w:type="dxa"/>
            <w:vAlign w:val="bottom"/>
            <w:tcBorders>
              <w:bottom w:val="single" w:sz="8" w:color="009FE3"/>
            </w:tcBorders>
          </w:tcPr>
          <w:p>
            <w:pPr>
              <w:jc w:val="center"/>
              <w:ind w:left="482"/>
              <w:spacing w:after="0"/>
              <w:rPr>
                <w:sz w:val="20"/>
                <w:szCs w:val="20"/>
                <w:color w:val="auto"/>
              </w:rPr>
            </w:pPr>
            <w:r>
              <w:rPr>
                <w:rFonts w:ascii="Arial" w:cs="Arial" w:eastAsia="Arial" w:hAnsi="Arial"/>
                <w:sz w:val="14"/>
                <w:szCs w:val="14"/>
                <w:b w:val="1"/>
                <w:bCs w:val="1"/>
                <w:color w:val="009FE3"/>
              </w:rPr>
              <w:t>Committee</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Member</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Member</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James Bridenstine (1)</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 (2)</w:t>
            </w:r>
          </w:p>
        </w:tc>
        <w:tc>
          <w:tcPr>
            <w:tcW w:w="1720" w:type="dxa"/>
            <w:vAlign w:val="bottom"/>
            <w:tcBorders>
              <w:bottom w:val="single" w:sz="8" w:color="E8EAEB"/>
              <w:right w:val="single" w:sz="8" w:color="E8EAEB"/>
            </w:tcBorders>
          </w:tcPr>
          <w:p>
            <w:pPr>
              <w:jc w:val="center"/>
              <w:ind w:left="441"/>
              <w:spacing w:after="0"/>
              <w:rPr>
                <w:sz w:val="20"/>
                <w:szCs w:val="20"/>
                <w:color w:val="auto"/>
              </w:rPr>
            </w:pPr>
            <w:r>
              <w:rPr>
                <w:rFonts w:ascii="Arial" w:cs="Arial" w:eastAsia="Arial" w:hAnsi="Arial"/>
                <w:sz w:val="16"/>
                <w:szCs w:val="16"/>
                <w:color w:val="202E39"/>
              </w:rPr>
              <w:t>Member</w:t>
            </w:r>
          </w:p>
        </w:tc>
        <w:tc>
          <w:tcPr>
            <w:tcW w:w="1860" w:type="dxa"/>
            <w:vAlign w:val="bottom"/>
            <w:tcBorders>
              <w:bottom w:val="single" w:sz="8" w:color="E8EAEB"/>
              <w:right w:val="single" w:sz="8" w:color="E8EAEB"/>
            </w:tcBorders>
          </w:tcPr>
          <w:p>
            <w:pPr>
              <w:spacing w:after="0"/>
              <w:rPr>
                <w:sz w:val="21"/>
                <w:szCs w:val="21"/>
                <w:color w:val="auto"/>
              </w:rPr>
            </w:pPr>
          </w:p>
        </w:tc>
        <w:tc>
          <w:tcPr>
            <w:tcW w:w="2120" w:type="dxa"/>
            <w:vAlign w:val="bottom"/>
            <w:tcBorders>
              <w:bottom w:val="single" w:sz="8" w:color="E8EAEB"/>
              <w:right w:val="single" w:sz="8" w:color="E8EAEB"/>
            </w:tcBorders>
          </w:tcPr>
          <w:p>
            <w:pPr>
              <w:jc w:val="center"/>
              <w:ind w:left="464"/>
              <w:spacing w:after="0"/>
              <w:rPr>
                <w:sz w:val="20"/>
                <w:szCs w:val="20"/>
                <w:color w:val="auto"/>
              </w:rPr>
            </w:pPr>
            <w:r>
              <w:rPr>
                <w:rFonts w:ascii="Arial" w:cs="Arial" w:eastAsia="Arial" w:hAnsi="Arial"/>
                <w:sz w:val="16"/>
                <w:szCs w:val="16"/>
                <w:color w:val="202E39"/>
                <w:w w:val="99"/>
              </w:rPr>
              <w:t>Chair</w:t>
            </w: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7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jc w:val="center"/>
              <w:ind w:left="422"/>
              <w:spacing w:after="0"/>
              <w:rPr>
                <w:sz w:val="20"/>
                <w:szCs w:val="20"/>
                <w:color w:val="auto"/>
              </w:rPr>
            </w:pPr>
            <w:r>
              <w:rPr>
                <w:rFonts w:ascii="Arial" w:cs="Arial" w:eastAsia="Arial" w:hAnsi="Arial"/>
                <w:sz w:val="16"/>
                <w:szCs w:val="16"/>
                <w:color w:val="202E39"/>
              </w:rPr>
              <w:t>Member</w:t>
            </w:r>
          </w:p>
        </w:tc>
        <w:tc>
          <w:tcPr>
            <w:tcW w:w="2120" w:type="dxa"/>
            <w:vAlign w:val="bottom"/>
            <w:tcBorders>
              <w:bottom w:val="single" w:sz="8" w:color="E8EAEB"/>
              <w:right w:val="single" w:sz="8" w:color="E8EAEB"/>
            </w:tcBorders>
          </w:tcPr>
          <w:p>
            <w:pPr>
              <w:jc w:val="center"/>
              <w:ind w:left="444"/>
              <w:spacing w:after="0"/>
              <w:rPr>
                <w:sz w:val="20"/>
                <w:szCs w:val="20"/>
                <w:color w:val="auto"/>
              </w:rPr>
            </w:pPr>
            <w:r>
              <w:rPr>
                <w:rFonts w:ascii="Arial" w:cs="Arial" w:eastAsia="Arial" w:hAnsi="Arial"/>
                <w:sz w:val="16"/>
                <w:szCs w:val="16"/>
                <w:color w:val="202E39"/>
              </w:rPr>
              <w:t>Member</w:t>
            </w: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 (2)</w:t>
            </w:r>
          </w:p>
        </w:tc>
        <w:tc>
          <w:tcPr>
            <w:tcW w:w="1720" w:type="dxa"/>
            <w:vAlign w:val="bottom"/>
            <w:tcBorders>
              <w:bottom w:val="single" w:sz="8" w:color="E8EAEB"/>
              <w:right w:val="single" w:sz="8" w:color="E8EAEB"/>
            </w:tcBorders>
          </w:tcPr>
          <w:p>
            <w:pPr>
              <w:jc w:val="center"/>
              <w:ind w:left="441"/>
              <w:spacing w:after="0"/>
              <w:rPr>
                <w:sz w:val="20"/>
                <w:szCs w:val="20"/>
                <w:color w:val="auto"/>
              </w:rPr>
            </w:pPr>
            <w:r>
              <w:rPr>
                <w:rFonts w:ascii="Arial" w:cs="Arial" w:eastAsia="Arial" w:hAnsi="Arial"/>
                <w:sz w:val="16"/>
                <w:szCs w:val="16"/>
                <w:color w:val="202E39"/>
              </w:rPr>
              <w:t>Member</w:t>
            </w:r>
          </w:p>
        </w:tc>
        <w:tc>
          <w:tcPr>
            <w:tcW w:w="186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w w:val="99"/>
              </w:rPr>
              <w:t>Chair</w:t>
            </w:r>
          </w:p>
        </w:tc>
        <w:tc>
          <w:tcPr>
            <w:tcW w:w="2120" w:type="dxa"/>
            <w:vAlign w:val="bottom"/>
            <w:tcBorders>
              <w:bottom w:val="single" w:sz="8" w:color="E8EAEB"/>
              <w:right w:val="single" w:sz="8" w:color="E8EAEB"/>
            </w:tcBorders>
          </w:tcPr>
          <w:p>
            <w:pPr>
              <w:spacing w:after="0"/>
              <w:rPr>
                <w:sz w:val="21"/>
                <w:szCs w:val="21"/>
                <w:color w:val="auto"/>
              </w:rPr>
            </w:pPr>
          </w:p>
        </w:tc>
        <w:tc>
          <w:tcPr>
            <w:tcW w:w="202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rPr>
              <w:t>Member</w:t>
            </w:r>
          </w:p>
        </w:tc>
      </w:tr>
      <w:tr>
        <w:trPr>
          <w:trHeight w:val="250"/>
        </w:trPr>
        <w:tc>
          <w:tcPr>
            <w:tcW w:w="33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 (2)</w:t>
            </w:r>
          </w:p>
        </w:tc>
        <w:tc>
          <w:tcPr>
            <w:tcW w:w="1720" w:type="dxa"/>
            <w:vAlign w:val="bottom"/>
            <w:tcBorders>
              <w:bottom w:val="single" w:sz="8" w:color="E8EAEB"/>
              <w:right w:val="single" w:sz="8" w:color="E8EAEB"/>
            </w:tcBorders>
          </w:tcPr>
          <w:p>
            <w:pPr>
              <w:jc w:val="center"/>
              <w:ind w:left="461"/>
              <w:spacing w:after="0"/>
              <w:rPr>
                <w:sz w:val="20"/>
                <w:szCs w:val="20"/>
                <w:color w:val="auto"/>
              </w:rPr>
            </w:pPr>
            <w:r>
              <w:rPr>
                <w:rFonts w:ascii="Arial" w:cs="Arial" w:eastAsia="Arial" w:hAnsi="Arial"/>
                <w:sz w:val="16"/>
                <w:szCs w:val="16"/>
                <w:color w:val="202E39"/>
                <w:w w:val="99"/>
              </w:rPr>
              <w:t>Chair</w:t>
            </w:r>
          </w:p>
        </w:tc>
        <w:tc>
          <w:tcPr>
            <w:tcW w:w="1860" w:type="dxa"/>
            <w:vAlign w:val="bottom"/>
            <w:tcBorders>
              <w:bottom w:val="single" w:sz="8" w:color="E8EAEB"/>
              <w:right w:val="single" w:sz="8" w:color="E8EAEB"/>
            </w:tcBorders>
          </w:tcPr>
          <w:p>
            <w:pPr>
              <w:jc w:val="center"/>
              <w:ind w:left="422"/>
              <w:spacing w:after="0"/>
              <w:rPr>
                <w:sz w:val="20"/>
                <w:szCs w:val="20"/>
                <w:color w:val="auto"/>
              </w:rPr>
            </w:pPr>
            <w:r>
              <w:rPr>
                <w:rFonts w:ascii="Arial" w:cs="Arial" w:eastAsia="Arial" w:hAnsi="Arial"/>
                <w:sz w:val="16"/>
                <w:szCs w:val="16"/>
                <w:color w:val="202E39"/>
              </w:rPr>
              <w:t>Member</w:t>
            </w:r>
          </w:p>
        </w:tc>
        <w:tc>
          <w:tcPr>
            <w:tcW w:w="2120" w:type="dxa"/>
            <w:vAlign w:val="bottom"/>
            <w:tcBorders>
              <w:bottom w:val="single" w:sz="8" w:color="E8EAEB"/>
              <w:right w:val="single" w:sz="8" w:color="E8EAEB"/>
            </w:tcBorders>
          </w:tcPr>
          <w:p>
            <w:pPr>
              <w:jc w:val="center"/>
              <w:ind w:left="444"/>
              <w:spacing w:after="0"/>
              <w:rPr>
                <w:sz w:val="20"/>
                <w:szCs w:val="20"/>
                <w:color w:val="auto"/>
              </w:rPr>
            </w:pPr>
            <w:r>
              <w:rPr>
                <w:rFonts w:ascii="Arial" w:cs="Arial" w:eastAsia="Arial" w:hAnsi="Arial"/>
                <w:sz w:val="16"/>
                <w:szCs w:val="16"/>
                <w:color w:val="202E39"/>
              </w:rPr>
              <w:t>Member</w:t>
            </w:r>
          </w:p>
        </w:tc>
        <w:tc>
          <w:tcPr>
            <w:tcW w:w="2020" w:type="dxa"/>
            <w:vAlign w:val="bottom"/>
            <w:tcBorders>
              <w:bottom w:val="single" w:sz="8" w:color="E8EAEB"/>
            </w:tcBorders>
          </w:tcPr>
          <w:p>
            <w:pPr>
              <w:spacing w:after="0"/>
              <w:rPr>
                <w:sz w:val="21"/>
                <w:szCs w:val="21"/>
                <w:color w:val="auto"/>
              </w:rPr>
            </w:pPr>
          </w:p>
        </w:tc>
      </w:tr>
      <w:tr>
        <w:trPr>
          <w:trHeight w:val="250"/>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Theresa Wise</w:t>
            </w:r>
          </w:p>
        </w:tc>
        <w:tc>
          <w:tcPr>
            <w:tcW w:w="1720" w:type="dxa"/>
            <w:vAlign w:val="bottom"/>
            <w:tcBorders>
              <w:bottom w:val="single" w:sz="8" w:color="009FE3"/>
              <w:right w:val="single" w:sz="8" w:color="E8EAEB"/>
            </w:tcBorders>
          </w:tcPr>
          <w:p>
            <w:pPr>
              <w:jc w:val="center"/>
              <w:ind w:left="441"/>
              <w:spacing w:after="0"/>
              <w:rPr>
                <w:sz w:val="20"/>
                <w:szCs w:val="20"/>
                <w:color w:val="auto"/>
              </w:rPr>
            </w:pPr>
            <w:r>
              <w:rPr>
                <w:rFonts w:ascii="Arial" w:cs="Arial" w:eastAsia="Arial" w:hAnsi="Arial"/>
                <w:sz w:val="16"/>
                <w:szCs w:val="16"/>
                <w:color w:val="202E39"/>
              </w:rPr>
              <w:t>Member</w:t>
            </w:r>
          </w:p>
        </w:tc>
        <w:tc>
          <w:tcPr>
            <w:tcW w:w="1860" w:type="dxa"/>
            <w:vAlign w:val="bottom"/>
            <w:tcBorders>
              <w:bottom w:val="single" w:sz="8" w:color="009FE3"/>
              <w:right w:val="single" w:sz="8" w:color="E8EAEB"/>
            </w:tcBorders>
          </w:tcPr>
          <w:p>
            <w:pPr>
              <w:jc w:val="center"/>
              <w:ind w:left="422"/>
              <w:spacing w:after="0"/>
              <w:rPr>
                <w:sz w:val="20"/>
                <w:szCs w:val="20"/>
                <w:color w:val="auto"/>
              </w:rPr>
            </w:pPr>
            <w:r>
              <w:rPr>
                <w:rFonts w:ascii="Arial" w:cs="Arial" w:eastAsia="Arial" w:hAnsi="Arial"/>
                <w:sz w:val="16"/>
                <w:szCs w:val="16"/>
                <w:color w:val="202E39"/>
              </w:rPr>
              <w:t>Member</w:t>
            </w:r>
          </w:p>
        </w:tc>
        <w:tc>
          <w:tcPr>
            <w:tcW w:w="2120" w:type="dxa"/>
            <w:vAlign w:val="bottom"/>
            <w:tcBorders>
              <w:bottom w:val="single" w:sz="8" w:color="009FE3"/>
              <w:right w:val="single" w:sz="8" w:color="E8EAEB"/>
            </w:tcBorders>
          </w:tcPr>
          <w:p>
            <w:pPr>
              <w:spacing w:after="0"/>
              <w:rPr>
                <w:sz w:val="21"/>
                <w:szCs w:val="21"/>
                <w:color w:val="auto"/>
              </w:rPr>
            </w:pPr>
          </w:p>
        </w:tc>
        <w:tc>
          <w:tcPr>
            <w:tcW w:w="2020" w:type="dxa"/>
            <w:vAlign w:val="bottom"/>
            <w:tcBorders>
              <w:bottom w:val="single" w:sz="8" w:color="009FE3"/>
            </w:tcBorders>
          </w:tcPr>
          <w:p>
            <w:pPr>
              <w:jc w:val="center"/>
              <w:ind w:left="462"/>
              <w:spacing w:after="0"/>
              <w:rPr>
                <w:sz w:val="20"/>
                <w:szCs w:val="20"/>
                <w:color w:val="auto"/>
              </w:rPr>
            </w:pPr>
            <w:r>
              <w:rPr>
                <w:rFonts w:ascii="Arial" w:cs="Arial" w:eastAsia="Arial" w:hAnsi="Arial"/>
                <w:sz w:val="16"/>
                <w:szCs w:val="16"/>
                <w:color w:val="202E39"/>
              </w:rPr>
              <w:t>Chair</w:t>
            </w:r>
          </w:p>
        </w:tc>
      </w:tr>
      <w:tr>
        <w:trPr>
          <w:trHeight w:val="250"/>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Number of Meetings in Fiscal Year 2021</w:t>
            </w:r>
          </w:p>
        </w:tc>
        <w:tc>
          <w:tcPr>
            <w:tcW w:w="1720" w:type="dxa"/>
            <w:vAlign w:val="bottom"/>
            <w:tcBorders>
              <w:bottom w:val="single" w:sz="8" w:color="009FE3"/>
              <w:right w:val="single" w:sz="8" w:color="E8EAEB"/>
            </w:tcBorders>
          </w:tcPr>
          <w:p>
            <w:pPr>
              <w:jc w:val="center"/>
              <w:ind w:left="441"/>
              <w:spacing w:after="0"/>
              <w:rPr>
                <w:sz w:val="20"/>
                <w:szCs w:val="20"/>
                <w:color w:val="auto"/>
              </w:rPr>
            </w:pPr>
            <w:r>
              <w:rPr>
                <w:rFonts w:ascii="Arial" w:cs="Arial" w:eastAsia="Arial" w:hAnsi="Arial"/>
                <w:sz w:val="16"/>
                <w:szCs w:val="16"/>
                <w:color w:val="202E39"/>
                <w:w w:val="89"/>
              </w:rPr>
              <w:t>5</w:t>
            </w:r>
          </w:p>
        </w:tc>
        <w:tc>
          <w:tcPr>
            <w:tcW w:w="1860" w:type="dxa"/>
            <w:vAlign w:val="bottom"/>
            <w:tcBorders>
              <w:bottom w:val="single" w:sz="8" w:color="009FE3"/>
              <w:right w:val="single" w:sz="8" w:color="E8EAEB"/>
            </w:tcBorders>
          </w:tcPr>
          <w:p>
            <w:pPr>
              <w:jc w:val="center"/>
              <w:ind w:left="442"/>
              <w:spacing w:after="0"/>
              <w:rPr>
                <w:sz w:val="20"/>
                <w:szCs w:val="20"/>
                <w:color w:val="auto"/>
              </w:rPr>
            </w:pPr>
            <w:r>
              <w:rPr>
                <w:rFonts w:ascii="Arial" w:cs="Arial" w:eastAsia="Arial" w:hAnsi="Arial"/>
                <w:sz w:val="16"/>
                <w:szCs w:val="16"/>
                <w:color w:val="202E39"/>
              </w:rPr>
              <w:t>9</w:t>
            </w:r>
          </w:p>
        </w:tc>
        <w:tc>
          <w:tcPr>
            <w:tcW w:w="2120" w:type="dxa"/>
            <w:vAlign w:val="bottom"/>
            <w:tcBorders>
              <w:bottom w:val="single" w:sz="8" w:color="009FE3"/>
              <w:right w:val="single" w:sz="8" w:color="E8EAEB"/>
            </w:tcBorders>
          </w:tcPr>
          <w:p>
            <w:pPr>
              <w:jc w:val="center"/>
              <w:ind w:left="444"/>
              <w:spacing w:after="0"/>
              <w:rPr>
                <w:sz w:val="20"/>
                <w:szCs w:val="20"/>
                <w:color w:val="auto"/>
              </w:rPr>
            </w:pPr>
            <w:r>
              <w:rPr>
                <w:rFonts w:ascii="Arial" w:cs="Arial" w:eastAsia="Arial" w:hAnsi="Arial"/>
                <w:sz w:val="16"/>
                <w:szCs w:val="16"/>
                <w:color w:val="202E39"/>
                <w:w w:val="89"/>
              </w:rPr>
              <w:t>4</w:t>
            </w:r>
          </w:p>
        </w:tc>
        <w:tc>
          <w:tcPr>
            <w:tcW w:w="2020" w:type="dxa"/>
            <w:vAlign w:val="bottom"/>
            <w:tcBorders>
              <w:bottom w:val="single" w:sz="8" w:color="009FE3"/>
            </w:tcBorders>
          </w:tcPr>
          <w:p>
            <w:pPr>
              <w:jc w:val="center"/>
              <w:ind w:left="462"/>
              <w:spacing w:after="0"/>
              <w:rPr>
                <w:sz w:val="20"/>
                <w:szCs w:val="20"/>
                <w:color w:val="auto"/>
              </w:rPr>
            </w:pPr>
            <w:r>
              <w:rPr>
                <w:rFonts w:ascii="Arial" w:cs="Arial" w:eastAsia="Arial" w:hAnsi="Arial"/>
                <w:sz w:val="16"/>
                <w:szCs w:val="16"/>
                <w:color w:val="202E39"/>
                <w:w w:val="89"/>
              </w:rPr>
              <w:t>3</w:t>
            </w:r>
          </w:p>
        </w:tc>
      </w:tr>
    </w:tbl>
    <w:p>
      <w:pPr>
        <w:spacing w:after="0" w:line="126"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4"/>
          <w:szCs w:val="14"/>
          <w:color w:val="202E39"/>
        </w:rPr>
      </w:pPr>
      <w:r>
        <w:rPr>
          <w:rFonts w:ascii="Arial" w:cs="Arial" w:eastAsia="Arial" w:hAnsi="Arial"/>
          <w:sz w:val="14"/>
          <w:szCs w:val="14"/>
          <w:color w:val="202E39"/>
        </w:rPr>
        <w:t>Mr. Bridenstine was appointed as a director on March 31, 2021.</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10"/>
        </w:numPr>
        <w:rPr>
          <w:rFonts w:ascii="Arial" w:cs="Arial" w:eastAsia="Arial" w:hAnsi="Arial"/>
          <w:sz w:val="14"/>
          <w:szCs w:val="14"/>
          <w:color w:val="202E39"/>
        </w:rPr>
      </w:pPr>
      <w:r>
        <w:rPr>
          <w:rFonts w:ascii="Arial" w:cs="Arial" w:eastAsia="Arial" w:hAnsi="Arial"/>
          <w:sz w:val="14"/>
          <w:szCs w:val="14"/>
          <w:color w:val="202E39"/>
        </w:rPr>
        <w:t>Determined by the Board to qualify as an “audit committee financial expert.”</w:t>
      </w:r>
    </w:p>
    <w:p>
      <w:pPr>
        <w:spacing w:after="0" w:line="86" w:lineRule="exact"/>
        <w:rPr>
          <w:sz w:val="20"/>
          <w:szCs w:val="20"/>
          <w:color w:val="auto"/>
        </w:rPr>
      </w:pPr>
    </w:p>
    <w:p>
      <w:pPr>
        <w:jc w:val="both"/>
        <w:ind w:left="120" w:right="100"/>
        <w:spacing w:after="0" w:line="254" w:lineRule="auto"/>
        <w:rPr>
          <w:sz w:val="20"/>
          <w:szCs w:val="20"/>
          <w:color w:val="auto"/>
        </w:rPr>
      </w:pPr>
      <w:r>
        <w:rPr>
          <w:rFonts w:ascii="Arial" w:cs="Arial" w:eastAsia="Arial" w:hAnsi="Arial"/>
          <w:sz w:val="16"/>
          <w:szCs w:val="16"/>
          <w:b w:val="1"/>
          <w:bCs w:val="1"/>
          <w:i w:val="1"/>
          <w:iCs w:val="1"/>
          <w:color w:val="009FE3"/>
        </w:rPr>
        <w:t xml:space="preserve">Audit Committee. </w:t>
      </w:r>
      <w:r>
        <w:rPr>
          <w:rFonts w:ascii="Arial" w:cs="Arial" w:eastAsia="Arial" w:hAnsi="Arial"/>
          <w:sz w:val="16"/>
          <w:szCs w:val="16"/>
          <w:color w:val="202E39"/>
        </w:rPr>
        <w:t>The Audit Committee is responsible for reviewing the professional services provided by our independent registered public accounting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of Directors has determined that three of the members of our Audit Committee are “audit committee financial experts” as defined by the rules of the SEC. The responsibilities and activities of the Audit Committee are described in greater detail in the Audit Committee Report.</w:t>
      </w:r>
    </w:p>
    <w:p>
      <w:pPr>
        <w:spacing w:after="0" w:line="74"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b w:val="1"/>
          <w:bCs w:val="1"/>
          <w:i w:val="1"/>
          <w:iCs w:val="1"/>
          <w:color w:val="009FE3"/>
        </w:rPr>
        <w:t xml:space="preserve">Compensation and Human Resources Committee. </w:t>
      </w:r>
      <w:r>
        <w:rPr>
          <w:rFonts w:ascii="Arial" w:cs="Arial" w:eastAsia="Arial" w:hAnsi="Arial"/>
          <w:sz w:val="16"/>
          <w:szCs w:val="16"/>
          <w:color w:val="202E39"/>
        </w:rPr>
        <w:t>The Compensation and Human Resources Committee is responsible for designing and evaluating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our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w:t>
      </w:r>
    </w:p>
    <w:p>
      <w:pPr>
        <w:spacing w:after="0" w:line="75"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b w:val="1"/>
          <w:bCs w:val="1"/>
          <w:i w:val="1"/>
          <w:iCs w:val="1"/>
          <w:color w:val="009FE3"/>
        </w:rPr>
        <w:t xml:space="preserve">Nomination, Evaluation and Corporate Governance Committee. </w:t>
      </w:r>
      <w:r>
        <w:rPr>
          <w:rFonts w:ascii="Arial" w:cs="Arial" w:eastAsia="Arial" w:hAnsi="Arial"/>
          <w:sz w:val="16"/>
          <w:szCs w:val="16"/>
          <w:color w:val="202E39"/>
        </w:rPr>
        <w:t>The Nomination, Evaluation and Corporate Governance Committee is responsible for</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Executive Chairman and Chief Executive Officer, and advising the Board with respect to Board and committee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82550</wp:posOffset>
            </wp:positionV>
            <wp:extent cx="4368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22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Evaluation and Refreshment</w:t>
      </w:r>
    </w:p>
    <w:p>
      <w:pPr>
        <w:spacing w:after="0" w:line="127"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b w:val="1"/>
          <w:bCs w:val="1"/>
          <w:i w:val="1"/>
          <w:iCs w:val="1"/>
          <w:color w:val="009FE3"/>
        </w:rPr>
        <w:t xml:space="preserve">Banking and Finance Committee. </w:t>
      </w:r>
      <w:r>
        <w:rPr>
          <w:rFonts w:ascii="Arial" w:cs="Arial" w:eastAsia="Arial" w:hAnsi="Arial"/>
          <w:sz w:val="16"/>
          <w:szCs w:val="16"/>
          <w:color w:val="202E39"/>
        </w:rPr>
        <w:t>The Banking and Finance Committee is responsible for overseeing certain aspects of corporate finance for the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company, and reviewing and making recommendations to the Board about the company’s financial affairs and policies, including short and long-term financing plans, objectives and principles, borrowings or the issuance of debt and equity securities.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Board Evaluation and Refreshment</w:t>
      </w:r>
    </w:p>
    <w:p>
      <w:pPr>
        <w:spacing w:after="0" w:line="14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diversity, integrity, and personal skills and experience in technology, finance, marketing, international business, financial reporting and other areas to deliver the high standard of governance expected by our stockholders.</w:t>
      </w:r>
    </w:p>
    <w:p>
      <w:pPr>
        <w:spacing w:after="0" w:line="9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202E39"/>
        </w:rPr>
        <w:t>Our Board and the NECG Committee understand the importance of following robust processes for Board evaluation and refreshment. The NECG Committee annually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w:t>
      </w:r>
    </w:p>
    <w:p>
      <w:pPr>
        <w:spacing w:after="0" w:line="94"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202E39"/>
        </w:rPr>
        <w:t>The Board aims to maintain a balance between institutional knowledge on the Board, which comes in the form of longer tenured directors, and fresh perspectives added through newly appointed directors. As a result, the Board has not imposed a hard limit on director tenure, as it believes that would artificially deprive the Board of the valuable contributions of its most experienced directors. Instead, the Board evaluates the mix of director tenures as a component of the broader evaluation and composition review process.</w:t>
      </w:r>
    </w:p>
    <w:p>
      <w:pPr>
        <w:spacing w:after="0" w:line="94"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202E39"/>
        </w:rPr>
        <w:t>Following a thorough search for an additional independent member of the Board to complement the skills of its current directors, the Board appointed James Bridenstine as a director in March 2021. Mr. Bridenstine has extensive experience in space technology, innovation and safety based on his prior service as the Administrator of the National Aeronautics and Space Administration, or NASA. He also has a strong defense and aerospace background, based on his public service in the United States Navy and House of Representatives, where he served on the Armed Services Committee and the Committee on Science, Space and Technology.</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Board’s approach to evaluation and refreshment, including the recent addition of Mr. Bridenstine, has led to:</w:t>
      </w:r>
    </w:p>
    <w:p>
      <w:pPr>
        <w:spacing w:after="0" w:line="127" w:lineRule="exact"/>
        <w:rPr>
          <w:sz w:val="20"/>
          <w:szCs w:val="20"/>
          <w:color w:val="auto"/>
        </w:rPr>
      </w:pPr>
    </w:p>
    <w:p>
      <w:pPr>
        <w:ind w:left="660" w:right="120" w:hanging="220"/>
        <w:spacing w:after="0" w:line="253" w:lineRule="auto"/>
        <w:tabs>
          <w:tab w:leader="none" w:pos="66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The addition of four new independent directors in the last five years, which increased Board diversity and provided valuable expertise on areas of strategic importance, including space innovation and safety, intellectual property development and strategy, international business, aviation, telecommunications and operations;</w:t>
      </w:r>
    </w:p>
    <w:p>
      <w:pPr>
        <w:spacing w:after="0" w:line="52" w:lineRule="exact"/>
        <w:rPr>
          <w:rFonts w:ascii="Arial" w:cs="Arial" w:eastAsia="Arial" w:hAnsi="Arial"/>
          <w:sz w:val="16"/>
          <w:szCs w:val="16"/>
          <w:color w:val="009FE3"/>
        </w:rPr>
      </w:pPr>
    </w:p>
    <w:p>
      <w:pPr>
        <w:ind w:left="660" w:hanging="220"/>
        <w:spacing w:after="0"/>
        <w:tabs>
          <w:tab w:leader="none" w:pos="66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A 31% reduction in the average tenure of our independent directors since 2018, which is now 10 years; and</w:t>
      </w:r>
    </w:p>
    <w:p>
      <w:pPr>
        <w:spacing w:after="0" w:line="72" w:lineRule="exact"/>
        <w:rPr>
          <w:rFonts w:ascii="Arial" w:cs="Arial" w:eastAsia="Arial" w:hAnsi="Arial"/>
          <w:sz w:val="16"/>
          <w:szCs w:val="16"/>
          <w:color w:val="009FE3"/>
        </w:rPr>
      </w:pPr>
    </w:p>
    <w:p>
      <w:pPr>
        <w:ind w:left="660" w:right="160" w:hanging="220"/>
        <w:spacing w:after="0" w:line="260" w:lineRule="auto"/>
        <w:tabs>
          <w:tab w:leader="none" w:pos="660" w:val="left"/>
        </w:tabs>
        <w:numPr>
          <w:ilvl w:val="0"/>
          <w:numId w:val="11"/>
        </w:numPr>
        <w:rPr>
          <w:rFonts w:ascii="Arial" w:cs="Arial" w:eastAsia="Arial" w:hAnsi="Arial"/>
          <w:sz w:val="16"/>
          <w:szCs w:val="16"/>
          <w:color w:val="009FE3"/>
        </w:rPr>
      </w:pPr>
      <w:r>
        <w:rPr>
          <w:rFonts w:ascii="Arial" w:cs="Arial" w:eastAsia="Arial" w:hAnsi="Arial"/>
          <w:sz w:val="16"/>
          <w:szCs w:val="16"/>
          <w:color w:val="202E39"/>
        </w:rPr>
        <w:t>Increased diversity across multiple dimensions, as 38% of directors identify as belonging to underrepresented communities and 25% of directors are women. Moreover, the Compensation and Human Resources Committee and the Banking and Finance Committee are chaired by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200025</wp:posOffset>
            </wp:positionV>
            <wp:extent cx="1328420" cy="1329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200025</wp:posOffset>
            </wp:positionV>
            <wp:extent cx="1328420" cy="1329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200025</wp:posOffset>
            </wp:positionV>
            <wp:extent cx="1328420" cy="1329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842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202E39"/>
        </w:rPr>
        <w:t>In recommending candidates for election to the Board, the NECG Committee considers nominees recommended by directors, management and stockholders using the same criteria to evaluate all candidates. The NECG Committee may engage consultants or third-party search firms to assist in identifying and evaluating potential nominees.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w:t>
      </w:r>
    </w:p>
    <w:p>
      <w:pPr>
        <w:spacing w:after="0" w:line="122"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9</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Communications with the Board</w:t>
      </w:r>
    </w:p>
    <w:p>
      <w:pPr>
        <w:spacing w:after="0" w:line="14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Communications with the Board</w:t>
      </w:r>
    </w:p>
    <w:p>
      <w:pPr>
        <w:spacing w:after="0" w:line="145"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202E39"/>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4368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Stockholder Engagement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Stockholder Engagement</w:t>
      </w:r>
    </w:p>
    <w:p>
      <w:pPr>
        <w:spacing w:after="0" w:line="145"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Stockholder engagement is a critical aspect of our corporate governance practices and one of our top priorities. Our management team regularly engages with our stockholders to proactively understand their perspectives on our business and strategy, and governance and compensation programs, and to address any concerns they may have. During fiscal year 2021, we engaged in substantive conversations with stockholders representing approximately 65% of our total outstanding common stock.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009FE3"/>
        </w:rPr>
        <w:t>Actions Taken in Response to Stockholder Feedback</w:t>
      </w:r>
    </w:p>
    <w:p>
      <w:pPr>
        <w:spacing w:after="0" w:line="133" w:lineRule="exact"/>
        <w:rPr>
          <w:sz w:val="20"/>
          <w:szCs w:val="20"/>
          <w:color w:val="auto"/>
        </w:rPr>
      </w:pPr>
    </w:p>
    <w:p>
      <w:pPr>
        <w:ind w:left="120" w:right="340"/>
        <w:spacing w:after="0" w:line="249" w:lineRule="auto"/>
        <w:rPr>
          <w:sz w:val="20"/>
          <w:szCs w:val="20"/>
          <w:color w:val="auto"/>
        </w:rPr>
      </w:pPr>
      <w:r>
        <w:rPr>
          <w:rFonts w:ascii="Arial" w:cs="Arial" w:eastAsia="Arial" w:hAnsi="Arial"/>
          <w:sz w:val="16"/>
          <w:szCs w:val="16"/>
          <w:color w:val="202E39"/>
        </w:rPr>
        <w:t>Our Board has demonstrated responsiveness to feedback received during stockholder discussions through the recent changes we have made to our compensation programs and corporate governance practices. For example, based on stockholder feedback, we implemented a performance-based equity program in fiscal year 2018 to further align executive compensation with long-term stockholder interests. To further strengthen the independent oversight of our Board, we appointed a Lead Independent Director in fiscal year 2019. We also modified how bonus targets are set and bonuses are calculated in fiscal year 2020, and enhanced our peer group disclosure, to provide additional transparency. A summary of these changes is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2305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2305685"/>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561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410" w:type="dxa"/>
            <w:vAlign w:val="bottom"/>
            <w:shd w:val="clear" w:color="auto" w:fill="009FE3"/>
          </w:tcPr>
          <w:p>
            <w:pPr>
              <w:ind w:left="2290"/>
              <w:spacing w:after="0"/>
              <w:rPr>
                <w:sz w:val="20"/>
                <w:szCs w:val="20"/>
                <w:color w:val="auto"/>
              </w:rPr>
            </w:pPr>
            <w:r>
              <w:rPr>
                <w:rFonts w:ascii="Arial" w:cs="Arial" w:eastAsia="Arial" w:hAnsi="Arial"/>
                <w:sz w:val="14"/>
                <w:szCs w:val="14"/>
                <w:b w:val="1"/>
                <w:bCs w:val="1"/>
                <w:color w:val="FFFFFF"/>
              </w:rPr>
              <w:t>What We Did</w:t>
            </w:r>
          </w:p>
        </w:tc>
      </w:tr>
      <w:tr>
        <w:trPr>
          <w:trHeight w:val="231"/>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195"/>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stockholder interests</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maintained program in subsequent years</w:t>
            </w:r>
          </w:p>
        </w:tc>
      </w:tr>
      <w:tr>
        <w:trPr>
          <w:trHeight w:val="297"/>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Seek further independent oversight of the Board</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Appointed a Lead Independent Director in fiscal year 2019</w:t>
            </w:r>
          </w:p>
        </w:tc>
      </w:tr>
      <w:tr>
        <w:trPr>
          <w:trHeight w:val="291"/>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bonus payouts</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195"/>
        </w:trPr>
        <w:tc>
          <w:tcPr>
            <w:tcW w:w="5610" w:type="dxa"/>
            <w:vAlign w:val="bottom"/>
            <w:shd w:val="clear" w:color="auto" w:fill="EDEEEF"/>
          </w:tcPr>
          <w:p>
            <w:pPr>
              <w:spacing w:after="0"/>
              <w:rPr>
                <w:sz w:val="16"/>
                <w:szCs w:val="16"/>
                <w:color w:val="auto"/>
              </w:rPr>
            </w:pP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executive officers, in fiscal year 2020</w:t>
            </w:r>
          </w:p>
        </w:tc>
      </w:tr>
      <w:tr>
        <w:trPr>
          <w:trHeight w:val="291"/>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195"/>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percentages for each executive officer</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compensation in fiscal year 2020</w:t>
            </w:r>
          </w:p>
        </w:tc>
      </w:tr>
      <w:tr>
        <w:trPr>
          <w:trHeight w:val="291"/>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Adopt a maximum cap on annual bonus payouts</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195"/>
        </w:trPr>
        <w:tc>
          <w:tcPr>
            <w:tcW w:w="5610" w:type="dxa"/>
            <w:vAlign w:val="bottom"/>
            <w:shd w:val="clear" w:color="auto" w:fill="EDEEEF"/>
          </w:tcPr>
          <w:p>
            <w:pPr>
              <w:spacing w:after="0"/>
              <w:rPr>
                <w:sz w:val="16"/>
                <w:szCs w:val="16"/>
                <w:color w:val="auto"/>
              </w:rPr>
            </w:pP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for all executive officers in fiscal year 2020</w:t>
            </w:r>
          </w:p>
        </w:tc>
      </w:tr>
      <w:tr>
        <w:trPr>
          <w:trHeight w:val="297"/>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Enhanced peer group disclosure included in proxy statement</w:t>
            </w:r>
          </w:p>
        </w:tc>
      </w:tr>
      <w:tr>
        <w:trPr>
          <w:trHeight w:val="291"/>
        </w:trPr>
        <w:tc>
          <w:tcPr>
            <w:tcW w:w="5610" w:type="dxa"/>
            <w:vAlign w:val="bottom"/>
            <w:shd w:val="clear" w:color="auto" w:fill="EDEEEF"/>
          </w:tcPr>
          <w:p>
            <w:pPr>
              <w:ind w:left="220"/>
              <w:spacing w:after="0"/>
              <w:rPr>
                <w:sz w:val="20"/>
                <w:szCs w:val="20"/>
                <w:color w:val="auto"/>
              </w:rPr>
            </w:pPr>
            <w:r>
              <w:rPr>
                <w:rFonts w:ascii="Arial" w:cs="Arial" w:eastAsia="Arial" w:hAnsi="Arial"/>
                <w:sz w:val="16"/>
                <w:szCs w:val="16"/>
                <w:color w:val="202E39"/>
              </w:rPr>
              <w:t>Implement a clawback policy</w:t>
            </w: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610" w:type="dxa"/>
            <w:vAlign w:val="bottom"/>
            <w:shd w:val="clear" w:color="auto" w:fill="EDEEEF"/>
          </w:tcPr>
          <w:p>
            <w:pPr>
              <w:spacing w:after="0"/>
              <w:rPr>
                <w:sz w:val="16"/>
                <w:szCs w:val="16"/>
                <w:color w:val="auto"/>
              </w:rPr>
            </w:pPr>
          </w:p>
        </w:tc>
        <w:tc>
          <w:tcPr>
            <w:tcW w:w="5410" w:type="dxa"/>
            <w:vAlign w:val="bottom"/>
            <w:shd w:val="clear" w:color="auto" w:fill="EDEEEF"/>
          </w:tcPr>
          <w:p>
            <w:pPr>
              <w:ind w:left="50"/>
              <w:spacing w:after="0"/>
              <w:rPr>
                <w:sz w:val="20"/>
                <w:szCs w:val="20"/>
                <w:color w:val="auto"/>
              </w:rPr>
            </w:pPr>
            <w:r>
              <w:rPr>
                <w:rFonts w:ascii="Arial" w:cs="Arial" w:eastAsia="Arial" w:hAnsi="Arial"/>
                <w:sz w:val="16"/>
                <w:szCs w:val="16"/>
                <w:color w:val="202E39"/>
              </w:rPr>
              <w:t>and equity incentive compensation related to a financial restatement</w:t>
            </w:r>
          </w:p>
        </w:tc>
      </w:tr>
      <w:tr>
        <w:trPr>
          <w:trHeight w:val="221"/>
        </w:trPr>
        <w:tc>
          <w:tcPr>
            <w:tcW w:w="5610" w:type="dxa"/>
            <w:vAlign w:val="bottom"/>
            <w:tcBorders>
              <w:bottom w:val="single" w:sz="8" w:color="EDEEEF"/>
            </w:tcBorders>
            <w:shd w:val="clear" w:color="auto" w:fill="EDEEEF"/>
          </w:tcPr>
          <w:p>
            <w:pPr>
              <w:spacing w:after="0"/>
              <w:rPr>
                <w:sz w:val="19"/>
                <w:szCs w:val="19"/>
                <w:color w:val="auto"/>
              </w:rPr>
            </w:pPr>
          </w:p>
        </w:tc>
        <w:tc>
          <w:tcPr>
            <w:tcW w:w="5410" w:type="dxa"/>
            <w:vAlign w:val="bottom"/>
            <w:tcBorders>
              <w:bottom w:val="single" w:sz="8" w:color="EDEEEF"/>
            </w:tcBorders>
            <w:shd w:val="clear" w:color="auto" w:fill="EDEEEF"/>
          </w:tcPr>
          <w:p>
            <w:pPr>
              <w:ind w:left="50"/>
              <w:spacing w:after="0"/>
              <w:rPr>
                <w:sz w:val="20"/>
                <w:szCs w:val="20"/>
                <w:color w:val="auto"/>
              </w:rPr>
            </w:pPr>
            <w:r>
              <w:rPr>
                <w:rFonts w:ascii="Arial" w:cs="Arial" w:eastAsia="Arial" w:hAnsi="Arial"/>
                <w:sz w:val="16"/>
                <w:szCs w:val="16"/>
                <w:color w:val="202E39"/>
              </w:rPr>
              <w:t>resulting from an executive officer’s misconduct</w:t>
            </w:r>
          </w:p>
        </w:tc>
      </w:tr>
      <w:tr>
        <w:trPr>
          <w:trHeight w:val="20"/>
        </w:trPr>
        <w:tc>
          <w:tcPr>
            <w:tcW w:w="5610" w:type="dxa"/>
            <w:vAlign w:val="bottom"/>
            <w:shd w:val="clear" w:color="auto" w:fill="009FE3"/>
          </w:tcPr>
          <w:p>
            <w:pPr>
              <w:spacing w:after="0" w:line="20" w:lineRule="exact"/>
              <w:rPr>
                <w:sz w:val="1"/>
                <w:szCs w:val="1"/>
                <w:color w:val="auto"/>
              </w:rPr>
            </w:pPr>
          </w:p>
        </w:tc>
        <w:tc>
          <w:tcPr>
            <w:tcW w:w="5410" w:type="dxa"/>
            <w:vAlign w:val="bottom"/>
            <w:shd w:val="clear" w:color="auto" w:fill="009FE3"/>
          </w:tcPr>
          <w:p>
            <w:pPr>
              <w:spacing w:after="0" w:line="20" w:lineRule="exact"/>
              <w:rPr>
                <w:sz w:val="1"/>
                <w:szCs w:val="1"/>
                <w:color w:val="auto"/>
              </w:rPr>
            </w:pPr>
          </w:p>
        </w:tc>
      </w:tr>
    </w:tbl>
    <w:p>
      <w:pPr>
        <w:spacing w:after="0" w:line="110" w:lineRule="exact"/>
        <w:rPr>
          <w:sz w:val="20"/>
          <w:szCs w:val="20"/>
          <w:color w:val="auto"/>
        </w:rPr>
      </w:pPr>
    </w:p>
    <w:p>
      <w:pPr>
        <w:jc w:val="both"/>
        <w:ind w:left="120" w:right="60"/>
        <w:spacing w:after="0" w:line="260" w:lineRule="auto"/>
        <w:rPr>
          <w:sz w:val="20"/>
          <w:szCs w:val="20"/>
          <w:color w:val="auto"/>
        </w:rPr>
      </w:pPr>
      <w:r>
        <w:rPr>
          <w:rFonts w:ascii="Arial" w:cs="Arial" w:eastAsia="Arial" w:hAnsi="Arial"/>
          <w:sz w:val="16"/>
          <w:szCs w:val="16"/>
          <w:color w:val="202E39"/>
        </w:rPr>
        <w:t>We are committed to continuing an active dialogue with our stockholders to ensure that the Board’s decisions are informed by investor feedback, and that we continue to evolve our corporate governance practices and compensation programs to best support long-term stockholder value creation.</w:t>
      </w:r>
    </w:p>
    <w:p>
      <w:pPr>
        <w:spacing w:after="0" w:line="11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11</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Election of Directors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202E39"/>
        </w:rPr>
        <w:t>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We currently have three Class I directors whose terms expire at this year’s annual meeting. At this year’s annual meeting of stockholders, we will elect three Class I directors to hold office until the 2024 annual meeting. At next year’s annual meeting of stockholders, we will elect three Class II directors to hold office until the 2025 annual meeting, and the following year, we will elect two Class III directors to hold office until the 2026 annual meeting. Thereafter, elections will continue in a similar manner at subsequent annual meetings. Each elected director will continue to serve until his or her successor is duly elected or appointed.</w:t>
      </w:r>
    </w:p>
    <w:p>
      <w:pPr>
        <w:spacing w:after="0" w:line="100" w:lineRule="exact"/>
        <w:rPr>
          <w:sz w:val="20"/>
          <w:szCs w:val="20"/>
          <w:color w:val="auto"/>
        </w:rPr>
      </w:pPr>
    </w:p>
    <w:p>
      <w:pPr>
        <w:ind w:left="120" w:right="240"/>
        <w:spacing w:after="0" w:line="246" w:lineRule="auto"/>
        <w:rPr>
          <w:sz w:val="20"/>
          <w:szCs w:val="20"/>
          <w:color w:val="auto"/>
        </w:rPr>
      </w:pPr>
      <w:r>
        <w:rPr>
          <w:rFonts w:ascii="Arial" w:cs="Arial" w:eastAsia="Arial" w:hAnsi="Arial"/>
          <w:sz w:val="16"/>
          <w:szCs w:val="16"/>
          <w:color w:val="202E39"/>
        </w:rPr>
        <w:t xml:space="preserve">The Board of Directors unanimously nominated Robert Johnson, John Stenbit and Theresa Wise as Class I nominees for election to the Board. Unless proxy cards are otherwise marked, the persons named as proxies will vote all proxies received </w:t>
      </w:r>
      <w:r>
        <w:rPr>
          <w:rFonts w:ascii="Arial" w:cs="Arial" w:eastAsia="Arial" w:hAnsi="Arial"/>
          <w:sz w:val="16"/>
          <w:szCs w:val="16"/>
          <w:b w:val="1"/>
          <w:bCs w:val="1"/>
          <w:color w:val="202E39"/>
        </w:rPr>
        <w:t>“FOR”</w:t>
      </w:r>
      <w:r>
        <w:rPr>
          <w:rFonts w:ascii="Arial" w:cs="Arial" w:eastAsia="Arial" w:hAnsi="Arial"/>
          <w:sz w:val="16"/>
          <w:szCs w:val="16"/>
          <w:color w:val="202E39"/>
        </w:rPr>
        <w:t xml:space="preserve"> the election of Mr. Johnson, Mr. Stenbit and</w:t>
      </w:r>
    </w:p>
    <w:p>
      <w:pPr>
        <w:spacing w:after="0" w:line="1"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Dr. Wise.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94"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202E39"/>
        </w:rPr>
        <w:t>The following table sets forth the age, the positions currently held with Viasat, the year in which the current term will expire, and the class of director of each nominee to be elected at the annual meeting or director whose term of office will extend beyond the annual meeting.</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320" w:type="dxa"/>
            <w:vAlign w:val="bottom"/>
            <w:tcBorders>
              <w:top w:val="single" w:sz="8" w:color="E8EAEB"/>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Name</w:t>
            </w:r>
          </w:p>
        </w:tc>
        <w:tc>
          <w:tcPr>
            <w:tcW w:w="580" w:type="dxa"/>
            <w:vAlign w:val="bottom"/>
            <w:tcBorders>
              <w:top w:val="single" w:sz="8" w:color="E8EAEB"/>
              <w:bottom w:val="single" w:sz="8" w:color="009FE3"/>
              <w:right w:val="single" w:sz="8" w:color="E8EAEB"/>
            </w:tcBorders>
          </w:tcPr>
          <w:p>
            <w:pPr>
              <w:jc w:val="center"/>
              <w:ind w:left="79"/>
              <w:spacing w:after="0"/>
              <w:rPr>
                <w:sz w:val="20"/>
                <w:szCs w:val="20"/>
                <w:color w:val="auto"/>
              </w:rPr>
            </w:pPr>
            <w:r>
              <w:rPr>
                <w:rFonts w:ascii="Arial" w:cs="Arial" w:eastAsia="Arial" w:hAnsi="Arial"/>
                <w:sz w:val="16"/>
                <w:szCs w:val="16"/>
                <w:b w:val="1"/>
                <w:bCs w:val="1"/>
                <w:color w:val="009FE3"/>
                <w:w w:val="99"/>
              </w:rPr>
              <w:t>Age</w:t>
            </w:r>
          </w:p>
        </w:tc>
        <w:tc>
          <w:tcPr>
            <w:tcW w:w="4840" w:type="dxa"/>
            <w:vAlign w:val="bottom"/>
            <w:tcBorders>
              <w:top w:val="single" w:sz="8" w:color="E8EAEB"/>
              <w:bottom w:val="single" w:sz="8" w:color="009FE3"/>
              <w:right w:val="single" w:sz="8" w:color="E8EAEB"/>
            </w:tcBorders>
          </w:tcPr>
          <w:p>
            <w:pPr>
              <w:ind w:left="1740"/>
              <w:spacing w:after="0"/>
              <w:rPr>
                <w:sz w:val="20"/>
                <w:szCs w:val="20"/>
                <w:color w:val="auto"/>
              </w:rPr>
            </w:pPr>
            <w:r>
              <w:rPr>
                <w:rFonts w:ascii="Arial" w:cs="Arial" w:eastAsia="Arial" w:hAnsi="Arial"/>
                <w:sz w:val="16"/>
                <w:szCs w:val="16"/>
                <w:b w:val="1"/>
                <w:bCs w:val="1"/>
                <w:color w:val="009FE3"/>
              </w:rPr>
              <w:t>Position with Viasat</w:t>
            </w:r>
          </w:p>
        </w:tc>
        <w:tc>
          <w:tcPr>
            <w:tcW w:w="1340" w:type="dxa"/>
            <w:vAlign w:val="bottom"/>
            <w:tcBorders>
              <w:top w:val="single" w:sz="8" w:color="E8EAEB"/>
              <w:bottom w:val="single" w:sz="8" w:color="009FE3"/>
              <w:right w:val="single" w:sz="8" w:color="E8EAEB"/>
            </w:tcBorders>
          </w:tcPr>
          <w:p>
            <w:pPr>
              <w:jc w:val="center"/>
              <w:ind w:left="119"/>
              <w:spacing w:after="0"/>
              <w:rPr>
                <w:sz w:val="20"/>
                <w:szCs w:val="20"/>
                <w:color w:val="auto"/>
              </w:rPr>
            </w:pPr>
            <w:r>
              <w:rPr>
                <w:rFonts w:ascii="Arial" w:cs="Arial" w:eastAsia="Arial" w:hAnsi="Arial"/>
                <w:sz w:val="16"/>
                <w:szCs w:val="16"/>
                <w:b w:val="1"/>
                <w:bCs w:val="1"/>
                <w:color w:val="009FE3"/>
              </w:rPr>
              <w:t>Director Since</w:t>
            </w:r>
          </w:p>
        </w:tc>
        <w:tc>
          <w:tcPr>
            <w:tcW w:w="1260" w:type="dxa"/>
            <w:vAlign w:val="bottom"/>
            <w:tcBorders>
              <w:top w:val="single" w:sz="8" w:color="E8EAEB"/>
              <w:bottom w:val="single" w:sz="8" w:color="009FE3"/>
              <w:right w:val="single" w:sz="8" w:color="E8EAEB"/>
            </w:tcBorders>
          </w:tcPr>
          <w:p>
            <w:pPr>
              <w:jc w:val="center"/>
              <w:ind w:left="119"/>
              <w:spacing w:after="0"/>
              <w:rPr>
                <w:sz w:val="20"/>
                <w:szCs w:val="20"/>
                <w:color w:val="auto"/>
              </w:rPr>
            </w:pPr>
            <w:r>
              <w:rPr>
                <w:rFonts w:ascii="Arial" w:cs="Arial" w:eastAsia="Arial" w:hAnsi="Arial"/>
                <w:sz w:val="16"/>
                <w:szCs w:val="16"/>
                <w:b w:val="1"/>
                <w:bCs w:val="1"/>
                <w:color w:val="009FE3"/>
              </w:rPr>
              <w:t>Term Expires</w:t>
            </w:r>
          </w:p>
        </w:tc>
        <w:tc>
          <w:tcPr>
            <w:tcW w:w="680" w:type="dxa"/>
            <w:vAlign w:val="bottom"/>
            <w:tcBorders>
              <w:top w:val="single" w:sz="8" w:color="E8EAEB"/>
              <w:bottom w:val="single" w:sz="8" w:color="009FE3"/>
            </w:tcBorders>
          </w:tcPr>
          <w:p>
            <w:pPr>
              <w:jc w:val="center"/>
              <w:ind w:left="139"/>
              <w:spacing w:after="0"/>
              <w:rPr>
                <w:sz w:val="20"/>
                <w:szCs w:val="20"/>
                <w:color w:val="auto"/>
              </w:rPr>
            </w:pPr>
            <w:r>
              <w:rPr>
                <w:rFonts w:ascii="Arial" w:cs="Arial" w:eastAsia="Arial" w:hAnsi="Arial"/>
                <w:sz w:val="16"/>
                <w:szCs w:val="16"/>
                <w:b w:val="1"/>
                <w:bCs w:val="1"/>
                <w:color w:val="009FE3"/>
                <w:w w:val="98"/>
              </w:rPr>
              <w:t>Class</w:t>
            </w:r>
          </w:p>
        </w:tc>
      </w:tr>
      <w:tr>
        <w:trPr>
          <w:trHeight w:val="23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66</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Executive Chairman</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1986</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2023</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III</w:t>
            </w:r>
          </w:p>
        </w:tc>
      </w:tr>
      <w:tr>
        <w:trPr>
          <w:trHeight w:val="25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63</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Director, President and Chief Executive Officer</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2016</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2022</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II</w:t>
            </w:r>
          </w:p>
        </w:tc>
      </w:tr>
      <w:tr>
        <w:trPr>
          <w:trHeight w:val="25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James Bridenstine</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46</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Director</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2021</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2022</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II</w:t>
            </w:r>
          </w:p>
        </w:tc>
      </w:tr>
      <w:tr>
        <w:trPr>
          <w:trHeight w:val="25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71</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Director</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1986</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2021</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w:t>
            </w:r>
          </w:p>
        </w:tc>
      </w:tr>
      <w:tr>
        <w:trPr>
          <w:trHeight w:val="25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48</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Director (Lead Independent Director)</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2018</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2022</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II</w:t>
            </w:r>
          </w:p>
        </w:tc>
      </w:tr>
      <w:tr>
        <w:trPr>
          <w:trHeight w:val="25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51</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Director</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2017</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2023</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III</w:t>
            </w:r>
          </w:p>
        </w:tc>
      </w:tr>
      <w:tr>
        <w:trPr>
          <w:trHeight w:val="250"/>
        </w:trPr>
        <w:tc>
          <w:tcPr>
            <w:tcW w:w="23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580" w:type="dxa"/>
            <w:vAlign w:val="bottom"/>
            <w:tcBorders>
              <w:bottom w:val="single" w:sz="8" w:color="E8EAEB"/>
              <w:right w:val="single" w:sz="8" w:color="E8EAEB"/>
            </w:tcBorders>
          </w:tcPr>
          <w:p>
            <w:pPr>
              <w:jc w:val="center"/>
              <w:ind w:left="79"/>
              <w:spacing w:after="0"/>
              <w:rPr>
                <w:sz w:val="20"/>
                <w:szCs w:val="20"/>
                <w:color w:val="auto"/>
              </w:rPr>
            </w:pPr>
            <w:r>
              <w:rPr>
                <w:rFonts w:ascii="Arial" w:cs="Arial" w:eastAsia="Arial" w:hAnsi="Arial"/>
                <w:sz w:val="16"/>
                <w:szCs w:val="16"/>
                <w:color w:val="202E39"/>
              </w:rPr>
              <w:t>81</w:t>
            </w:r>
          </w:p>
        </w:tc>
        <w:tc>
          <w:tcPr>
            <w:tcW w:w="484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6"/>
                <w:szCs w:val="16"/>
                <w:color w:val="202E39"/>
              </w:rPr>
              <w:t>Director</w:t>
            </w:r>
          </w:p>
        </w:tc>
        <w:tc>
          <w:tcPr>
            <w:tcW w:w="1340" w:type="dxa"/>
            <w:vAlign w:val="bottom"/>
            <w:tcBorders>
              <w:bottom w:val="single" w:sz="8" w:color="E8EAEB"/>
              <w:right w:val="single" w:sz="8" w:color="E8EAEB"/>
            </w:tcBorders>
          </w:tcPr>
          <w:p>
            <w:pPr>
              <w:jc w:val="center"/>
              <w:ind w:left="99"/>
              <w:spacing w:after="0"/>
              <w:rPr>
                <w:sz w:val="20"/>
                <w:szCs w:val="20"/>
                <w:color w:val="auto"/>
              </w:rPr>
            </w:pPr>
            <w:r>
              <w:rPr>
                <w:rFonts w:ascii="Arial" w:cs="Arial" w:eastAsia="Arial" w:hAnsi="Arial"/>
                <w:sz w:val="16"/>
                <w:szCs w:val="16"/>
                <w:color w:val="202E39"/>
              </w:rPr>
              <w:t>2004</w:t>
            </w:r>
          </w:p>
        </w:tc>
        <w:tc>
          <w:tcPr>
            <w:tcW w:w="1260" w:type="dxa"/>
            <w:vAlign w:val="bottom"/>
            <w:tcBorders>
              <w:bottom w:val="single" w:sz="8" w:color="E8EAEB"/>
              <w:right w:val="single" w:sz="8" w:color="E8EAEB"/>
            </w:tcBorders>
          </w:tcPr>
          <w:p>
            <w:pPr>
              <w:jc w:val="center"/>
              <w:ind w:left="139"/>
              <w:spacing w:after="0"/>
              <w:rPr>
                <w:sz w:val="20"/>
                <w:szCs w:val="20"/>
                <w:color w:val="auto"/>
              </w:rPr>
            </w:pPr>
            <w:r>
              <w:rPr>
                <w:rFonts w:ascii="Arial" w:cs="Arial" w:eastAsia="Arial" w:hAnsi="Arial"/>
                <w:sz w:val="16"/>
                <w:szCs w:val="16"/>
                <w:color w:val="202E39"/>
              </w:rPr>
              <w:t>2021</w:t>
            </w:r>
          </w:p>
        </w:tc>
        <w:tc>
          <w:tcPr>
            <w:tcW w:w="680" w:type="dxa"/>
            <w:vAlign w:val="bottom"/>
            <w:tcBorders>
              <w:bottom w:val="single" w:sz="8" w:color="E8EAEB"/>
            </w:tcBorders>
          </w:tcPr>
          <w:p>
            <w:pPr>
              <w:jc w:val="center"/>
              <w:ind w:left="139"/>
              <w:spacing w:after="0"/>
              <w:rPr>
                <w:sz w:val="20"/>
                <w:szCs w:val="20"/>
                <w:color w:val="auto"/>
              </w:rPr>
            </w:pPr>
            <w:r>
              <w:rPr>
                <w:rFonts w:ascii="Arial" w:cs="Arial" w:eastAsia="Arial" w:hAnsi="Arial"/>
                <w:sz w:val="16"/>
                <w:szCs w:val="16"/>
                <w:color w:val="202E39"/>
              </w:rPr>
              <w:t>I</w:t>
            </w:r>
          </w:p>
        </w:tc>
      </w:tr>
      <w:tr>
        <w:trPr>
          <w:trHeight w:val="250"/>
        </w:trPr>
        <w:tc>
          <w:tcPr>
            <w:tcW w:w="23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Theresa Wise</w:t>
            </w:r>
          </w:p>
        </w:tc>
        <w:tc>
          <w:tcPr>
            <w:tcW w:w="580" w:type="dxa"/>
            <w:vAlign w:val="bottom"/>
            <w:tcBorders>
              <w:bottom w:val="single" w:sz="8" w:color="009FE3"/>
              <w:right w:val="single" w:sz="8" w:color="E8EAEB"/>
            </w:tcBorders>
          </w:tcPr>
          <w:p>
            <w:pPr>
              <w:jc w:val="center"/>
              <w:ind w:left="79"/>
              <w:spacing w:after="0"/>
              <w:rPr>
                <w:sz w:val="20"/>
                <w:szCs w:val="20"/>
                <w:color w:val="auto"/>
              </w:rPr>
            </w:pPr>
            <w:r>
              <w:rPr>
                <w:rFonts w:ascii="Arial" w:cs="Arial" w:eastAsia="Arial" w:hAnsi="Arial"/>
                <w:sz w:val="16"/>
                <w:szCs w:val="16"/>
                <w:color w:val="202E39"/>
              </w:rPr>
              <w:t>54</w:t>
            </w:r>
          </w:p>
        </w:tc>
        <w:tc>
          <w:tcPr>
            <w:tcW w:w="484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6"/>
                <w:szCs w:val="16"/>
                <w:color w:val="202E39"/>
              </w:rPr>
              <w:t>Director</w:t>
            </w:r>
          </w:p>
        </w:tc>
        <w:tc>
          <w:tcPr>
            <w:tcW w:w="1340" w:type="dxa"/>
            <w:vAlign w:val="bottom"/>
            <w:tcBorders>
              <w:bottom w:val="single" w:sz="8" w:color="009FE3"/>
              <w:right w:val="single" w:sz="8" w:color="E8EAEB"/>
            </w:tcBorders>
          </w:tcPr>
          <w:p>
            <w:pPr>
              <w:jc w:val="center"/>
              <w:ind w:left="99"/>
              <w:spacing w:after="0"/>
              <w:rPr>
                <w:sz w:val="20"/>
                <w:szCs w:val="20"/>
                <w:color w:val="auto"/>
              </w:rPr>
            </w:pPr>
            <w:r>
              <w:rPr>
                <w:rFonts w:ascii="Arial" w:cs="Arial" w:eastAsia="Arial" w:hAnsi="Arial"/>
                <w:sz w:val="16"/>
                <w:szCs w:val="16"/>
                <w:color w:val="202E39"/>
              </w:rPr>
              <w:t>2020</w:t>
            </w:r>
          </w:p>
        </w:tc>
        <w:tc>
          <w:tcPr>
            <w:tcW w:w="1260" w:type="dxa"/>
            <w:vAlign w:val="bottom"/>
            <w:tcBorders>
              <w:bottom w:val="single" w:sz="8" w:color="009FE3"/>
              <w:right w:val="single" w:sz="8" w:color="E8EAEB"/>
            </w:tcBorders>
          </w:tcPr>
          <w:p>
            <w:pPr>
              <w:jc w:val="center"/>
              <w:ind w:left="139"/>
              <w:spacing w:after="0"/>
              <w:rPr>
                <w:sz w:val="20"/>
                <w:szCs w:val="20"/>
                <w:color w:val="auto"/>
              </w:rPr>
            </w:pPr>
            <w:r>
              <w:rPr>
                <w:rFonts w:ascii="Arial" w:cs="Arial" w:eastAsia="Arial" w:hAnsi="Arial"/>
                <w:sz w:val="16"/>
                <w:szCs w:val="16"/>
                <w:color w:val="202E39"/>
              </w:rPr>
              <w:t>2021</w:t>
            </w:r>
          </w:p>
        </w:tc>
        <w:tc>
          <w:tcPr>
            <w:tcW w:w="680" w:type="dxa"/>
            <w:vAlign w:val="bottom"/>
            <w:tcBorders>
              <w:bottom w:val="single" w:sz="8" w:color="009FE3"/>
            </w:tcBorders>
          </w:tcPr>
          <w:p>
            <w:pPr>
              <w:jc w:val="center"/>
              <w:ind w:left="139"/>
              <w:spacing w:after="0"/>
              <w:rPr>
                <w:sz w:val="20"/>
                <w:szCs w:val="20"/>
                <w:color w:val="auto"/>
              </w:rPr>
            </w:pPr>
            <w:r>
              <w:rPr>
                <w:rFonts w:ascii="Arial" w:cs="Arial" w:eastAsia="Arial" w:hAnsi="Arial"/>
                <w:sz w:val="16"/>
                <w:szCs w:val="16"/>
                <w:color w:val="202E39"/>
              </w:rPr>
              <w:t>I</w:t>
            </w:r>
          </w:p>
        </w:tc>
      </w:tr>
      <w:tr>
        <w:trPr>
          <w:trHeight w:val="433"/>
        </w:trPr>
        <w:tc>
          <w:tcPr>
            <w:tcW w:w="2320" w:type="dxa"/>
            <w:vAlign w:val="bottom"/>
          </w:tcPr>
          <w:p>
            <w:pPr>
              <w:spacing w:after="0"/>
              <w:rPr>
                <w:sz w:val="20"/>
                <w:szCs w:val="20"/>
                <w:color w:val="auto"/>
              </w:rPr>
            </w:pPr>
            <w:r>
              <w:rPr>
                <w:rFonts w:ascii="Arial" w:cs="Arial" w:eastAsia="Arial" w:hAnsi="Arial"/>
                <w:sz w:val="14"/>
                <w:szCs w:val="14"/>
                <w:b w:val="1"/>
                <w:bCs w:val="1"/>
                <w:color w:val="202E39"/>
              </w:rPr>
              <w:t>12</w:t>
            </w:r>
          </w:p>
        </w:tc>
        <w:tc>
          <w:tcPr>
            <w:tcW w:w="5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-180340</wp:posOffset>
            </wp:positionV>
            <wp:extent cx="4368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 Directors Nominated for Election at this Annual Meeting</w:t>
      </w:r>
    </w:p>
    <w:p>
      <w:pPr>
        <w:sectPr>
          <w:pgSz w:w="11900" w:h="16838" w:orient="portrait"/>
          <w:cols w:equalWidth="0" w:num="1">
            <w:col w:w="11140"/>
          </w:cols>
          <w:pgMar w:left="320" w:top="459" w:right="439" w:bottom="1440" w:gutter="0" w:footer="0" w:header="0"/>
        </w:sectPr>
      </w:pPr>
    </w:p>
    <w:p>
      <w:pPr>
        <w:spacing w:after="0" w:line="250" w:lineRule="exact"/>
        <w:rPr>
          <w:sz w:val="20"/>
          <w:szCs w:val="20"/>
          <w:color w:val="auto"/>
        </w:rPr>
      </w:pPr>
    </w:p>
    <w:p>
      <w:pPr>
        <w:ind w:left="1100"/>
        <w:spacing w:after="0"/>
        <w:rPr>
          <w:sz w:val="20"/>
          <w:szCs w:val="20"/>
          <w:color w:val="auto"/>
        </w:rPr>
      </w:pPr>
      <w:r>
        <w:rPr>
          <w:rFonts w:ascii="Arial" w:cs="Arial" w:eastAsia="Arial" w:hAnsi="Arial"/>
          <w:sz w:val="21"/>
          <w:szCs w:val="21"/>
          <w:color w:val="202E39"/>
        </w:rPr>
        <w:t>Robert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81915</wp:posOffset>
            </wp:positionV>
            <wp:extent cx="1028700" cy="1028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202E39"/>
        </w:rPr>
        <w:t>Robert Johnson has been a director of Viasat since 1986.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California Institute of Technology, UCLA Anderson School of Management and the Claremont Graduate School. Mr. Johnson earned B.S. and M.S. degrees in Electrical Engineering from Stanford University, and M.B.A. and D.B.A. degrees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-727710</wp:posOffset>
            </wp:positionV>
            <wp:extent cx="8890" cy="1508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508760"/>
                    </a:xfrm>
                    <a:prstGeom prst="rect">
                      <a:avLst/>
                    </a:prstGeom>
                    <a:noFill/>
                  </pic:spPr>
                </pic:pic>
              </a:graphicData>
            </a:graphic>
          </wp:anchor>
        </w:drawing>
      </w:r>
    </w:p>
    <w:p>
      <w:pPr>
        <w:spacing w:after="0" w:line="9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009FE3"/>
        </w:rPr>
        <w:t xml:space="preserve">Mr. Johnson provides our Board with significant business and corporate finance expertise </w:t>
      </w:r>
      <w:r>
        <w:rPr>
          <w:rFonts w:ascii="Arial" w:cs="Arial" w:eastAsia="Arial" w:hAnsi="Arial"/>
          <w:sz w:val="16"/>
          <w:szCs w:val="16"/>
          <w:color w:val="202E39"/>
        </w:rPr>
        <w:t>as a result of his role as</w:t>
      </w:r>
      <w:r>
        <w:rPr>
          <w:rFonts w:ascii="Arial" w:cs="Arial" w:eastAsia="Arial" w:hAnsi="Arial"/>
          <w:sz w:val="16"/>
          <w:szCs w:val="16"/>
          <w:color w:val="009FE3"/>
        </w:rPr>
        <w:t xml:space="preserve"> </w:t>
      </w:r>
      <w:r>
        <w:rPr>
          <w:rFonts w:ascii="Arial" w:cs="Arial" w:eastAsia="Arial" w:hAnsi="Arial"/>
          <w:sz w:val="16"/>
          <w:szCs w:val="16"/>
          <w:color w:val="202E39"/>
        </w:rPr>
        <w:t>an investor in companies in various industries.</w:t>
      </w:r>
    </w:p>
    <w:p>
      <w:pPr>
        <w:spacing w:after="0" w:line="903" w:lineRule="exact"/>
        <w:rPr>
          <w:sz w:val="20"/>
          <w:szCs w:val="20"/>
          <w:color w:val="auto"/>
        </w:rPr>
      </w:pPr>
    </w:p>
    <w:p>
      <w:pPr>
        <w:sectPr>
          <w:pgSz w:w="11900" w:h="16838" w:orient="portrait"/>
          <w:cols w:equalWidth="0" w:num="2">
            <w:col w:w="2620" w:space="260"/>
            <w:col w:w="8260"/>
          </w:cols>
          <w:pgMar w:left="320" w:top="459" w:right="439" w:bottom="1440" w:gutter="0" w:footer="0" w:header="0"/>
          <w:type w:val="continuous"/>
        </w:sectPr>
      </w:pPr>
    </w:p>
    <w:p>
      <w:pPr>
        <w:spacing w:after="0" w:line="53" w:lineRule="exact"/>
        <w:rPr>
          <w:sz w:val="20"/>
          <w:szCs w:val="20"/>
          <w:color w:val="auto"/>
        </w:rPr>
      </w:pPr>
    </w:p>
    <w:p>
      <w:pPr>
        <w:ind w:left="1420"/>
        <w:spacing w:after="0"/>
        <w:rPr>
          <w:sz w:val="20"/>
          <w:szCs w:val="20"/>
          <w:color w:val="auto"/>
        </w:rPr>
      </w:pPr>
      <w:r>
        <w:rPr>
          <w:rFonts w:ascii="Arial" w:cs="Arial" w:eastAsia="Arial" w:hAnsi="Arial"/>
          <w:sz w:val="21"/>
          <w:szCs w:val="21"/>
          <w:color w:val="202E39"/>
        </w:rPr>
        <w:t>John Stenbit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81915</wp:posOffset>
            </wp:positionV>
            <wp:extent cx="1028700" cy="1028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2004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202E39"/>
        </w:rPr>
        <w:t>John Stenbit has been a director of Viasat since 2004, and is a consultant for various government and commercial clients. From 2001 to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the Science Advisory Panel for the Administrator of the Federal Aviation Administration and the Director of the Central Intelligence Agency. He also has significant expertise and perspective as a member of the boards of directors of private and public companies in various industries. Mr. Stenbit currently serves on the boards of directors of Loral Space &amp; Communications Inc. (Nasdaq: LORL) and ScribeRule, a private corporation. Mr. Stenbit previously served as a director of Cogent, Inc., SM&amp;A Corporation and SI International, Inc., as a member of the Advisory Board of the National Security Agency and of the Science Advisory Group of the U.S. Strategic Command.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-1443355</wp:posOffset>
            </wp:positionV>
            <wp:extent cx="8890" cy="1885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885950"/>
                    </a:xfrm>
                    <a:prstGeom prst="rect">
                      <a:avLst/>
                    </a:prstGeom>
                    <a:noFill/>
                  </pic:spPr>
                </pic:pic>
              </a:graphicData>
            </a:graphic>
          </wp:anchor>
        </w:drawing>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009FE3"/>
        </w:rPr>
        <w:t xml:space="preserve">Mr. Stenbit provides our Board with significant technological, defense and national security expertise </w:t>
      </w:r>
      <w:r>
        <w:rPr>
          <w:rFonts w:ascii="Arial" w:cs="Arial" w:eastAsia="Arial" w:hAnsi="Arial"/>
          <w:sz w:val="16"/>
          <w:szCs w:val="16"/>
          <w:color w:val="202E39"/>
        </w:rPr>
        <w:t>as a result of</w:t>
      </w:r>
      <w:r>
        <w:rPr>
          <w:rFonts w:ascii="Arial" w:cs="Arial" w:eastAsia="Arial" w:hAnsi="Arial"/>
          <w:sz w:val="16"/>
          <w:szCs w:val="16"/>
          <w:color w:val="009FE3"/>
        </w:rPr>
        <w:t xml:space="preserve"> </w:t>
      </w:r>
      <w:r>
        <w:rPr>
          <w:rFonts w:ascii="Arial" w:cs="Arial" w:eastAsia="Arial" w:hAnsi="Arial"/>
          <w:sz w:val="16"/>
          <w:szCs w:val="16"/>
          <w:color w:val="202E39"/>
        </w:rPr>
        <w:t>his distinguished career of corporate and government service focused on the communications, aerospace and satellite fields.</w:t>
      </w:r>
    </w:p>
    <w:p>
      <w:pPr>
        <w:spacing w:after="0" w:line="200" w:lineRule="exact"/>
        <w:rPr>
          <w:sz w:val="20"/>
          <w:szCs w:val="20"/>
          <w:color w:val="auto"/>
        </w:rPr>
      </w:pPr>
    </w:p>
    <w:p>
      <w:pPr>
        <w:sectPr>
          <w:pgSz w:w="11900" w:h="16838" w:orient="portrait"/>
          <w:cols w:equalWidth="0" w:num="2">
            <w:col w:w="2620" w:space="260"/>
            <w:col w:w="8260"/>
          </w:cols>
          <w:pgMar w:left="320" w:top="459" w:right="4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Arial" w:cs="Arial" w:eastAsia="Arial" w:hAnsi="Arial"/>
          <w:sz w:val="21"/>
          <w:szCs w:val="21"/>
          <w:color w:val="202E39"/>
        </w:rPr>
        <w:t>Theresa 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2020</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02E39"/>
        </w:rPr>
        <w:t>Theresa Wise has been a director of Viasat since 2020, and is Chief Executive Officer and principal for Utaza, LLC, an information technology consulting company, a role she has held since 2017. Dr. Wise is the former Senior Vice President and Chief Information Officer of Delta Air Lines, a commercial airline, a role she held from 2008 to 2016. Prior to joining Delta, Dr. Wise held several positions at Northwest Airlines Corporation, a commercial airline, including serving as the company’s Chief Information Officer from 2001 until Northwest Airlines Corporation’s merger with Delta in 2008. Dr. Wise currently serves on the boards of directors of Impinj, Inc. (Nasdaq: PI), a manufacturer of radio-frequency identification devices and software, TCF Financial Corporation (Nasdaq: TCF), a financial services company, and Acropolis Infrastructure Acquisition Company, a special purpose acquisition company. Dr. Wise received a B.A. degree in mathematics and chemistry from St. Olaf College and Ph.D. and M.S. degrees in applied math from Cornell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-1207770</wp:posOffset>
            </wp:positionV>
            <wp:extent cx="8890" cy="1525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525905"/>
                    </a:xfrm>
                    <a:prstGeom prst="rect">
                      <a:avLst/>
                    </a:prstGeom>
                    <a:noFill/>
                  </pic:spPr>
                </pic:pic>
              </a:graphicData>
            </a:graphic>
          </wp:anchor>
        </w:drawing>
      </w:r>
    </w:p>
    <w:p>
      <w:pPr>
        <w:spacing w:after="0" w:line="90"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009FE3"/>
        </w:rPr>
        <w:t>Dr. Wise provides our Board with expertise</w:t>
      </w:r>
      <w:r>
        <w:rPr>
          <w:rFonts w:ascii="Arial" w:cs="Arial" w:eastAsia="Arial" w:hAnsi="Arial"/>
          <w:sz w:val="16"/>
          <w:szCs w:val="16"/>
          <w:color w:val="202E39"/>
        </w:rPr>
        <w:t>, perspective and proven experience in applying IT strategy and data</w:t>
      </w:r>
      <w:r>
        <w:rPr>
          <w:rFonts w:ascii="Arial" w:cs="Arial" w:eastAsia="Arial" w:hAnsi="Arial"/>
          <w:sz w:val="16"/>
          <w:szCs w:val="16"/>
          <w:color w:val="009FE3"/>
        </w:rPr>
        <w:t xml:space="preserve"> </w:t>
      </w:r>
      <w:r>
        <w:rPr>
          <w:rFonts w:ascii="Arial" w:cs="Arial" w:eastAsia="Arial" w:hAnsi="Arial"/>
          <w:sz w:val="16"/>
          <w:szCs w:val="16"/>
          <w:color w:val="202E39"/>
        </w:rPr>
        <w:t>analytics to advance end-user experiences.</w:t>
      </w:r>
    </w:p>
    <w:p>
      <w:pPr>
        <w:spacing w:after="0" w:line="126" w:lineRule="exact"/>
        <w:rPr>
          <w:sz w:val="20"/>
          <w:szCs w:val="20"/>
          <w:color w:val="auto"/>
        </w:rPr>
      </w:pPr>
    </w:p>
    <w:tbl>
      <w:tblPr>
        <w:tblLayout w:type="fixed"/>
        <w:tblInd w:w="61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13</w:t>
            </w:r>
          </w:p>
        </w:tc>
      </w:tr>
    </w:tbl>
    <w:p>
      <w:pPr>
        <w:sectPr>
          <w:pgSz w:w="11900" w:h="16838" w:orient="portrait"/>
          <w:cols w:equalWidth="0" w:num="2">
            <w:col w:w="2620" w:space="260"/>
            <w:col w:w="8260"/>
          </w:cols>
          <w:pgMar w:left="32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II Directors with Terms Expiring in 2022</w:t>
      </w:r>
    </w:p>
    <w:p>
      <w:pPr>
        <w:spacing w:after="0" w:line="137" w:lineRule="exact"/>
        <w:rPr>
          <w:sz w:val="20"/>
          <w:szCs w:val="20"/>
          <w:color w:val="auto"/>
        </w:rPr>
      </w:pPr>
    </w:p>
    <w:p>
      <w:pPr>
        <w:ind w:left="120"/>
        <w:spacing w:after="0" w:line="246" w:lineRule="auto"/>
        <w:rPr>
          <w:sz w:val="20"/>
          <w:szCs w:val="20"/>
          <w:color w:val="auto"/>
        </w:rPr>
      </w:pPr>
      <w:r>
        <w:rPr>
          <w:rFonts w:ascii="Arial" w:cs="Arial" w:eastAsia="Arial" w:hAnsi="Arial"/>
          <w:sz w:val="16"/>
          <w:szCs w:val="16"/>
          <w:color w:val="202E39"/>
        </w:rPr>
        <w:t>Richard Baldridge has been a director of Viasat since 2016. Mr. Baldridge joined Viasat in April 1999, serving as our Executive Vice President, Chief Financial Officer and Chief Operating Officer from 2000 and as our Executive Vice President and Chief Operating Officer from 2002. Mr. Baldridge was appointed President and Chief Operating Officer in 2003 and assumed his current role of President and Chief Executive Officer in November 2020. In addition,</w:t>
      </w:r>
    </w:p>
    <w:p>
      <w:pPr>
        <w:spacing w:after="0" w:line="2"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202E39"/>
        </w:rPr>
        <w:t>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113" w:lineRule="exact"/>
        <w:rPr>
          <w:sz w:val="20"/>
          <w:szCs w:val="20"/>
          <w:color w:val="auto"/>
        </w:rPr>
      </w:pPr>
    </w:p>
    <w:p>
      <w:pPr>
        <w:ind w:left="120" w:right="680"/>
        <w:spacing w:after="0" w:line="260" w:lineRule="auto"/>
        <w:rPr>
          <w:sz w:val="20"/>
          <w:szCs w:val="20"/>
          <w:color w:val="auto"/>
        </w:rPr>
      </w:pPr>
      <w:r>
        <w:rPr>
          <w:rFonts w:ascii="Arial" w:cs="Arial" w:eastAsia="Arial" w:hAnsi="Arial"/>
          <w:sz w:val="16"/>
          <w:szCs w:val="16"/>
          <w:color w:val="009FE3"/>
        </w:rPr>
        <w:t xml:space="preserve">Mr. Baldridge provides our Board with significant operational and financial expertise </w:t>
      </w:r>
      <w:r>
        <w:rPr>
          <w:rFonts w:ascii="Arial" w:cs="Arial" w:eastAsia="Arial" w:hAnsi="Arial"/>
          <w:sz w:val="16"/>
          <w:szCs w:val="16"/>
          <w:color w:val="202E39"/>
        </w:rPr>
        <w:t>based on his executive</w:t>
      </w:r>
      <w:r>
        <w:rPr>
          <w:rFonts w:ascii="Arial" w:cs="Arial" w:eastAsia="Arial" w:hAnsi="Arial"/>
          <w:sz w:val="16"/>
          <w:szCs w:val="16"/>
          <w:color w:val="009FE3"/>
        </w:rPr>
        <w:t xml:space="preserve"> </w:t>
      </w:r>
      <w:r>
        <w:rPr>
          <w:rFonts w:ascii="Arial" w:cs="Arial" w:eastAsia="Arial" w:hAnsi="Arial"/>
          <w:sz w:val="16"/>
          <w:szCs w:val="16"/>
          <w:color w:val="202E39"/>
        </w:rPr>
        <w:t>leadership roles at Viasat and other companies.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color w:val="202E39"/>
        </w:rPr>
        <w:t>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-148590</wp:posOffset>
            </wp:positionV>
            <wp:extent cx="1114425" cy="17659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442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2016</w:t>
      </w:r>
    </w:p>
    <w:p>
      <w:pPr>
        <w:spacing w:after="0" w:line="630" w:lineRule="exact"/>
        <w:rPr>
          <w:sz w:val="20"/>
          <w:szCs w:val="20"/>
          <w:color w:val="auto"/>
        </w:rPr>
      </w:pPr>
    </w:p>
    <w:p>
      <w:pPr>
        <w:sectPr>
          <w:pgSz w:w="11900" w:h="16838" w:orient="portrait"/>
          <w:cols w:equalWidth="0" w:num="2">
            <w:col w:w="8460" w:space="360"/>
            <w:col w:w="1780"/>
          </w:cols>
          <w:pgMar w:left="320" w:top="459" w:right="979" w:bottom="1440" w:gutter="0" w:footer="0" w:header="0"/>
        </w:sectPr>
      </w:pPr>
    </w:p>
    <w:p>
      <w:pPr>
        <w:spacing w:after="0" w:line="36" w:lineRule="exact"/>
        <w:rPr>
          <w:sz w:val="20"/>
          <w:szCs w:val="20"/>
          <w:color w:val="auto"/>
        </w:rPr>
      </w:pPr>
    </w:p>
    <w:p>
      <w:pPr>
        <w:ind w:left="120" w:right="80"/>
        <w:spacing w:after="0" w:line="246" w:lineRule="auto"/>
        <w:rPr>
          <w:sz w:val="20"/>
          <w:szCs w:val="20"/>
          <w:color w:val="auto"/>
        </w:rPr>
      </w:pPr>
      <w:r>
        <w:rPr>
          <w:rFonts w:ascii="Arial" w:cs="Arial" w:eastAsia="Arial" w:hAnsi="Arial"/>
          <w:sz w:val="16"/>
          <w:szCs w:val="16"/>
          <w:color w:val="202E39"/>
        </w:rPr>
        <w:t>James Bridenstine has been a director of Viasat since 2021. Since January 2021, Mr. Bridenstine has worked as a senior advisor to Acorn Growth Companies, a private equity firm. From April 2018 until January 2021, Mr. Bridenstine served as Administrator of NASA. From 2013 to 2018, Mr. Bridenstine was a member of the United States House of Representatives, where he served on the Armed Services Committee and the Committee on Science, Space and Technology. Mr. Bridenstine’s career in federal service began in 1998 as a pilot in the United States Navy.</w:t>
      </w:r>
    </w:p>
    <w:p>
      <w:pPr>
        <w:spacing w:after="0" w:line="2" w:lineRule="exact"/>
        <w:rPr>
          <w:sz w:val="20"/>
          <w:szCs w:val="20"/>
          <w:color w:val="auto"/>
        </w:rPr>
      </w:pPr>
    </w:p>
    <w:p>
      <w:pPr>
        <w:ind w:left="120" w:right="720"/>
        <w:spacing w:after="0" w:line="260" w:lineRule="auto"/>
        <w:rPr>
          <w:sz w:val="20"/>
          <w:szCs w:val="20"/>
          <w:color w:val="auto"/>
        </w:rPr>
      </w:pPr>
      <w:r>
        <w:rPr>
          <w:rFonts w:ascii="Arial" w:cs="Arial" w:eastAsia="Arial" w:hAnsi="Arial"/>
          <w:sz w:val="16"/>
          <w:szCs w:val="16"/>
          <w:color w:val="202E39"/>
        </w:rPr>
        <w:t>Mr. Bridenstine earned a B.A. degree with three majors – Economics, Business and Psychology – from Rice University and an M.B.A. degree from Cornell University.</w:t>
      </w:r>
    </w:p>
    <w:p>
      <w:pPr>
        <w:spacing w:after="0" w:line="101" w:lineRule="exact"/>
        <w:rPr>
          <w:sz w:val="20"/>
          <w:szCs w:val="20"/>
          <w:color w:val="auto"/>
        </w:rPr>
      </w:pPr>
    </w:p>
    <w:p>
      <w:pPr>
        <w:jc w:val="both"/>
        <w:ind w:left="120"/>
        <w:spacing w:after="0" w:line="253" w:lineRule="auto"/>
        <w:rPr>
          <w:sz w:val="20"/>
          <w:szCs w:val="20"/>
          <w:color w:val="auto"/>
        </w:rPr>
      </w:pPr>
      <w:r>
        <w:rPr>
          <w:rFonts w:ascii="Arial" w:cs="Arial" w:eastAsia="Arial" w:hAnsi="Arial"/>
          <w:sz w:val="16"/>
          <w:szCs w:val="16"/>
          <w:color w:val="009FE3"/>
        </w:rPr>
        <w:t xml:space="preserve">Mr. Bridenstine provides our Board with extensive experience </w:t>
      </w:r>
      <w:r>
        <w:rPr>
          <w:rFonts w:ascii="Arial" w:cs="Arial" w:eastAsia="Arial" w:hAnsi="Arial"/>
          <w:sz w:val="16"/>
          <w:szCs w:val="16"/>
          <w:color w:val="202E39"/>
        </w:rPr>
        <w:t>in space technology, innovation and safety based on his</w:t>
      </w:r>
      <w:r>
        <w:rPr>
          <w:rFonts w:ascii="Arial" w:cs="Arial" w:eastAsia="Arial" w:hAnsi="Arial"/>
          <w:sz w:val="16"/>
          <w:szCs w:val="16"/>
          <w:color w:val="009FE3"/>
        </w:rPr>
        <w:t xml:space="preserve"> </w:t>
      </w:r>
      <w:r>
        <w:rPr>
          <w:rFonts w:ascii="Arial" w:cs="Arial" w:eastAsia="Arial" w:hAnsi="Arial"/>
          <w:sz w:val="16"/>
          <w:szCs w:val="16"/>
          <w:color w:val="202E39"/>
        </w:rPr>
        <w:t>leadership role at NASA, as well as military and aerospace expertise based on his public service in the United States Navy and Congress.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202E39"/>
        </w:rPr>
        <w:t>James Bridenstine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-148590</wp:posOffset>
            </wp:positionV>
            <wp:extent cx="1114425" cy="1508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44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2021</w:t>
      </w:r>
    </w:p>
    <w:p>
      <w:pPr>
        <w:spacing w:after="0" w:line="200" w:lineRule="exact"/>
        <w:rPr>
          <w:sz w:val="20"/>
          <w:szCs w:val="20"/>
          <w:color w:val="auto"/>
        </w:rPr>
      </w:pPr>
    </w:p>
    <w:p>
      <w:pPr>
        <w:sectPr>
          <w:pgSz w:w="11900" w:h="16838" w:orient="portrait"/>
          <w:cols w:equalWidth="0" w:num="2">
            <w:col w:w="8560" w:space="260"/>
            <w:col w:w="1780"/>
          </w:cols>
          <w:pgMar w:left="320" w:top="459" w:right="979" w:bottom="1440" w:gutter="0" w:footer="0" w:header="0"/>
          <w:type w:val="continuous"/>
        </w:sectPr>
      </w:pPr>
    </w:p>
    <w:p>
      <w:pPr>
        <w:spacing w:after="0" w:line="6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and Co-Managing Partner of the San Francisco office.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earned a J.D. degree (</w:t>
      </w:r>
      <w:r>
        <w:rPr>
          <w:rFonts w:ascii="Arial" w:cs="Arial" w:eastAsia="Arial" w:hAnsi="Arial"/>
          <w:sz w:val="16"/>
          <w:szCs w:val="16"/>
          <w:i w:val="1"/>
          <w:iCs w:val="1"/>
          <w:color w:val="202E39"/>
        </w:rPr>
        <w:t>cum laude</w:t>
      </w:r>
      <w:r>
        <w:rPr>
          <w:rFonts w:ascii="Arial" w:cs="Arial" w:eastAsia="Arial" w:hAnsi="Arial"/>
          <w:sz w:val="16"/>
          <w:szCs w:val="16"/>
          <w:color w:val="202E39"/>
        </w:rPr>
        <w:t>) from Harvard Law School, and B.S. and M. Eng. degrees in Electrical Engineering and Computer Science from MIT.</w:t>
      </w:r>
    </w:p>
    <w:p>
      <w:pPr>
        <w:spacing w:after="0" w:line="11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6"/>
          <w:szCs w:val="16"/>
          <w:color w:val="009FE3"/>
        </w:rPr>
        <w:t xml:space="preserve">Mr. Pak provides our Board with significant expertise </w:t>
      </w:r>
      <w:r>
        <w:rPr>
          <w:rFonts w:ascii="Arial" w:cs="Arial" w:eastAsia="Arial" w:hAnsi="Arial"/>
          <w:sz w:val="16"/>
          <w:szCs w:val="16"/>
          <w:color w:val="202E39"/>
        </w:rPr>
        <w:t>in intellectual property development, strategy and enforcement,</w:t>
      </w:r>
      <w:r>
        <w:rPr>
          <w:rFonts w:ascii="Arial" w:cs="Arial" w:eastAsia="Arial" w:hAnsi="Arial"/>
          <w:sz w:val="16"/>
          <w:szCs w:val="16"/>
          <w:color w:val="009FE3"/>
        </w:rPr>
        <w:t xml:space="preserve"> </w:t>
      </w:r>
      <w:r>
        <w:rPr>
          <w:rFonts w:ascii="Arial" w:cs="Arial" w:eastAsia="Arial" w:hAnsi="Arial"/>
          <w:sz w:val="16"/>
          <w:szCs w:val="16"/>
          <w:color w:val="202E39"/>
        </w:rPr>
        <w:t>and international business strategy, along with technological and engineering expertise in satellite systems, electrical engineering and computer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194945</wp:posOffset>
            </wp:positionV>
            <wp:extent cx="4368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14</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202E39"/>
        </w:rPr>
        <w:t>Sean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-155575</wp:posOffset>
            </wp:positionV>
            <wp:extent cx="1114425" cy="1508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442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2018</w:t>
      </w:r>
    </w:p>
    <w:p>
      <w:pPr>
        <w:sectPr>
          <w:pgSz w:w="11900" w:h="16838" w:orient="portrait"/>
          <w:cols w:equalWidth="0" w:num="2">
            <w:col w:w="8560" w:space="260"/>
            <w:col w:w="1780"/>
          </w:cols>
          <w:pgMar w:left="320" w:top="459" w:right="9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Class III Directors with Terms Expiring in 2023</w:t>
      </w:r>
    </w:p>
    <w:p>
      <w:pPr>
        <w:sectPr>
          <w:pgSz w:w="11900" w:h="16838" w:orient="portrait"/>
          <w:cols w:equalWidth="0" w:num="1">
            <w:col w:w="11140"/>
          </w:cols>
          <w:pgMar w:left="320" w:top="459" w:right="439" w:bottom="1440" w:gutter="0" w:footer="0" w:header="0"/>
        </w:sectPr>
      </w:pPr>
    </w:p>
    <w:p>
      <w:pPr>
        <w:spacing w:after="0" w:line="250" w:lineRule="exact"/>
        <w:rPr>
          <w:sz w:val="20"/>
          <w:szCs w:val="20"/>
          <w:color w:val="auto"/>
        </w:rPr>
      </w:pPr>
    </w:p>
    <w:p>
      <w:pPr>
        <w:ind w:left="1160"/>
        <w:spacing w:after="0"/>
        <w:rPr>
          <w:sz w:val="20"/>
          <w:szCs w:val="20"/>
          <w:color w:val="auto"/>
        </w:rPr>
      </w:pPr>
      <w:r>
        <w:rPr>
          <w:rFonts w:ascii="Arial" w:cs="Arial" w:eastAsia="Arial" w:hAnsi="Arial"/>
          <w:sz w:val="21"/>
          <w:szCs w:val="21"/>
          <w:color w:val="202E39"/>
        </w:rPr>
        <w:t>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81915</wp:posOffset>
            </wp:positionV>
            <wp:extent cx="1028700" cy="1028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202E39"/>
        </w:rPr>
        <w:t>Mark Dankberg is a founder of Viasat and served as Chairman of the Board and Chief Executive Officer from 1986 until his appointment as Executive Chairman in November 2020. Mr. Dankberg has significant expertise and perspective as a member of the boards of directors of companies in various industries, including communications. Mr. Dankberg currently serves on the board of directors of Lytx, Inc., a privately-held company that provides fleet 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-966470</wp:posOffset>
            </wp:positionV>
            <wp:extent cx="8890" cy="1508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508760"/>
                    </a:xfrm>
                    <a:prstGeom prst="rect">
                      <a:avLst/>
                    </a:prstGeom>
                    <a:noFill/>
                  </pic:spPr>
                </pic:pic>
              </a:graphicData>
            </a:graphic>
          </wp:anchor>
        </w:drawing>
      </w:r>
    </w:p>
    <w:p>
      <w:pPr>
        <w:spacing w:after="0" w:line="9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009FE3"/>
        </w:rPr>
        <w:t xml:space="preserve">Mr. Dankberg provides our Board with significant operational, business and technological expertise </w:t>
      </w:r>
      <w:r>
        <w:rPr>
          <w:rFonts w:ascii="Arial" w:cs="Arial" w:eastAsia="Arial" w:hAnsi="Arial"/>
          <w:sz w:val="16"/>
          <w:szCs w:val="16"/>
          <w:color w:val="202E39"/>
        </w:rPr>
        <w:t>in the satellite</w:t>
      </w:r>
      <w:r>
        <w:rPr>
          <w:rFonts w:ascii="Arial" w:cs="Arial" w:eastAsia="Arial" w:hAnsi="Arial"/>
          <w:sz w:val="16"/>
          <w:szCs w:val="16"/>
          <w:color w:val="009FE3"/>
        </w:rPr>
        <w:t xml:space="preserve"> </w:t>
      </w:r>
      <w:r>
        <w:rPr>
          <w:rFonts w:ascii="Arial" w:cs="Arial" w:eastAsia="Arial" w:hAnsi="Arial"/>
          <w:sz w:val="16"/>
          <w:szCs w:val="16"/>
          <w:color w:val="202E39"/>
        </w:rPr>
        <w:t>and communications industries, and intimate knowledge of the issues facing our management.</w:t>
      </w:r>
    </w:p>
    <w:p>
      <w:pPr>
        <w:spacing w:after="0" w:line="525" w:lineRule="exact"/>
        <w:rPr>
          <w:sz w:val="20"/>
          <w:szCs w:val="20"/>
          <w:color w:val="auto"/>
        </w:rPr>
      </w:pPr>
    </w:p>
    <w:p>
      <w:pPr>
        <w:sectPr>
          <w:pgSz w:w="11900" w:h="16838" w:orient="portrait"/>
          <w:cols w:equalWidth="0" w:num="2">
            <w:col w:w="2620" w:space="260"/>
            <w:col w:w="8260"/>
          </w:cols>
          <w:pgMar w:left="320" w:top="459" w:right="439" w:bottom="1440" w:gutter="0" w:footer="0" w:header="0"/>
          <w:type w:val="continuous"/>
        </w:sectPr>
      </w:pPr>
    </w:p>
    <w:p>
      <w:pPr>
        <w:spacing w:after="0" w:line="53" w:lineRule="exact"/>
        <w:rPr>
          <w:sz w:val="20"/>
          <w:szCs w:val="20"/>
          <w:color w:val="auto"/>
        </w:rPr>
      </w:pPr>
    </w:p>
    <w:p>
      <w:pPr>
        <w:ind w:left="1500"/>
        <w:spacing w:after="0"/>
        <w:rPr>
          <w:sz w:val="20"/>
          <w:szCs w:val="20"/>
          <w:color w:val="auto"/>
        </w:rPr>
      </w:pPr>
      <w:r>
        <w:rPr>
          <w:rFonts w:ascii="Arial" w:cs="Arial" w:eastAsia="Arial" w:hAnsi="Arial"/>
          <w:sz w:val="21"/>
          <w:szCs w:val="21"/>
          <w:color w:val="202E39"/>
        </w:rPr>
        <w:t>Varsha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81915</wp:posOffset>
            </wp:positionV>
            <wp:extent cx="1028700" cy="1028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202E39"/>
        </w:rPr>
        <w:t>Varsha Rao has been a director of Viasat since 2017. Ms. Rao has served as the Chief Executive Officer and a director of Nurx Inc., a direct-to-consumer telehealth platform, since April 2019. From September 2017 to April 2019, she served as Chief Operating Officer of Clover Health Inc., a health insurance technology company. From 2013 to 2016, Ms. Rao served as the Head of Global Operations at Airbnb, Inc., a global travel marketplace. From 2011 to 2013, she served as the Senior Vice President International of LivingSocial, Inc. (owned by Groupon), an online marketplace for daily deals. From 2008 to 2011, Ms. Rao served as the Chief Executive Officer of SingTel Digital Media Pte Ltd., an online search and lifestyle portal and wholly-owned subsidiary of SingTel. From 2004 to 2008, she served as Vice President and General Manager of OldNavy.com, an e-commerce division of Gap, Inc. She also previously founded and sold Eve.com, an online beauty retailer, and served as an Engagement Manager at McKinsey &amp; Co., a consulting company. Ms. Rao earned a B.A. degree in Mathematics and a B.S. degree in Economics from the University of Pennsylvania, and an M.B.A. degree from the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-1323340</wp:posOffset>
            </wp:positionV>
            <wp:extent cx="8890" cy="1645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645920"/>
                    </a:xfrm>
                    <a:prstGeom prst="rect">
                      <a:avLst/>
                    </a:prstGeom>
                    <a:noFill/>
                  </pic:spPr>
                </pic:pic>
              </a:graphicData>
            </a:graphic>
          </wp:anchor>
        </w:drawing>
      </w:r>
    </w:p>
    <w:p>
      <w:pPr>
        <w:spacing w:after="0" w:line="9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009FE3"/>
        </w:rPr>
        <w:t xml:space="preserve">Ms. Rao provides our Board with significant international e-commerce, media and telecommunications expertise </w:t>
      </w:r>
      <w:r>
        <w:rPr>
          <w:rFonts w:ascii="Arial" w:cs="Arial" w:eastAsia="Arial" w:hAnsi="Arial"/>
          <w:sz w:val="16"/>
          <w:szCs w:val="16"/>
          <w:color w:val="202E39"/>
        </w:rPr>
        <w:t>due to her leadership roles focused on those disciplines at various companies.</w:t>
      </w:r>
    </w:p>
    <w:p>
      <w:pPr>
        <w:spacing w:after="0" w:line="179" w:lineRule="exact"/>
        <w:rPr>
          <w:sz w:val="20"/>
          <w:szCs w:val="20"/>
          <w:color w:val="auto"/>
        </w:rPr>
      </w:pPr>
    </w:p>
    <w:p>
      <w:pPr>
        <w:sectPr>
          <w:pgSz w:w="11900" w:h="16838" w:orient="portrait"/>
          <w:cols w:equalWidth="0" w:num="2">
            <w:col w:w="2620" w:space="260"/>
            <w:col w:w="82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election of Mr. Johnson, Mr. Stenbit and Dr. Wise.</w:t>
      </w:r>
    </w:p>
    <w:p>
      <w:pPr>
        <w:spacing w:after="0" w:line="15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15</w:t>
            </w:r>
          </w:p>
        </w:tc>
      </w:tr>
    </w:tbl>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2:</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Ratification of Appointment of Independent Registered Public Accounting Firm</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202E39"/>
        </w:rPr>
        <w:t>The Audit Committee has selected PricewaterhouseCoopers LLP as Viasat’s independent registered public accounting firm for our fiscal year ending March 31, 2022.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94"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202E39"/>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3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Principal Accountant Fees and Services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is a summary of the PricewaterhouseCoopers fees for professional services rendered for the fiscal years ended March 31, 2021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March 31, 2020:</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243"/>
        </w:trPr>
        <w:tc>
          <w:tcPr>
            <w:tcW w:w="4840" w:type="dxa"/>
            <w:vAlign w:val="bottom"/>
            <w:tcBorders>
              <w:top w:val="single" w:sz="8" w:color="E8EAEB"/>
              <w:bottom w:val="single" w:sz="8" w:color="009FE3"/>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Fee Category</w:t>
            </w:r>
          </w:p>
        </w:tc>
        <w:tc>
          <w:tcPr>
            <w:tcW w:w="2200" w:type="dxa"/>
            <w:vAlign w:val="bottom"/>
            <w:tcBorders>
              <w:top w:val="single" w:sz="8" w:color="E8EAEB"/>
              <w:bottom w:val="single" w:sz="8" w:color="009FE3"/>
              <w:right w:val="single" w:sz="8" w:color="E8EAEB"/>
            </w:tcBorders>
          </w:tcPr>
          <w:p>
            <w:pPr>
              <w:jc w:val="right"/>
              <w:ind w:right="481"/>
              <w:spacing w:after="0"/>
              <w:rPr>
                <w:sz w:val="20"/>
                <w:szCs w:val="20"/>
                <w:color w:val="auto"/>
              </w:rPr>
            </w:pPr>
            <w:r>
              <w:rPr>
                <w:rFonts w:ascii="Arial" w:cs="Arial" w:eastAsia="Arial" w:hAnsi="Arial"/>
                <w:sz w:val="14"/>
                <w:szCs w:val="14"/>
                <w:b w:val="1"/>
                <w:bCs w:val="1"/>
                <w:color w:val="009FE3"/>
              </w:rPr>
              <w:t>FY 2021 Fees ($)</w:t>
            </w:r>
          </w:p>
        </w:tc>
        <w:tc>
          <w:tcPr>
            <w:tcW w:w="2220" w:type="dxa"/>
            <w:vAlign w:val="bottom"/>
            <w:tcBorders>
              <w:top w:val="single" w:sz="8" w:color="E8EAEB"/>
              <w:bottom w:val="single" w:sz="8" w:color="009FE3"/>
            </w:tcBorders>
          </w:tcPr>
          <w:p>
            <w:pPr>
              <w:jc w:val="right"/>
              <w:ind w:right="481"/>
              <w:spacing w:after="0"/>
              <w:rPr>
                <w:sz w:val="20"/>
                <w:szCs w:val="20"/>
                <w:color w:val="auto"/>
              </w:rPr>
            </w:pPr>
            <w:r>
              <w:rPr>
                <w:rFonts w:ascii="Arial" w:cs="Arial" w:eastAsia="Arial" w:hAnsi="Arial"/>
                <w:sz w:val="14"/>
                <w:szCs w:val="14"/>
                <w:b w:val="1"/>
                <w:bCs w:val="1"/>
                <w:color w:val="009FE3"/>
              </w:rPr>
              <w:t>FY 2020 Fees ($)</w:t>
            </w:r>
          </w:p>
        </w:tc>
      </w:tr>
      <w:tr>
        <w:trPr>
          <w:trHeight w:val="217"/>
        </w:trPr>
        <w:tc>
          <w:tcPr>
            <w:tcW w:w="4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 Fees</w:t>
            </w:r>
          </w:p>
        </w:tc>
        <w:tc>
          <w:tcPr>
            <w:tcW w:w="2200" w:type="dxa"/>
            <w:vAlign w:val="bottom"/>
            <w:tcBorders>
              <w:bottom w:val="single" w:sz="8" w:color="E8EAEB"/>
              <w:right w:val="single" w:sz="8" w:color="E8EAEB"/>
            </w:tcBorders>
          </w:tcPr>
          <w:p>
            <w:pPr>
              <w:jc w:val="right"/>
              <w:ind w:right="661"/>
              <w:spacing w:after="0"/>
              <w:rPr>
                <w:sz w:val="20"/>
                <w:szCs w:val="20"/>
                <w:color w:val="auto"/>
              </w:rPr>
            </w:pPr>
            <w:r>
              <w:rPr>
                <w:rFonts w:ascii="Arial" w:cs="Arial" w:eastAsia="Arial" w:hAnsi="Arial"/>
                <w:sz w:val="16"/>
                <w:szCs w:val="16"/>
                <w:color w:val="202E39"/>
              </w:rPr>
              <w:t>3,356,488</w:t>
            </w:r>
          </w:p>
        </w:tc>
        <w:tc>
          <w:tcPr>
            <w:tcW w:w="2220" w:type="dxa"/>
            <w:vAlign w:val="bottom"/>
            <w:tcBorders>
              <w:bottom w:val="single" w:sz="8" w:color="E8EAEB"/>
            </w:tcBorders>
          </w:tcPr>
          <w:p>
            <w:pPr>
              <w:jc w:val="right"/>
              <w:ind w:right="641"/>
              <w:spacing w:after="0"/>
              <w:rPr>
                <w:sz w:val="20"/>
                <w:szCs w:val="20"/>
                <w:color w:val="auto"/>
              </w:rPr>
            </w:pPr>
            <w:r>
              <w:rPr>
                <w:rFonts w:ascii="Arial" w:cs="Arial" w:eastAsia="Arial" w:hAnsi="Arial"/>
                <w:sz w:val="16"/>
                <w:szCs w:val="16"/>
                <w:color w:val="202E39"/>
              </w:rPr>
              <w:t>3,296,129</w:t>
            </w:r>
          </w:p>
        </w:tc>
      </w:tr>
      <w:tr>
        <w:trPr>
          <w:trHeight w:val="223"/>
        </w:trPr>
        <w:tc>
          <w:tcPr>
            <w:tcW w:w="4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Audit-Related Fees</w:t>
            </w:r>
          </w:p>
        </w:tc>
        <w:tc>
          <w:tcPr>
            <w:tcW w:w="2200" w:type="dxa"/>
            <w:vAlign w:val="bottom"/>
            <w:tcBorders>
              <w:bottom w:val="single" w:sz="8" w:color="E8EAEB"/>
              <w:right w:val="single" w:sz="8" w:color="E8EAEB"/>
            </w:tcBorders>
          </w:tcPr>
          <w:p>
            <w:pPr>
              <w:jc w:val="right"/>
              <w:ind w:right="661"/>
              <w:spacing w:after="0"/>
              <w:rPr>
                <w:sz w:val="20"/>
                <w:szCs w:val="20"/>
                <w:color w:val="auto"/>
              </w:rPr>
            </w:pPr>
            <w:r>
              <w:rPr>
                <w:rFonts w:ascii="Arial" w:cs="Arial" w:eastAsia="Arial" w:hAnsi="Arial"/>
                <w:sz w:val="16"/>
                <w:szCs w:val="16"/>
                <w:color w:val="202E39"/>
              </w:rPr>
              <w:t>175,000</w:t>
            </w:r>
          </w:p>
        </w:tc>
        <w:tc>
          <w:tcPr>
            <w:tcW w:w="2220" w:type="dxa"/>
            <w:vAlign w:val="bottom"/>
            <w:tcBorders>
              <w:bottom w:val="single" w:sz="8" w:color="E8EAEB"/>
            </w:tcBorders>
          </w:tcPr>
          <w:p>
            <w:pPr>
              <w:jc w:val="right"/>
              <w:ind w:right="641"/>
              <w:spacing w:after="0"/>
              <w:rPr>
                <w:sz w:val="20"/>
                <w:szCs w:val="20"/>
                <w:color w:val="auto"/>
              </w:rPr>
            </w:pPr>
            <w:r>
              <w:rPr>
                <w:rFonts w:ascii="Arial" w:cs="Arial" w:eastAsia="Arial" w:hAnsi="Arial"/>
                <w:sz w:val="16"/>
                <w:szCs w:val="16"/>
                <w:color w:val="202E39"/>
              </w:rPr>
              <w:t>135,000</w:t>
            </w:r>
          </w:p>
        </w:tc>
      </w:tr>
      <w:tr>
        <w:trPr>
          <w:trHeight w:val="223"/>
        </w:trPr>
        <w:tc>
          <w:tcPr>
            <w:tcW w:w="4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Tax Fees</w:t>
            </w:r>
          </w:p>
        </w:tc>
        <w:tc>
          <w:tcPr>
            <w:tcW w:w="2200" w:type="dxa"/>
            <w:vAlign w:val="bottom"/>
            <w:tcBorders>
              <w:bottom w:val="single" w:sz="8" w:color="E8EAEB"/>
              <w:right w:val="single" w:sz="8" w:color="E8EAEB"/>
            </w:tcBorders>
          </w:tcPr>
          <w:p>
            <w:pPr>
              <w:jc w:val="right"/>
              <w:ind w:right="661"/>
              <w:spacing w:after="0"/>
              <w:rPr>
                <w:sz w:val="20"/>
                <w:szCs w:val="20"/>
                <w:color w:val="auto"/>
              </w:rPr>
            </w:pPr>
            <w:r>
              <w:rPr>
                <w:rFonts w:ascii="Arial" w:cs="Arial" w:eastAsia="Arial" w:hAnsi="Arial"/>
                <w:sz w:val="16"/>
                <w:szCs w:val="16"/>
                <w:color w:val="202E39"/>
              </w:rPr>
              <w:t>37,760</w:t>
            </w:r>
          </w:p>
        </w:tc>
        <w:tc>
          <w:tcPr>
            <w:tcW w:w="2220" w:type="dxa"/>
            <w:vAlign w:val="bottom"/>
            <w:tcBorders>
              <w:bottom w:val="single" w:sz="8" w:color="E8EAEB"/>
            </w:tcBorders>
          </w:tcPr>
          <w:p>
            <w:pPr>
              <w:jc w:val="right"/>
              <w:ind w:right="641"/>
              <w:spacing w:after="0"/>
              <w:rPr>
                <w:sz w:val="20"/>
                <w:szCs w:val="20"/>
                <w:color w:val="auto"/>
              </w:rPr>
            </w:pPr>
            <w:r>
              <w:rPr>
                <w:rFonts w:ascii="Arial" w:cs="Arial" w:eastAsia="Arial" w:hAnsi="Arial"/>
                <w:sz w:val="16"/>
                <w:szCs w:val="16"/>
                <w:color w:val="202E39"/>
              </w:rPr>
              <w:t>23,983</w:t>
            </w:r>
          </w:p>
        </w:tc>
      </w:tr>
      <w:tr>
        <w:trPr>
          <w:trHeight w:val="223"/>
        </w:trPr>
        <w:tc>
          <w:tcPr>
            <w:tcW w:w="48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All Other Fees</w:t>
            </w:r>
          </w:p>
        </w:tc>
        <w:tc>
          <w:tcPr>
            <w:tcW w:w="2200" w:type="dxa"/>
            <w:vAlign w:val="bottom"/>
            <w:tcBorders>
              <w:bottom w:val="single" w:sz="8" w:color="009FE3"/>
              <w:right w:val="single" w:sz="8" w:color="E8EAEB"/>
            </w:tcBorders>
          </w:tcPr>
          <w:p>
            <w:pPr>
              <w:jc w:val="right"/>
              <w:ind w:right="661"/>
              <w:spacing w:after="0"/>
              <w:rPr>
                <w:sz w:val="20"/>
                <w:szCs w:val="20"/>
                <w:color w:val="auto"/>
              </w:rPr>
            </w:pPr>
            <w:r>
              <w:rPr>
                <w:rFonts w:ascii="Arial" w:cs="Arial" w:eastAsia="Arial" w:hAnsi="Arial"/>
                <w:sz w:val="16"/>
                <w:szCs w:val="16"/>
                <w:color w:val="202E39"/>
              </w:rPr>
              <w:t>19,600</w:t>
            </w:r>
          </w:p>
        </w:tc>
        <w:tc>
          <w:tcPr>
            <w:tcW w:w="2220" w:type="dxa"/>
            <w:vAlign w:val="bottom"/>
            <w:tcBorders>
              <w:bottom w:val="single" w:sz="8" w:color="009FE3"/>
            </w:tcBorders>
          </w:tcPr>
          <w:p>
            <w:pPr>
              <w:jc w:val="right"/>
              <w:ind w:right="641"/>
              <w:spacing w:after="0"/>
              <w:rPr>
                <w:sz w:val="20"/>
                <w:szCs w:val="20"/>
                <w:color w:val="auto"/>
              </w:rPr>
            </w:pPr>
            <w:r>
              <w:rPr>
                <w:rFonts w:ascii="Arial" w:cs="Arial" w:eastAsia="Arial" w:hAnsi="Arial"/>
                <w:sz w:val="16"/>
                <w:szCs w:val="16"/>
                <w:color w:val="202E39"/>
              </w:rPr>
              <w:t>19,714</w:t>
            </w:r>
          </w:p>
        </w:tc>
      </w:tr>
      <w:tr>
        <w:trPr>
          <w:trHeight w:val="223"/>
        </w:trPr>
        <w:tc>
          <w:tcPr>
            <w:tcW w:w="48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Total Fees</w:t>
            </w:r>
          </w:p>
        </w:tc>
        <w:tc>
          <w:tcPr>
            <w:tcW w:w="2200" w:type="dxa"/>
            <w:vAlign w:val="bottom"/>
            <w:tcBorders>
              <w:bottom w:val="single" w:sz="8" w:color="009FE3"/>
              <w:right w:val="single" w:sz="8" w:color="E8EAEB"/>
            </w:tcBorders>
          </w:tcPr>
          <w:p>
            <w:pPr>
              <w:jc w:val="right"/>
              <w:ind w:right="661"/>
              <w:spacing w:after="0"/>
              <w:rPr>
                <w:sz w:val="20"/>
                <w:szCs w:val="20"/>
                <w:color w:val="auto"/>
              </w:rPr>
            </w:pPr>
            <w:r>
              <w:rPr>
                <w:rFonts w:ascii="Arial" w:cs="Arial" w:eastAsia="Arial" w:hAnsi="Arial"/>
                <w:sz w:val="16"/>
                <w:szCs w:val="16"/>
                <w:color w:val="202E39"/>
              </w:rPr>
              <w:t>3,588,848</w:t>
            </w:r>
          </w:p>
        </w:tc>
        <w:tc>
          <w:tcPr>
            <w:tcW w:w="2220" w:type="dxa"/>
            <w:vAlign w:val="bottom"/>
            <w:tcBorders>
              <w:bottom w:val="single" w:sz="8" w:color="009FE3"/>
            </w:tcBorders>
          </w:tcPr>
          <w:p>
            <w:pPr>
              <w:jc w:val="right"/>
              <w:ind w:right="641"/>
              <w:spacing w:after="0"/>
              <w:rPr>
                <w:sz w:val="20"/>
                <w:szCs w:val="20"/>
                <w:color w:val="auto"/>
              </w:rPr>
            </w:pPr>
            <w:r>
              <w:rPr>
                <w:rFonts w:ascii="Arial" w:cs="Arial" w:eastAsia="Arial" w:hAnsi="Arial"/>
                <w:sz w:val="16"/>
                <w:szCs w:val="16"/>
                <w:color w:val="202E39"/>
              </w:rPr>
              <w:t>3,474,826</w:t>
            </w:r>
          </w:p>
        </w:tc>
      </w:tr>
    </w:tbl>
    <w:p>
      <w:pPr>
        <w:spacing w:after="0" w:line="94" w:lineRule="exact"/>
        <w:rPr>
          <w:sz w:val="20"/>
          <w:szCs w:val="20"/>
          <w:color w:val="auto"/>
        </w:rPr>
      </w:pPr>
    </w:p>
    <w:p>
      <w:pPr>
        <w:ind w:left="120" w:right="40"/>
        <w:spacing w:after="0" w:line="263" w:lineRule="auto"/>
        <w:rPr>
          <w:sz w:val="20"/>
          <w:szCs w:val="20"/>
          <w:color w:val="auto"/>
        </w:rPr>
      </w:pPr>
      <w:r>
        <w:rPr>
          <w:rFonts w:ascii="Arial" w:cs="Arial" w:eastAsia="Arial" w:hAnsi="Arial"/>
          <w:sz w:val="16"/>
          <w:szCs w:val="16"/>
          <w:i w:val="1"/>
          <w:iCs w:val="1"/>
          <w:color w:val="009FE3"/>
        </w:rPr>
        <w:t xml:space="preserve">Audit Fees. </w:t>
      </w:r>
      <w:r>
        <w:rPr>
          <w:rFonts w:ascii="Arial" w:cs="Arial" w:eastAsia="Arial" w:hAnsi="Arial"/>
          <w:sz w:val="16"/>
          <w:szCs w:val="16"/>
          <w:color w:val="202E39"/>
        </w:rPr>
        <w:t>This category includes the audit of our annual consolidated financial statements and the audit of our internal control over financial reporting,</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70" w:lineRule="exact"/>
        <w:rPr>
          <w:sz w:val="20"/>
          <w:szCs w:val="20"/>
          <w:color w:val="auto"/>
        </w:rPr>
      </w:pPr>
    </w:p>
    <w:p>
      <w:pPr>
        <w:ind w:left="120"/>
        <w:spacing w:after="0" w:line="263" w:lineRule="auto"/>
        <w:rPr>
          <w:sz w:val="20"/>
          <w:szCs w:val="20"/>
          <w:color w:val="auto"/>
        </w:rPr>
      </w:pPr>
      <w:r>
        <w:rPr>
          <w:rFonts w:ascii="Arial" w:cs="Arial" w:eastAsia="Arial" w:hAnsi="Arial"/>
          <w:sz w:val="16"/>
          <w:szCs w:val="16"/>
          <w:i w:val="1"/>
          <w:iCs w:val="1"/>
          <w:color w:val="009FE3"/>
        </w:rPr>
        <w:t xml:space="preserve">Audit-Related Fees. </w:t>
      </w:r>
      <w:r>
        <w:rPr>
          <w:rFonts w:ascii="Arial" w:cs="Arial" w:eastAsia="Arial" w:hAnsi="Arial"/>
          <w:sz w:val="16"/>
          <w:szCs w:val="16"/>
          <w:color w:val="202E39"/>
        </w:rPr>
        <w:t>This category consists of assurance and related services provided by PricewaterhouseCoopers that are reasonably related to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70" w:lineRule="exact"/>
        <w:rPr>
          <w:sz w:val="20"/>
          <w:szCs w:val="20"/>
          <w:color w:val="auto"/>
        </w:rPr>
      </w:pPr>
    </w:p>
    <w:p>
      <w:pPr>
        <w:ind w:left="120" w:right="120"/>
        <w:spacing w:after="0" w:line="263" w:lineRule="auto"/>
        <w:rPr>
          <w:sz w:val="20"/>
          <w:szCs w:val="20"/>
          <w:color w:val="auto"/>
        </w:rPr>
      </w:pPr>
      <w:r>
        <w:rPr>
          <w:rFonts w:ascii="Arial" w:cs="Arial" w:eastAsia="Arial" w:hAnsi="Arial"/>
          <w:sz w:val="16"/>
          <w:szCs w:val="16"/>
          <w:i w:val="1"/>
          <w:iCs w:val="1"/>
          <w:color w:val="009FE3"/>
        </w:rPr>
        <w:t xml:space="preserve">Tax Fees. </w:t>
      </w:r>
      <w:r>
        <w:rPr>
          <w:rFonts w:ascii="Arial" w:cs="Arial" w:eastAsia="Arial" w:hAnsi="Arial"/>
          <w:sz w:val="16"/>
          <w:szCs w:val="16"/>
          <w:color w:val="202E39"/>
        </w:rPr>
        <w:t>This category consists of professional services rendered by PricewaterhouseCoopers, primarily in connection with tax compliance, tax</w:t>
      </w:r>
      <w:r>
        <w:rPr>
          <w:rFonts w:ascii="Arial" w:cs="Arial" w:eastAsia="Arial" w:hAnsi="Arial"/>
          <w:sz w:val="16"/>
          <w:szCs w:val="16"/>
          <w:i w:val="1"/>
          <w:iCs w:val="1"/>
          <w:color w:val="009FE3"/>
        </w:rPr>
        <w:t xml:space="preserve"> </w:t>
      </w:r>
      <w:r>
        <w:rPr>
          <w:rFonts w:ascii="Arial" w:cs="Arial" w:eastAsia="Arial" w:hAnsi="Arial"/>
          <w:sz w:val="16"/>
          <w:szCs w:val="16"/>
          <w:color w:val="202E39"/>
        </w:rPr>
        <w:t>planning and tax advice activities. These services include assistance with the preparation of tax returns, claims for refunds, value added tax compliance, and consultations on state, local and international tax matters.</w:t>
      </w:r>
    </w:p>
    <w:p>
      <w:pPr>
        <w:spacing w:after="0" w:line="70" w:lineRule="exact"/>
        <w:rPr>
          <w:sz w:val="20"/>
          <w:szCs w:val="20"/>
          <w:color w:val="auto"/>
        </w:rPr>
      </w:pPr>
    </w:p>
    <w:p>
      <w:pPr>
        <w:ind w:left="120" w:right="540"/>
        <w:spacing w:after="0" w:line="281" w:lineRule="auto"/>
        <w:rPr>
          <w:sz w:val="20"/>
          <w:szCs w:val="20"/>
          <w:color w:val="auto"/>
        </w:rPr>
      </w:pPr>
      <w:r>
        <w:rPr>
          <w:rFonts w:ascii="Arial" w:cs="Arial" w:eastAsia="Arial" w:hAnsi="Arial"/>
          <w:sz w:val="16"/>
          <w:szCs w:val="16"/>
          <w:i w:val="1"/>
          <w:iCs w:val="1"/>
          <w:color w:val="009FE3"/>
        </w:rPr>
        <w:t xml:space="preserve">All Other Fees. </w:t>
      </w:r>
      <w:r>
        <w:rPr>
          <w:rFonts w:ascii="Arial" w:cs="Arial" w:eastAsia="Arial" w:hAnsi="Arial"/>
          <w:sz w:val="16"/>
          <w:szCs w:val="16"/>
          <w:color w:val="202E39"/>
        </w:rPr>
        <w:t>This category consists of fees for products and services other than the services reported above, including fees for subscription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PricewaterhouseCoopers’ online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69850</wp:posOffset>
            </wp:positionV>
            <wp:extent cx="4368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2 • </w:t>
      </w:r>
      <w:r>
        <w:rPr>
          <w:rFonts w:ascii="Arial" w:cs="Arial" w:eastAsia="Arial" w:hAnsi="Arial"/>
          <w:sz w:val="14"/>
          <w:szCs w:val="14"/>
          <w:color w:val="202E39"/>
        </w:rPr>
        <w:t>Ratification of Appointment of Independent Registered Public Accounting Firm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Pre-Approval Policy of the Audit Committee</w:t>
      </w:r>
    </w:p>
    <w:p>
      <w:pPr>
        <w:spacing w:after="0" w:line="12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2021, the fees paid to PricewaterhouseCoopers shown in the table above were pre-approved in accordance with this policy.</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120" w:right="68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ratification of the appointment of PricewaterhouseCoopers as Viasat’s independent registered public accounting firm for fiscal year 2022.</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17</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Advisory Vote On Executive Compensation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64"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106" w:lineRule="exact"/>
        <w:rPr>
          <w:sz w:val="20"/>
          <w:szCs w:val="20"/>
          <w:color w:val="auto"/>
        </w:rPr>
      </w:pPr>
    </w:p>
    <w:p>
      <w:pPr>
        <w:ind w:left="120" w:right="200"/>
        <w:spacing w:after="0" w:line="263" w:lineRule="auto"/>
        <w:rPr>
          <w:sz w:val="20"/>
          <w:szCs w:val="20"/>
          <w:color w:val="auto"/>
        </w:rPr>
      </w:pPr>
      <w:r>
        <w:rPr>
          <w:rFonts w:ascii="Arial" w:cs="Arial" w:eastAsia="Arial" w:hAnsi="Arial"/>
          <w:sz w:val="16"/>
          <w:szCs w:val="16"/>
          <w:i w:val="1"/>
          <w:iCs w:val="1"/>
          <w:color w:val="009FE3"/>
        </w:rPr>
        <w:t xml:space="preserve">Stockholder Engagement and Responsiveness. </w:t>
      </w:r>
      <w:r>
        <w:rPr>
          <w:rFonts w:ascii="Arial" w:cs="Arial" w:eastAsia="Arial" w:hAnsi="Arial"/>
          <w:sz w:val="16"/>
          <w:szCs w:val="16"/>
          <w:color w:val="202E39"/>
        </w:rPr>
        <w:t>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our governance and compensation practices, and to address any concerns they may have. During fiscal year 2021, we engaged in substantive conversations with stockholders representing approximately 65% of our total outstanding common stock.</w:t>
      </w:r>
    </w:p>
    <w:p>
      <w:pPr>
        <w:spacing w:after="0" w:line="127"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202E39"/>
        </w:rPr>
        <w:t>Our Board of Directors has demonstrated responsiveness to feedback received during these discussions with stockholders through the recent changes we have made to our executive compensation program,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2065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065655"/>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460" w:type="dxa"/>
            <w:vAlign w:val="bottom"/>
            <w:shd w:val="clear" w:color="auto" w:fill="009FE3"/>
          </w:tcPr>
          <w:p>
            <w:pPr>
              <w:ind w:left="2340"/>
              <w:spacing w:after="0"/>
              <w:rPr>
                <w:sz w:val="20"/>
                <w:szCs w:val="20"/>
                <w:color w:val="auto"/>
              </w:rPr>
            </w:pPr>
            <w:r>
              <w:rPr>
                <w:rFonts w:ascii="Arial" w:cs="Arial" w:eastAsia="Arial" w:hAnsi="Arial"/>
                <w:sz w:val="14"/>
                <w:szCs w:val="14"/>
                <w:b w:val="1"/>
                <w:bCs w:val="1"/>
                <w:color w:val="FFFFFF"/>
              </w:rPr>
              <w:t>What We Did</w:t>
            </w:r>
          </w:p>
        </w:tc>
      </w:tr>
      <w:tr>
        <w:trPr>
          <w:trHeight w:val="25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19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stockholder interests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years</w:t>
            </w:r>
          </w:p>
        </w:tc>
      </w:tr>
      <w:tr>
        <w:trPr>
          <w:trHeight w:val="27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r>
      <w:tr>
        <w:trPr>
          <w:trHeight w:val="27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Replace target annual bonus ranges with specific target annual bonuses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r>
      <w:tr>
        <w:trPr>
          <w:trHeight w:val="19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percentages for each executive officer</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 fiscal year 2020</w:t>
            </w:r>
          </w:p>
        </w:tc>
      </w:tr>
      <w:tr>
        <w:trPr>
          <w:trHeight w:val="27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Adopt a maximum cap on annual bonus payouts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r>
      <w:tr>
        <w:trPr>
          <w:trHeight w:val="195"/>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r>
      <w:tr>
        <w:trPr>
          <w:trHeight w:val="284"/>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included in proxy statement</w:t>
            </w:r>
          </w:p>
        </w:tc>
      </w:tr>
      <w:tr>
        <w:trPr>
          <w:trHeight w:val="27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 a clawback policy</w:t>
            </w: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46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w:t>
            </w:r>
          </w:p>
        </w:tc>
      </w:tr>
      <w:tr>
        <w:trPr>
          <w:trHeight w:val="208"/>
        </w:trPr>
        <w:tc>
          <w:tcPr>
            <w:tcW w:w="5560" w:type="dxa"/>
            <w:vAlign w:val="bottom"/>
            <w:tcBorders>
              <w:bottom w:val="single" w:sz="8" w:color="009FE3"/>
            </w:tcBorders>
            <w:shd w:val="clear" w:color="auto" w:fill="EDEEEF"/>
          </w:tcPr>
          <w:p>
            <w:pPr>
              <w:spacing w:after="0"/>
              <w:rPr>
                <w:sz w:val="18"/>
                <w:szCs w:val="18"/>
                <w:color w:val="auto"/>
              </w:rPr>
            </w:pPr>
          </w:p>
        </w:tc>
        <w:tc>
          <w:tcPr>
            <w:tcW w:w="546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resulting from an executive officer’s misconduct</w:t>
            </w:r>
          </w:p>
        </w:tc>
      </w:tr>
    </w:tbl>
    <w:p>
      <w:pPr>
        <w:spacing w:after="0" w:line="218"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202E39"/>
        </w:rPr>
        <w:t>These changes are described more fully in the Compensation Discussion and Analysis section of this proxy statement. We are committed to continuing an active dialogue with our stockholders to ensure that the Board’s decisions are informed by investor feedback, and that we continue to evolve our corporate governance practices and compensation programs to best support long-term value creation.</w:t>
      </w:r>
    </w:p>
    <w:p>
      <w:pPr>
        <w:spacing w:after="0" w:line="18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i w:val="1"/>
          <w:iCs w:val="1"/>
          <w:color w:val="009FE3"/>
        </w:rPr>
        <w:t>Executive Compensation Philosophy</w:t>
      </w:r>
      <w:r>
        <w:rPr>
          <w:rFonts w:ascii="Arial" w:cs="Arial" w:eastAsia="Arial" w:hAnsi="Arial"/>
          <w:sz w:val="16"/>
          <w:szCs w:val="16"/>
          <w:color w:val="202E39"/>
        </w:rPr>
        <w:t>. Our executive compensation program has been designed to encourage high performance, promote accountability</w:t>
      </w:r>
      <w:r>
        <w:rPr>
          <w:rFonts w:ascii="Arial" w:cs="Arial" w:eastAsia="Arial" w:hAnsi="Arial"/>
          <w:sz w:val="16"/>
          <w:szCs w:val="16"/>
          <w:i w:val="1"/>
          <w:iCs w:val="1"/>
          <w:color w:val="009FE3"/>
        </w:rPr>
        <w:t xml:space="preserve"> </w:t>
      </w:r>
      <w:r>
        <w:rPr>
          <w:rFonts w:ascii="Arial" w:cs="Arial" w:eastAsia="Arial" w:hAnsi="Arial"/>
          <w:sz w:val="16"/>
          <w:szCs w:val="16"/>
          <w:color w:val="202E39"/>
        </w:rPr>
        <w:t>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practices operate and are designed to achieve our compensation objectives, as well as the Summary Compensation Table and other related compensation tables and disclosures,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88265</wp:posOffset>
            </wp:positionV>
            <wp:extent cx="4368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280"/>
        <w:spacing w:after="0"/>
        <w:rPr>
          <w:sz w:val="20"/>
          <w:szCs w:val="20"/>
          <w:color w:val="auto"/>
        </w:rPr>
      </w:pPr>
      <w:r>
        <w:rPr>
          <w:rFonts w:ascii="Arial" w:cs="Arial" w:eastAsia="Arial" w:hAnsi="Arial"/>
          <w:sz w:val="14"/>
          <w:szCs w:val="14"/>
          <w:color w:val="009FE3"/>
        </w:rPr>
        <w:t xml:space="preserve">PROPOSAL 3 • </w:t>
      </w:r>
      <w:r>
        <w:rPr>
          <w:rFonts w:ascii="Arial" w:cs="Arial" w:eastAsia="Arial" w:hAnsi="Arial"/>
          <w:sz w:val="14"/>
          <w:szCs w:val="14"/>
          <w:color w:val="202E39"/>
        </w:rPr>
        <w:t>Advisory Vote On Executive Compensation</w:t>
      </w:r>
    </w:p>
    <w:p>
      <w:pPr>
        <w:spacing w:after="0" w:line="14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We request stockholder approval, on an advisory basis, of the compensation of our Named Executive Officers, as disclosed in our proxy statement for the 2021 annual meeting of stockholders pursuant to the compensation disclosure rules of the SEC, including the Compensation Discussion and Analysis, the Summary Compensation Table and the other related compensation tables and disclosures.</w:t>
      </w:r>
    </w:p>
    <w:p>
      <w:pPr>
        <w:spacing w:after="0" w:line="134" w:lineRule="exact"/>
        <w:rPr>
          <w:sz w:val="20"/>
          <w:szCs w:val="20"/>
          <w:color w:val="auto"/>
        </w:rPr>
      </w:pPr>
    </w:p>
    <w:p>
      <w:pPr>
        <w:ind w:left="120" w:right="380"/>
        <w:spacing w:after="0" w:line="260" w:lineRule="auto"/>
        <w:rPr>
          <w:sz w:val="20"/>
          <w:szCs w:val="20"/>
          <w:color w:val="auto"/>
        </w:rPr>
      </w:pPr>
      <w:r>
        <w:rPr>
          <w:rFonts w:ascii="Arial" w:cs="Arial" w:eastAsia="Arial" w:hAnsi="Arial"/>
          <w:sz w:val="16"/>
          <w:szCs w:val="16"/>
          <w:color w:val="202E39"/>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128"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Consistent with the preference of our stockholders as reflected in our prior non-binding advisory vote on the frequency of future say-on-pay votes, we will continue to hold an advisory say-on-pay vote on an annual basis unless otherwise disclosed. Following this year’s advisory vote, the next scheduled advisory say-on-pay vote will take place at our 2022 annual meeting of stockholders.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3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approval of the compensation of our Named Executive Officers as disclosed in this proxy statement.</w:t>
      </w:r>
    </w:p>
    <w:p>
      <w:pPr>
        <w:spacing w:after="0" w:line="9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19</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Amendment and Restatement of the 1996 Equity Participation Plan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64"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202E39"/>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July 19, 2021, our Board of Directors approved the Restated Equity Plan, subject to stockholder approval at the annual meeting. The Restated Equity Plan will become effective on the day of the annual meeting, assuming approval of this Proposal 4 by our stockholders.</w:t>
      </w:r>
    </w:p>
    <w:p>
      <w:pPr>
        <w:spacing w:after="0" w:line="105" w:lineRule="exact"/>
        <w:rPr>
          <w:sz w:val="20"/>
          <w:szCs w:val="20"/>
          <w:color w:val="auto"/>
        </w:rPr>
      </w:pPr>
    </w:p>
    <w:p>
      <w:pPr>
        <w:ind w:left="120"/>
        <w:spacing w:after="0"/>
        <w:tabs>
          <w:tab w:leader="none" w:pos="2800" w:val="left"/>
        </w:tabs>
        <w:rPr>
          <w:sz w:val="20"/>
          <w:szCs w:val="20"/>
          <w:color w:val="auto"/>
        </w:rPr>
      </w:pPr>
      <w:r>
        <w:rPr>
          <w:rFonts w:ascii="Arial" w:cs="Arial" w:eastAsia="Arial" w:hAnsi="Arial"/>
          <w:sz w:val="16"/>
          <w:szCs w:val="16"/>
          <w:i w:val="1"/>
          <w:iCs w:val="1"/>
          <w:color w:val="009FE3"/>
        </w:rPr>
        <w:t>Summary of Material Amendments</w:t>
      </w:r>
      <w:r>
        <w:rPr>
          <w:rFonts w:ascii="Arial" w:cs="Arial" w:eastAsia="Arial" w:hAnsi="Arial"/>
          <w:sz w:val="16"/>
          <w:szCs w:val="16"/>
          <w:color w:val="202E39"/>
        </w:rPr>
        <w:t>.</w:t>
      </w:r>
      <w:r>
        <w:rPr>
          <w:sz w:val="20"/>
          <w:szCs w:val="20"/>
          <w:color w:val="auto"/>
        </w:rPr>
        <w:tab/>
      </w:r>
      <w:r>
        <w:rPr>
          <w:rFonts w:ascii="Arial" w:cs="Arial" w:eastAsia="Arial" w:hAnsi="Arial"/>
          <w:sz w:val="16"/>
          <w:szCs w:val="16"/>
          <w:color w:val="202E39"/>
        </w:rPr>
        <w:t>The Restated Equity Plan will implement the following material changes:</w:t>
      </w:r>
    </w:p>
    <w:p>
      <w:pPr>
        <w:spacing w:after="0" w:line="127" w:lineRule="exact"/>
        <w:rPr>
          <w:sz w:val="20"/>
          <w:szCs w:val="20"/>
          <w:color w:val="auto"/>
        </w:rPr>
      </w:pPr>
    </w:p>
    <w:p>
      <w:pPr>
        <w:ind w:left="660" w:right="120" w:hanging="220"/>
        <w:spacing w:after="0" w:line="255"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i w:val="1"/>
          <w:iCs w:val="1"/>
          <w:color w:val="202E39"/>
        </w:rPr>
        <w:t xml:space="preserve">Increase in Share Reserve. </w:t>
      </w:r>
      <w:r>
        <w:rPr>
          <w:rFonts w:ascii="Arial" w:cs="Arial" w:eastAsia="Arial" w:hAnsi="Arial"/>
          <w:sz w:val="16"/>
          <w:szCs w:val="16"/>
          <w:color w:val="202E39"/>
        </w:rPr>
        <w:t>If approved by the stockholders, the Restated Equity Plan will provide for an increase of 3,290,000 shares over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number of shares of common stock currently available for issuance under the Equity Plan. The shares remaining available for issuance as of July 1, 2021 under the Equity Plan are insufficient to meet our forecasted needs during the year. After carefully forecasting our anticipated workforce, we believe that this increase will be sufficient for at least one year’s worth of equity-based grants under our current compensation program. The Board will continue to evaluate equity needs in the context of the business and broader compensation program in the future.</w:t>
      </w:r>
    </w:p>
    <w:p>
      <w:pPr>
        <w:spacing w:after="0" w:line="35" w:lineRule="exact"/>
        <w:rPr>
          <w:rFonts w:ascii="Arial" w:cs="Arial" w:eastAsia="Arial" w:hAnsi="Arial"/>
          <w:sz w:val="16"/>
          <w:szCs w:val="16"/>
          <w:color w:val="009FE3"/>
        </w:rPr>
      </w:pPr>
    </w:p>
    <w:p>
      <w:pPr>
        <w:ind w:left="660" w:right="80" w:hanging="220"/>
        <w:spacing w:after="0" w:line="271" w:lineRule="auto"/>
        <w:tabs>
          <w:tab w:leader="none" w:pos="660" w:val="left"/>
        </w:tabs>
        <w:numPr>
          <w:ilvl w:val="0"/>
          <w:numId w:val="12"/>
        </w:numPr>
        <w:rPr>
          <w:rFonts w:ascii="Arial" w:cs="Arial" w:eastAsia="Arial" w:hAnsi="Arial"/>
          <w:sz w:val="16"/>
          <w:szCs w:val="16"/>
          <w:color w:val="009FE3"/>
        </w:rPr>
      </w:pPr>
      <w:r>
        <w:rPr>
          <w:rFonts w:ascii="Arial" w:cs="Arial" w:eastAsia="Arial" w:hAnsi="Arial"/>
          <w:sz w:val="16"/>
          <w:szCs w:val="16"/>
          <w:i w:val="1"/>
          <w:iCs w:val="1"/>
          <w:color w:val="202E39"/>
        </w:rPr>
        <w:t xml:space="preserve">Extension of Time Period for Granting Incentive Stock Options. </w:t>
      </w:r>
      <w:r>
        <w:rPr>
          <w:rFonts w:ascii="Arial" w:cs="Arial" w:eastAsia="Arial" w:hAnsi="Arial"/>
          <w:sz w:val="16"/>
          <w:szCs w:val="16"/>
          <w:color w:val="202E39"/>
        </w:rPr>
        <w:t>The Restated Equity Plan will permit the granting of stock options that are</w:t>
      </w:r>
      <w:r>
        <w:rPr>
          <w:rFonts w:ascii="Arial" w:cs="Arial" w:eastAsia="Arial" w:hAnsi="Arial"/>
          <w:sz w:val="16"/>
          <w:szCs w:val="16"/>
          <w:i w:val="1"/>
          <w:iCs w:val="1"/>
          <w:color w:val="202E39"/>
        </w:rPr>
        <w:t xml:space="preserve"> </w:t>
      </w:r>
      <w:r>
        <w:rPr>
          <w:rFonts w:ascii="Arial" w:cs="Arial" w:eastAsia="Arial" w:hAnsi="Arial"/>
          <w:sz w:val="16"/>
          <w:szCs w:val="16"/>
          <w:color w:val="202E39"/>
        </w:rPr>
        <w:t>intended to qualify as incentive stock options, or ISOs, as defined under Section 422 of the Internal Revenue Code, or the Code, through July 18, 2031.</w:t>
      </w:r>
    </w:p>
    <w:p>
      <w:pPr>
        <w:spacing w:after="0" w:line="300" w:lineRule="exact"/>
        <w:rPr>
          <w:sz w:val="20"/>
          <w:szCs w:val="20"/>
          <w:color w:val="auto"/>
        </w:rPr>
      </w:pPr>
    </w:p>
    <w:p>
      <w:pPr>
        <w:ind w:left="120"/>
        <w:spacing w:after="0"/>
        <w:tabs>
          <w:tab w:leader="none" w:pos="2840" w:val="left"/>
        </w:tabs>
        <w:rPr>
          <w:sz w:val="20"/>
          <w:szCs w:val="20"/>
          <w:color w:val="auto"/>
        </w:rPr>
      </w:pPr>
      <w:r>
        <w:rPr>
          <w:rFonts w:ascii="Arial" w:cs="Arial" w:eastAsia="Arial" w:hAnsi="Arial"/>
          <w:sz w:val="16"/>
          <w:szCs w:val="16"/>
          <w:i w:val="1"/>
          <w:iCs w:val="1"/>
          <w:color w:val="009FE3"/>
        </w:rPr>
        <w:t>Stockholder Approval Requirement</w:t>
      </w:r>
      <w:r>
        <w:rPr>
          <w:rFonts w:ascii="Arial" w:cs="Arial" w:eastAsia="Arial" w:hAnsi="Arial"/>
          <w:sz w:val="16"/>
          <w:szCs w:val="16"/>
          <w:color w:val="202E39"/>
        </w:rPr>
        <w:t>.</w:t>
      </w:r>
      <w:r>
        <w:rPr>
          <w:sz w:val="20"/>
          <w:szCs w:val="20"/>
          <w:color w:val="auto"/>
        </w:rPr>
        <w:tab/>
      </w:r>
      <w:r>
        <w:rPr>
          <w:rFonts w:ascii="Arial" w:cs="Arial" w:eastAsia="Arial" w:hAnsi="Arial"/>
          <w:sz w:val="16"/>
          <w:szCs w:val="16"/>
          <w:color w:val="202E39"/>
        </w:rPr>
        <w:t>In general, stockholder approval of the Restated Equity Plan will implement the foregoing changes while</w:t>
      </w:r>
    </w:p>
    <w:p>
      <w:pPr>
        <w:spacing w:after="0" w:line="21" w:lineRule="exact"/>
        <w:rPr>
          <w:sz w:val="20"/>
          <w:szCs w:val="20"/>
          <w:color w:val="auto"/>
        </w:rPr>
      </w:pPr>
    </w:p>
    <w:p>
      <w:pPr>
        <w:ind w:left="120" w:right="60" w:hanging="4"/>
        <w:spacing w:after="0" w:line="260" w:lineRule="auto"/>
        <w:tabs>
          <w:tab w:leader="none" w:pos="363" w:val="left"/>
        </w:tabs>
        <w:numPr>
          <w:ilvl w:val="0"/>
          <w:numId w:val="13"/>
        </w:numPr>
        <w:rPr>
          <w:rFonts w:ascii="Arial" w:cs="Arial" w:eastAsia="Arial" w:hAnsi="Arial"/>
          <w:sz w:val="16"/>
          <w:szCs w:val="16"/>
          <w:color w:val="202E39"/>
        </w:rPr>
      </w:pPr>
      <w:r>
        <w:rPr>
          <w:rFonts w:ascii="Arial" w:cs="Arial" w:eastAsia="Arial" w:hAnsi="Arial"/>
          <w:sz w:val="16"/>
          <w:szCs w:val="16"/>
          <w:color w:val="202E39"/>
        </w:rPr>
        <w:t>complying with the terms of the Equity Plan regarding amendments, (2) meeting the stockholder approval requirements of Nasdaq, and (3) preserving our ability to grant stock options under the Restated Equity Plan that are intended to qualify as ISOs.</w:t>
      </w:r>
    </w:p>
    <w:p>
      <w:pPr>
        <w:spacing w:after="0" w:line="12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If this Proposal 4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The Board recommends that you vote “FOR” the Restated Equity Plan.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You Should Vote for the Restated Equity Plan</w:t>
      </w:r>
    </w:p>
    <w:p>
      <w:pPr>
        <w:spacing w:after="0" w:line="13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i w:val="1"/>
          <w:iCs w:val="1"/>
          <w:color w:val="009FE3"/>
        </w:rPr>
        <w:t>Equity Incentive Awards Are an Important Part of Our Compensation Philosophy</w:t>
      </w:r>
      <w:r>
        <w:rPr>
          <w:rFonts w:ascii="Arial" w:cs="Arial" w:eastAsia="Arial" w:hAnsi="Arial"/>
          <w:sz w:val="16"/>
          <w:szCs w:val="16"/>
          <w:color w:val="202E39"/>
        </w:rPr>
        <w:t>. Our equity compensation plans are critical to our ongoing effort to</w:t>
      </w:r>
      <w:r>
        <w:rPr>
          <w:rFonts w:ascii="Arial" w:cs="Arial" w:eastAsia="Arial" w:hAnsi="Arial"/>
          <w:sz w:val="16"/>
          <w:szCs w:val="16"/>
          <w:i w:val="1"/>
          <w:iCs w:val="1"/>
          <w:color w:val="009FE3"/>
        </w:rPr>
        <w:t xml:space="preserve"> </w:t>
      </w:r>
      <w:r>
        <w:rPr>
          <w:rFonts w:ascii="Arial" w:cs="Arial" w:eastAsia="Arial" w:hAnsi="Arial"/>
          <w:sz w:val="16"/>
          <w:szCs w:val="16"/>
          <w:color w:val="202E39"/>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and restricted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Beginning in fiscal year 2018, our executive officers received a combination of restricted stock units and performance-based stock options as we believe the forms of these awards continue to drive strong retention value while promoting further alignment with stockholder interests by motivating executive officers to achieve superior performance results.</w:t>
      </w:r>
    </w:p>
    <w:p>
      <w:pPr>
        <w:spacing w:after="0" w:line="138"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We believe our strategy is working. During the last two years, our employee turnover rate, inclusive of both voluntary and involuntary turnover, has averaged 11.7%, which is much lower than the annual 22.4% employee turnover rate for companies in a similar industry as reported in the Q4 2019 Radford Turnover &amp; Hiring Sentiment report. We believe employee retention is particularly important to our success due to the extended time required to design, construct and launch our advanced satellite systems.</w:t>
      </w:r>
    </w:p>
    <w:p>
      <w:pPr>
        <w:spacing w:after="0" w:line="13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202E39"/>
        </w:rPr>
        <w:t>Also, our equity incentive program is broad-based, which has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July 1, 2021, 42.4% of our employees held outstanding equity awards and all six of our non-employee directors held outstanding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84455</wp:posOffset>
            </wp:positionV>
            <wp:extent cx="43688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3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The Equity Plan Will No Longer Have Shares Available for Grant. </w:t>
      </w:r>
      <w:r>
        <w:rPr>
          <w:rFonts w:ascii="Arial" w:cs="Arial" w:eastAsia="Arial" w:hAnsi="Arial"/>
          <w:sz w:val="16"/>
          <w:szCs w:val="16"/>
          <w:color w:val="202E39"/>
        </w:rPr>
        <w:t>Under our current forecasts, the Equity Plan will run out of shares available for grant</w:t>
      </w:r>
      <w:r>
        <w:rPr>
          <w:rFonts w:ascii="Arial" w:cs="Arial" w:eastAsia="Arial" w:hAnsi="Arial"/>
          <w:sz w:val="16"/>
          <w:szCs w:val="16"/>
          <w:i w:val="1"/>
          <w:iCs w:val="1"/>
          <w:color w:val="009FE3"/>
        </w:rPr>
        <w:t xml:space="preserve"> </w:t>
      </w:r>
      <w:r>
        <w:rPr>
          <w:rFonts w:ascii="Arial" w:cs="Arial" w:eastAsia="Arial" w:hAnsi="Arial"/>
          <w:sz w:val="16"/>
          <w:szCs w:val="16"/>
          <w:color w:val="202E39"/>
        </w:rPr>
        <w:t>in 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w:t>
      </w:r>
    </w:p>
    <w:p>
      <w:pPr>
        <w:spacing w:after="0" w:line="18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i w:val="1"/>
          <w:iCs w:val="1"/>
          <w:color w:val="009FE3"/>
        </w:rPr>
        <w:t xml:space="preserve">We Manage Our Equity Incentive Award Use Carefully. </w:t>
      </w:r>
      <w:r>
        <w:rPr>
          <w:rFonts w:ascii="Arial" w:cs="Arial" w:eastAsia="Arial" w:hAnsi="Arial"/>
          <w:sz w:val="16"/>
          <w:szCs w:val="16"/>
          <w:color w:val="202E39"/>
        </w:rPr>
        <w:t>We manage our long-term stockholder dilution by limiting the number of equity awards granted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plans as of July 1, 2021, and the proposed increase in shares authorized for issuance under the Restated Equity Plan. For information about our Employee Stock Purchase Plan, please see Proposal 5.</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21</w:t>
            </w: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Equity Compensation Plans as of July 1, 2021</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7200" w:type="dxa"/>
            <w:vAlign w:val="bottom"/>
            <w:tcBorders>
              <w:top w:val="single" w:sz="8" w:color="E8EAEB"/>
              <w:right w:val="single" w:sz="8" w:color="E8EAEB"/>
            </w:tcBorders>
          </w:tcPr>
          <w:p>
            <w:pPr>
              <w:spacing w:after="0"/>
              <w:rPr>
                <w:sz w:val="15"/>
                <w:szCs w:val="15"/>
                <w:color w:val="auto"/>
              </w:rPr>
            </w:pPr>
          </w:p>
        </w:tc>
        <w:tc>
          <w:tcPr>
            <w:tcW w:w="260" w:type="dxa"/>
            <w:vAlign w:val="bottom"/>
            <w:tcBorders>
              <w:top w:val="single" w:sz="8" w:color="E8EAEB"/>
            </w:tcBorders>
          </w:tcPr>
          <w:p>
            <w:pPr>
              <w:spacing w:after="0"/>
              <w:rPr>
                <w:sz w:val="15"/>
                <w:szCs w:val="15"/>
                <w:color w:val="auto"/>
              </w:rPr>
            </w:pPr>
          </w:p>
        </w:tc>
        <w:tc>
          <w:tcPr>
            <w:tcW w:w="960" w:type="dxa"/>
            <w:vAlign w:val="bottom"/>
            <w:tcBorders>
              <w:top w:val="single" w:sz="8" w:color="E8EAEB"/>
              <w:right w:val="single" w:sz="8" w:color="E8EAEB"/>
            </w:tcBorders>
          </w:tcPr>
          <w:p>
            <w:pPr>
              <w:spacing w:after="0"/>
              <w:rPr>
                <w:sz w:val="15"/>
                <w:szCs w:val="15"/>
                <w:color w:val="auto"/>
              </w:rPr>
            </w:pPr>
          </w:p>
        </w:tc>
        <w:tc>
          <w:tcPr>
            <w:tcW w:w="12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a % of</w:t>
            </w:r>
          </w:p>
        </w:tc>
        <w:tc>
          <w:tcPr>
            <w:tcW w:w="280" w:type="dxa"/>
            <w:vAlign w:val="bottom"/>
            <w:tcBorders>
              <w:top w:val="single" w:sz="8" w:color="E8EAEB"/>
            </w:tcBorders>
          </w:tcPr>
          <w:p>
            <w:pPr>
              <w:spacing w:after="0"/>
              <w:rPr>
                <w:sz w:val="15"/>
                <w:szCs w:val="15"/>
                <w:color w:val="auto"/>
              </w:rPr>
            </w:pPr>
          </w:p>
        </w:tc>
        <w:tc>
          <w:tcPr>
            <w:tcW w:w="1080" w:type="dxa"/>
            <w:vAlign w:val="bottom"/>
            <w:tcBorders>
              <w:top w:val="single" w:sz="8" w:color="E8EAEB"/>
            </w:tcBorders>
          </w:tcPr>
          <w:p>
            <w:pPr>
              <w:spacing w:after="0"/>
              <w:rPr>
                <w:sz w:val="15"/>
                <w:szCs w:val="15"/>
                <w:color w:val="auto"/>
              </w:rPr>
            </w:pPr>
          </w:p>
        </w:tc>
      </w:tr>
      <w:tr>
        <w:trPr>
          <w:trHeight w:val="162"/>
        </w:trPr>
        <w:tc>
          <w:tcPr>
            <w:tcW w:w="7200" w:type="dxa"/>
            <w:vAlign w:val="bottom"/>
            <w:tcBorders>
              <w:right w:val="single" w:sz="8" w:color="E8EAEB"/>
            </w:tcBorders>
          </w:tcPr>
          <w:p>
            <w:pPr>
              <w:spacing w:after="0"/>
              <w:rPr>
                <w:sz w:val="14"/>
                <w:szCs w:val="14"/>
                <w:color w:val="auto"/>
              </w:rPr>
            </w:pPr>
          </w:p>
        </w:tc>
        <w:tc>
          <w:tcPr>
            <w:tcW w:w="1220" w:type="dxa"/>
            <w:vAlign w:val="bottom"/>
            <w:tcBorders>
              <w:right w:val="single" w:sz="8" w:color="E8EAEB"/>
            </w:tcBorders>
            <w:gridSpan w:val="2"/>
          </w:tcPr>
          <w:p>
            <w:pPr>
              <w:jc w:val="right"/>
              <w:ind w:right="179"/>
              <w:spacing w:after="0"/>
              <w:rPr>
                <w:sz w:val="20"/>
                <w:szCs w:val="20"/>
                <w:color w:val="auto"/>
              </w:rPr>
            </w:pPr>
            <w:r>
              <w:rPr>
                <w:rFonts w:ascii="Arial" w:cs="Arial" w:eastAsia="Arial" w:hAnsi="Arial"/>
                <w:sz w:val="14"/>
                <w:szCs w:val="14"/>
                <w:b w:val="1"/>
                <w:bCs w:val="1"/>
                <w:color w:val="009FE3"/>
              </w:rPr>
              <w:t>Number of</w:t>
            </w:r>
          </w:p>
        </w:tc>
        <w:tc>
          <w:tcPr>
            <w:tcW w:w="12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Shares</w:t>
            </w:r>
          </w:p>
        </w:tc>
        <w:tc>
          <w:tcPr>
            <w:tcW w:w="280" w:type="dxa"/>
            <w:vAlign w:val="bottom"/>
          </w:tcPr>
          <w:p>
            <w:pPr>
              <w:spacing w:after="0"/>
              <w:rPr>
                <w:sz w:val="14"/>
                <w:szCs w:val="14"/>
                <w:color w:val="auto"/>
              </w:rPr>
            </w:pPr>
          </w:p>
        </w:tc>
        <w:tc>
          <w:tcPr>
            <w:tcW w:w="1080" w:type="dxa"/>
            <w:vAlign w:val="bottom"/>
          </w:tcPr>
          <w:p>
            <w:pPr>
              <w:jc w:val="right"/>
              <w:ind w:right="400"/>
              <w:spacing w:after="0"/>
              <w:rPr>
                <w:sz w:val="20"/>
                <w:szCs w:val="20"/>
                <w:color w:val="auto"/>
              </w:rPr>
            </w:pPr>
            <w:r>
              <w:rPr>
                <w:rFonts w:ascii="Arial" w:cs="Arial" w:eastAsia="Arial" w:hAnsi="Arial"/>
                <w:sz w:val="14"/>
                <w:szCs w:val="14"/>
                <w:b w:val="1"/>
                <w:bCs w:val="1"/>
                <w:color w:val="009FE3"/>
              </w:rPr>
              <w:t>Dollar</w:t>
            </w:r>
          </w:p>
        </w:tc>
      </w:tr>
      <w:tr>
        <w:trPr>
          <w:trHeight w:val="196"/>
        </w:trPr>
        <w:tc>
          <w:tcPr>
            <w:tcW w:w="7200" w:type="dxa"/>
            <w:vAlign w:val="bottom"/>
            <w:tcBorders>
              <w:bottom w:val="single" w:sz="8" w:color="009FE3"/>
              <w:right w:val="single" w:sz="8" w:color="E8EAEB"/>
            </w:tcBorders>
          </w:tcPr>
          <w:p>
            <w:pPr>
              <w:spacing w:after="0"/>
              <w:rPr>
                <w:sz w:val="17"/>
                <w:szCs w:val="17"/>
                <w:color w:val="auto"/>
              </w:rPr>
            </w:pPr>
          </w:p>
        </w:tc>
        <w:tc>
          <w:tcPr>
            <w:tcW w:w="260" w:type="dxa"/>
            <w:vAlign w:val="bottom"/>
            <w:tcBorders>
              <w:bottom w:val="single" w:sz="8" w:color="009FE3"/>
            </w:tcBorders>
          </w:tcPr>
          <w:p>
            <w:pPr>
              <w:spacing w:after="0"/>
              <w:rPr>
                <w:sz w:val="17"/>
                <w:szCs w:val="17"/>
                <w:color w:val="auto"/>
              </w:rPr>
            </w:pPr>
          </w:p>
        </w:tc>
        <w:tc>
          <w:tcPr>
            <w:tcW w:w="960" w:type="dxa"/>
            <w:vAlign w:val="bottom"/>
            <w:tcBorders>
              <w:bottom w:val="single" w:sz="8" w:color="009FE3"/>
              <w:right w:val="single" w:sz="8" w:color="E8EAEB"/>
            </w:tcBorders>
          </w:tcPr>
          <w:p>
            <w:pPr>
              <w:jc w:val="right"/>
              <w:ind w:right="299"/>
              <w:spacing w:after="0"/>
              <w:rPr>
                <w:sz w:val="20"/>
                <w:szCs w:val="20"/>
                <w:color w:val="auto"/>
              </w:rPr>
            </w:pPr>
            <w:r>
              <w:rPr>
                <w:rFonts w:ascii="Arial" w:cs="Arial" w:eastAsia="Arial" w:hAnsi="Arial"/>
                <w:sz w:val="14"/>
                <w:szCs w:val="14"/>
                <w:b w:val="1"/>
                <w:bCs w:val="1"/>
                <w:color w:val="009FE3"/>
              </w:rPr>
              <w:t>Shares</w:t>
            </w:r>
          </w:p>
        </w:tc>
        <w:tc>
          <w:tcPr>
            <w:tcW w:w="12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(1)</w:t>
            </w:r>
          </w:p>
        </w:tc>
        <w:tc>
          <w:tcPr>
            <w:tcW w:w="280" w:type="dxa"/>
            <w:vAlign w:val="bottom"/>
            <w:tcBorders>
              <w:bottom w:val="single" w:sz="8" w:color="009FE3"/>
            </w:tcBorders>
          </w:tcPr>
          <w:p>
            <w:pPr>
              <w:spacing w:after="0"/>
              <w:rPr>
                <w:sz w:val="17"/>
                <w:szCs w:val="17"/>
                <w:color w:val="auto"/>
              </w:rPr>
            </w:pPr>
          </w:p>
        </w:tc>
        <w:tc>
          <w:tcPr>
            <w:tcW w:w="1080" w:type="dxa"/>
            <w:vAlign w:val="bottom"/>
            <w:tcBorders>
              <w:bottom w:val="single" w:sz="8" w:color="009FE3"/>
            </w:tcBorders>
          </w:tcPr>
          <w:p>
            <w:pPr>
              <w:jc w:val="right"/>
              <w:ind w:right="300"/>
              <w:spacing w:after="0"/>
              <w:rPr>
                <w:sz w:val="20"/>
                <w:szCs w:val="20"/>
                <w:color w:val="auto"/>
              </w:rPr>
            </w:pPr>
            <w:r>
              <w:rPr>
                <w:rFonts w:ascii="Arial" w:cs="Arial" w:eastAsia="Arial" w:hAnsi="Arial"/>
                <w:sz w:val="14"/>
                <w:szCs w:val="14"/>
                <w:b w:val="1"/>
                <w:bCs w:val="1"/>
                <w:color w:val="009FE3"/>
              </w:rPr>
              <w:t>Value (2)</w:t>
            </w:r>
          </w:p>
        </w:tc>
      </w:tr>
      <w:tr>
        <w:trPr>
          <w:trHeight w:val="250"/>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Equity Plan</w:t>
            </w:r>
          </w:p>
        </w:tc>
        <w:tc>
          <w:tcPr>
            <w:tcW w:w="260" w:type="dxa"/>
            <w:vAlign w:val="bottom"/>
          </w:tcPr>
          <w:p>
            <w:pPr>
              <w:spacing w:after="0"/>
              <w:rPr>
                <w:sz w:val="21"/>
                <w:szCs w:val="21"/>
                <w:color w:val="auto"/>
              </w:rPr>
            </w:pPr>
          </w:p>
        </w:tc>
        <w:tc>
          <w:tcPr>
            <w:tcW w:w="960" w:type="dxa"/>
            <w:vAlign w:val="bottom"/>
            <w:tcBorders>
              <w:right w:val="single" w:sz="8" w:color="E8EAEB"/>
            </w:tcBorders>
          </w:tcPr>
          <w:p>
            <w:pPr>
              <w:spacing w:after="0"/>
              <w:rPr>
                <w:sz w:val="21"/>
                <w:szCs w:val="21"/>
                <w:color w:val="auto"/>
              </w:rPr>
            </w:pP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 (3)</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3,432,051</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4.7%</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171,396,627</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61.98</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3.31 years</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 (4)</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3,606,033</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4.9%</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180,085,288</w:t>
            </w: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2,854,673</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3.9%</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142,562,370</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Shares available for grant under Equity Plan (other than the “RigNet Share Reserve”) (5)</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2,484,143</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3.4%</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124,058,101</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Shares available for grant from “RigNet Share Reserve” (5)</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370,530</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0.5%</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18,504,268</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38"/>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Proposed increase in shares available for future issuance under Restated Equity Plan (over</w:t>
            </w:r>
          </w:p>
        </w:tc>
        <w:tc>
          <w:tcPr>
            <w:tcW w:w="260" w:type="dxa"/>
            <w:vAlign w:val="bottom"/>
          </w:tcPr>
          <w:p>
            <w:pPr>
              <w:spacing w:after="0"/>
              <w:rPr>
                <w:sz w:val="20"/>
                <w:szCs w:val="20"/>
                <w:color w:val="auto"/>
              </w:rPr>
            </w:pPr>
          </w:p>
        </w:tc>
        <w:tc>
          <w:tcPr>
            <w:tcW w:w="960" w:type="dxa"/>
            <w:vAlign w:val="bottom"/>
            <w:tcBorders>
              <w:right w:val="single" w:sz="8" w:color="E8EAEB"/>
            </w:tcBorders>
          </w:tcPr>
          <w:p>
            <w:pPr>
              <w:spacing w:after="0"/>
              <w:rPr>
                <w:sz w:val="20"/>
                <w:szCs w:val="20"/>
                <w:color w:val="auto"/>
              </w:rPr>
            </w:pPr>
          </w:p>
        </w:tc>
        <w:tc>
          <w:tcPr>
            <w:tcW w:w="1240" w:type="dxa"/>
            <w:vAlign w:val="bottom"/>
            <w:tcBorders>
              <w:right w:val="single" w:sz="8" w:color="E8EAEB"/>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95"/>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existing share reserve under Equity Plan)</w:t>
            </w:r>
          </w:p>
        </w:tc>
        <w:tc>
          <w:tcPr>
            <w:tcW w:w="260" w:type="dxa"/>
            <w:vAlign w:val="bottom"/>
          </w:tcPr>
          <w:p>
            <w:pPr>
              <w:spacing w:after="0"/>
              <w:rPr>
                <w:sz w:val="16"/>
                <w:szCs w:val="16"/>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3,290,000</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4.5%</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w w:val="98"/>
              </w:rPr>
              <w:t>164,302,600</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 xml:space="preserve">RigNet, Inc. 2010 Omnibus Incentive Plan </w:t>
            </w:r>
            <w:r>
              <w:rPr>
                <w:rFonts w:ascii="Arial" w:cs="Arial" w:eastAsia="Arial" w:hAnsi="Arial"/>
                <w:sz w:val="16"/>
                <w:szCs w:val="16"/>
                <w:color w:val="202E39"/>
              </w:rPr>
              <w:t>(6)</w:t>
            </w:r>
          </w:p>
        </w:tc>
        <w:tc>
          <w:tcPr>
            <w:tcW w:w="260" w:type="dxa"/>
            <w:vAlign w:val="bottom"/>
          </w:tcPr>
          <w:p>
            <w:pPr>
              <w:spacing w:after="0"/>
              <w:rPr>
                <w:sz w:val="21"/>
                <w:szCs w:val="21"/>
                <w:color w:val="auto"/>
              </w:rPr>
            </w:pPr>
          </w:p>
        </w:tc>
        <w:tc>
          <w:tcPr>
            <w:tcW w:w="960" w:type="dxa"/>
            <w:vAlign w:val="bottom"/>
            <w:tcBorders>
              <w:right w:val="single" w:sz="8" w:color="E8EAEB"/>
            </w:tcBorders>
          </w:tcPr>
          <w:p>
            <w:pPr>
              <w:spacing w:after="0"/>
              <w:rPr>
                <w:sz w:val="21"/>
                <w:szCs w:val="21"/>
                <w:color w:val="auto"/>
              </w:rPr>
            </w:pP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53,654</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0.1%</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2,679,481</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108.54</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3.70 years</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16,782</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838,093</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99"/>
              <w:spacing w:after="0"/>
              <w:rPr>
                <w:sz w:val="20"/>
                <w:szCs w:val="20"/>
                <w:color w:val="auto"/>
              </w:rPr>
            </w:pPr>
            <w:r>
              <w:rPr>
                <w:rFonts w:ascii="Arial" w:cs="Arial" w:eastAsia="Arial" w:hAnsi="Arial"/>
                <w:sz w:val="16"/>
                <w:szCs w:val="16"/>
                <w:color w:val="202E39"/>
              </w:rPr>
              <w:t>—</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spacing w:after="0"/>
              <w:rPr>
                <w:sz w:val="21"/>
                <w:szCs w:val="21"/>
                <w:color w:val="auto"/>
              </w:rPr>
            </w:pPr>
          </w:p>
        </w:tc>
        <w:tc>
          <w:tcPr>
            <w:tcW w:w="1080" w:type="dxa"/>
            <w:vAlign w:val="bottom"/>
          </w:tcPr>
          <w:p>
            <w:pPr>
              <w:jc w:val="right"/>
              <w:ind w:right="200"/>
              <w:spacing w:after="0"/>
              <w:rPr>
                <w:sz w:val="20"/>
                <w:szCs w:val="20"/>
                <w:color w:val="auto"/>
              </w:rPr>
            </w:pPr>
            <w:r>
              <w:rPr>
                <w:rFonts w:ascii="Arial" w:cs="Arial" w:eastAsia="Arial" w:hAnsi="Arial"/>
                <w:sz w:val="16"/>
                <w:szCs w:val="16"/>
                <w:color w:val="202E39"/>
              </w:rPr>
              <w:t>—</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 xml:space="preserve">RigNet, Inc. 2019 Omnibus Incentive Plan </w:t>
            </w:r>
            <w:r>
              <w:rPr>
                <w:rFonts w:ascii="Arial" w:cs="Arial" w:eastAsia="Arial" w:hAnsi="Arial"/>
                <w:sz w:val="16"/>
                <w:szCs w:val="16"/>
                <w:color w:val="202E39"/>
              </w:rPr>
              <w:t>(6)</w:t>
            </w:r>
          </w:p>
        </w:tc>
        <w:tc>
          <w:tcPr>
            <w:tcW w:w="260" w:type="dxa"/>
            <w:vAlign w:val="bottom"/>
          </w:tcPr>
          <w:p>
            <w:pPr>
              <w:spacing w:after="0"/>
              <w:rPr>
                <w:sz w:val="21"/>
                <w:szCs w:val="21"/>
                <w:color w:val="auto"/>
              </w:rPr>
            </w:pPr>
          </w:p>
        </w:tc>
        <w:tc>
          <w:tcPr>
            <w:tcW w:w="960" w:type="dxa"/>
            <w:vAlign w:val="bottom"/>
            <w:tcBorders>
              <w:right w:val="single" w:sz="8" w:color="E8EAEB"/>
            </w:tcBorders>
          </w:tcPr>
          <w:p>
            <w:pPr>
              <w:spacing w:after="0"/>
              <w:rPr>
                <w:sz w:val="21"/>
                <w:szCs w:val="21"/>
                <w:color w:val="auto"/>
              </w:rPr>
            </w:pP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13,305</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664,452</w:t>
            </w: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31.28</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5.40 years</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198,675</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0.3%</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9,921,830</w:t>
            </w: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370,530</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0.5%</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18,504,268</w:t>
            </w: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 xml:space="preserve">RigNet, Inc. Inducement Awards </w:t>
            </w:r>
            <w:r>
              <w:rPr>
                <w:rFonts w:ascii="Arial" w:cs="Arial" w:eastAsia="Arial" w:hAnsi="Arial"/>
                <w:sz w:val="16"/>
                <w:szCs w:val="16"/>
                <w:color w:val="202E39"/>
              </w:rPr>
              <w:t>(6)</w:t>
            </w:r>
          </w:p>
        </w:tc>
        <w:tc>
          <w:tcPr>
            <w:tcW w:w="260" w:type="dxa"/>
            <w:vAlign w:val="bottom"/>
          </w:tcPr>
          <w:p>
            <w:pPr>
              <w:spacing w:after="0"/>
              <w:rPr>
                <w:sz w:val="21"/>
                <w:szCs w:val="21"/>
                <w:color w:val="auto"/>
              </w:rPr>
            </w:pPr>
          </w:p>
        </w:tc>
        <w:tc>
          <w:tcPr>
            <w:tcW w:w="960" w:type="dxa"/>
            <w:vAlign w:val="bottom"/>
            <w:tcBorders>
              <w:right w:val="single" w:sz="8" w:color="E8EAEB"/>
            </w:tcBorders>
          </w:tcPr>
          <w:p>
            <w:pPr>
              <w:spacing w:after="0"/>
              <w:rPr>
                <w:sz w:val="21"/>
                <w:szCs w:val="21"/>
                <w:color w:val="auto"/>
              </w:rPr>
            </w:pP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6"/>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Options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1,900</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94,886</w:t>
            </w: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exercise price of outstanding options</w:t>
            </w:r>
          </w:p>
        </w:tc>
        <w:tc>
          <w:tcPr>
            <w:tcW w:w="260" w:type="dxa"/>
            <w:vAlign w:val="bottom"/>
          </w:tcPr>
          <w:p>
            <w:pPr>
              <w:jc w:val="right"/>
              <w:spacing w:after="0"/>
              <w:rPr>
                <w:sz w:val="20"/>
                <w:szCs w:val="20"/>
                <w:color w:val="auto"/>
              </w:rPr>
            </w:pPr>
            <w:r>
              <w:rPr>
                <w:rFonts w:ascii="Arial" w:cs="Arial" w:eastAsia="Arial" w:hAnsi="Arial"/>
                <w:sz w:val="16"/>
                <w:szCs w:val="16"/>
                <w:color w:val="202E39"/>
              </w:rPr>
              <w:t>$</w:t>
            </w: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33.61</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400"/>
              <w:spacing w:after="0"/>
              <w:rPr>
                <w:sz w:val="20"/>
                <w:szCs w:val="20"/>
                <w:color w:val="auto"/>
              </w:rPr>
            </w:pPr>
            <w:r>
              <w:rPr>
                <w:rFonts w:ascii="Arial" w:cs="Arial" w:eastAsia="Arial" w:hAnsi="Arial"/>
                <w:sz w:val="16"/>
                <w:szCs w:val="16"/>
                <w:color w:val="202E39"/>
              </w:rPr>
              <w:t>Weighted average remaining term of outstanding options</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5.52 years</w:t>
            </w:r>
          </w:p>
        </w:tc>
        <w:tc>
          <w:tcPr>
            <w:tcW w:w="1240" w:type="dxa"/>
            <w:vAlign w:val="bottom"/>
            <w:tcBorders>
              <w:right w:val="single" w:sz="8" w:color="E8EAEB"/>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99"/>
              <w:spacing w:after="0"/>
              <w:rPr>
                <w:sz w:val="20"/>
                <w:szCs w:val="20"/>
                <w:color w:val="auto"/>
              </w:rPr>
            </w:pPr>
            <w:r>
              <w:rPr>
                <w:rFonts w:ascii="Arial" w:cs="Arial" w:eastAsia="Arial" w:hAnsi="Arial"/>
                <w:sz w:val="16"/>
                <w:szCs w:val="16"/>
                <w:color w:val="202E39"/>
              </w:rPr>
              <w:t>2,310</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jc w:val="right"/>
              <w:spacing w:after="0"/>
              <w:rPr>
                <w:sz w:val="20"/>
                <w:szCs w:val="20"/>
                <w:color w:val="auto"/>
              </w:rPr>
            </w:pPr>
            <w:r>
              <w:rPr>
                <w:rFonts w:ascii="Arial" w:cs="Arial" w:eastAsia="Arial" w:hAnsi="Arial"/>
                <w:sz w:val="16"/>
                <w:szCs w:val="16"/>
                <w:color w:val="202E39"/>
              </w:rPr>
              <w:t>$</w:t>
            </w:r>
          </w:p>
        </w:tc>
        <w:tc>
          <w:tcPr>
            <w:tcW w:w="1080" w:type="dxa"/>
            <w:vAlign w:val="bottom"/>
          </w:tcPr>
          <w:p>
            <w:pPr>
              <w:jc w:val="right"/>
              <w:ind w:right="100"/>
              <w:spacing w:after="0"/>
              <w:rPr>
                <w:sz w:val="20"/>
                <w:szCs w:val="20"/>
                <w:color w:val="auto"/>
              </w:rPr>
            </w:pPr>
            <w:r>
              <w:rPr>
                <w:rFonts w:ascii="Arial" w:cs="Arial" w:eastAsia="Arial" w:hAnsi="Arial"/>
                <w:sz w:val="16"/>
                <w:szCs w:val="16"/>
                <w:color w:val="202E39"/>
              </w:rPr>
              <w:t>115,361</w:t>
            </w:r>
          </w:p>
        </w:tc>
      </w:tr>
      <w:tr>
        <w:trPr>
          <w:trHeight w:val="47"/>
        </w:trPr>
        <w:tc>
          <w:tcPr>
            <w:tcW w:w="7200" w:type="dxa"/>
            <w:vAlign w:val="bottom"/>
            <w:tcBorders>
              <w:bottom w:val="single" w:sz="8" w:color="E8EAEB"/>
              <w:right w:val="single" w:sz="8" w:color="E8EAEB"/>
            </w:tcBorders>
          </w:tcPr>
          <w:p>
            <w:pPr>
              <w:spacing w:after="0"/>
              <w:rPr>
                <w:sz w:val="4"/>
                <w:szCs w:val="4"/>
                <w:color w:val="auto"/>
              </w:rPr>
            </w:pPr>
          </w:p>
        </w:tc>
        <w:tc>
          <w:tcPr>
            <w:tcW w:w="260" w:type="dxa"/>
            <w:vAlign w:val="bottom"/>
            <w:tcBorders>
              <w:bottom w:val="single" w:sz="8" w:color="E8EAEB"/>
            </w:tcBorders>
          </w:tcPr>
          <w:p>
            <w:pPr>
              <w:spacing w:after="0"/>
              <w:rPr>
                <w:sz w:val="4"/>
                <w:szCs w:val="4"/>
                <w:color w:val="auto"/>
              </w:rPr>
            </w:pPr>
          </w:p>
        </w:tc>
        <w:tc>
          <w:tcPr>
            <w:tcW w:w="960" w:type="dxa"/>
            <w:vAlign w:val="bottom"/>
            <w:tcBorders>
              <w:bottom w:val="single" w:sz="8" w:color="E8EAEB"/>
              <w:right w:val="single" w:sz="8" w:color="E8EAEB"/>
            </w:tcBorders>
          </w:tcPr>
          <w:p>
            <w:pPr>
              <w:spacing w:after="0"/>
              <w:rPr>
                <w:sz w:val="4"/>
                <w:szCs w:val="4"/>
                <w:color w:val="auto"/>
              </w:rPr>
            </w:pPr>
          </w:p>
        </w:tc>
        <w:tc>
          <w:tcPr>
            <w:tcW w:w="1240" w:type="dxa"/>
            <w:vAlign w:val="bottom"/>
            <w:tcBorders>
              <w:bottom w:val="single" w:sz="8" w:color="E8EAEB"/>
              <w:right w:val="single" w:sz="8" w:color="E8EAEB"/>
            </w:tcBorders>
          </w:tcPr>
          <w:p>
            <w:pPr>
              <w:spacing w:after="0"/>
              <w:rPr>
                <w:sz w:val="4"/>
                <w:szCs w:val="4"/>
                <w:color w:val="auto"/>
              </w:rPr>
            </w:pPr>
          </w:p>
        </w:tc>
        <w:tc>
          <w:tcPr>
            <w:tcW w:w="280" w:type="dxa"/>
            <w:vAlign w:val="bottom"/>
            <w:tcBorders>
              <w:bottom w:val="single" w:sz="8" w:color="E8EAEB"/>
            </w:tcBorders>
          </w:tcPr>
          <w:p>
            <w:pPr>
              <w:spacing w:after="0"/>
              <w:rPr>
                <w:sz w:val="4"/>
                <w:szCs w:val="4"/>
                <w:color w:val="auto"/>
              </w:rPr>
            </w:pPr>
          </w:p>
        </w:tc>
        <w:tc>
          <w:tcPr>
            <w:tcW w:w="1080" w:type="dxa"/>
            <w:vAlign w:val="bottom"/>
            <w:tcBorders>
              <w:bottom w:val="single" w:sz="8" w:color="E8EAEB"/>
            </w:tcBorders>
          </w:tcPr>
          <w:p>
            <w:pPr>
              <w:spacing w:after="0"/>
              <w:rPr>
                <w:sz w:val="4"/>
                <w:szCs w:val="4"/>
                <w:color w:val="auto"/>
              </w:rPr>
            </w:pPr>
          </w:p>
        </w:tc>
      </w:tr>
      <w:tr>
        <w:trPr>
          <w:trHeight w:val="244"/>
        </w:trPr>
        <w:tc>
          <w:tcPr>
            <w:tcW w:w="720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w:t>
            </w:r>
          </w:p>
        </w:tc>
        <w:tc>
          <w:tcPr>
            <w:tcW w:w="260" w:type="dxa"/>
            <w:vAlign w:val="bottom"/>
          </w:tcPr>
          <w:p>
            <w:pPr>
              <w:spacing w:after="0"/>
              <w:rPr>
                <w:sz w:val="21"/>
                <w:szCs w:val="21"/>
                <w:color w:val="auto"/>
              </w:rPr>
            </w:pPr>
          </w:p>
        </w:tc>
        <w:tc>
          <w:tcPr>
            <w:tcW w:w="960" w:type="dxa"/>
            <w:vAlign w:val="bottom"/>
            <w:tcBorders>
              <w:right w:val="single" w:sz="8" w:color="E8EAEB"/>
            </w:tcBorders>
          </w:tcPr>
          <w:p>
            <w:pPr>
              <w:jc w:val="right"/>
              <w:ind w:right="199"/>
              <w:spacing w:after="0"/>
              <w:rPr>
                <w:sz w:val="20"/>
                <w:szCs w:val="20"/>
                <w:color w:val="auto"/>
              </w:rPr>
            </w:pPr>
            <w:r>
              <w:rPr>
                <w:rFonts w:ascii="Arial" w:cs="Arial" w:eastAsia="Arial" w:hAnsi="Arial"/>
                <w:sz w:val="16"/>
                <w:szCs w:val="16"/>
                <w:color w:val="202E39"/>
              </w:rPr>
              <w:t>—</w:t>
            </w:r>
          </w:p>
        </w:tc>
        <w:tc>
          <w:tcPr>
            <w:tcW w:w="124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0.0%</w:t>
            </w:r>
          </w:p>
        </w:tc>
        <w:tc>
          <w:tcPr>
            <w:tcW w:w="280" w:type="dxa"/>
            <w:vAlign w:val="bottom"/>
          </w:tcPr>
          <w:p>
            <w:pPr>
              <w:spacing w:after="0"/>
              <w:rPr>
                <w:sz w:val="21"/>
                <w:szCs w:val="21"/>
                <w:color w:val="auto"/>
              </w:rPr>
            </w:pPr>
          </w:p>
        </w:tc>
        <w:tc>
          <w:tcPr>
            <w:tcW w:w="1080" w:type="dxa"/>
            <w:vAlign w:val="bottom"/>
          </w:tcPr>
          <w:p>
            <w:pPr>
              <w:jc w:val="right"/>
              <w:ind w:right="200"/>
              <w:spacing w:after="0"/>
              <w:rPr>
                <w:sz w:val="20"/>
                <w:szCs w:val="20"/>
                <w:color w:val="auto"/>
              </w:rPr>
            </w:pPr>
            <w:r>
              <w:rPr>
                <w:rFonts w:ascii="Arial" w:cs="Arial" w:eastAsia="Arial" w:hAnsi="Arial"/>
                <w:sz w:val="16"/>
                <w:szCs w:val="16"/>
                <w:color w:val="202E39"/>
              </w:rPr>
              <w:t>—</w:t>
            </w:r>
          </w:p>
        </w:tc>
      </w:tr>
      <w:tr>
        <w:trPr>
          <w:trHeight w:val="47"/>
        </w:trPr>
        <w:tc>
          <w:tcPr>
            <w:tcW w:w="7200" w:type="dxa"/>
            <w:vAlign w:val="bottom"/>
            <w:tcBorders>
              <w:bottom w:val="single" w:sz="8" w:color="009FE3"/>
              <w:right w:val="single" w:sz="8" w:color="E8EAEB"/>
            </w:tcBorders>
          </w:tcPr>
          <w:p>
            <w:pPr>
              <w:spacing w:after="0"/>
              <w:rPr>
                <w:sz w:val="4"/>
                <w:szCs w:val="4"/>
                <w:color w:val="auto"/>
              </w:rPr>
            </w:pPr>
          </w:p>
        </w:tc>
        <w:tc>
          <w:tcPr>
            <w:tcW w:w="260" w:type="dxa"/>
            <w:vAlign w:val="bottom"/>
            <w:tcBorders>
              <w:bottom w:val="single" w:sz="8" w:color="009FE3"/>
            </w:tcBorders>
          </w:tcPr>
          <w:p>
            <w:pPr>
              <w:spacing w:after="0"/>
              <w:rPr>
                <w:sz w:val="4"/>
                <w:szCs w:val="4"/>
                <w:color w:val="auto"/>
              </w:rPr>
            </w:pPr>
          </w:p>
        </w:tc>
        <w:tc>
          <w:tcPr>
            <w:tcW w:w="960" w:type="dxa"/>
            <w:vAlign w:val="bottom"/>
            <w:tcBorders>
              <w:bottom w:val="single" w:sz="8" w:color="009FE3"/>
              <w:right w:val="single" w:sz="8" w:color="E8EAEB"/>
            </w:tcBorders>
          </w:tcPr>
          <w:p>
            <w:pPr>
              <w:spacing w:after="0"/>
              <w:rPr>
                <w:sz w:val="4"/>
                <w:szCs w:val="4"/>
                <w:color w:val="auto"/>
              </w:rPr>
            </w:pPr>
          </w:p>
        </w:tc>
        <w:tc>
          <w:tcPr>
            <w:tcW w:w="1240" w:type="dxa"/>
            <w:vAlign w:val="bottom"/>
            <w:tcBorders>
              <w:bottom w:val="single" w:sz="8" w:color="009FE3"/>
              <w:right w:val="single" w:sz="8" w:color="E8EAEB"/>
            </w:tcBorders>
          </w:tcPr>
          <w:p>
            <w:pPr>
              <w:spacing w:after="0"/>
              <w:rPr>
                <w:sz w:val="4"/>
                <w:szCs w:val="4"/>
                <w:color w:val="auto"/>
              </w:rPr>
            </w:pPr>
          </w:p>
        </w:tc>
        <w:tc>
          <w:tcPr>
            <w:tcW w:w="280" w:type="dxa"/>
            <w:vAlign w:val="bottom"/>
            <w:tcBorders>
              <w:bottom w:val="single" w:sz="8" w:color="009FE3"/>
            </w:tcBorders>
          </w:tcPr>
          <w:p>
            <w:pPr>
              <w:spacing w:after="0"/>
              <w:rPr>
                <w:sz w:val="4"/>
                <w:szCs w:val="4"/>
                <w:color w:val="auto"/>
              </w:rPr>
            </w:pPr>
          </w:p>
        </w:tc>
        <w:tc>
          <w:tcPr>
            <w:tcW w:w="1080" w:type="dxa"/>
            <w:vAlign w:val="bottom"/>
            <w:tcBorders>
              <w:bottom w:val="single" w:sz="8" w:color="009FE3"/>
            </w:tcBorders>
          </w:tcPr>
          <w:p>
            <w:pPr>
              <w:spacing w:after="0"/>
              <w:rPr>
                <w:sz w:val="4"/>
                <w:szCs w:val="4"/>
                <w:color w:val="auto"/>
              </w:rPr>
            </w:pPr>
          </w:p>
        </w:tc>
      </w:tr>
    </w:tbl>
    <w:p>
      <w:pPr>
        <w:spacing w:after="0" w:line="126"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Based on 73,320,854 shares of Viasat common stock outstanding as of July 1, 2021.</w:t>
      </w:r>
    </w:p>
    <w:p>
      <w:pPr>
        <w:spacing w:after="0" w:line="122" w:lineRule="exact"/>
        <w:rPr>
          <w:rFonts w:ascii="Arial" w:cs="Arial" w:eastAsia="Arial" w:hAnsi="Arial"/>
          <w:sz w:val="14"/>
          <w:szCs w:val="14"/>
          <w:color w:val="202E39"/>
        </w:rPr>
      </w:pPr>
    </w:p>
    <w:p>
      <w:pPr>
        <w:ind w:left="540" w:hanging="424"/>
        <w:spacing w:after="0"/>
        <w:tabs>
          <w:tab w:leader="none" w:pos="54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Based on the closing price per share of Viasat common stock on July 1, 2021 ($49.94).</w:t>
      </w:r>
    </w:p>
    <w:p>
      <w:pPr>
        <w:spacing w:after="0" w:line="122" w:lineRule="exact"/>
        <w:rPr>
          <w:rFonts w:ascii="Arial" w:cs="Arial" w:eastAsia="Arial" w:hAnsi="Arial"/>
          <w:sz w:val="14"/>
          <w:szCs w:val="14"/>
          <w:color w:val="202E39"/>
        </w:rPr>
      </w:pPr>
    </w:p>
    <w:p>
      <w:pPr>
        <w:ind w:left="540" w:right="300" w:hanging="424"/>
        <w:spacing w:after="0" w:line="249" w:lineRule="auto"/>
        <w:tabs>
          <w:tab w:leader="none" w:pos="54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Includes an aggregate of 2,415,459 performance-based stock options granted in fiscal years 2021, 2020, 2019 and 2018 (based on “target” level of performance). Performance-based stock options may be eligible to vest at 175% of the “target” award levels at “maximum” performance. Also includes 69,222 options that were granted from the RigNet Share Reserve on or after April 30, 2021, of which 68,859 are outstanding as of July 1, 2021.</w:t>
      </w:r>
    </w:p>
    <w:p>
      <w:pPr>
        <w:spacing w:after="0" w:line="106" w:lineRule="exact"/>
        <w:rPr>
          <w:rFonts w:ascii="Arial" w:cs="Arial" w:eastAsia="Arial" w:hAnsi="Arial"/>
          <w:sz w:val="14"/>
          <w:szCs w:val="14"/>
          <w:color w:val="202E39"/>
        </w:rPr>
      </w:pPr>
    </w:p>
    <w:p>
      <w:pPr>
        <w:ind w:left="540" w:right="200" w:hanging="424"/>
        <w:spacing w:after="0" w:line="258" w:lineRule="auto"/>
        <w:tabs>
          <w:tab w:leader="none" w:pos="54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An aggregate of 218,488 restricted stock units have been granted from the RigNet Share Reserve on or after April 30, 2021, of which 217,767 are outstanding as of July 1, 2021.</w:t>
      </w:r>
    </w:p>
    <w:p>
      <w:pPr>
        <w:spacing w:after="0" w:line="99" w:lineRule="exact"/>
        <w:rPr>
          <w:rFonts w:ascii="Arial" w:cs="Arial" w:eastAsia="Arial" w:hAnsi="Arial"/>
          <w:sz w:val="14"/>
          <w:szCs w:val="14"/>
          <w:color w:val="202E39"/>
        </w:rPr>
      </w:pPr>
    </w:p>
    <w:p>
      <w:pPr>
        <w:ind w:left="540" w:right="140" w:hanging="424"/>
        <w:spacing w:after="0" w:line="258" w:lineRule="auto"/>
        <w:tabs>
          <w:tab w:leader="none" w:pos="54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For purposes of calculating the shares that remain available for grant under the Equity Plan, each “full value” award is counted using the applicable ratio as specified in the Equity Plan and performance-based stock options are calculated assuming “maximum” performance.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77470</wp:posOffset>
            </wp:positionV>
            <wp:extent cx="4368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50" w:lineRule="exact"/>
        <w:rPr>
          <w:sz w:val="20"/>
          <w:szCs w:val="20"/>
          <w:color w:val="auto"/>
        </w:rPr>
      </w:pPr>
    </w:p>
    <w:p>
      <w:pPr>
        <w:ind w:left="540" w:right="80"/>
        <w:spacing w:after="0" w:line="242" w:lineRule="auto"/>
        <w:rPr>
          <w:sz w:val="20"/>
          <w:szCs w:val="20"/>
          <w:color w:val="auto"/>
        </w:rPr>
      </w:pPr>
      <w:r>
        <w:rPr>
          <w:rFonts w:ascii="Arial" w:cs="Arial" w:eastAsia="Arial" w:hAnsi="Arial"/>
          <w:sz w:val="14"/>
          <w:szCs w:val="14"/>
          <w:color w:val="202E39"/>
        </w:rPr>
        <w:t>connection with Viasat’s acquisition of RigNet, Inc., or RigNet, Viasat assumed the RigNet, Inc. 2019 Omnibus Incentive Plan, or the RigNet 2019 Plan, and certain outstanding awards thereunder, including the assumption of the shares of common stock of RigNet available for issuance under the RigNet 2019 Plan. The shares available for issuance under the RigNet 2019 Plan as of the closing of the acquisition, as well as any shares subject to outstanding awards under the RigNet 2019 Plan as of the closing of the acquisition that would have become available for issuance under the RigNet 2019 Plan after the closing of the acquisition in accordance with the terms of the RigNet 2019 Plan as a result of the expiration, cancellation or forfeiture of such awards (in each case after appropriate adjustment of the number of shares to reflect the transaction), became available for future awards under the Equity Plan pursuant to an exception from the stockholder approval rules under Nasdaq Stock Market Rule 5635(c)(3) (such shares, the “RigNet Share Reserve”). As of July 1, 2021, approximately 370,530 shares of Viasat common stock remained available for future issuance under the Equity Plan under the RigNet Share Reserve, which number is included in the aggregate number of shares available for issuance under the Equity Plan above. However, these shares may not be granted by Viasat to individuals who were employees or consultants of Viasat or its subsidiaries, or were members of Viasat’s Board of Directors, prior to the closing of the acquisition of RigNet on April 30, 2021. The time period during which awards may be issued from the RigNet Share Reserve is also limited to the period when they would have been available under the RigNet 2019 Plan, absent the transaction. Awards issued out of the RigNet Share Reserve are not subject to the “full value” award ratio and count against the RigNet Share Reserve as one share for each share subject to an award granted out of such reserve.</w:t>
      </w:r>
    </w:p>
    <w:p>
      <w:pPr>
        <w:spacing w:after="0" w:line="117" w:lineRule="exact"/>
        <w:rPr>
          <w:sz w:val="20"/>
          <w:szCs w:val="20"/>
          <w:color w:val="auto"/>
        </w:rPr>
      </w:pPr>
    </w:p>
    <w:p>
      <w:pPr>
        <w:ind w:left="540" w:right="240" w:hanging="424"/>
        <w:spacing w:after="0" w:line="244" w:lineRule="auto"/>
        <w:tabs>
          <w:tab w:leader="none" w:pos="540" w:val="left"/>
        </w:tabs>
        <w:numPr>
          <w:ilvl w:val="0"/>
          <w:numId w:val="15"/>
        </w:numPr>
        <w:rPr>
          <w:rFonts w:ascii="Arial" w:cs="Arial" w:eastAsia="Arial" w:hAnsi="Arial"/>
          <w:sz w:val="14"/>
          <w:szCs w:val="14"/>
          <w:color w:val="202E39"/>
        </w:rPr>
      </w:pPr>
      <w:r>
        <w:rPr>
          <w:rFonts w:ascii="Arial" w:cs="Arial" w:eastAsia="Arial" w:hAnsi="Arial"/>
          <w:sz w:val="14"/>
          <w:szCs w:val="14"/>
          <w:color w:val="202E39"/>
        </w:rPr>
        <w:t>In connection with our acquisition of RigNet in April 2021, we assumed the RigNet 2019 Plan, the RigNet 2010 Omnibus Incentive Plan, that certain Nonqualified Stock Option Award Agreement, by and between RigNet, Inc. and Errol Olivier, effective as of January 8, 2020, and that certain Restricted Stock Unit Award Agreement, by and between RigNet, Inc. and Errol Olivier, effective as of January 8, 2020 (together we refer to these assumed RigNet Plans as the RigNet Plans), and the awards outstanding thereunder, which assumed awards were automatically converted into awards with the right to shares of Viasat common stock (in each case after appropriate adjustment of the number of shares to reflect the transaction). No additional awards may be issued under the RigNet Plans; however, to the extent outstanding awards under the RigNet 2019 Plan are forfeited or cancelled, the shares subject to such awards will become available for issuance under the Restated Equity Plan as part of the RigNet Share Reserve.</w:t>
      </w:r>
    </w:p>
    <w:p>
      <w:pPr>
        <w:spacing w:after="0" w:line="134"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202E39"/>
        </w:rPr>
        <w:t>In fiscal years 2021, 2020 and 2019, our annual gross burn rates under the Equity Plan were 3.71%, 3.13% and 3.16%, respectively (calculated by dividing (1) the number of shares subject to equity awards granted during the applicable fiscal year by (2) the weighted-average number of shares outstanding during such fiscal year). If we multiply each “full-value award” by a multiplier of 2.0 (consistent with the methodology employed by certain proxy advisory firms), the “adjusted” annual gross burn rates under the Equity Plan would be 5.00%, 4.23% and 4.48% for fiscal years 2021, 2020 and 2019, respectively. Our three-year average “adjusted” gross burn rate of 4.57% during this period falls below the applicable ISS burn rate benchmark of 6.57% for Russell 3000 Technology Hardware and Equipment companies. As permitted under the burn rate calculation policy published by ISS, the foregoing burn rate calculations exclude the performance-based stock options granted during fiscal years 2021, 2020 and 2019. In fiscal years 2021, 2020 and 2019, we issued performance-based stock options to purchase an aggregate of 784,653, 603,306 and 530,000 shares of our common stock at “target” performance, respectively, which represented 1.18%, 0.98% and 0.88% of the weighted-average number of shares outstanding during fiscal years 2021, 2020 and 2019, respectively.</w:t>
      </w:r>
    </w:p>
    <w:p>
      <w:pPr>
        <w:spacing w:after="0" w:line="137"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202E39"/>
        </w:rPr>
        <w:t>In fiscal years 2021, 2020 and 2019, our end of year equity overhang rates for the Equity Plan were 13.49%, 14.45% and 12.86%,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3,290,000 shares to be reserved under the Restated Equity Plan would dilute the holdings of stockholders by an additional 4.49%, based on the number of shares of Viasat common stock outstanding as of July 1, 2021.</w:t>
      </w:r>
    </w:p>
    <w:p>
      <w:pPr>
        <w:spacing w:after="0" w:line="122" w:lineRule="exact"/>
        <w:rPr>
          <w:sz w:val="20"/>
          <w:szCs w:val="20"/>
          <w:color w:val="auto"/>
        </w:rPr>
      </w:pPr>
    </w:p>
    <w:p>
      <w:pPr>
        <w:ind w:left="120" w:right="240"/>
        <w:spacing w:after="0" w:line="249" w:lineRule="auto"/>
        <w:rPr>
          <w:sz w:val="20"/>
          <w:szCs w:val="20"/>
          <w:color w:val="auto"/>
        </w:rPr>
      </w:pPr>
      <w:r>
        <w:rPr>
          <w:rFonts w:ascii="Arial" w:cs="Arial" w:eastAsia="Arial" w:hAnsi="Arial"/>
          <w:sz w:val="16"/>
          <w:szCs w:val="16"/>
          <w:color w:val="202E39"/>
        </w:rPr>
        <w:t>In requesting approval of the Restated Equity Plan, we are asking stockholders for a pool of shares anticipated for one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121"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i w:val="1"/>
          <w:iCs w:val="1"/>
          <w:color w:val="009FE3"/>
        </w:rPr>
        <w:t xml:space="preserve">The Restated Equity Plan Combines Compensation and Governance Best Practices. </w:t>
      </w:r>
      <w:r>
        <w:rPr>
          <w:rFonts w:ascii="Arial" w:cs="Arial" w:eastAsia="Arial" w:hAnsi="Arial"/>
          <w:sz w:val="16"/>
          <w:szCs w:val="16"/>
          <w:color w:val="202E39"/>
        </w:rPr>
        <w:t>The Restated Equity Plan includes provisions that are designed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protect our stockholders’ interests and to reflect corporate governance “best practices” including:</w:t>
      </w:r>
    </w:p>
    <w:p>
      <w:pPr>
        <w:spacing w:after="0" w:line="15" w:lineRule="exact"/>
        <w:rPr>
          <w:sz w:val="20"/>
          <w:szCs w:val="20"/>
          <w:color w:val="auto"/>
        </w:rPr>
      </w:pPr>
    </w:p>
    <w:p>
      <w:pPr>
        <w:ind w:left="660" w:right="440" w:hanging="220"/>
        <w:spacing w:after="0" w:line="281"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 xml:space="preserve">Continued broad-based eligibility for equity awards. </w:t>
      </w:r>
      <w:r>
        <w:rPr>
          <w:rFonts w:ascii="Arial" w:cs="Arial" w:eastAsia="Arial" w:hAnsi="Arial"/>
          <w:sz w:val="16"/>
          <w:szCs w:val="16"/>
          <w:color w:val="202E39"/>
        </w:rPr>
        <w:t>We grant equity awards to a significant number of our employees. By doing so, we link</w:t>
      </w:r>
      <w:r>
        <w:rPr>
          <w:rFonts w:ascii="Arial" w:cs="Arial" w:eastAsia="Arial" w:hAnsi="Arial"/>
          <w:sz w:val="16"/>
          <w:szCs w:val="16"/>
          <w:i w:val="1"/>
          <w:iCs w:val="1"/>
          <w:color w:val="202E39"/>
        </w:rPr>
        <w:t xml:space="preserve"> </w:t>
      </w:r>
      <w:r>
        <w:rPr>
          <w:rFonts w:ascii="Arial" w:cs="Arial" w:eastAsia="Arial" w:hAnsi="Arial"/>
          <w:sz w:val="16"/>
          <w:szCs w:val="16"/>
          <w:color w:val="202E39"/>
        </w:rPr>
        <w:t>employee interests with stockholder interests throughout the organization and motivate our employees to act as owners of the business.</w:t>
      </w:r>
    </w:p>
    <w:p>
      <w:pPr>
        <w:spacing w:after="0" w:line="14" w:lineRule="exact"/>
        <w:rPr>
          <w:rFonts w:ascii="Arial" w:cs="Arial" w:eastAsia="Arial" w:hAnsi="Arial"/>
          <w:sz w:val="16"/>
          <w:szCs w:val="16"/>
          <w:color w:val="009FE3"/>
        </w:rPr>
      </w:pPr>
    </w:p>
    <w:p>
      <w:pPr>
        <w:ind w:left="660" w:right="100" w:hanging="220"/>
        <w:spacing w:after="0" w:line="263" w:lineRule="auto"/>
        <w:tabs>
          <w:tab w:leader="none" w:pos="660" w:val="left"/>
        </w:tabs>
        <w:numPr>
          <w:ilvl w:val="0"/>
          <w:numId w:val="16"/>
        </w:numPr>
        <w:rPr>
          <w:rFonts w:ascii="Arial" w:cs="Arial" w:eastAsia="Arial" w:hAnsi="Arial"/>
          <w:sz w:val="16"/>
          <w:szCs w:val="16"/>
          <w:color w:val="009FE3"/>
        </w:rPr>
      </w:pPr>
      <w:r>
        <w:rPr>
          <w:rFonts w:ascii="Arial" w:cs="Arial" w:eastAsia="Arial" w:hAnsi="Arial"/>
          <w:sz w:val="16"/>
          <w:szCs w:val="16"/>
          <w:i w:val="1"/>
          <w:iCs w:val="1"/>
          <w:color w:val="202E39"/>
        </w:rPr>
        <w:t>Stockholder approval is required for additional shares</w:t>
      </w:r>
      <w:r>
        <w:rPr>
          <w:rFonts w:ascii="Arial" w:cs="Arial" w:eastAsia="Arial" w:hAnsi="Arial"/>
          <w:sz w:val="16"/>
          <w:szCs w:val="16"/>
          <w:color w:val="202E39"/>
        </w:rPr>
        <w:t>. The Restated Equity Plan does not contain an annual “evergreen” provision.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Restated Equity Plan authorizes a fixed number of shares, so that stockholder approval is required to increase the maximum number of shares of our common stock which may be issued under the Restated Equity Plan.</w:t>
      </w:r>
    </w:p>
    <w:p>
      <w:pPr>
        <w:spacing w:after="0" w:line="11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23</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31" w:lineRule="exact"/>
        <w:rPr>
          <w:sz w:val="20"/>
          <w:szCs w:val="20"/>
          <w:color w:val="auto"/>
        </w:rPr>
      </w:pPr>
    </w:p>
    <w:p>
      <w:pPr>
        <w:ind w:left="660" w:right="260" w:hanging="220"/>
        <w:spacing w:after="0" w:line="263"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No discount stock options or stock appreciation rights. </w:t>
      </w:r>
      <w:r>
        <w:rPr>
          <w:rFonts w:ascii="Arial" w:cs="Arial" w:eastAsia="Arial" w:hAnsi="Arial"/>
          <w:sz w:val="16"/>
          <w:szCs w:val="16"/>
          <w:color w:val="202E39"/>
        </w:rPr>
        <w:t>All stock options and stock appreciation rights will have an exercise price equal to or</w:t>
      </w:r>
      <w:r>
        <w:rPr>
          <w:rFonts w:ascii="Arial" w:cs="Arial" w:eastAsia="Arial" w:hAnsi="Arial"/>
          <w:sz w:val="16"/>
          <w:szCs w:val="16"/>
          <w:i w:val="1"/>
          <w:iCs w:val="1"/>
          <w:color w:val="202E39"/>
        </w:rPr>
        <w:t xml:space="preserve"> </w:t>
      </w:r>
      <w:r>
        <w:rPr>
          <w:rFonts w:ascii="Arial" w:cs="Arial" w:eastAsia="Arial" w:hAnsi="Arial"/>
          <w:sz w:val="16"/>
          <w:szCs w:val="16"/>
          <w:color w:val="202E39"/>
        </w:rPr>
        <w:t>greater than the fair market value of our common stock on the date the stock option or stock appreciation right is granted. To date, we have not granted any stock appreciation rights.</w:t>
      </w:r>
    </w:p>
    <w:p>
      <w:pPr>
        <w:spacing w:after="0" w:line="29" w:lineRule="exact"/>
        <w:rPr>
          <w:rFonts w:ascii="Arial" w:cs="Arial" w:eastAsia="Arial" w:hAnsi="Arial"/>
          <w:sz w:val="16"/>
          <w:szCs w:val="16"/>
          <w:color w:val="009FE3"/>
        </w:rPr>
      </w:pPr>
    </w:p>
    <w:p>
      <w:pPr>
        <w:ind w:left="660" w:right="500" w:hanging="220"/>
        <w:spacing w:after="0" w:line="281"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Minimum vesting provision. </w:t>
      </w:r>
      <w:r>
        <w:rPr>
          <w:rFonts w:ascii="Arial" w:cs="Arial" w:eastAsia="Arial" w:hAnsi="Arial"/>
          <w:sz w:val="16"/>
          <w:szCs w:val="16"/>
          <w:color w:val="202E39"/>
        </w:rPr>
        <w:t>The Restated Equity Plan imposes a minimum one-year vesting requirement on all equity awards, with limited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exceptions.</w:t>
      </w:r>
    </w:p>
    <w:p>
      <w:pPr>
        <w:spacing w:after="0" w:line="14" w:lineRule="exact"/>
        <w:rPr>
          <w:rFonts w:ascii="Arial" w:cs="Arial" w:eastAsia="Arial" w:hAnsi="Arial"/>
          <w:sz w:val="16"/>
          <w:szCs w:val="16"/>
          <w:color w:val="009FE3"/>
        </w:rPr>
      </w:pPr>
    </w:p>
    <w:p>
      <w:pPr>
        <w:ind w:left="660" w:right="280" w:hanging="220"/>
        <w:spacing w:after="0" w:line="281"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No single-trigger vesting of awards for employees. </w:t>
      </w:r>
      <w:r>
        <w:rPr>
          <w:rFonts w:ascii="Arial" w:cs="Arial" w:eastAsia="Arial" w:hAnsi="Arial"/>
          <w:sz w:val="16"/>
          <w:szCs w:val="16"/>
          <w:color w:val="202E39"/>
        </w:rPr>
        <w:t>The Restated Equity Plan does not provide employees with any single-trigger accelerated</w:t>
      </w:r>
      <w:r>
        <w:rPr>
          <w:rFonts w:ascii="Arial" w:cs="Arial" w:eastAsia="Arial" w:hAnsi="Arial"/>
          <w:sz w:val="16"/>
          <w:szCs w:val="16"/>
          <w:i w:val="1"/>
          <w:iCs w:val="1"/>
          <w:color w:val="202E39"/>
        </w:rPr>
        <w:t xml:space="preserve"> </w:t>
      </w:r>
      <w:r>
        <w:rPr>
          <w:rFonts w:ascii="Arial" w:cs="Arial" w:eastAsia="Arial" w:hAnsi="Arial"/>
          <w:sz w:val="16"/>
          <w:szCs w:val="16"/>
          <w:color w:val="202E39"/>
        </w:rPr>
        <w:t>vesting provisions for changes in control.</w:t>
      </w:r>
    </w:p>
    <w:p>
      <w:pPr>
        <w:spacing w:after="0" w:line="14" w:lineRule="exact"/>
        <w:rPr>
          <w:rFonts w:ascii="Arial" w:cs="Arial" w:eastAsia="Arial" w:hAnsi="Arial"/>
          <w:sz w:val="16"/>
          <w:szCs w:val="16"/>
          <w:color w:val="009FE3"/>
        </w:rPr>
      </w:pPr>
    </w:p>
    <w:p>
      <w:pPr>
        <w:ind w:left="660" w:right="140" w:hanging="220"/>
        <w:spacing w:after="0" w:line="255"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awards. </w:t>
      </w:r>
      <w:r>
        <w:rPr>
          <w:rFonts w:ascii="Arial" w:cs="Arial" w:eastAsia="Arial" w:hAnsi="Arial"/>
          <w:sz w:val="16"/>
          <w:szCs w:val="16"/>
          <w:color w:val="202E39"/>
        </w:rPr>
        <w:t>Not more than 1,000,000 shares may be subject to options or stock appreciation rights for any one individual per fiscal</w:t>
      </w:r>
      <w:r>
        <w:rPr>
          <w:rFonts w:ascii="Arial" w:cs="Arial" w:eastAsia="Arial" w:hAnsi="Arial"/>
          <w:sz w:val="16"/>
          <w:szCs w:val="16"/>
          <w:i w:val="1"/>
          <w:iCs w:val="1"/>
          <w:color w:val="202E39"/>
        </w:rPr>
        <w:t xml:space="preserve"> </w:t>
      </w:r>
      <w:r>
        <w:rPr>
          <w:rFonts w:ascii="Arial" w:cs="Arial" w:eastAsia="Arial" w:hAnsi="Arial"/>
          <w:sz w:val="16"/>
          <w:szCs w:val="16"/>
          <w:color w:val="202E39"/>
        </w:rPr>
        <w:t>year. The Restated Equity Plan also has an individual award limit of 300,000 shares per fiscal year for grants of restricted stock, performance awards, dividend equivalents, restricted stock units and stock payments (except for grants made upon initial service of an employee, which have an award limit of 600,000 shares). In addition, the maximum aggregate amount of cash that may be paid in cash to any one person during any fiscal year with respect to one or more awards initially payable in cash is $5,000,000.</w:t>
      </w:r>
    </w:p>
    <w:p>
      <w:pPr>
        <w:spacing w:after="0" w:line="35" w:lineRule="exact"/>
        <w:rPr>
          <w:rFonts w:ascii="Arial" w:cs="Arial" w:eastAsia="Arial" w:hAnsi="Arial"/>
          <w:sz w:val="16"/>
          <w:szCs w:val="16"/>
          <w:color w:val="009FE3"/>
        </w:rPr>
      </w:pPr>
    </w:p>
    <w:p>
      <w:pPr>
        <w:ind w:left="660" w:right="60" w:hanging="220"/>
        <w:spacing w:after="0" w:line="281"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Repricing is not allowed. </w:t>
      </w:r>
      <w:r>
        <w:rPr>
          <w:rFonts w:ascii="Arial" w:cs="Arial" w:eastAsia="Arial" w:hAnsi="Arial"/>
          <w:sz w:val="16"/>
          <w:szCs w:val="16"/>
          <w:color w:val="202E39"/>
        </w:rPr>
        <w:t>The Restated Equity Plan prohibits the repricing or other exchange of underwater stock options and stock appreciation</w:t>
      </w:r>
      <w:r>
        <w:rPr>
          <w:rFonts w:ascii="Arial" w:cs="Arial" w:eastAsia="Arial" w:hAnsi="Arial"/>
          <w:sz w:val="16"/>
          <w:szCs w:val="16"/>
          <w:i w:val="1"/>
          <w:iCs w:val="1"/>
          <w:color w:val="202E39"/>
        </w:rPr>
        <w:t xml:space="preserve"> </w:t>
      </w:r>
      <w:r>
        <w:rPr>
          <w:rFonts w:ascii="Arial" w:cs="Arial" w:eastAsia="Arial" w:hAnsi="Arial"/>
          <w:sz w:val="16"/>
          <w:szCs w:val="16"/>
          <w:color w:val="202E39"/>
        </w:rPr>
        <w:t>rights for new awards or cash without prior stockholder approval.</w:t>
      </w:r>
    </w:p>
    <w:p>
      <w:pPr>
        <w:spacing w:after="0" w:line="14" w:lineRule="exact"/>
        <w:rPr>
          <w:rFonts w:ascii="Arial" w:cs="Arial" w:eastAsia="Arial" w:hAnsi="Arial"/>
          <w:sz w:val="16"/>
          <w:szCs w:val="16"/>
          <w:color w:val="009FE3"/>
        </w:rPr>
      </w:pPr>
    </w:p>
    <w:p>
      <w:pPr>
        <w:ind w:left="660" w:hanging="220"/>
        <w:spacing w:after="0"/>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No tax gross-ups</w:t>
      </w:r>
      <w:r>
        <w:rPr>
          <w:rFonts w:ascii="Arial" w:cs="Arial" w:eastAsia="Arial" w:hAnsi="Arial"/>
          <w:sz w:val="16"/>
          <w:szCs w:val="16"/>
          <w:color w:val="202E39"/>
        </w:rPr>
        <w:t>.  The Restated Equity Plan does not provide for any tax gross-ups.</w:t>
      </w:r>
    </w:p>
    <w:p>
      <w:pPr>
        <w:spacing w:after="0" w:line="72" w:lineRule="exact"/>
        <w:rPr>
          <w:rFonts w:ascii="Arial" w:cs="Arial" w:eastAsia="Arial" w:hAnsi="Arial"/>
          <w:sz w:val="16"/>
          <w:szCs w:val="16"/>
          <w:color w:val="009FE3"/>
        </w:rPr>
      </w:pPr>
    </w:p>
    <w:p>
      <w:pPr>
        <w:ind w:left="660" w:right="20" w:hanging="220"/>
        <w:spacing w:after="0" w:line="258"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limit on full value awards. </w:t>
      </w:r>
      <w:r>
        <w:rPr>
          <w:rFonts w:ascii="Arial" w:cs="Arial" w:eastAsia="Arial" w:hAnsi="Arial"/>
          <w:sz w:val="16"/>
          <w:szCs w:val="16"/>
          <w:color w:val="202E39"/>
        </w:rPr>
        <w:t>For purposes of calculating the shares that remain available for issuance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grants of stock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w:t>
      </w:r>
    </w:p>
    <w:p>
      <w:pPr>
        <w:spacing w:after="0" w:line="32" w:lineRule="exact"/>
        <w:rPr>
          <w:rFonts w:ascii="Arial" w:cs="Arial" w:eastAsia="Arial" w:hAnsi="Arial"/>
          <w:sz w:val="16"/>
          <w:szCs w:val="16"/>
          <w:color w:val="009FE3"/>
        </w:rPr>
      </w:pPr>
    </w:p>
    <w:p>
      <w:pPr>
        <w:ind w:left="660" w:hanging="220"/>
        <w:spacing w:after="0" w:line="249"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share counting provisions. </w:t>
      </w:r>
      <w:r>
        <w:rPr>
          <w:rFonts w:ascii="Arial" w:cs="Arial" w:eastAsia="Arial" w:hAnsi="Arial"/>
          <w:sz w:val="16"/>
          <w:szCs w:val="16"/>
          <w:color w:val="202E39"/>
        </w:rPr>
        <w:t>In general, when awards granted under the Restated Equity Plan expire or are canceled, or are settled in</w:t>
      </w:r>
      <w:r>
        <w:rPr>
          <w:rFonts w:ascii="Arial" w:cs="Arial" w:eastAsia="Arial" w:hAnsi="Arial"/>
          <w:sz w:val="16"/>
          <w:szCs w:val="16"/>
          <w:i w:val="1"/>
          <w:iCs w:val="1"/>
          <w:color w:val="202E39"/>
        </w:rPr>
        <w:t xml:space="preserve"> </w:t>
      </w:r>
      <w:r>
        <w:rPr>
          <w:rFonts w:ascii="Arial" w:cs="Arial" w:eastAsia="Arial" w:hAnsi="Arial"/>
          <w:sz w:val="16"/>
          <w:szCs w:val="16"/>
          <w:color w:val="202E39"/>
        </w:rPr>
        <w:t>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w:t>
      </w:r>
    </w:p>
    <w:p>
      <w:pPr>
        <w:spacing w:after="0" w:line="2" w:lineRule="exact"/>
        <w:rPr>
          <w:rFonts w:ascii="Arial" w:cs="Arial" w:eastAsia="Arial" w:hAnsi="Arial"/>
          <w:sz w:val="16"/>
          <w:szCs w:val="16"/>
          <w:color w:val="009FE3"/>
        </w:rPr>
      </w:pPr>
    </w:p>
    <w:p>
      <w:pPr>
        <w:ind w:left="660" w:right="20"/>
        <w:spacing w:after="0" w:line="251" w:lineRule="auto"/>
        <w:rPr>
          <w:rFonts w:ascii="Arial" w:cs="Arial" w:eastAsia="Arial" w:hAnsi="Arial"/>
          <w:sz w:val="16"/>
          <w:szCs w:val="16"/>
          <w:color w:val="009FE3"/>
        </w:rPr>
      </w:pPr>
      <w:r>
        <w:rPr>
          <w:rFonts w:ascii="Arial" w:cs="Arial" w:eastAsia="Arial" w:hAnsi="Arial"/>
          <w:sz w:val="16"/>
          <w:szCs w:val="16"/>
          <w:color w:val="202E39"/>
        </w:rPr>
        <w:t>(1)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w:t>
      </w:r>
    </w:p>
    <w:p>
      <w:pPr>
        <w:spacing w:after="0" w:line="37" w:lineRule="exact"/>
        <w:rPr>
          <w:rFonts w:ascii="Arial" w:cs="Arial" w:eastAsia="Arial" w:hAnsi="Arial"/>
          <w:sz w:val="16"/>
          <w:szCs w:val="16"/>
          <w:color w:val="009FE3"/>
        </w:rPr>
      </w:pPr>
    </w:p>
    <w:p>
      <w:pPr>
        <w:ind w:left="660" w:right="80" w:hanging="220"/>
        <w:spacing w:after="0" w:line="281" w:lineRule="auto"/>
        <w:tabs>
          <w:tab w:leader="none" w:pos="660" w:val="left"/>
        </w:tabs>
        <w:numPr>
          <w:ilvl w:val="0"/>
          <w:numId w:val="17"/>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dividend and dividend equivalent payments on unvested awards. </w:t>
      </w:r>
      <w:r>
        <w:rPr>
          <w:rFonts w:ascii="Arial" w:cs="Arial" w:eastAsia="Arial" w:hAnsi="Arial"/>
          <w:sz w:val="16"/>
          <w:szCs w:val="16"/>
          <w:color w:val="202E39"/>
        </w:rPr>
        <w:t>Dividends and dividend equivalents may not be paid on awards</w:t>
      </w:r>
      <w:r>
        <w:rPr>
          <w:rFonts w:ascii="Arial" w:cs="Arial" w:eastAsia="Arial" w:hAnsi="Arial"/>
          <w:sz w:val="16"/>
          <w:szCs w:val="16"/>
          <w:i w:val="1"/>
          <w:iCs w:val="1"/>
          <w:color w:val="202E39"/>
        </w:rPr>
        <w:t xml:space="preserve"> </w:t>
      </w:r>
      <w:r>
        <w:rPr>
          <w:rFonts w:ascii="Arial" w:cs="Arial" w:eastAsia="Arial" w:hAnsi="Arial"/>
          <w:sz w:val="16"/>
          <w:szCs w:val="16"/>
          <w:color w:val="202E39"/>
        </w:rPr>
        <w:t>subject to vesting conditions unless and until such conditions are met.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Summary of the Restated Equity Plan</w:t>
      </w:r>
    </w:p>
    <w:p>
      <w:pPr>
        <w:spacing w:after="0" w:line="16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6"/>
          <w:szCs w:val="16"/>
          <w:i w:val="1"/>
          <w:iCs w:val="1"/>
          <w:color w:val="202E39"/>
        </w:rPr>
        <w:t>Appendix A</w:t>
      </w:r>
      <w:r>
        <w:rPr>
          <w:rFonts w:ascii="Arial" w:cs="Arial" w:eastAsia="Arial" w:hAnsi="Arial"/>
          <w:sz w:val="16"/>
          <w:szCs w:val="16"/>
          <w:color w:val="202E39"/>
        </w:rPr>
        <w:t xml:space="preserve"> to this proxy statement.</w:t>
      </w:r>
    </w:p>
    <w:p>
      <w:pPr>
        <w:spacing w:after="0" w:line="112"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i w:val="1"/>
          <w:iCs w:val="1"/>
          <w:color w:val="009FE3"/>
        </w:rPr>
        <w:t xml:space="preserve">General Nature and Purpose. </w:t>
      </w:r>
      <w:r>
        <w:rPr>
          <w:rFonts w:ascii="Arial" w:cs="Arial" w:eastAsia="Arial" w:hAnsi="Arial"/>
          <w:sz w:val="16"/>
          <w:szCs w:val="16"/>
          <w:color w:val="202E39"/>
        </w:rPr>
        <w:t>The Restated Equity Plan was adopted (1) to further our growth, development and financial success by providing</w:t>
      </w:r>
      <w:r>
        <w:rPr>
          <w:rFonts w:ascii="Arial" w:cs="Arial" w:eastAsia="Arial" w:hAnsi="Arial"/>
          <w:sz w:val="16"/>
          <w:szCs w:val="16"/>
          <w:i w:val="1"/>
          <w:iCs w:val="1"/>
          <w:color w:val="009FE3"/>
        </w:rPr>
        <w:t xml:space="preserve"> </w:t>
      </w:r>
      <w:r>
        <w:rPr>
          <w:rFonts w:ascii="Arial" w:cs="Arial" w:eastAsia="Arial" w:hAnsi="Arial"/>
          <w:sz w:val="16"/>
          <w:szCs w:val="16"/>
          <w:color w:val="202E39"/>
        </w:rPr>
        <w:t>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w:t>
      </w:r>
    </w:p>
    <w:p>
      <w:pPr>
        <w:spacing w:after="0" w:line="1" w:lineRule="exact"/>
        <w:rPr>
          <w:sz w:val="20"/>
          <w:szCs w:val="20"/>
          <w:color w:val="auto"/>
        </w:rPr>
      </w:pPr>
    </w:p>
    <w:p>
      <w:pPr>
        <w:ind w:left="120" w:right="20" w:hanging="4"/>
        <w:spacing w:after="0" w:line="250" w:lineRule="auto"/>
        <w:tabs>
          <w:tab w:leader="none" w:pos="363" w:val="left"/>
        </w:tabs>
        <w:numPr>
          <w:ilvl w:val="0"/>
          <w:numId w:val="18"/>
        </w:numPr>
        <w:rPr>
          <w:rFonts w:ascii="Arial" w:cs="Arial" w:eastAsia="Arial" w:hAnsi="Arial"/>
          <w:sz w:val="16"/>
          <w:szCs w:val="16"/>
          <w:color w:val="202E39"/>
        </w:rPr>
      </w:pPr>
      <w:r>
        <w:rPr>
          <w:rFonts w:ascii="Arial" w:cs="Arial" w:eastAsia="Arial" w:hAnsi="Arial"/>
          <w:sz w:val="16"/>
          <w:szCs w:val="16"/>
          <w:color w:val="202E39"/>
        </w:rPr>
        <w:t>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106" w:lineRule="exact"/>
        <w:rPr>
          <w:sz w:val="20"/>
          <w:szCs w:val="20"/>
          <w:color w:val="auto"/>
        </w:rPr>
      </w:pPr>
    </w:p>
    <w:p>
      <w:pPr>
        <w:ind w:left="120" w:right="60"/>
        <w:spacing w:after="0" w:line="258" w:lineRule="auto"/>
        <w:rPr>
          <w:sz w:val="20"/>
          <w:szCs w:val="20"/>
          <w:color w:val="auto"/>
        </w:rPr>
      </w:pPr>
      <w:r>
        <w:rPr>
          <w:rFonts w:ascii="Arial" w:cs="Arial" w:eastAsia="Arial" w:hAnsi="Arial"/>
          <w:sz w:val="16"/>
          <w:szCs w:val="16"/>
          <w:i w:val="1"/>
          <w:iCs w:val="1"/>
          <w:color w:val="009FE3"/>
        </w:rPr>
        <w:t xml:space="preserve">Administration. </w:t>
      </w:r>
      <w:r>
        <w:rPr>
          <w:rFonts w:ascii="Arial" w:cs="Arial" w:eastAsia="Arial" w:hAnsi="Arial"/>
          <w:sz w:val="16"/>
          <w:szCs w:val="16"/>
          <w:color w:val="202E39"/>
        </w:rPr>
        <w:t>The Compensation and Human Resources Committee of the Board of Directors will administer the Restated Equity Plan. The full Board</w:t>
      </w:r>
      <w:r>
        <w:rPr>
          <w:rFonts w:ascii="Arial" w:cs="Arial" w:eastAsia="Arial" w:hAnsi="Arial"/>
          <w:sz w:val="16"/>
          <w:szCs w:val="16"/>
          <w:i w:val="1"/>
          <w:iCs w:val="1"/>
          <w:color w:val="009FE3"/>
        </w:rPr>
        <w:t xml:space="preserve"> </w:t>
      </w:r>
      <w:r>
        <w:rPr>
          <w:rFonts w:ascii="Arial" w:cs="Arial" w:eastAsia="Arial" w:hAnsi="Arial"/>
          <w:sz w:val="16"/>
          <w:szCs w:val="16"/>
          <w:color w:val="202E39"/>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113" w:lineRule="exact"/>
        <w:rPr>
          <w:sz w:val="20"/>
          <w:szCs w:val="20"/>
          <w:color w:val="auto"/>
        </w:rPr>
      </w:pPr>
    </w:p>
    <w:p>
      <w:pPr>
        <w:ind w:left="120" w:right="120"/>
        <w:spacing w:after="0" w:line="263" w:lineRule="auto"/>
        <w:rPr>
          <w:sz w:val="20"/>
          <w:szCs w:val="20"/>
          <w:color w:val="auto"/>
        </w:rPr>
      </w:pPr>
      <w:r>
        <w:rPr>
          <w:rFonts w:ascii="Arial" w:cs="Arial" w:eastAsia="Arial" w:hAnsi="Arial"/>
          <w:sz w:val="16"/>
          <w:szCs w:val="16"/>
          <w:i w:val="1"/>
          <w:iCs w:val="1"/>
          <w:color w:val="009FE3"/>
        </w:rPr>
        <w:t xml:space="preserve">Shares Subject to Restated Equity Plan. </w:t>
      </w:r>
      <w:r>
        <w:rPr>
          <w:rFonts w:ascii="Arial" w:cs="Arial" w:eastAsia="Arial" w:hAnsi="Arial"/>
          <w:sz w:val="16"/>
          <w:szCs w:val="16"/>
          <w:color w:val="202E39"/>
        </w:rPr>
        <w:t>The Equity Plan currently provides for the issuance of up to 38,025,000 shares of our common stock, plus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shares available for issuance pursuant to the RigNet Share Reserve, as discussed below. If this Proposal 4 is approved, the Restated Equity Plan will provide for the issuance of an additional 3,290,000 shares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79375</wp:posOffset>
            </wp:positionV>
            <wp:extent cx="4368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common stock over the existing share reserve under the Equity Plan. We will also be able to continue to use the RigNet Share Reserve for certain future awards under the Restated Equity Plan, as described below.</w:t>
      </w:r>
    </w:p>
    <w:p>
      <w:pPr>
        <w:spacing w:after="0" w:line="128"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In connection with Viasat’s acquisition of RigNet, Viasat assumed the RigNet 2019 Plan, and certain outstanding awards thereunder, including the assumption of the RigNet Share Reserve, consisting of the shares of common stock of RigNet available for issuance under the RigNet 2019 Plan. The shares available for issuance under the RigNet 2019 Plan as of the closing of the acquisition, as well as any shares subject to outstanding awards under the RigNet 2019 Plan as of the closing of the acquisition that would have become available for issuance under the RigNet 2019 Plan after the closing of the acquisition in accordance with the terms of the RigNet 2019 Plan as a result of the expiration, cancellation or forfeiture of such awards (in each case after appropriate adjustment of the number of shares to reflect the transaction), became available for future awards under the Equity Plan pursuant to an exception from the stockholder approval rules under Nasdaq Stock Market Rule 5635(c)(3), and we refer to this separate pool of available shares which are subject to certain restrictions under Nasdaq Stock Market Rule 5635(c)(3) as the RigNet Share Reserve.</w:t>
      </w:r>
    </w:p>
    <w:p>
      <w:pPr>
        <w:spacing w:after="0" w:line="140"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As of July 1, 2021, 2,854,673 shares remain available for issuance, however, 370,530 of those shares represent the shares remaining available for issuance under the Equity Plan from the RigNet Share Reserve. However, the RigNet Share Reserve may not be used for awards granted by Viasat to individuals who were employees or consultants of Viasat or its subsidiaries, or were members of Viasat’s Board of Directors, prior to the closing of the acquisition of RigNet on April 30, 2021. The time period during which awards may be issued from the RigNet Share Reserve is also limited to the period when they would have been available under the RigNet 2019 Plan, absent the transaction, which shares may not be subject to awards granted to individuals who were employees or consultants of Viasat or its subsidiaries or members of the Viasat Board of Directors prior to the closing of the acquisition of RigNet on April 30, 2021). The time period during which awards may be issued from the RigNet Share Reserve is also limited to the period when they would have been available under the RigNet 2019 Plan, absent the transaction.</w:t>
      </w:r>
    </w:p>
    <w:p>
      <w:pPr>
        <w:spacing w:after="0" w:line="126"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6"/>
          <w:szCs w:val="16"/>
          <w:color w:val="202E39"/>
        </w:rPr>
        <w:t>If this Proposal 4 is approved, the Restated Equity Plan will provide for the issuance of an additional 3,290,000 shares of our common stock over the existing share reserve under the Equity Plan. We will also be able to continue to use the RigNet Share Reserve for future awards under the Restated Equity Plan.</w:t>
      </w:r>
    </w:p>
    <w:p>
      <w:pPr>
        <w:spacing w:after="0" w:line="134"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Under the terms of the Restated Equity Plan, the shares available for issuance (other than those awarded from the RigNet Share Reserve)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Awards issued out of the RigNet Share Reserve are not subject to the “full value” award ratio and count against the RigNet Share Reserve as one share for each share subject to an award granted out of such reserve. The payment of dividend equivalents in cash in conjunction with any outstanding awards will not be counted against the shares available for issuance under the Restated Equity Plan.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If (1) any award under the Restated Equity Plan expires or is cancelled without having been fully exercised or paid or such award is settled for cash,</w:t>
      </w:r>
    </w:p>
    <w:p>
      <w:pPr>
        <w:spacing w:after="0" w:line="5" w:lineRule="exact"/>
        <w:rPr>
          <w:sz w:val="20"/>
          <w:szCs w:val="20"/>
          <w:color w:val="auto"/>
        </w:rPr>
      </w:pPr>
    </w:p>
    <w:p>
      <w:pPr>
        <w:ind w:left="120" w:right="120" w:hanging="4"/>
        <w:spacing w:after="0" w:line="251" w:lineRule="auto"/>
        <w:tabs>
          <w:tab w:leader="none" w:pos="363" w:val="left"/>
        </w:tabs>
        <w:numPr>
          <w:ilvl w:val="0"/>
          <w:numId w:val="19"/>
        </w:numPr>
        <w:rPr>
          <w:rFonts w:ascii="Arial" w:cs="Arial" w:eastAsia="Arial" w:hAnsi="Arial"/>
          <w:sz w:val="16"/>
          <w:szCs w:val="16"/>
          <w:color w:val="202E39"/>
        </w:rPr>
      </w:pPr>
      <w:r>
        <w:rPr>
          <w:rFonts w:ascii="Arial" w:cs="Arial" w:eastAsia="Arial" w:hAnsi="Arial"/>
          <w:sz w:val="16"/>
          <w:szCs w:val="16"/>
          <w:color w:val="202E39"/>
        </w:rPr>
        <w:t>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w:t>
      </w:r>
    </w:p>
    <w:p>
      <w:pPr>
        <w:spacing w:after="0" w:line="121"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202E39"/>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w:t>
      </w:r>
    </w:p>
    <w:p>
      <w:pPr>
        <w:spacing w:after="0" w:line="1" w:lineRule="exact"/>
        <w:rPr>
          <w:sz w:val="20"/>
          <w:szCs w:val="20"/>
          <w:color w:val="auto"/>
        </w:rPr>
      </w:pPr>
    </w:p>
    <w:p>
      <w:pPr>
        <w:ind w:left="120" w:right="80" w:hanging="4"/>
        <w:spacing w:after="0" w:line="253" w:lineRule="auto"/>
        <w:tabs>
          <w:tab w:leader="none" w:pos="363" w:val="left"/>
        </w:tabs>
        <w:numPr>
          <w:ilvl w:val="0"/>
          <w:numId w:val="20"/>
        </w:numPr>
        <w:rPr>
          <w:rFonts w:ascii="Arial" w:cs="Arial" w:eastAsia="Arial" w:hAnsi="Arial"/>
          <w:sz w:val="16"/>
          <w:szCs w:val="16"/>
          <w:color w:val="202E39"/>
        </w:rPr>
      </w:pPr>
      <w:r>
        <w:rPr>
          <w:rFonts w:ascii="Arial" w:cs="Arial" w:eastAsia="Arial" w:hAnsi="Arial"/>
          <w:sz w:val="16"/>
          <w:szCs w:val="16"/>
          <w:color w:val="202E39"/>
        </w:rPr>
        <w:t>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w:t>
      </w:r>
    </w:p>
    <w:p>
      <w:pPr>
        <w:spacing w:after="0" w:line="13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315"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25</w:t>
            </w: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202E39"/>
        </w:rPr>
        <w:t>Under the Restated Equity Plan, not more than 1,000,000 shares may be subject to options or stock appreciation rights for any one individual per fiscal year. The Restated Equity Plan also has an individual award limit of 300,000 shares per fiscal year for grants of restricted stock, performance awards, dividend equivalents, restricted stock units and stock payments (except for grants made upon initial service of an employee, which has an award limit of 600,000 shares). In addition, the maximum aggregate amount of cash that may be paid in cash to any one person during any fiscal year with respect to one or more awards initially payable in cash shall be $5,000,000.</w:t>
      </w:r>
    </w:p>
    <w:p>
      <w:pPr>
        <w:spacing w:after="0" w:line="119"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i w:val="1"/>
          <w:iCs w:val="1"/>
          <w:color w:val="009FE3"/>
        </w:rPr>
        <w:t xml:space="preserve">Eligibility. </w:t>
      </w:r>
      <w:r>
        <w:rPr>
          <w:rFonts w:ascii="Arial" w:cs="Arial" w:eastAsia="Arial" w:hAnsi="Arial"/>
          <w:sz w:val="16"/>
          <w:szCs w:val="16"/>
          <w:color w:val="202E39"/>
        </w:rPr>
        <w:t>Any employee, consultant or non-employee director selected by the plan administrator is eligible to receive equity awards under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Equity Plan. The plan administrator, in its absolute discretion, will determine (1) among the eligible participants the individuals to whom awards are to be granted, (2) the number of shares to be granted, and (3) the terms and conditions of the awards. As of July 1, 2021, outstanding equity awards have been issued to approximately 2,800 of our approximately 6,600 employees, to none of our approximately 300 consultants, and to all six of our non-employee directors under the Equity Plan.</w:t>
      </w:r>
    </w:p>
    <w:p>
      <w:pPr>
        <w:spacing w:after="0" w:line="116" w:lineRule="exact"/>
        <w:rPr>
          <w:sz w:val="20"/>
          <w:szCs w:val="20"/>
          <w:color w:val="auto"/>
        </w:rPr>
      </w:pPr>
    </w:p>
    <w:p>
      <w:pPr>
        <w:ind w:left="120" w:right="20"/>
        <w:spacing w:after="0" w:line="255" w:lineRule="auto"/>
        <w:rPr>
          <w:sz w:val="20"/>
          <w:szCs w:val="20"/>
          <w:color w:val="auto"/>
        </w:rPr>
      </w:pPr>
      <w:r>
        <w:rPr>
          <w:rFonts w:ascii="Arial" w:cs="Arial" w:eastAsia="Arial" w:hAnsi="Arial"/>
          <w:sz w:val="16"/>
          <w:szCs w:val="16"/>
          <w:i w:val="1"/>
          <w:iCs w:val="1"/>
          <w:color w:val="009FE3"/>
        </w:rPr>
        <w:t xml:space="preserve">Purchase Price of Optioned Shares. </w:t>
      </w:r>
      <w:r>
        <w:rPr>
          <w:rFonts w:ascii="Arial" w:cs="Arial" w:eastAsia="Arial" w:hAnsi="Arial"/>
          <w:sz w:val="16"/>
          <w:szCs w:val="16"/>
          <w:color w:val="202E39"/>
        </w:rPr>
        <w:t>The price per share of the shares subject to each option is set by the plan administrator. However, the price per</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July 1, 2021, the closing price of Viasat common stock on the Nasdaq Global Select Market was $49.94 per share.</w:t>
      </w:r>
    </w:p>
    <w:p>
      <w:pPr>
        <w:spacing w:after="0" w:line="103" w:lineRule="exact"/>
        <w:rPr>
          <w:sz w:val="20"/>
          <w:szCs w:val="20"/>
          <w:color w:val="auto"/>
        </w:rPr>
      </w:pPr>
    </w:p>
    <w:p>
      <w:pPr>
        <w:ind w:left="120"/>
        <w:spacing w:after="0" w:line="263" w:lineRule="auto"/>
        <w:rPr>
          <w:sz w:val="20"/>
          <w:szCs w:val="20"/>
          <w:color w:val="auto"/>
        </w:rPr>
      </w:pPr>
      <w:r>
        <w:rPr>
          <w:rFonts w:ascii="Arial" w:cs="Arial" w:eastAsia="Arial" w:hAnsi="Arial"/>
          <w:sz w:val="16"/>
          <w:szCs w:val="16"/>
          <w:i w:val="1"/>
          <w:iCs w:val="1"/>
          <w:color w:val="009FE3"/>
        </w:rPr>
        <w:t xml:space="preserve">Terms of Options. </w:t>
      </w:r>
      <w:r>
        <w:rPr>
          <w:rFonts w:ascii="Arial" w:cs="Arial" w:eastAsia="Arial" w:hAnsi="Arial"/>
          <w:sz w:val="16"/>
          <w:szCs w:val="16"/>
          <w:color w:val="202E39"/>
        </w:rPr>
        <w:t>The term of an option is set by the plan administrator in its discretion. However, the term of an option cannot exceed six years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 the case of incentive stock options granted to an individual then owning more than 10% of the total combined voting power of all classes of stock of Viasat, the term may not exceed five years.</w:t>
      </w:r>
    </w:p>
    <w:p>
      <w:pPr>
        <w:spacing w:after="0" w:line="111"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6"/>
          <w:szCs w:val="16"/>
          <w:i w:val="1"/>
          <w:iCs w:val="1"/>
          <w:color w:val="009FE3"/>
        </w:rPr>
        <w:t xml:space="preserve">Exercise of Options. </w:t>
      </w:r>
      <w:r>
        <w:rPr>
          <w:rFonts w:ascii="Arial" w:cs="Arial" w:eastAsia="Arial" w:hAnsi="Arial"/>
          <w:sz w:val="16"/>
          <w:szCs w:val="16"/>
          <w:color w:val="202E39"/>
        </w:rPr>
        <w:t>Upon the exercise of an option under the Restated Equity Plan, the optionee must make full cash payment to the Corporate</w:t>
      </w:r>
      <w:r>
        <w:rPr>
          <w:rFonts w:ascii="Arial" w:cs="Arial" w:eastAsia="Arial" w:hAnsi="Arial"/>
          <w:sz w:val="16"/>
          <w:szCs w:val="16"/>
          <w:i w:val="1"/>
          <w:iCs w:val="1"/>
          <w:color w:val="009FE3"/>
        </w:rPr>
        <w:t xml:space="preserve"> </w:t>
      </w:r>
      <w:r>
        <w:rPr>
          <w:rFonts w:ascii="Arial" w:cs="Arial" w:eastAsia="Arial" w:hAnsi="Arial"/>
          <w:sz w:val="16"/>
          <w:szCs w:val="16"/>
          <w:color w:val="202E39"/>
        </w:rPr>
        <w:t>Secretary of Viasat for the shares with respect to which the option, or portion of the option, is exercised. However, the plan administrator may in its discretion allow various forms of payment, which are described in the Restated Equity Plan.</w:t>
      </w:r>
    </w:p>
    <w:p>
      <w:pPr>
        <w:spacing w:after="0" w:line="111"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i w:val="1"/>
          <w:iCs w:val="1"/>
          <w:color w:val="009FE3"/>
        </w:rPr>
        <w:t xml:space="preserve">Other Stock Awards. </w:t>
      </w:r>
      <w:r>
        <w:rPr>
          <w:rFonts w:ascii="Arial" w:cs="Arial" w:eastAsia="Arial" w:hAnsi="Arial"/>
          <w:sz w:val="16"/>
          <w:szCs w:val="16"/>
          <w:color w:val="202E39"/>
        </w:rPr>
        <w:t>The Restated Equity Plan allows for various other awards including restricted stock, performance awards, dividend equivalents,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w:t>
      </w:r>
    </w:p>
    <w:p>
      <w:pPr>
        <w:spacing w:after="0" w:line="105"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Director Compensation. </w:t>
      </w:r>
      <w:r>
        <w:rPr>
          <w:rFonts w:ascii="Arial" w:cs="Arial" w:eastAsia="Arial" w:hAnsi="Arial"/>
          <w:sz w:val="16"/>
          <w:szCs w:val="16"/>
          <w:color w:val="202E39"/>
        </w:rPr>
        <w:t>During the term of the Restated Equity Plan, a person who is initially elected to the Board of Directors and who is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 Under the Restated Equity Plan, awards to non-employee directors will be eligible for accelerated vesting in the event of a change in control or the director’s death or disability.</w:t>
      </w:r>
    </w:p>
    <w:p>
      <w:pPr>
        <w:spacing w:after="0" w:line="119" w:lineRule="exact"/>
        <w:rPr>
          <w:sz w:val="20"/>
          <w:szCs w:val="20"/>
          <w:color w:val="auto"/>
        </w:rPr>
      </w:pPr>
    </w:p>
    <w:p>
      <w:pPr>
        <w:ind w:left="120" w:right="20"/>
        <w:spacing w:after="0" w:line="263" w:lineRule="auto"/>
        <w:rPr>
          <w:sz w:val="20"/>
          <w:szCs w:val="20"/>
          <w:color w:val="auto"/>
        </w:rPr>
      </w:pPr>
      <w:r>
        <w:rPr>
          <w:rFonts w:ascii="Arial" w:cs="Arial" w:eastAsia="Arial" w:hAnsi="Arial"/>
          <w:sz w:val="16"/>
          <w:szCs w:val="16"/>
          <w:i w:val="1"/>
          <w:iCs w:val="1"/>
          <w:color w:val="009FE3"/>
        </w:rPr>
        <w:t xml:space="preserve">Performance Criteria. </w:t>
      </w:r>
      <w:r>
        <w:rPr>
          <w:rFonts w:ascii="Arial" w:cs="Arial" w:eastAsia="Arial" w:hAnsi="Arial"/>
          <w:sz w:val="16"/>
          <w:szCs w:val="16"/>
          <w:color w:val="202E39"/>
        </w:rPr>
        <w:t>Under the Restated Equity Plan, the plan administrator may grant awards that are paid, vest or become exercisable upon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attainment of performance criteria, which may include, but are not limited to, one or more of the following business criteria with respect to us, any of which may be measured with respect to our performance or the performance of a division, business unit or an individual:</w:t>
      </w:r>
    </w:p>
    <w:p>
      <w:pPr>
        <w:spacing w:after="0" w:line="46" w:lineRule="exact"/>
        <w:rPr>
          <w:sz w:val="20"/>
          <w:szCs w:val="20"/>
          <w:color w:val="auto"/>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net earnings (either before or after one or more of the following: interest, taxes, depreciation and amortization),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gross or net sales or revenue,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net income (either before or after taxes),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operating earnings or profit,</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cash flow (including, but not limited to, operating cash flow and free cash flow),</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return on assets,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return on capital,</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return on stockholders’ equity,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1"/>
        </w:numPr>
        <w:rPr>
          <w:rFonts w:ascii="Arial" w:cs="Arial" w:eastAsia="Arial" w:hAnsi="Arial"/>
          <w:sz w:val="16"/>
          <w:szCs w:val="16"/>
          <w:color w:val="009FE3"/>
        </w:rPr>
      </w:pPr>
      <w:r>
        <w:rPr>
          <w:rFonts w:ascii="Arial" w:cs="Arial" w:eastAsia="Arial" w:hAnsi="Arial"/>
          <w:sz w:val="16"/>
          <w:szCs w:val="16"/>
          <w:color w:val="202E39"/>
        </w:rPr>
        <w:t>return on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368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gross or net profit or operating margin,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costs,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funds from operations,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expenses,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working capital,</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earnings per share, or</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22"/>
        </w:numPr>
        <w:rPr>
          <w:rFonts w:ascii="Arial" w:cs="Arial" w:eastAsia="Arial" w:hAnsi="Arial"/>
          <w:sz w:val="16"/>
          <w:szCs w:val="16"/>
          <w:color w:val="009FE3"/>
        </w:rPr>
      </w:pPr>
      <w:r>
        <w:rPr>
          <w:rFonts w:ascii="Arial" w:cs="Arial" w:eastAsia="Arial" w:hAnsi="Arial"/>
          <w:sz w:val="16"/>
          <w:szCs w:val="16"/>
          <w:color w:val="202E39"/>
        </w:rPr>
        <w:t>price per share of Viasat common stock.</w:t>
      </w:r>
    </w:p>
    <w:p>
      <w:pPr>
        <w:spacing w:after="0" w:line="154" w:lineRule="exact"/>
        <w:rPr>
          <w:sz w:val="20"/>
          <w:szCs w:val="20"/>
          <w:color w:val="auto"/>
        </w:rPr>
      </w:pPr>
    </w:p>
    <w:p>
      <w:pPr>
        <w:ind w:left="120" w:right="320"/>
        <w:spacing w:after="0" w:line="251" w:lineRule="auto"/>
        <w:rPr>
          <w:sz w:val="20"/>
          <w:szCs w:val="20"/>
          <w:color w:val="auto"/>
        </w:rPr>
      </w:pPr>
      <w:r>
        <w:rPr>
          <w:rFonts w:ascii="Arial" w:cs="Arial" w:eastAsia="Arial" w:hAnsi="Arial"/>
          <w:sz w:val="16"/>
          <w:szCs w:val="16"/>
          <w:color w:val="202E39"/>
        </w:rPr>
        <w:t>The plan administrator will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w:t>
      </w:r>
    </w:p>
    <w:p>
      <w:pPr>
        <w:spacing w:after="0" w:line="119"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i w:val="1"/>
          <w:iCs w:val="1"/>
          <w:color w:val="009FE3"/>
        </w:rPr>
        <w:t xml:space="preserve">Minimum Vesting Requirement. </w:t>
      </w:r>
      <w:r>
        <w:rPr>
          <w:rFonts w:ascii="Arial" w:cs="Arial" w:eastAsia="Arial" w:hAnsi="Arial"/>
          <w:sz w:val="16"/>
          <w:szCs w:val="16"/>
          <w:color w:val="202E39"/>
        </w:rPr>
        <w:t>The Restated Equity Plan contains a minimum vesting period which provides that no award agreements will provide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vesting of the award thereunder earlier than one year after the applicable grant date; provided, however, that the plan administrator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the minimum vesting restrictions will not apply to (1) awards granted after the effective date of the Restated Equity Plan that cover, in the aggregate, no more than 5% of the shares of common stock reserved for issuance under the Restated Equity Plan, (2) awards delivered in lieu of fully-vested cash-based awards under the Restated Equity Plan (or other fully-vested cash awards or payments), and (3) any awards to non-employee directors for which the vesting period runs from the date of one annual meeting of our stockholders to the next annual meeting of our stockholders (so long as such period is at least 50 weeks).</w:t>
      </w:r>
    </w:p>
    <w:p>
      <w:pPr>
        <w:spacing w:after="0" w:line="111" w:lineRule="exact"/>
        <w:rPr>
          <w:sz w:val="20"/>
          <w:szCs w:val="20"/>
          <w:color w:val="auto"/>
        </w:rPr>
      </w:pPr>
    </w:p>
    <w:p>
      <w:pPr>
        <w:ind w:left="120" w:right="500"/>
        <w:spacing w:after="0" w:line="281" w:lineRule="auto"/>
        <w:rPr>
          <w:sz w:val="20"/>
          <w:szCs w:val="20"/>
          <w:color w:val="auto"/>
        </w:rPr>
      </w:pPr>
      <w:r>
        <w:rPr>
          <w:rFonts w:ascii="Arial" w:cs="Arial" w:eastAsia="Arial" w:hAnsi="Arial"/>
          <w:sz w:val="16"/>
          <w:szCs w:val="16"/>
          <w:i w:val="1"/>
          <w:iCs w:val="1"/>
          <w:color w:val="009FE3"/>
        </w:rPr>
        <w:t xml:space="preserve">No Repricing. </w:t>
      </w:r>
      <w:r>
        <w:rPr>
          <w:rFonts w:ascii="Arial" w:cs="Arial" w:eastAsia="Arial" w:hAnsi="Arial"/>
          <w:sz w:val="16"/>
          <w:szCs w:val="16"/>
          <w:color w:val="202E39"/>
        </w:rPr>
        <w:t>The Restated Equity Plan prohibits the repricing or other exchange of underwater stock options or stock appreciation rights for new</w:t>
      </w:r>
      <w:r>
        <w:rPr>
          <w:rFonts w:ascii="Arial" w:cs="Arial" w:eastAsia="Arial" w:hAnsi="Arial"/>
          <w:sz w:val="16"/>
          <w:szCs w:val="16"/>
          <w:i w:val="1"/>
          <w:iCs w:val="1"/>
          <w:color w:val="009FE3"/>
        </w:rPr>
        <w:t xml:space="preserve"> </w:t>
      </w:r>
      <w:r>
        <w:rPr>
          <w:rFonts w:ascii="Arial" w:cs="Arial" w:eastAsia="Arial" w:hAnsi="Arial"/>
          <w:sz w:val="16"/>
          <w:szCs w:val="16"/>
          <w:color w:val="202E39"/>
        </w:rPr>
        <w:t>awards or cash without prior stockholder approval.</w:t>
      </w:r>
    </w:p>
    <w:p>
      <w:pPr>
        <w:spacing w:after="0" w:line="96" w:lineRule="exact"/>
        <w:rPr>
          <w:sz w:val="20"/>
          <w:szCs w:val="20"/>
          <w:color w:val="auto"/>
        </w:rPr>
      </w:pPr>
    </w:p>
    <w:p>
      <w:pPr>
        <w:jc w:val="both"/>
        <w:ind w:left="120" w:right="20"/>
        <w:spacing w:after="0" w:line="258" w:lineRule="auto"/>
        <w:rPr>
          <w:sz w:val="20"/>
          <w:szCs w:val="20"/>
          <w:color w:val="auto"/>
        </w:rPr>
      </w:pPr>
      <w:r>
        <w:rPr>
          <w:rFonts w:ascii="Arial" w:cs="Arial" w:eastAsia="Arial" w:hAnsi="Arial"/>
          <w:sz w:val="16"/>
          <w:szCs w:val="16"/>
          <w:i w:val="1"/>
          <w:iCs w:val="1"/>
          <w:color w:val="009FE3"/>
        </w:rPr>
        <w:t xml:space="preserve">Amendment and Termination of the Plan. </w:t>
      </w:r>
      <w:r>
        <w:rPr>
          <w:rFonts w:ascii="Arial" w:cs="Arial" w:eastAsia="Arial" w:hAnsi="Arial"/>
          <w:sz w:val="16"/>
          <w:szCs w:val="16"/>
          <w:color w:val="202E39"/>
        </w:rPr>
        <w:t>The Restated Equity Plan may be wholly or partially amended or otherwise modified, suspended or terminated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at any time or from time to time by the plan administrator. However, stockholder approval will be obtained of any amendment or modification to the extent required by applicable law, regulation or rule. The Restated Equity Plan will continue until terminated by the plan administrator. No incentive stock options may be granted under the Restated Equity Plan after July 18, 2031.</w:t>
      </w:r>
    </w:p>
    <w:p>
      <w:pPr>
        <w:spacing w:after="0" w:line="113"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Equity Plan is intended to comply with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51"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119"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i w:val="1"/>
          <w:iCs w:val="1"/>
          <w:color w:val="009FE3"/>
        </w:rPr>
        <w:t xml:space="preserve">Consequences to Employees: Incentive Stock Options. </w:t>
      </w:r>
      <w:r>
        <w:rPr>
          <w:rFonts w:ascii="Arial" w:cs="Arial" w:eastAsia="Arial" w:hAnsi="Arial"/>
          <w:sz w:val="16"/>
          <w:szCs w:val="16"/>
          <w:color w:val="202E39"/>
        </w:rPr>
        <w:t>No income is recognized for federal income tax purposes by an optionee at the time an</w:t>
      </w:r>
      <w:r>
        <w:rPr>
          <w:rFonts w:ascii="Arial" w:cs="Arial" w:eastAsia="Arial" w:hAnsi="Arial"/>
          <w:sz w:val="16"/>
          <w:szCs w:val="16"/>
          <w:i w:val="1"/>
          <w:iCs w:val="1"/>
          <w:color w:val="009FE3"/>
        </w:rPr>
        <w:t xml:space="preserve"> </w:t>
      </w:r>
      <w:r>
        <w:rPr>
          <w:rFonts w:ascii="Arial" w:cs="Arial" w:eastAsia="Arial" w:hAnsi="Arial"/>
          <w:sz w:val="16"/>
          <w:szCs w:val="16"/>
          <w:color w:val="202E39"/>
        </w:rPr>
        <w:t>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w:t>
      </w:r>
    </w:p>
    <w:p>
      <w:pPr>
        <w:spacing w:after="0" w:line="12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27</w:t>
            </w: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202E39"/>
        </w:rPr>
        <w:t>price. Any amount realized upon disposition in excess of the fair market value of the shares on the date of exercise will be treated as long or short-term capital gain, depending upon the length of time the shares have been held.</w:t>
      </w:r>
    </w:p>
    <w:p>
      <w:pPr>
        <w:spacing w:after="0" w:line="112"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i w:val="1"/>
          <w:iCs w:val="1"/>
          <w:color w:val="009FE3"/>
        </w:rPr>
        <w:t xml:space="preserve">Consequences to Employees: Non-Qualified Stock Options. </w:t>
      </w:r>
      <w:r>
        <w:rPr>
          <w:rFonts w:ascii="Arial" w:cs="Arial" w:eastAsia="Arial" w:hAnsi="Arial"/>
          <w:sz w:val="16"/>
          <w:szCs w:val="16"/>
          <w:color w:val="202E39"/>
        </w:rPr>
        <w:t>No income is recognized for federal income tax purposes by an optionee at the time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 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121" w:lineRule="exact"/>
        <w:rPr>
          <w:sz w:val="20"/>
          <w:szCs w:val="20"/>
          <w:color w:val="auto"/>
        </w:rPr>
      </w:pPr>
    </w:p>
    <w:p>
      <w:pPr>
        <w:ind w:left="120" w:right="100"/>
        <w:spacing w:after="0" w:line="258" w:lineRule="auto"/>
        <w:rPr>
          <w:sz w:val="20"/>
          <w:szCs w:val="20"/>
          <w:color w:val="auto"/>
        </w:rPr>
      </w:pPr>
      <w:r>
        <w:rPr>
          <w:rFonts w:ascii="Arial" w:cs="Arial" w:eastAsia="Arial" w:hAnsi="Arial"/>
          <w:sz w:val="16"/>
          <w:szCs w:val="16"/>
          <w:i w:val="1"/>
          <w:iCs w:val="1"/>
          <w:color w:val="009FE3"/>
        </w:rPr>
        <w:t xml:space="preserve">Consequences to Viasat: Incentive Stock Options. </w:t>
      </w:r>
      <w:r>
        <w:rPr>
          <w:rFonts w:ascii="Arial" w:cs="Arial" w:eastAsia="Arial" w:hAnsi="Arial"/>
          <w:sz w:val="16"/>
          <w:szCs w:val="16"/>
          <w:color w:val="202E39"/>
        </w:rPr>
        <w:t>We will not be allowed a deduction for federal income tax purposes at the time of the grant or</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100"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i w:val="1"/>
          <w:iCs w:val="1"/>
          <w:color w:val="009FE3"/>
        </w:rPr>
        <w:t xml:space="preserve">Consequences to Viasat: Non-Qualified Stock Options. </w:t>
      </w:r>
      <w:r>
        <w:rPr>
          <w:rFonts w:ascii="Arial" w:cs="Arial" w:eastAsia="Arial" w:hAnsi="Arial"/>
          <w:sz w:val="16"/>
          <w:szCs w:val="16"/>
          <w:color w:val="202E39"/>
        </w:rPr>
        <w:t>Generally, we will be entitled to a deduction for federal income tax purposes in the year and in</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same amount as the optionee is considered to have realized ordinary income in connection with the exercise of a non-qualified stock option.</w:t>
      </w:r>
    </w:p>
    <w:p>
      <w:pPr>
        <w:spacing w:after="0" w:line="96"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i w:val="1"/>
          <w:iCs w:val="1"/>
          <w:color w:val="009FE3"/>
        </w:rPr>
        <w:t xml:space="preserve">Restricted Stock. </w:t>
      </w:r>
      <w:r>
        <w:rPr>
          <w:rFonts w:ascii="Arial" w:cs="Arial" w:eastAsia="Arial" w:hAnsi="Arial"/>
          <w:sz w:val="16"/>
          <w:szCs w:val="16"/>
          <w:color w:val="202E39"/>
        </w:rPr>
        <w:t>Generally, a participant in the Restated Equity Plan will not be taxed upon the grant or purchase of restricted stock that is subject to a</w:t>
      </w:r>
      <w:r>
        <w:rPr>
          <w:rFonts w:ascii="Arial" w:cs="Arial" w:eastAsia="Arial" w:hAnsi="Arial"/>
          <w:sz w:val="16"/>
          <w:szCs w:val="16"/>
          <w:i w:val="1"/>
          <w:iCs w:val="1"/>
          <w:color w:val="009FE3"/>
        </w:rPr>
        <w:t xml:space="preserve"> </w:t>
      </w:r>
      <w:r>
        <w:rPr>
          <w:rFonts w:ascii="Arial" w:cs="Arial" w:eastAsia="Arial" w:hAnsi="Arial"/>
          <w:sz w:val="16"/>
          <w:szCs w:val="16"/>
          <w:color w:val="202E39"/>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6"/>
          <w:szCs w:val="16"/>
          <w:i w:val="1"/>
          <w:iCs w:val="1"/>
          <w:color w:val="009FE3"/>
        </w:rPr>
        <w:t xml:space="preserve">Stock Appreciation Rights. </w:t>
      </w:r>
      <w:r>
        <w:rPr>
          <w:rFonts w:ascii="Arial" w:cs="Arial" w:eastAsia="Arial" w:hAnsi="Arial"/>
          <w:sz w:val="16"/>
          <w:szCs w:val="16"/>
          <w:color w:val="202E39"/>
        </w:rPr>
        <w:t>A participant will not be taxed upon the grant of a stock appreciation right. Upon the exercise of the stock appreciation right,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97" w:lineRule="exact"/>
        <w:rPr>
          <w:sz w:val="20"/>
          <w:szCs w:val="20"/>
          <w:color w:val="auto"/>
        </w:rPr>
      </w:pPr>
    </w:p>
    <w:p>
      <w:pPr>
        <w:ind w:left="120"/>
        <w:spacing w:after="0" w:line="263" w:lineRule="auto"/>
        <w:rPr>
          <w:sz w:val="20"/>
          <w:szCs w:val="20"/>
          <w:color w:val="auto"/>
        </w:rPr>
      </w:pPr>
      <w:r>
        <w:rPr>
          <w:rFonts w:ascii="Arial" w:cs="Arial" w:eastAsia="Arial" w:hAnsi="Arial"/>
          <w:sz w:val="16"/>
          <w:szCs w:val="16"/>
          <w:i w:val="1"/>
          <w:iCs w:val="1"/>
          <w:color w:val="009FE3"/>
        </w:rPr>
        <w:t xml:space="preserve">Performance Awards, Dividend Equivalents, Restricted Stock Units and Stock Payments. </w:t>
      </w:r>
      <w:r>
        <w:rPr>
          <w:rFonts w:ascii="Arial" w:cs="Arial" w:eastAsia="Arial" w:hAnsi="Arial"/>
          <w:sz w:val="16"/>
          <w:szCs w:val="16"/>
          <w:color w:val="202E39"/>
        </w:rPr>
        <w:t>A participant will have ordinary income upon receipt of stock</w:t>
      </w:r>
      <w:r>
        <w:rPr>
          <w:rFonts w:ascii="Arial" w:cs="Arial" w:eastAsia="Arial" w:hAnsi="Arial"/>
          <w:sz w:val="16"/>
          <w:szCs w:val="16"/>
          <w:i w:val="1"/>
          <w:iCs w:val="1"/>
          <w:color w:val="009FE3"/>
        </w:rPr>
        <w:t xml:space="preserve"> </w:t>
      </w:r>
      <w:r>
        <w:rPr>
          <w:rFonts w:ascii="Arial" w:cs="Arial" w:eastAsia="Arial" w:hAnsi="Arial"/>
          <w:sz w:val="16"/>
          <w:szCs w:val="16"/>
          <w:color w:val="202E39"/>
        </w:rPr>
        <w:t>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111"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i w:val="1"/>
          <w:iCs w:val="1"/>
          <w:color w:val="009FE3"/>
        </w:rPr>
        <w:t xml:space="preserve">Section 162(m). </w:t>
      </w:r>
      <w:r>
        <w:rPr>
          <w:rFonts w:ascii="Arial" w:cs="Arial" w:eastAsia="Arial" w:hAnsi="Arial"/>
          <w:sz w:val="16"/>
          <w:szCs w:val="16"/>
          <w:color w:val="202E39"/>
        </w:rPr>
        <w:t>Under Section 162(m) of the Code, in general, income tax deductions of publicly-traded companies may be limited to the extent total</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(including base salary, annual bonus, stock option exercises and non-qualified benefits paid in 1994 and thereafter) for certain “covered employees” exceeds $1 million in any one taxable year. Prior to the Tax Cuts and Jobs Act of 2017, or TCJA, covered employees generally consisted of our chief executive officer and each of the next three highest compensated officers serving at the end of the taxable year other than our chief financial officer, and the deduction limit did not apply to certain “performance-based” compensation established by an independent compensation committee which conformed to certain restrictive conditions stated under the Code and related regulations. As part of the TCJA, the ability to rely on this exemption was, with certain limited exceptions, eliminated, and the definition of covered employees was expanded to generally include all named executive officers. Certain awards under the Equity Plan granted prior to November 2, 2017 may be grandfathered from the changes made by the TCJA under certain limited transition relief, however, for grants after that date and any grants which are not grandfathered, we will no longer be able to take a deduction for any compensation in excess of $1 million that is paid to a covered employee. There is no guarantee that any awards will be eligible for the transition relief or that we will be able to take a deduction for any compensation in excess of $1 million that is paid to a covered employee under the Equity Plan or the Restated Equity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New Plan Benefits</w:t>
      </w:r>
    </w:p>
    <w:p>
      <w:pPr>
        <w:spacing w:after="0" w:line="164" w:lineRule="exact"/>
        <w:rPr>
          <w:sz w:val="20"/>
          <w:szCs w:val="20"/>
          <w:color w:val="auto"/>
        </w:rPr>
      </w:pPr>
    </w:p>
    <w:p>
      <w:pPr>
        <w:ind w:left="120" w:right="720"/>
        <w:spacing w:after="0" w:line="260" w:lineRule="auto"/>
        <w:rPr>
          <w:sz w:val="20"/>
          <w:szCs w:val="20"/>
          <w:color w:val="auto"/>
        </w:rPr>
      </w:pPr>
      <w:r>
        <w:rPr>
          <w:rFonts w:ascii="Arial" w:cs="Arial" w:eastAsia="Arial" w:hAnsi="Arial"/>
          <w:sz w:val="16"/>
          <w:szCs w:val="16"/>
          <w:color w:val="202E39"/>
        </w:rPr>
        <w:t>The number of awards that an eligible individual may receive under the Restated Equity Plan is in the discretion of the Board of Directors or the Compensation and Human Resources Committee and therefore cannot be determined in advance.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80010</wp:posOffset>
            </wp:positionV>
            <wp:extent cx="4368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28</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1996 Equity Participation Plan</w:t>
      </w:r>
    </w:p>
    <w:p>
      <w:pPr>
        <w:spacing w:after="0" w:line="147"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202E39"/>
        </w:rPr>
        <w:t>noted above, the Restated Equity Plan provides for automatic grants of restricted stock unit awards and stock options to non-employee directors. Other than these automatic awards, neither the Compensation and Human Resources Committee nor the Board of Directors has made any determination to grant any awards to any persons under the Restated Equity Plan as of the date of this proxy statement.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Plan Benefits Under Equity Plan</w:t>
      </w:r>
    </w:p>
    <w:p>
      <w:pPr>
        <w:spacing w:after="0" w:line="164" w:lineRule="exact"/>
        <w:rPr>
          <w:sz w:val="20"/>
          <w:szCs w:val="20"/>
          <w:color w:val="auto"/>
        </w:rPr>
      </w:pPr>
    </w:p>
    <w:p>
      <w:pPr>
        <w:ind w:left="120" w:right="480"/>
        <w:spacing w:after="0" w:line="260" w:lineRule="auto"/>
        <w:rPr>
          <w:sz w:val="20"/>
          <w:szCs w:val="20"/>
          <w:color w:val="auto"/>
        </w:rPr>
      </w:pPr>
      <w:r>
        <w:rPr>
          <w:rFonts w:ascii="Arial" w:cs="Arial" w:eastAsia="Arial" w:hAnsi="Arial"/>
          <w:sz w:val="16"/>
          <w:szCs w:val="16"/>
          <w:color w:val="202E39"/>
        </w:rPr>
        <w:t>For illustrative purposes only, the following table sets forth the aggregate number of shares subject to restricted stock unit awards and stock options granted under the Equity Plan during the last fiscal year to the following individuals and groups:</w:t>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6840" w:type="dxa"/>
            <w:vAlign w:val="bottom"/>
            <w:tcBorders>
              <w:top w:val="single" w:sz="8" w:color="E8EAEB"/>
              <w:right w:val="single" w:sz="8" w:color="E8EAEB"/>
            </w:tcBorders>
          </w:tcPr>
          <w:p>
            <w:pPr>
              <w:spacing w:after="0"/>
              <w:rPr>
                <w:sz w:val="15"/>
                <w:szCs w:val="15"/>
                <w:color w:val="auto"/>
              </w:rPr>
            </w:pPr>
          </w:p>
        </w:tc>
        <w:tc>
          <w:tcPr>
            <w:tcW w:w="21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2020" w:type="dxa"/>
            <w:vAlign w:val="bottom"/>
            <w:tcBorders>
              <w:top w:val="single" w:sz="8" w:color="E8EAEB"/>
            </w:tcBorders>
          </w:tcPr>
          <w:p>
            <w:pPr>
              <w:spacing w:after="0"/>
              <w:rPr>
                <w:sz w:val="15"/>
                <w:szCs w:val="15"/>
                <w:color w:val="auto"/>
              </w:rPr>
            </w:pPr>
          </w:p>
        </w:tc>
      </w:tr>
      <w:tr>
        <w:trPr>
          <w:trHeight w:val="162"/>
        </w:trPr>
        <w:tc>
          <w:tcPr>
            <w:tcW w:w="6840" w:type="dxa"/>
            <w:vAlign w:val="bottom"/>
            <w:tcBorders>
              <w:right w:val="single" w:sz="8" w:color="E8EAEB"/>
            </w:tcBorders>
          </w:tcPr>
          <w:p>
            <w:pPr>
              <w:spacing w:after="0"/>
              <w:rPr>
                <w:sz w:val="14"/>
                <w:szCs w:val="14"/>
                <w:color w:val="auto"/>
              </w:rPr>
            </w:pPr>
          </w:p>
        </w:tc>
        <w:tc>
          <w:tcPr>
            <w:tcW w:w="21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Subject to</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009FE3"/>
              </w:rPr>
              <w:t>Number of Shares</w:t>
            </w:r>
          </w:p>
        </w:tc>
      </w:tr>
      <w:tr>
        <w:trPr>
          <w:trHeight w:val="162"/>
        </w:trPr>
        <w:tc>
          <w:tcPr>
            <w:tcW w:w="6840" w:type="dxa"/>
            <w:vAlign w:val="bottom"/>
            <w:tcBorders>
              <w:right w:val="single" w:sz="8" w:color="E8EAEB"/>
            </w:tcBorders>
          </w:tcPr>
          <w:p>
            <w:pPr>
              <w:spacing w:after="0"/>
              <w:rPr>
                <w:sz w:val="14"/>
                <w:szCs w:val="14"/>
                <w:color w:val="auto"/>
              </w:rPr>
            </w:pPr>
          </w:p>
        </w:tc>
        <w:tc>
          <w:tcPr>
            <w:tcW w:w="21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 Stock</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009FE3"/>
              </w:rPr>
              <w:t>Underlying Options</w:t>
            </w:r>
          </w:p>
        </w:tc>
      </w:tr>
      <w:tr>
        <w:trPr>
          <w:trHeight w:val="196"/>
        </w:trPr>
        <w:tc>
          <w:tcPr>
            <w:tcW w:w="68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or Group</w:t>
            </w:r>
          </w:p>
        </w:tc>
        <w:tc>
          <w:tcPr>
            <w:tcW w:w="21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 Granted (#)</w:t>
            </w:r>
          </w:p>
        </w:tc>
        <w:tc>
          <w:tcPr>
            <w:tcW w:w="202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Granted (#) (1)</w:t>
            </w:r>
          </w:p>
        </w:tc>
      </w:tr>
      <w:tr>
        <w:trPr>
          <w:trHeight w:val="250"/>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80,208</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174,365</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80,208</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174,365</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24,508</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53,279</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44,263</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38,749</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28,964</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62,965</w:t>
            </w:r>
          </w:p>
        </w:tc>
      </w:tr>
      <w:tr>
        <w:trPr>
          <w:trHeight w:val="47"/>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22,281</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48,436</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current executive officers, as a group (14 persons)</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406,315</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721,688</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 (6 persons)</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11,000</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34,000</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nominees for election as a director (3 persons)</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4,800</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15,000</w:t>
            </w:r>
          </w:p>
        </w:tc>
      </w:tr>
      <w:tr>
        <w:trPr>
          <w:trHeight w:val="46"/>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Each associate of any such directors, executive officers or nominees</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w:t>
            </w:r>
          </w:p>
        </w:tc>
      </w:tr>
      <w:tr>
        <w:trPr>
          <w:trHeight w:val="47"/>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Each other person who received or is to receive 5% of such options, warrants or rights</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w:t>
            </w:r>
          </w:p>
        </w:tc>
      </w:tr>
      <w:tr>
        <w:trPr>
          <w:trHeight w:val="47"/>
        </w:trPr>
        <w:tc>
          <w:tcPr>
            <w:tcW w:w="6840" w:type="dxa"/>
            <w:vAlign w:val="bottom"/>
            <w:tcBorders>
              <w:bottom w:val="single" w:sz="8" w:color="E8EAEB"/>
              <w:right w:val="single" w:sz="8" w:color="E8EAEB"/>
            </w:tcBorders>
          </w:tcPr>
          <w:p>
            <w:pPr>
              <w:spacing w:after="0"/>
              <w:rPr>
                <w:sz w:val="4"/>
                <w:szCs w:val="4"/>
                <w:color w:val="auto"/>
              </w:rPr>
            </w:pPr>
          </w:p>
        </w:tc>
        <w:tc>
          <w:tcPr>
            <w:tcW w:w="2160" w:type="dxa"/>
            <w:vAlign w:val="bottom"/>
            <w:tcBorders>
              <w:bottom w:val="single" w:sz="8" w:color="E8EAEB"/>
              <w:right w:val="single" w:sz="8" w:color="E8EAEB"/>
            </w:tcBorders>
          </w:tcPr>
          <w:p>
            <w:pPr>
              <w:spacing w:after="0"/>
              <w:rPr>
                <w:sz w:val="4"/>
                <w:szCs w:val="4"/>
                <w:color w:val="auto"/>
              </w:rPr>
            </w:pPr>
          </w:p>
        </w:tc>
        <w:tc>
          <w:tcPr>
            <w:tcW w:w="2020" w:type="dxa"/>
            <w:vAlign w:val="bottom"/>
            <w:tcBorders>
              <w:bottom w:val="single" w:sz="8" w:color="E8EAEB"/>
            </w:tcBorders>
          </w:tcPr>
          <w:p>
            <w:pPr>
              <w:spacing w:after="0"/>
              <w:rPr>
                <w:sz w:val="4"/>
                <w:szCs w:val="4"/>
                <w:color w:val="auto"/>
              </w:rPr>
            </w:pPr>
          </w:p>
        </w:tc>
      </w:tr>
      <w:tr>
        <w:trPr>
          <w:trHeight w:val="244"/>
        </w:trPr>
        <w:tc>
          <w:tcPr>
            <w:tcW w:w="68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other employees, as a group</w:t>
            </w:r>
          </w:p>
        </w:tc>
        <w:tc>
          <w:tcPr>
            <w:tcW w:w="2160" w:type="dxa"/>
            <w:vAlign w:val="bottom"/>
            <w:tcBorders>
              <w:right w:val="single" w:sz="8" w:color="E8EAEB"/>
            </w:tcBorders>
          </w:tcPr>
          <w:p>
            <w:pPr>
              <w:jc w:val="right"/>
              <w:ind w:right="641"/>
              <w:spacing w:after="0"/>
              <w:rPr>
                <w:sz w:val="20"/>
                <w:szCs w:val="20"/>
                <w:color w:val="auto"/>
              </w:rPr>
            </w:pPr>
            <w:r>
              <w:rPr>
                <w:rFonts w:ascii="Arial" w:cs="Arial" w:eastAsia="Arial" w:hAnsi="Arial"/>
                <w:sz w:val="16"/>
                <w:szCs w:val="16"/>
                <w:color w:val="202E39"/>
              </w:rPr>
              <w:t>1,225,799</w:t>
            </w:r>
          </w:p>
        </w:tc>
        <w:tc>
          <w:tcPr>
            <w:tcW w:w="2020" w:type="dxa"/>
            <w:vAlign w:val="bottom"/>
          </w:tcPr>
          <w:p>
            <w:pPr>
              <w:jc w:val="right"/>
              <w:ind w:right="641"/>
              <w:spacing w:after="0"/>
              <w:rPr>
                <w:sz w:val="20"/>
                <w:szCs w:val="20"/>
                <w:color w:val="auto"/>
              </w:rPr>
            </w:pPr>
            <w:r>
              <w:rPr>
                <w:rFonts w:ascii="Arial" w:cs="Arial" w:eastAsia="Arial" w:hAnsi="Arial"/>
                <w:sz w:val="16"/>
                <w:szCs w:val="16"/>
                <w:color w:val="202E39"/>
              </w:rPr>
              <w:t>62,965</w:t>
            </w:r>
          </w:p>
        </w:tc>
      </w:tr>
      <w:tr>
        <w:trPr>
          <w:trHeight w:val="47"/>
        </w:trPr>
        <w:tc>
          <w:tcPr>
            <w:tcW w:w="6840" w:type="dxa"/>
            <w:vAlign w:val="bottom"/>
            <w:tcBorders>
              <w:bottom w:val="single" w:sz="8" w:color="009FE3"/>
              <w:right w:val="single" w:sz="8" w:color="E8EAEB"/>
            </w:tcBorders>
          </w:tcPr>
          <w:p>
            <w:pPr>
              <w:spacing w:after="0"/>
              <w:rPr>
                <w:sz w:val="4"/>
                <w:szCs w:val="4"/>
                <w:color w:val="auto"/>
              </w:rPr>
            </w:pPr>
          </w:p>
        </w:tc>
        <w:tc>
          <w:tcPr>
            <w:tcW w:w="2160" w:type="dxa"/>
            <w:vAlign w:val="bottom"/>
            <w:tcBorders>
              <w:bottom w:val="single" w:sz="8" w:color="009FE3"/>
              <w:right w:val="single" w:sz="8" w:color="E8EAEB"/>
            </w:tcBorders>
          </w:tcPr>
          <w:p>
            <w:pPr>
              <w:spacing w:after="0"/>
              <w:rPr>
                <w:sz w:val="4"/>
                <w:szCs w:val="4"/>
                <w:color w:val="auto"/>
              </w:rPr>
            </w:pPr>
          </w:p>
        </w:tc>
        <w:tc>
          <w:tcPr>
            <w:tcW w:w="2020" w:type="dxa"/>
            <w:vAlign w:val="bottom"/>
            <w:tcBorders>
              <w:bottom w:val="single" w:sz="8" w:color="009FE3"/>
            </w:tcBorders>
          </w:tcPr>
          <w:p>
            <w:pPr>
              <w:spacing w:after="0"/>
              <w:rPr>
                <w:sz w:val="4"/>
                <w:szCs w:val="4"/>
                <w:color w:val="auto"/>
              </w:rPr>
            </w:pPr>
          </w:p>
        </w:tc>
      </w:tr>
    </w:tbl>
    <w:p>
      <w:pPr>
        <w:spacing w:after="0" w:line="126" w:lineRule="exact"/>
        <w:rPr>
          <w:sz w:val="20"/>
          <w:szCs w:val="20"/>
          <w:color w:val="auto"/>
        </w:rPr>
      </w:pPr>
    </w:p>
    <w:p>
      <w:pPr>
        <w:ind w:left="540" w:right="40" w:hanging="424"/>
        <w:spacing w:after="0" w:line="249" w:lineRule="auto"/>
        <w:tabs>
          <w:tab w:leader="none" w:pos="5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For purposes of the table above, performance-based stock options are included at “target” levels. Performance-based stock options may be eligible to vest at 175% of the “target” award levels at “maximum” performance. For a more detailed discussion of the performance-based stock options, see the “Executive Compensation” section below.</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Equity Plan.</w:t>
      </w:r>
    </w:p>
    <w:p>
      <w:pPr>
        <w:spacing w:after="0" w:line="15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29</w:t>
            </w:r>
          </w:p>
        </w:tc>
      </w:tr>
    </w:tbl>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PROPOSAL 5:</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Amendment and Restatement of the Employee Stock Purchase Plan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w:t>
      </w:r>
    </w:p>
    <w:p>
      <w:pPr>
        <w:spacing w:after="0" w:line="164"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202E39"/>
        </w:rPr>
        <w:t>We are requesting that our stockholders approve the amendment and restatement of our existing Employee Stock Purchase Plan, or the Purchase Plan. In this proxy statement, we sometimes refer to the proposed amended and restated Employee Stock Purchase Plan as the Restated Purchase Plan. On June 17, 2021, our Board of Directors approved the Restated Purchase Plan, subject to stockholder approval at the annual meeting. The Restated Purchase Plan became effective on July 1, 2021, subject to approval of this Proposal 5 by our stockholders.</w:t>
      </w:r>
    </w:p>
    <w:p>
      <w:pPr>
        <w:spacing w:after="0" w:line="121"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The Restated Purchase Plan provides for an increase of 2,500,000 shares over the number of shares of common stock currently authorized for issuance under the existing Purchase Plan, for a total of 6,950,000 shares. After giving effect to the purchase date that occurred on June 30, 2021, only 25,079 shares remained available for purchase under the existing Purchase Plan prior to the increase pursuant to the Restated Purchase Plan.</w:t>
      </w:r>
    </w:p>
    <w:p>
      <w:pPr>
        <w:spacing w:after="0" w:line="13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In general, stockholder approval of the Restated Purchase Plan will implement the foregoing share reserve increase while (1) complying with the terms of the Purchase Plan regarding amendments, (2) meeting the stockholder approval requirements of Nasdaq, and (3) allowing us to continue to grant purchase rights under the Section 423 Component of the Purchase Plan (as described below) that are intended to qualify for favorable tax treatment under Section 423 of the Code.</w:t>
      </w:r>
    </w:p>
    <w:p>
      <w:pPr>
        <w:spacing w:after="0" w:line="135"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202E39"/>
        </w:rPr>
        <w:t>If this Proposal 5 is not approved, the Restated Purchase Plan will cease to be effective, all outstanding purchase rights under the Restated Purchase Plan will terminate, the Purchase Plan as in effect immediately prior to the effectiveness of the Restated Purchase Plan will continue in full force and effect, and we may continue to grant purchase rights under the existing Purchase Plan, subject to its terms, conditions and limitations, using the shares available for issuance thereunder.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202E39"/>
        </w:rPr>
        <w:t>The Board recommends that you vote “FOR” the Restated Purchase Plan.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Why You Should Vote for the Restated Purchase Plan</w:t>
      </w:r>
    </w:p>
    <w:p>
      <w:pPr>
        <w:spacing w:after="0" w:line="135"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i w:val="1"/>
          <w:iCs w:val="1"/>
          <w:color w:val="009FE3"/>
        </w:rPr>
        <w:t xml:space="preserve">The Restated Purchase Plan is a Valuable Retention Tool. </w:t>
      </w:r>
      <w:r>
        <w:rPr>
          <w:rFonts w:ascii="Arial" w:cs="Arial" w:eastAsia="Arial" w:hAnsi="Arial"/>
          <w:sz w:val="16"/>
          <w:szCs w:val="16"/>
          <w:color w:val="202E39"/>
        </w:rPr>
        <w:t>We firmly believe that the Restated Purchase Plan is a necessary and powerful incentive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retention tool that benefits our stockholders. Specifically, the Restated Purchase Plan will enable us to continue to: (1) provide eligible employees with a convenient means of acquiring an equity interest in Viasat through payroll deductions, (2) enhance such employees’ sense of participation in the performance of Viasat, and (3) provide an incentive for continued employment. The Restated Purchase Plan will also continue to align the interests of employees with those of stockholders through increased stock ownership.</w:t>
      </w:r>
    </w:p>
    <w:p>
      <w:pPr>
        <w:spacing w:after="0" w:line="116" w:lineRule="exact"/>
        <w:rPr>
          <w:sz w:val="20"/>
          <w:szCs w:val="20"/>
          <w:color w:val="auto"/>
        </w:rPr>
      </w:pPr>
    </w:p>
    <w:p>
      <w:pPr>
        <w:ind w:left="120" w:right="80"/>
        <w:spacing w:after="0" w:line="255" w:lineRule="auto"/>
        <w:rPr>
          <w:sz w:val="20"/>
          <w:szCs w:val="20"/>
          <w:color w:val="auto"/>
        </w:rPr>
      </w:pPr>
      <w:r>
        <w:rPr>
          <w:rFonts w:ascii="Arial" w:cs="Arial" w:eastAsia="Arial" w:hAnsi="Arial"/>
          <w:sz w:val="16"/>
          <w:szCs w:val="16"/>
          <w:i w:val="1"/>
          <w:iCs w:val="1"/>
          <w:color w:val="009FE3"/>
        </w:rPr>
        <w:t xml:space="preserve">The Purchase Plan Will No Longer Have Shares Available for Purchase. </w:t>
      </w:r>
      <w:r>
        <w:rPr>
          <w:rFonts w:ascii="Arial" w:cs="Arial" w:eastAsia="Arial" w:hAnsi="Arial"/>
          <w:sz w:val="16"/>
          <w:szCs w:val="16"/>
          <w:color w:val="202E39"/>
        </w:rPr>
        <w:t>After giving effect to the purchase date that occurred on June 30, 2021, only</w:t>
      </w:r>
      <w:r>
        <w:rPr>
          <w:rFonts w:ascii="Arial" w:cs="Arial" w:eastAsia="Arial" w:hAnsi="Arial"/>
          <w:sz w:val="16"/>
          <w:szCs w:val="16"/>
          <w:i w:val="1"/>
          <w:iCs w:val="1"/>
          <w:color w:val="009FE3"/>
        </w:rPr>
        <w:t xml:space="preserve"> </w:t>
      </w:r>
      <w:r>
        <w:rPr>
          <w:rFonts w:ascii="Arial" w:cs="Arial" w:eastAsia="Arial" w:hAnsi="Arial"/>
          <w:sz w:val="16"/>
          <w:szCs w:val="16"/>
          <w:color w:val="202E39"/>
        </w:rPr>
        <w:t>25,079 shares remained available for purchase under the Purchase Plan. Based on historical usage, we estimate that these shares would not have been sufficient for the offering period that commenced on July 1, 2021. Thus, the increase in the shares available for issuance under the Purchase Plan pursuant to the amendment and restatement is necessary to allow us to continue to provide an employee stock purchase plan beyond July 1, 2021 without interruption.</w:t>
      </w:r>
    </w:p>
    <w:p>
      <w:pPr>
        <w:spacing w:after="0" w:line="116" w:lineRule="exact"/>
        <w:rPr>
          <w:sz w:val="20"/>
          <w:szCs w:val="20"/>
          <w:color w:val="auto"/>
        </w:rPr>
      </w:pPr>
    </w:p>
    <w:p>
      <w:pPr>
        <w:ind w:left="120" w:right="180"/>
        <w:spacing w:after="0" w:line="263" w:lineRule="auto"/>
        <w:rPr>
          <w:sz w:val="20"/>
          <w:szCs w:val="20"/>
          <w:color w:val="auto"/>
        </w:rPr>
      </w:pPr>
      <w:r>
        <w:rPr>
          <w:rFonts w:ascii="Arial" w:cs="Arial" w:eastAsia="Arial" w:hAnsi="Arial"/>
          <w:sz w:val="16"/>
          <w:szCs w:val="16"/>
          <w:i w:val="1"/>
          <w:iCs w:val="1"/>
          <w:color w:val="009FE3"/>
        </w:rPr>
        <w:t xml:space="preserve">Factors Considered in Determining Proposed Increase to Share Reserve. </w:t>
      </w:r>
      <w:r>
        <w:rPr>
          <w:rFonts w:ascii="Arial" w:cs="Arial" w:eastAsia="Arial" w:hAnsi="Arial"/>
          <w:sz w:val="16"/>
          <w:szCs w:val="16"/>
          <w:color w:val="202E39"/>
        </w:rPr>
        <w:t>In making its determination to approve the Restated Purchase Plan, our</w:t>
      </w:r>
      <w:r>
        <w:rPr>
          <w:rFonts w:ascii="Arial" w:cs="Arial" w:eastAsia="Arial" w:hAnsi="Arial"/>
          <w:sz w:val="16"/>
          <w:szCs w:val="16"/>
          <w:i w:val="1"/>
          <w:iCs w:val="1"/>
          <w:color w:val="009FE3"/>
        </w:rPr>
        <w:t xml:space="preserve"> </w:t>
      </w:r>
      <w:r>
        <w:rPr>
          <w:rFonts w:ascii="Arial" w:cs="Arial" w:eastAsia="Arial" w:hAnsi="Arial"/>
          <w:sz w:val="16"/>
          <w:szCs w:val="16"/>
          <w:color w:val="202E39"/>
        </w:rPr>
        <w:t>Board considered various factors in determining the appropriate number of shares to be added to the share reserve under the Purchase Plan, including an analysis of certain burn rate, dilution and overhang metrics and the costs of the increase in the share reserve.</w:t>
      </w:r>
    </w:p>
    <w:p>
      <w:pPr>
        <w:spacing w:after="0" w:line="113"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Our fiscal years 2021, 2020 and 2019 annual gross burn rates for the Purchase Plan were 0.96%, 0.50% and 0.48%, respectively (calculated by dividing the number of shares issued under the Purchase Plan during the applicable fiscal year by the weighted-average number of shares outstanding during such fiscal year). This represents a three-year average burn rate of 0.65% of common shares outstanding.</w:t>
      </w:r>
    </w:p>
    <w:p>
      <w:pPr>
        <w:spacing w:after="0" w:line="134"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In fiscal years 2021, 2020 and 2019, our fiscal year end overhang rates for the Purchase Plan were 0.49%, 1.57% and 0.82%, respectively (calculated by dividing the number of shares remaining available for issuance under the Purchase Plan by the number of our shares outstanding at the end of the applicable fiscal year). If approved, the issuance of the additional 2,500,000 shares reserved under the Restated Purchase Plan would dilute the holdings of stockholders by an additional 3.41%, based on the number of shares of Viasat common stock outstanding as of July 1, 2021.</w:t>
      </w:r>
    </w:p>
    <w:p>
      <w:pPr>
        <w:spacing w:after="0" w:line="135"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202E39"/>
        </w:rPr>
        <w:t>Based on this historical usage of shares under the Purchase Plan, we estimate that the additional authorized shares being requested under the Restated Purchase Plan would be sufficient for awards for approximately eight additional six-month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80010</wp:posOffset>
            </wp:positionV>
            <wp:extent cx="43688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660"/>
        <w:spacing w:after="0"/>
        <w:rPr>
          <w:sz w:val="20"/>
          <w:szCs w:val="20"/>
          <w:color w:val="auto"/>
        </w:rPr>
      </w:pPr>
      <w:r>
        <w:rPr>
          <w:rFonts w:ascii="Arial" w:cs="Arial" w:eastAsia="Arial" w:hAnsi="Arial"/>
          <w:sz w:val="14"/>
          <w:szCs w:val="14"/>
          <w:color w:val="009FE3"/>
        </w:rPr>
        <w:t xml:space="preserve">PROPOSAL 5 • </w:t>
      </w:r>
      <w:r>
        <w:rPr>
          <w:rFonts w:ascii="Arial" w:cs="Arial" w:eastAsia="Arial" w:hAnsi="Arial"/>
          <w:sz w:val="14"/>
          <w:szCs w:val="14"/>
          <w:color w:val="202E39"/>
        </w:rPr>
        <w:t>Amendment and Restatement of the Employee Stock Purchase Plan</w:t>
      </w:r>
    </w:p>
    <w:p>
      <w:pPr>
        <w:spacing w:after="0" w:line="147"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offering periods (or through approximately June 30, 2025; however, we reserve the right to request additional shares for issuance under the Restated Purchase Plan prior to that date). However, the actual usage rate of the Restated Purchase Plan may differ from historical usage rates and will depend on various factors, including employee participation levels, changes in our stock price and hiring activity, which we cannot predict with any degree of certainty at this time. The total aggregate equity value of the 2,500,000 additional shares being requested, based on the per share closing price of Viasat common stock on July 1, 2021 ($49.94), is approximately $124.9 million.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Summary of the Restated Purchase Plan</w:t>
      </w:r>
    </w:p>
    <w:p>
      <w:pPr>
        <w:spacing w:after="0" w:line="16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 xml:space="preserve">The following is a summary of the Restated Purchase Plan. This summary does not purport to be complete, and is qualified in its entirety by reference to the full text of the Restated Purchase Plan, a copy of which is attached as </w:t>
      </w:r>
      <w:r>
        <w:rPr>
          <w:rFonts w:ascii="Arial" w:cs="Arial" w:eastAsia="Arial" w:hAnsi="Arial"/>
          <w:sz w:val="16"/>
          <w:szCs w:val="16"/>
          <w:i w:val="1"/>
          <w:iCs w:val="1"/>
          <w:color w:val="202E39"/>
        </w:rPr>
        <w:t>Appendix B</w:t>
      </w:r>
      <w:r>
        <w:rPr>
          <w:rFonts w:ascii="Arial" w:cs="Arial" w:eastAsia="Arial" w:hAnsi="Arial"/>
          <w:sz w:val="16"/>
          <w:szCs w:val="16"/>
          <w:color w:val="202E39"/>
        </w:rPr>
        <w:t xml:space="preserve"> to this proxy statement.</w:t>
      </w:r>
    </w:p>
    <w:p>
      <w:pPr>
        <w:spacing w:after="0" w:line="112"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i w:val="1"/>
          <w:iCs w:val="1"/>
          <w:color w:val="009FE3"/>
        </w:rPr>
        <w:t xml:space="preserve">General Nature and Purpose. </w:t>
      </w:r>
      <w:r>
        <w:rPr>
          <w:rFonts w:ascii="Arial" w:cs="Arial" w:eastAsia="Arial" w:hAnsi="Arial"/>
          <w:sz w:val="16"/>
          <w:szCs w:val="16"/>
          <w:color w:val="202E39"/>
        </w:rPr>
        <w:t>The primary purpose of the Restated Purchase Plan is to provide employees an opportunity to participate in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ownership of the company by purchasing Viasat common stock through payroll deductions. The Restated Purchase Plan is intended to benefit Viasat as well as its stockholders and employees. The Restated Purchase Plan gives employees an opportunity to purchase shares of common stock at a discounted price. Employees make such purchases by participation in the regular offering periods under the Restated Purchase Plan. We believe that our stockholders correspondingly benefit from the increased interest on the part of participating employees in the profitability of the company. Finally, we benefit from the periodic investments of capital provided by participants in the Restated Purchase Plan.</w:t>
      </w:r>
    </w:p>
    <w:p>
      <w:pPr>
        <w:spacing w:after="0" w:line="121"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The Restated Purchase Plan has two components in order to give us increased flexibility in the granting of purchase rights under the Restated Purchase Plan to U.S. and to non-U.S. employees. Specifically, the Restated Purchase Plan authorizes the grant of purchase rights that are intended to qualify for favorable U.S. federal tax treatment under Section 423 of the Code (which we refer to as the Section 423 Component). To facilitate participation for employees located outside of the United States in light of non-U.S. law and other considerations, the Restated Purchase Plan also provides for the grant of purchase rights that are not intended to be tax-qualified under Section 423 of the Code (which we refer to as the Non-Section 423 Component). The plan administrator will designate offerings made under the Non-Section 423 Component and, except as otherwise noted below, the Section 423 Component and the Non-Section 423 Component generally will be operated and administered in the same way.</w:t>
      </w:r>
    </w:p>
    <w:p>
      <w:pPr>
        <w:spacing w:after="0" w:line="125"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i w:val="1"/>
          <w:iCs w:val="1"/>
          <w:color w:val="009FE3"/>
        </w:rPr>
        <w:t xml:space="preserve">Administration. </w:t>
      </w:r>
      <w:r>
        <w:rPr>
          <w:rFonts w:ascii="Arial" w:cs="Arial" w:eastAsia="Arial" w:hAnsi="Arial"/>
          <w:sz w:val="16"/>
          <w:szCs w:val="16"/>
          <w:color w:val="202E39"/>
        </w:rPr>
        <w:t>The Restated Purchase Plan will be administered by the Compensation and Human Resources Committee. Subject to the provisions of</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Purchase Plan, the plan administrator determines the terms and conditions of the offerings under the Restated Purchase Plan; provided, however, that all participants granted purchase rights in an offering which are intended to comply with Section 423 of the Code will have the same rights and privileges within the meaning of Section 423 of the Code. For purposes of the Restated Purchase Plan, the plan administrator may designate separate offerings under the Restated Purchase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w:t>
      </w:r>
    </w:p>
    <w:p>
      <w:pPr>
        <w:spacing w:after="0" w:line="135"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The plan administrator may adopt sub-plans, appendices, rules and procedures relating to the operation and administration of the Restated Purchase Plan to facilitate participation in the Restated Purchase Plan by employees who are foreign nationals or employed outside the United States. To the extent any sub-plan is inconsistent with the requirements of Section 423 of the Code, it will be considered part of the Non-Section 423 Component. The provisions of the Restated Purchase Plan will govern any sub-plan unless superseded by the terms of such sub-plan.</w:t>
      </w:r>
    </w:p>
    <w:p>
      <w:pPr>
        <w:spacing w:after="0" w:line="10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Shares Subject to Restated Purchase Plan. </w:t>
      </w:r>
      <w:r>
        <w:rPr>
          <w:rFonts w:ascii="Arial" w:cs="Arial" w:eastAsia="Arial" w:hAnsi="Arial"/>
          <w:sz w:val="16"/>
          <w:szCs w:val="16"/>
          <w:color w:val="202E39"/>
        </w:rPr>
        <w:t>Prior to the effectiveness of the Restated Purchase Plan on July 1, 2021, the existing Purchase Plan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provided for the issuance of up to 4,450,000 shares of our common stock (of which 25,079 shares remained available for issuance after giving effect to the purchase date that occurred on June 30, 2021). If this Proposal 5 is approved, the Restated Purchase Plan will provide for the issuance of up to 6,950,000 shares of our common stock. Under the terms of the Restated Purchase Plan, the shares available for issuance may be issued under either the Section 423 Component or the Non-Section 423 Component, and any such shares issued may consist of treasury shares or authorized and unissued shares or shares bought on the market for purposes of the plan.</w:t>
      </w:r>
    </w:p>
    <w:p>
      <w:pPr>
        <w:spacing w:after="0" w:line="119"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Eligibility. </w:t>
      </w:r>
      <w:r>
        <w:rPr>
          <w:rFonts w:ascii="Arial" w:cs="Arial" w:eastAsia="Arial" w:hAnsi="Arial"/>
          <w:sz w:val="16"/>
          <w:szCs w:val="16"/>
          <w:color w:val="202E39"/>
        </w:rPr>
        <w:t>Only employees may participate in the Restated Purchase Plan. For this purpose, an “employee” is any person who is regularly employed by</w:t>
      </w:r>
      <w:r>
        <w:rPr>
          <w:rFonts w:ascii="Arial" w:cs="Arial" w:eastAsia="Arial" w:hAnsi="Arial"/>
          <w:sz w:val="16"/>
          <w:szCs w:val="16"/>
          <w:i w:val="1"/>
          <w:iCs w:val="1"/>
          <w:color w:val="009FE3"/>
        </w:rPr>
        <w:t xml:space="preserve"> </w:t>
      </w:r>
      <w:r>
        <w:rPr>
          <w:rFonts w:ascii="Arial" w:cs="Arial" w:eastAsia="Arial" w:hAnsi="Arial"/>
          <w:sz w:val="16"/>
          <w:szCs w:val="16"/>
          <w:color w:val="202E39"/>
        </w:rPr>
        <w:t>Viasat or any of its majority-owned subsidiaries which have been designated by the Board as participating companies under the Restated Purchase Plan and who has been employed by a participating company for not less than five calendar days prior to the beginning of an offering period. No employee will be permitted to subscribe for shares under the Restated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31</w:t>
            </w:r>
          </w:p>
        </w:tc>
      </w:tr>
    </w:tbl>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5 </w:t>
      </w:r>
      <w:r>
        <w:rPr>
          <w:rFonts w:ascii="Arial" w:cs="Arial" w:eastAsia="Arial" w:hAnsi="Arial"/>
          <w:sz w:val="14"/>
          <w:szCs w:val="14"/>
          <w:color w:val="009FE3"/>
        </w:rPr>
        <w:t>• Amendment and Restatement of the Employee Stock Purchase Plan</w:t>
      </w:r>
    </w:p>
    <w:p>
      <w:pPr>
        <w:spacing w:after="0" w:line="147"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202E39"/>
        </w:rPr>
        <w:t>than $25,000 worth of stock under the Restated Purchase Plan (valued at the time such purchase right is granted) for each calendar year during which such purchase right is outstanding. An employee may purchase up to 100,000 shares during an offering period under the Restated Purchase Plan. Participation in the Section 423 Component is further subject to the eligibility requirements of Section 423 of the Code.</w:t>
      </w:r>
    </w:p>
    <w:p>
      <w:pPr>
        <w:spacing w:after="0" w:line="13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202E39"/>
        </w:rPr>
        <w:t>If the grant of a purchase right under the Restated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Restated Purchase Plan to violate the requirements of Section 423 of the Code, as determined by the Compensation and Human Resources Committee in its sole discretion, such employee will not be permitted to participate in the Section 423 Component of the Restated Purchase Plan.</w:t>
      </w:r>
    </w:p>
    <w:p>
      <w:pPr>
        <w:spacing w:after="0" w:line="135"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In addition, with respect to the Non-Section 423 Component, all of the foregoing rules will apply in determining who is an eligible employee, except (1) the plan administrator may limit eligibility further within a participating company so as to only designate some employees of a participating company as eligible employees, or (2) to the extent such eligibility rules are not consistent with applicable local laws.</w:t>
      </w:r>
    </w:p>
    <w:p>
      <w:pPr>
        <w:spacing w:after="0" w:line="120"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202E39"/>
        </w:rPr>
        <w:t>As of July 1, 2021, there were approximately 5,900 employees eligible to participate in the Restated Purchase Plan, of whom approximately 3,600 were participating.</w:t>
      </w:r>
    </w:p>
    <w:p>
      <w:pPr>
        <w:spacing w:after="0" w:line="112" w:lineRule="exact"/>
        <w:rPr>
          <w:sz w:val="20"/>
          <w:szCs w:val="20"/>
          <w:color w:val="auto"/>
        </w:rPr>
      </w:pPr>
    </w:p>
    <w:p>
      <w:pPr>
        <w:ind w:left="120" w:right="220"/>
        <w:spacing w:after="0" w:line="263" w:lineRule="auto"/>
        <w:rPr>
          <w:sz w:val="20"/>
          <w:szCs w:val="20"/>
          <w:color w:val="auto"/>
        </w:rPr>
      </w:pPr>
      <w:r>
        <w:rPr>
          <w:rFonts w:ascii="Arial" w:cs="Arial" w:eastAsia="Arial" w:hAnsi="Arial"/>
          <w:sz w:val="16"/>
          <w:szCs w:val="16"/>
          <w:i w:val="1"/>
          <w:iCs w:val="1"/>
          <w:color w:val="009FE3"/>
        </w:rPr>
        <w:t xml:space="preserve">Offering Periods. </w:t>
      </w:r>
      <w:r>
        <w:rPr>
          <w:rFonts w:ascii="Arial" w:cs="Arial" w:eastAsia="Arial" w:hAnsi="Arial"/>
          <w:sz w:val="16"/>
          <w:szCs w:val="16"/>
          <w:color w:val="202E39"/>
        </w:rPr>
        <w:t>There is generally one offering period under the Restated Purchase Plan during each six-month period commencing January 1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July 1 of each year of the Restated Purchase Plan. The current offering period will end on December 31, 2021. The first day of an offering period is referred to as the Grant Date. The last trading day of an offering period is referred to as the Exercise Date.</w:t>
      </w:r>
    </w:p>
    <w:p>
      <w:pPr>
        <w:spacing w:after="0" w:line="111" w:lineRule="exact"/>
        <w:rPr>
          <w:sz w:val="20"/>
          <w:szCs w:val="20"/>
          <w:color w:val="auto"/>
        </w:rPr>
      </w:pPr>
    </w:p>
    <w:p>
      <w:pPr>
        <w:ind w:left="120" w:right="140"/>
        <w:spacing w:after="0" w:line="255" w:lineRule="auto"/>
        <w:rPr>
          <w:sz w:val="20"/>
          <w:szCs w:val="20"/>
          <w:color w:val="auto"/>
        </w:rPr>
      </w:pPr>
      <w:r>
        <w:rPr>
          <w:rFonts w:ascii="Arial" w:cs="Arial" w:eastAsia="Arial" w:hAnsi="Arial"/>
          <w:sz w:val="16"/>
          <w:szCs w:val="16"/>
          <w:i w:val="1"/>
          <w:iCs w:val="1"/>
          <w:color w:val="009FE3"/>
        </w:rPr>
        <w:t xml:space="preserve">Purchase Price. </w:t>
      </w:r>
      <w:r>
        <w:rPr>
          <w:rFonts w:ascii="Arial" w:cs="Arial" w:eastAsia="Arial" w:hAnsi="Arial"/>
          <w:sz w:val="16"/>
          <w:szCs w:val="16"/>
          <w:color w:val="202E39"/>
        </w:rPr>
        <w:t>The purchase price per share at which shares will be sold in an offering under the Restated Purchase Plan is the lower of (1) 85% of</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fair market value of a share of Viasat common stock on the Grant Date or (2) 85% of the fair market value of a share of Viasat common stock on the Exercise Date. The fair market value per share of Viasat common stock on a given date is the closing price as reported by Nasdaq on such date or, if shares are not traded on such date, then on the most recent trading day during which a sale occurred. On July 1, 2021, the closing price of Viasat common stock on the Nasdaq Global Select Market was $49.94 per share.</w:t>
      </w:r>
    </w:p>
    <w:p>
      <w:pPr>
        <w:spacing w:after="0" w:line="10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i w:val="1"/>
          <w:iCs w:val="1"/>
          <w:color w:val="009FE3"/>
        </w:rPr>
        <w:t xml:space="preserve">Payment of Purchase Price; Payroll Deductions. </w:t>
      </w:r>
      <w:r>
        <w:rPr>
          <w:rFonts w:ascii="Arial" w:cs="Arial" w:eastAsia="Arial" w:hAnsi="Arial"/>
          <w:sz w:val="16"/>
          <w:szCs w:val="16"/>
          <w:color w:val="202E39"/>
        </w:rPr>
        <w:t>The purchase price of the shares is generally accumulated by payroll deductions over the offering</w:t>
      </w:r>
      <w:r>
        <w:rPr>
          <w:rFonts w:ascii="Arial" w:cs="Arial" w:eastAsia="Arial" w:hAnsi="Arial"/>
          <w:sz w:val="16"/>
          <w:szCs w:val="16"/>
          <w:i w:val="1"/>
          <w:iCs w:val="1"/>
          <w:color w:val="009FE3"/>
        </w:rPr>
        <w:t xml:space="preserve"> </w:t>
      </w:r>
      <w:r>
        <w:rPr>
          <w:rFonts w:ascii="Arial" w:cs="Arial" w:eastAsia="Arial" w:hAnsi="Arial"/>
          <w:sz w:val="16"/>
          <w:szCs w:val="16"/>
          <w:color w:val="202E39"/>
        </w:rPr>
        <w:t>period unless payroll deductions are not permitted in a jurisdiction outside the United States. Each participant may authorize automatic payroll deductions in any multiple of 1% (up to a maximum of 5%) of his or her eligible compensation during the offering period. All payroll deductions made for a participant are credited to the participant’s account under the Restated Purchase Plan and are included with the general funds of Viasat, unless the funds for non-U.S. participants must be segregated and held in a separate account. Funds received upon sales of stock under the Restated Purchase Plan are used for general corporate purposes. Any payroll deductions not applied to the purchase of shares during an offering period due to volume purchase limitations contained in the Restated Purchase Plan and any cash in lieu of fractional shares remaining after the purchase of whole shares during an offering period will be refunded to the participant.</w:t>
      </w:r>
    </w:p>
    <w:p>
      <w:pPr>
        <w:spacing w:after="0" w:line="121" w:lineRule="exact"/>
        <w:rPr>
          <w:sz w:val="20"/>
          <w:szCs w:val="20"/>
          <w:color w:val="auto"/>
        </w:rPr>
      </w:pPr>
    </w:p>
    <w:p>
      <w:pPr>
        <w:ind w:left="120" w:right="400"/>
        <w:spacing w:after="0" w:line="263" w:lineRule="auto"/>
        <w:rPr>
          <w:sz w:val="20"/>
          <w:szCs w:val="20"/>
          <w:color w:val="auto"/>
        </w:rPr>
      </w:pPr>
      <w:r>
        <w:rPr>
          <w:rFonts w:ascii="Arial" w:cs="Arial" w:eastAsia="Arial" w:hAnsi="Arial"/>
          <w:sz w:val="16"/>
          <w:szCs w:val="16"/>
          <w:i w:val="1"/>
          <w:iCs w:val="1"/>
          <w:color w:val="009FE3"/>
        </w:rPr>
        <w:t xml:space="preserve">Withdrawal. </w:t>
      </w:r>
      <w:r>
        <w:rPr>
          <w:rFonts w:ascii="Arial" w:cs="Arial" w:eastAsia="Arial" w:hAnsi="Arial"/>
          <w:sz w:val="16"/>
          <w:szCs w:val="16"/>
          <w:color w:val="202E39"/>
        </w:rPr>
        <w:t>A participant may terminate his or her interest in a given offering by signing and delivering a notice of withdrawal from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Purchase Plan at least such number of days prior to the Exercise Date of the applicable offering period as is prescribed by the plan administrator for withdrawals.</w:t>
      </w:r>
    </w:p>
    <w:p>
      <w:pPr>
        <w:spacing w:after="0" w:line="111"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i w:val="1"/>
          <w:iCs w:val="1"/>
          <w:color w:val="009FE3"/>
        </w:rPr>
        <w:t xml:space="preserve">Termination of Employment. </w:t>
      </w:r>
      <w:r>
        <w:rPr>
          <w:rFonts w:ascii="Arial" w:cs="Arial" w:eastAsia="Arial" w:hAnsi="Arial"/>
          <w:sz w:val="16"/>
          <w:szCs w:val="16"/>
          <w:color w:val="202E39"/>
        </w:rPr>
        <w:t>Termination of a participant’s employment for any reason, including retirement, cancels his or her participation in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Restated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 Restated Purchase Plan, but may result in the participant participating in a different offering under the Restated 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Exercise Date, the participant’s right to purchase shares under the Restated Purchase Plan will be deemed to have been exercised on the Exercise Date.</w:t>
      </w:r>
    </w:p>
    <w:p>
      <w:pPr>
        <w:spacing w:after="0" w:line="108" w:lineRule="exact"/>
        <w:rPr>
          <w:sz w:val="20"/>
          <w:szCs w:val="20"/>
          <w:color w:val="auto"/>
        </w:rPr>
      </w:pPr>
    </w:p>
    <w:p>
      <w:pPr>
        <w:ind w:left="120" w:right="80"/>
        <w:spacing w:after="0" w:line="255" w:lineRule="auto"/>
        <w:rPr>
          <w:sz w:val="20"/>
          <w:szCs w:val="20"/>
          <w:color w:val="auto"/>
        </w:rPr>
      </w:pPr>
      <w:r>
        <w:rPr>
          <w:rFonts w:ascii="Arial" w:cs="Arial" w:eastAsia="Arial" w:hAnsi="Arial"/>
          <w:sz w:val="16"/>
          <w:szCs w:val="16"/>
          <w:i w:val="1"/>
          <w:iCs w:val="1"/>
          <w:color w:val="009FE3"/>
        </w:rPr>
        <w:t xml:space="preserve">Share Proration. </w:t>
      </w:r>
      <w:r>
        <w:rPr>
          <w:rFonts w:ascii="Arial" w:cs="Arial" w:eastAsia="Arial" w:hAnsi="Arial"/>
          <w:sz w:val="16"/>
          <w:szCs w:val="16"/>
          <w:color w:val="202E39"/>
        </w:rPr>
        <w:t>Should the total number of shares of Viasat common stock which are to be purchased under outstanding purchase rights on any</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Date exceed (1) the number of shares then available for issuance under the Restated Purchase Plan or (2) the number of shares available for issuance under the Restated Purchase Plan as of the commencement of that offering period, the Compensation and Human Resources Committee may make a pro rata allocation of the available shares in as nearly a uniform manner as possible, and the payroll deductions of each participant (to the extent in excess of the aggregate purchase price payable for the Viasat common stock prorated to such individual) will be refunded to such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82550</wp:posOffset>
            </wp:positionV>
            <wp:extent cx="4368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660"/>
        <w:spacing w:after="0"/>
        <w:rPr>
          <w:sz w:val="20"/>
          <w:szCs w:val="20"/>
          <w:color w:val="auto"/>
        </w:rPr>
      </w:pPr>
      <w:r>
        <w:rPr>
          <w:rFonts w:ascii="Arial" w:cs="Arial" w:eastAsia="Arial" w:hAnsi="Arial"/>
          <w:sz w:val="14"/>
          <w:szCs w:val="14"/>
          <w:color w:val="009FE3"/>
        </w:rPr>
        <w:t xml:space="preserve">PROPOSAL 5 • </w:t>
      </w:r>
      <w:r>
        <w:rPr>
          <w:rFonts w:ascii="Arial" w:cs="Arial" w:eastAsia="Arial" w:hAnsi="Arial"/>
          <w:sz w:val="14"/>
          <w:szCs w:val="14"/>
          <w:color w:val="202E39"/>
        </w:rPr>
        <w:t>Amendment and Restatement of the Employee Stock Purchase Plan</w:t>
      </w:r>
    </w:p>
    <w:p>
      <w:pPr>
        <w:spacing w:after="0" w:line="13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6"/>
          <w:szCs w:val="16"/>
          <w:i w:val="1"/>
          <w:iCs w:val="1"/>
          <w:color w:val="009FE3"/>
        </w:rPr>
        <w:t xml:space="preserve">Capital Changes. </w:t>
      </w:r>
      <w:r>
        <w:rPr>
          <w:rFonts w:ascii="Arial" w:cs="Arial" w:eastAsia="Arial" w:hAnsi="Arial"/>
          <w:sz w:val="16"/>
          <w:szCs w:val="16"/>
          <w:color w:val="202E39"/>
        </w:rPr>
        <w:t>In the event of any changes in our capitalization, such as stock splits, stock dividends, recapitalizations or combinations, resulting in</w:t>
      </w:r>
      <w:r>
        <w:rPr>
          <w:rFonts w:ascii="Arial" w:cs="Arial" w:eastAsia="Arial" w:hAnsi="Arial"/>
          <w:sz w:val="16"/>
          <w:szCs w:val="16"/>
          <w:i w:val="1"/>
          <w:iCs w:val="1"/>
          <w:color w:val="009FE3"/>
        </w:rPr>
        <w:t xml:space="preserve"> </w:t>
      </w:r>
      <w:r>
        <w:rPr>
          <w:rFonts w:ascii="Arial" w:cs="Arial" w:eastAsia="Arial" w:hAnsi="Arial"/>
          <w:sz w:val="16"/>
          <w:szCs w:val="16"/>
          <w:color w:val="202E39"/>
        </w:rPr>
        <w:t>an increase or decrease in the number of outstanding shares of common stock, appropriate adjustments will be made in the shares subject to purchase and in the price per share under the Restated Purchase Plan.</w:t>
      </w:r>
    </w:p>
    <w:p>
      <w:pPr>
        <w:spacing w:after="0" w:line="111" w:lineRule="exact"/>
        <w:rPr>
          <w:sz w:val="20"/>
          <w:szCs w:val="20"/>
          <w:color w:val="auto"/>
        </w:rPr>
      </w:pPr>
    </w:p>
    <w:p>
      <w:pPr>
        <w:ind w:left="120" w:right="40"/>
        <w:spacing w:after="0" w:line="255" w:lineRule="auto"/>
        <w:rPr>
          <w:sz w:val="20"/>
          <w:szCs w:val="20"/>
          <w:color w:val="auto"/>
        </w:rPr>
      </w:pPr>
      <w:r>
        <w:rPr>
          <w:rFonts w:ascii="Arial" w:cs="Arial" w:eastAsia="Arial" w:hAnsi="Arial"/>
          <w:sz w:val="16"/>
          <w:szCs w:val="16"/>
          <w:i w:val="1"/>
          <w:iCs w:val="1"/>
          <w:color w:val="009FE3"/>
        </w:rPr>
        <w:t xml:space="preserve">Effect of Liquidation, Dissolution, Sale of Assets or Merger. </w:t>
      </w:r>
      <w:r>
        <w:rPr>
          <w:rFonts w:ascii="Arial" w:cs="Arial" w:eastAsia="Arial" w:hAnsi="Arial"/>
          <w:sz w:val="16"/>
          <w:szCs w:val="16"/>
          <w:color w:val="202E39"/>
        </w:rPr>
        <w:t>In the event of liquidation, dissolution, merger, consolidation or sale of all or substantially all</w:t>
      </w:r>
      <w:r>
        <w:rPr>
          <w:rFonts w:ascii="Arial" w:cs="Arial" w:eastAsia="Arial" w:hAnsi="Arial"/>
          <w:sz w:val="16"/>
          <w:szCs w:val="16"/>
          <w:i w:val="1"/>
          <w:iCs w:val="1"/>
          <w:color w:val="009FE3"/>
        </w:rPr>
        <w:t xml:space="preserve"> </w:t>
      </w:r>
      <w:r>
        <w:rPr>
          <w:rFonts w:ascii="Arial" w:cs="Arial" w:eastAsia="Arial" w:hAnsi="Arial"/>
          <w:sz w:val="16"/>
          <w:szCs w:val="16"/>
          <w:color w:val="202E39"/>
        </w:rPr>
        <w:t>of the assets of Viasat or 50% or more of Viasat’s then outstanding voting stock, the Exercise Date with respect to the current offering period will be the business day immediately preceding the effective date of such event (or such other prior date determined by the Compensation and Human Resources Committee), unless the Compensation and Human Resources Committee provides for the assumption or substitution of such rights to purchase shares of common stock under the Restated Purchase Plan.</w:t>
      </w:r>
    </w:p>
    <w:p>
      <w:pPr>
        <w:spacing w:after="0" w:line="116"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Amendment and Termination of the Restated Purchase Plan. </w:t>
      </w:r>
      <w:r>
        <w:rPr>
          <w:rFonts w:ascii="Arial" w:cs="Arial" w:eastAsia="Arial" w:hAnsi="Arial"/>
          <w:sz w:val="16"/>
          <w:szCs w:val="16"/>
          <w:color w:val="202E39"/>
        </w:rPr>
        <w:t>The Restated Purchase Plan may be wholly or partially amended or otherwise modified,</w:t>
      </w:r>
      <w:r>
        <w:rPr>
          <w:rFonts w:ascii="Arial" w:cs="Arial" w:eastAsia="Arial" w:hAnsi="Arial"/>
          <w:sz w:val="16"/>
          <w:szCs w:val="16"/>
          <w:i w:val="1"/>
          <w:iCs w:val="1"/>
          <w:color w:val="009FE3"/>
        </w:rPr>
        <w:t xml:space="preserve"> </w:t>
      </w:r>
      <w:r>
        <w:rPr>
          <w:rFonts w:ascii="Arial" w:cs="Arial" w:eastAsia="Arial" w:hAnsi="Arial"/>
          <w:sz w:val="16"/>
          <w:szCs w:val="16"/>
          <w:color w:val="202E39"/>
        </w:rPr>
        <w:t>suspended or terminated at any time or from time to time by our Board. However, without approval of our stockholders, the Restated Purchase Plan may not be amended to (1) change the number or type of shares of common stock reserved for issuance under the Restated Purchase Plan, (2) decrease the purchase price of common stock issued under the Restated Purchase Plan below a price computed in accordance with the applicable provisions of the Restated Purchase Plan, (3) alter the requirements for eligibility to participate in the Restated Purchase Plan, or (4) amend the Restated Purchase Plan in any manner which would cause the Section 423 Component of the Restated Purchase Plan to no longer be an “employee stock purchase plan” within the meaning of the Code.</w:t>
      </w:r>
    </w:p>
    <w:p>
      <w:pPr>
        <w:spacing w:after="0" w:line="106"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Purchase Plan is intended to conform to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6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 following is a general summary under current law of the material U.S. federal income tax consequences to an employee who participates in the Restated Purchase Plan.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As described above, the Restated Purchase Plan has a Section 423 Component and a Non-Section 423 Component. The tax consequences for a U.S.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taxpayer will depend on whether he or she participates in the Section 423 Component or the Non-Section 423 Component.</w:t>
      </w:r>
    </w:p>
    <w:p>
      <w:pPr>
        <w:spacing w:after="0" w:line="124"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i w:val="1"/>
          <w:iCs w:val="1"/>
          <w:color w:val="009FE3"/>
        </w:rPr>
        <w:t xml:space="preserve">Tax Consequences to U.S. Participants in the Section 423 Component. </w:t>
      </w:r>
      <w:r>
        <w:rPr>
          <w:rFonts w:ascii="Arial" w:cs="Arial" w:eastAsia="Arial" w:hAnsi="Arial"/>
          <w:sz w:val="16"/>
          <w:szCs w:val="16"/>
          <w:color w:val="202E39"/>
        </w:rPr>
        <w:t>The right of participants to make purchases under the Section 423 Component</w:t>
      </w:r>
      <w:r>
        <w:rPr>
          <w:rFonts w:ascii="Arial" w:cs="Arial" w:eastAsia="Arial" w:hAnsi="Arial"/>
          <w:sz w:val="16"/>
          <w:szCs w:val="16"/>
          <w:i w:val="1"/>
          <w:iCs w:val="1"/>
          <w:color w:val="009FE3"/>
        </w:rPr>
        <w:t xml:space="preserve"> </w:t>
      </w:r>
      <w:r>
        <w:rPr>
          <w:rFonts w:ascii="Arial" w:cs="Arial" w:eastAsia="Arial" w:hAnsi="Arial"/>
          <w:sz w:val="16"/>
          <w:szCs w:val="16"/>
          <w:color w:val="202E39"/>
        </w:rPr>
        <w:t>are intended to qualify under the provisions of Section 423 of the Code. Under the applicable Code provisions, no income will be taxable to a participant until the sale or other disposition of the shares purchased under the Restated Purchase Plan.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w:t>
      </w:r>
    </w:p>
    <w:p>
      <w:pPr>
        <w:ind w:left="120" w:right="120" w:hanging="4"/>
        <w:spacing w:after="0" w:line="251" w:lineRule="auto"/>
        <w:tabs>
          <w:tab w:leader="none" w:pos="363" w:val="left"/>
        </w:tabs>
        <w:numPr>
          <w:ilvl w:val="0"/>
          <w:numId w:val="24"/>
        </w:numPr>
        <w:rPr>
          <w:rFonts w:ascii="Arial" w:cs="Arial" w:eastAsia="Arial" w:hAnsi="Arial"/>
          <w:sz w:val="16"/>
          <w:szCs w:val="16"/>
          <w:color w:val="202E39"/>
        </w:rPr>
      </w:pPr>
      <w:r>
        <w:rPr>
          <w:rFonts w:ascii="Arial" w:cs="Arial" w:eastAsia="Arial" w:hAnsi="Arial"/>
          <w:sz w:val="16"/>
          <w:szCs w:val="16"/>
          <w:color w:val="202E39"/>
        </w:rPr>
        <w:t>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35"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w:t>
      </w:r>
    </w:p>
    <w:p>
      <w:pPr>
        <w:spacing w:after="0" w:line="135"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202E39"/>
        </w:rPr>
        <w:t>We are not entitled to a deduction for amounts taxed as ordinary income or capital gain to a participant except to the extent of ordinary income recognized upon a sale or disposition of shares prior to the expiration of the holding periods described above.</w:t>
      </w:r>
    </w:p>
    <w:p>
      <w:pPr>
        <w:spacing w:after="0" w:line="113"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33</w:t>
            </w: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PROPOSAL 5 </w:t>
      </w:r>
      <w:r>
        <w:rPr>
          <w:rFonts w:ascii="Arial" w:cs="Arial" w:eastAsia="Arial" w:hAnsi="Arial"/>
          <w:sz w:val="14"/>
          <w:szCs w:val="14"/>
          <w:color w:val="009FE3"/>
        </w:rPr>
        <w:t>• Amendment and Restatement of the Employee Stock Purchase Plan</w:t>
      </w:r>
    </w:p>
    <w:p>
      <w:pPr>
        <w:spacing w:after="0" w:line="131" w:lineRule="exact"/>
        <w:rPr>
          <w:sz w:val="20"/>
          <w:szCs w:val="20"/>
          <w:color w:val="auto"/>
        </w:rPr>
      </w:pPr>
    </w:p>
    <w:p>
      <w:pPr>
        <w:ind w:left="120" w:right="920"/>
        <w:spacing w:after="0" w:line="281" w:lineRule="auto"/>
        <w:rPr>
          <w:sz w:val="20"/>
          <w:szCs w:val="20"/>
          <w:color w:val="auto"/>
        </w:rPr>
      </w:pPr>
      <w:r>
        <w:rPr>
          <w:rFonts w:ascii="Arial" w:cs="Arial" w:eastAsia="Arial" w:hAnsi="Arial"/>
          <w:sz w:val="16"/>
          <w:szCs w:val="16"/>
          <w:i w:val="1"/>
          <w:iCs w:val="1"/>
          <w:color w:val="009FE3"/>
        </w:rPr>
        <w:t xml:space="preserve">Tax Consequences to U.S. Participants in the Non-Section 423 Component. </w:t>
      </w:r>
      <w:r>
        <w:rPr>
          <w:rFonts w:ascii="Arial" w:cs="Arial" w:eastAsia="Arial" w:hAnsi="Arial"/>
          <w:sz w:val="16"/>
          <w:szCs w:val="16"/>
          <w:color w:val="202E39"/>
        </w:rPr>
        <w:t>A U.S. participant in the Non-Section 423 Component will have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income equal to the value of the common stock on the day he or she purchased the common stock less the purchase price.</w:t>
      </w:r>
    </w:p>
    <w:p>
      <w:pPr>
        <w:spacing w:after="0" w:line="112" w:lineRule="exact"/>
        <w:rPr>
          <w:sz w:val="20"/>
          <w:szCs w:val="20"/>
          <w:color w:val="auto"/>
        </w:rPr>
      </w:pPr>
    </w:p>
    <w:p>
      <w:pPr>
        <w:ind w:left="120" w:right="200"/>
        <w:spacing w:after="0" w:line="246" w:lineRule="auto"/>
        <w:rPr>
          <w:sz w:val="20"/>
          <w:szCs w:val="20"/>
          <w:color w:val="auto"/>
        </w:rPr>
      </w:pPr>
      <w:r>
        <w:rPr>
          <w:rFonts w:ascii="Arial" w:cs="Arial" w:eastAsia="Arial" w:hAnsi="Arial"/>
          <w:sz w:val="16"/>
          <w:szCs w:val="16"/>
          <w:color w:val="202E39"/>
        </w:rPr>
        <w:t>When a participant sells the common stock he or she purchased under the Non-Section 423 Component of the Restated Purchase Plan, he or she also will have a capital gain or loss equal to the difference between the sales proceeds and the value</w:t>
      </w:r>
    </w:p>
    <w:p>
      <w:pPr>
        <w:spacing w:after="0" w:line="1"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202E39"/>
        </w:rPr>
        <w:t>of the common stock on the day he or she purchased it. This capital gain or loss will be long-term if the participant held the common stock for more than one year and otherwise will be short-term.</w:t>
      </w:r>
    </w:p>
    <w:p>
      <w:pPr>
        <w:spacing w:after="0" w:line="128"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202E39"/>
        </w:rPr>
        <w:t>Any compensation income that a participant receives upon the purchase of shares of common stock under the Non-Section 423 Component of the Restated Purchase Plan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w:t>
      </w:r>
    </w:p>
    <w:p>
      <w:pPr>
        <w:spacing w:after="0" w:line="121"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202E39"/>
        </w:rPr>
        <w:t>We are entitled to a deduction for amounts taxed as ordinary income to a participant to the extent of ordinary income recognized upon a purchase made under the Non-Section 423 Component.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New Plan Benefits</w:t>
      </w:r>
    </w:p>
    <w:p>
      <w:pPr>
        <w:spacing w:after="0" w:line="164" w:lineRule="exact"/>
        <w:rPr>
          <w:sz w:val="20"/>
          <w:szCs w:val="20"/>
          <w:color w:val="auto"/>
        </w:rPr>
      </w:pPr>
    </w:p>
    <w:p>
      <w:pPr>
        <w:jc w:val="both"/>
        <w:ind w:left="120" w:right="720"/>
        <w:spacing w:after="0" w:line="251" w:lineRule="auto"/>
        <w:rPr>
          <w:sz w:val="20"/>
          <w:szCs w:val="20"/>
          <w:color w:val="auto"/>
        </w:rPr>
      </w:pPr>
      <w:r>
        <w:rPr>
          <w:rFonts w:ascii="Arial" w:cs="Arial" w:eastAsia="Arial" w:hAnsi="Arial"/>
          <w:sz w:val="16"/>
          <w:szCs w:val="16"/>
          <w:color w:val="202E39"/>
        </w:rPr>
        <w:t>Because the number of shares that may be purchased under the Restated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share reserve increase for which stockholder approval is sought under this Proposal 5.</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Plan Benefits under the Existing Purchase Plan</w:t>
      </w:r>
    </w:p>
    <w:p>
      <w:pPr>
        <w:spacing w:after="0" w:line="164"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202E39"/>
        </w:rPr>
        <w:t>For illustrative purposes only, the following table sets forth (1) the number of shares of Viasat common stock that were purchased under the Purchase Plan during the 2021 fiscal year, and (2) the aggregate purchase price paid, for the individuals and groups identified below:</w:t>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7180" w:type="dxa"/>
            <w:vAlign w:val="bottom"/>
            <w:tcBorders>
              <w:top w:val="single" w:sz="8" w:color="E8EAEB"/>
              <w:right w:val="single" w:sz="8" w:color="E8EAEB"/>
            </w:tcBorders>
          </w:tcPr>
          <w:p>
            <w:pPr>
              <w:spacing w:after="0"/>
              <w:rPr>
                <w:sz w:val="15"/>
                <w:szCs w:val="15"/>
                <w:color w:val="auto"/>
              </w:rPr>
            </w:pPr>
          </w:p>
        </w:tc>
        <w:tc>
          <w:tcPr>
            <w:tcW w:w="1740" w:type="dxa"/>
            <w:vAlign w:val="bottom"/>
            <w:tcBorders>
              <w:top w:val="single" w:sz="8" w:color="E8EAEB"/>
              <w:right w:val="single" w:sz="8" w:color="E8EAEB"/>
            </w:tcBorders>
          </w:tcPr>
          <w:p>
            <w:pPr>
              <w:jc w:val="right"/>
              <w:ind w:right="201"/>
              <w:spacing w:after="0"/>
              <w:rPr>
                <w:sz w:val="20"/>
                <w:szCs w:val="20"/>
                <w:color w:val="auto"/>
              </w:rPr>
            </w:pPr>
            <w:r>
              <w:rPr>
                <w:rFonts w:ascii="Arial" w:cs="Arial" w:eastAsia="Arial" w:hAnsi="Arial"/>
                <w:sz w:val="14"/>
                <w:szCs w:val="14"/>
                <w:b w:val="1"/>
                <w:bCs w:val="1"/>
                <w:color w:val="009FE3"/>
              </w:rPr>
              <w:t>Number of Shares</w:t>
            </w:r>
          </w:p>
        </w:tc>
        <w:tc>
          <w:tcPr>
            <w:tcW w:w="2100" w:type="dxa"/>
            <w:vAlign w:val="bottom"/>
            <w:tcBorders>
              <w:top w:val="single" w:sz="8" w:color="E8EAEB"/>
            </w:tcBorders>
          </w:tcPr>
          <w:p>
            <w:pPr>
              <w:jc w:val="right"/>
              <w:ind w:right="281"/>
              <w:spacing w:after="0"/>
              <w:rPr>
                <w:sz w:val="20"/>
                <w:szCs w:val="20"/>
                <w:color w:val="auto"/>
              </w:rPr>
            </w:pPr>
            <w:r>
              <w:rPr>
                <w:rFonts w:ascii="Arial" w:cs="Arial" w:eastAsia="Arial" w:hAnsi="Arial"/>
                <w:sz w:val="14"/>
                <w:szCs w:val="14"/>
                <w:b w:val="1"/>
                <w:bCs w:val="1"/>
                <w:color w:val="009FE3"/>
              </w:rPr>
              <w:t>Aggregate Purchase</w:t>
            </w:r>
          </w:p>
        </w:tc>
      </w:tr>
      <w:tr>
        <w:trPr>
          <w:trHeight w:val="196"/>
        </w:trPr>
        <w:tc>
          <w:tcPr>
            <w:tcW w:w="71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or Group</w:t>
            </w:r>
          </w:p>
        </w:tc>
        <w:tc>
          <w:tcPr>
            <w:tcW w:w="1740" w:type="dxa"/>
            <w:vAlign w:val="bottom"/>
            <w:tcBorders>
              <w:bottom w:val="single" w:sz="8" w:color="009FE3"/>
              <w:right w:val="single" w:sz="8" w:color="E8EAEB"/>
            </w:tcBorders>
          </w:tcPr>
          <w:p>
            <w:pPr>
              <w:jc w:val="right"/>
              <w:ind w:right="341"/>
              <w:spacing w:after="0"/>
              <w:rPr>
                <w:sz w:val="20"/>
                <w:szCs w:val="20"/>
                <w:color w:val="auto"/>
              </w:rPr>
            </w:pPr>
            <w:r>
              <w:rPr>
                <w:rFonts w:ascii="Arial" w:cs="Arial" w:eastAsia="Arial" w:hAnsi="Arial"/>
                <w:sz w:val="14"/>
                <w:szCs w:val="14"/>
                <w:b w:val="1"/>
                <w:bCs w:val="1"/>
                <w:color w:val="009FE3"/>
              </w:rPr>
              <w:t>Purchased (#)</w:t>
            </w:r>
          </w:p>
        </w:tc>
        <w:tc>
          <w:tcPr>
            <w:tcW w:w="2100" w:type="dxa"/>
            <w:vAlign w:val="bottom"/>
            <w:tcBorders>
              <w:bottom w:val="single" w:sz="8" w:color="009FE3"/>
            </w:tcBorders>
          </w:tcPr>
          <w:p>
            <w:pPr>
              <w:jc w:val="right"/>
              <w:ind w:right="701"/>
              <w:spacing w:after="0"/>
              <w:rPr>
                <w:sz w:val="20"/>
                <w:szCs w:val="20"/>
                <w:color w:val="auto"/>
              </w:rPr>
            </w:pPr>
            <w:r>
              <w:rPr>
                <w:rFonts w:ascii="Arial" w:cs="Arial" w:eastAsia="Arial" w:hAnsi="Arial"/>
                <w:sz w:val="14"/>
                <w:szCs w:val="14"/>
                <w:b w:val="1"/>
                <w:bCs w:val="1"/>
                <w:color w:val="009FE3"/>
              </w:rPr>
              <w:t>Price ($)</w:t>
            </w:r>
          </w:p>
        </w:tc>
      </w:tr>
      <w:tr>
        <w:trPr>
          <w:trHeight w:val="223"/>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40" w:type="dxa"/>
            <w:vAlign w:val="bottom"/>
            <w:tcBorders>
              <w:right w:val="single" w:sz="8" w:color="E8EAEB"/>
            </w:tcBorders>
          </w:tcPr>
          <w:p>
            <w:pPr>
              <w:jc w:val="right"/>
              <w:ind w:right="521"/>
              <w:spacing w:after="0"/>
              <w:rPr>
                <w:sz w:val="20"/>
                <w:szCs w:val="20"/>
                <w:color w:val="auto"/>
              </w:rPr>
            </w:pPr>
            <w:r>
              <w:rPr>
                <w:rFonts w:ascii="Arial" w:cs="Arial" w:eastAsia="Arial" w:hAnsi="Arial"/>
                <w:sz w:val="16"/>
                <w:szCs w:val="16"/>
                <w:color w:val="202E39"/>
              </w:rPr>
              <w:t>—</w:t>
            </w:r>
          </w:p>
        </w:tc>
        <w:tc>
          <w:tcPr>
            <w:tcW w:w="2100" w:type="dxa"/>
            <w:vAlign w:val="bottom"/>
          </w:tcPr>
          <w:p>
            <w:pPr>
              <w:jc w:val="right"/>
              <w:ind w:right="501"/>
              <w:spacing w:after="0"/>
              <w:rPr>
                <w:sz w:val="20"/>
                <w:szCs w:val="20"/>
                <w:color w:val="auto"/>
              </w:rPr>
            </w:pPr>
            <w:r>
              <w:rPr>
                <w:rFonts w:ascii="Arial" w:cs="Arial" w:eastAsia="Arial" w:hAnsi="Arial"/>
                <w:sz w:val="16"/>
                <w:szCs w:val="16"/>
                <w:color w:val="202E39"/>
              </w:rPr>
              <w:t>—</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40" w:type="dxa"/>
            <w:vAlign w:val="bottom"/>
            <w:tcBorders>
              <w:right w:val="single" w:sz="8" w:color="E8EAEB"/>
            </w:tcBorders>
          </w:tcPr>
          <w:p>
            <w:pPr>
              <w:jc w:val="right"/>
              <w:ind w:right="521"/>
              <w:spacing w:after="0"/>
              <w:rPr>
                <w:sz w:val="20"/>
                <w:szCs w:val="20"/>
                <w:color w:val="auto"/>
              </w:rPr>
            </w:pPr>
            <w:r>
              <w:rPr>
                <w:rFonts w:ascii="Arial" w:cs="Arial" w:eastAsia="Arial" w:hAnsi="Arial"/>
                <w:sz w:val="16"/>
                <w:szCs w:val="16"/>
                <w:color w:val="202E39"/>
              </w:rPr>
              <w:t>—</w:t>
            </w:r>
          </w:p>
        </w:tc>
        <w:tc>
          <w:tcPr>
            <w:tcW w:w="2100" w:type="dxa"/>
            <w:vAlign w:val="bottom"/>
          </w:tcPr>
          <w:p>
            <w:pPr>
              <w:jc w:val="right"/>
              <w:ind w:right="501"/>
              <w:spacing w:after="0"/>
              <w:rPr>
                <w:sz w:val="20"/>
                <w:szCs w:val="20"/>
                <w:color w:val="auto"/>
              </w:rPr>
            </w:pPr>
            <w:r>
              <w:rPr>
                <w:rFonts w:ascii="Arial" w:cs="Arial" w:eastAsia="Arial" w:hAnsi="Arial"/>
                <w:sz w:val="16"/>
                <w:szCs w:val="16"/>
                <w:color w:val="202E39"/>
              </w:rPr>
              <w:t>—</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740" w:type="dxa"/>
            <w:vAlign w:val="bottom"/>
            <w:tcBorders>
              <w:right w:val="single" w:sz="8" w:color="E8EAEB"/>
            </w:tcBorders>
          </w:tcPr>
          <w:p>
            <w:pPr>
              <w:jc w:val="right"/>
              <w:ind w:right="441"/>
              <w:spacing w:after="0"/>
              <w:rPr>
                <w:sz w:val="20"/>
                <w:szCs w:val="20"/>
                <w:color w:val="auto"/>
              </w:rPr>
            </w:pPr>
            <w:r>
              <w:rPr>
                <w:rFonts w:ascii="Arial" w:cs="Arial" w:eastAsia="Arial" w:hAnsi="Arial"/>
                <w:sz w:val="16"/>
                <w:szCs w:val="16"/>
                <w:color w:val="202E39"/>
              </w:rPr>
              <w:t>399</w:t>
            </w:r>
          </w:p>
        </w:tc>
        <w:tc>
          <w:tcPr>
            <w:tcW w:w="2100" w:type="dxa"/>
            <w:vAlign w:val="bottom"/>
          </w:tcPr>
          <w:p>
            <w:pPr>
              <w:jc w:val="right"/>
              <w:ind w:right="421"/>
              <w:spacing w:after="0"/>
              <w:rPr>
                <w:sz w:val="20"/>
                <w:szCs w:val="20"/>
                <w:color w:val="auto"/>
              </w:rPr>
            </w:pPr>
            <w:r>
              <w:rPr>
                <w:rFonts w:ascii="Arial" w:cs="Arial" w:eastAsia="Arial" w:hAnsi="Arial"/>
                <w:sz w:val="16"/>
                <w:szCs w:val="16"/>
                <w:color w:val="202E39"/>
              </w:rPr>
              <w:t>11,929</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1740" w:type="dxa"/>
            <w:vAlign w:val="bottom"/>
            <w:tcBorders>
              <w:right w:val="single" w:sz="8" w:color="E8EAEB"/>
            </w:tcBorders>
          </w:tcPr>
          <w:p>
            <w:pPr>
              <w:jc w:val="right"/>
              <w:ind w:right="521"/>
              <w:spacing w:after="0"/>
              <w:rPr>
                <w:sz w:val="20"/>
                <w:szCs w:val="20"/>
                <w:color w:val="auto"/>
              </w:rPr>
            </w:pPr>
            <w:r>
              <w:rPr>
                <w:rFonts w:ascii="Arial" w:cs="Arial" w:eastAsia="Arial" w:hAnsi="Arial"/>
                <w:sz w:val="16"/>
                <w:szCs w:val="16"/>
                <w:color w:val="202E39"/>
              </w:rPr>
              <w:t>—</w:t>
            </w:r>
          </w:p>
        </w:tc>
        <w:tc>
          <w:tcPr>
            <w:tcW w:w="2100" w:type="dxa"/>
            <w:vAlign w:val="bottom"/>
          </w:tcPr>
          <w:p>
            <w:pPr>
              <w:jc w:val="right"/>
              <w:ind w:right="501"/>
              <w:spacing w:after="0"/>
              <w:rPr>
                <w:sz w:val="20"/>
                <w:szCs w:val="20"/>
                <w:color w:val="auto"/>
              </w:rPr>
            </w:pPr>
            <w:r>
              <w:rPr>
                <w:rFonts w:ascii="Arial" w:cs="Arial" w:eastAsia="Arial" w:hAnsi="Arial"/>
                <w:sz w:val="16"/>
                <w:szCs w:val="16"/>
                <w:color w:val="202E39"/>
              </w:rPr>
              <w:t>—</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740" w:type="dxa"/>
            <w:vAlign w:val="bottom"/>
            <w:tcBorders>
              <w:right w:val="single" w:sz="8" w:color="E8EAEB"/>
            </w:tcBorders>
          </w:tcPr>
          <w:p>
            <w:pPr>
              <w:jc w:val="right"/>
              <w:ind w:right="441"/>
              <w:spacing w:after="0"/>
              <w:rPr>
                <w:sz w:val="20"/>
                <w:szCs w:val="20"/>
                <w:color w:val="auto"/>
              </w:rPr>
            </w:pPr>
            <w:r>
              <w:rPr>
                <w:rFonts w:ascii="Arial" w:cs="Arial" w:eastAsia="Arial" w:hAnsi="Arial"/>
                <w:sz w:val="16"/>
                <w:szCs w:val="16"/>
                <w:color w:val="202E39"/>
              </w:rPr>
              <w:t>342</w:t>
            </w:r>
          </w:p>
        </w:tc>
        <w:tc>
          <w:tcPr>
            <w:tcW w:w="2100" w:type="dxa"/>
            <w:vAlign w:val="bottom"/>
          </w:tcPr>
          <w:p>
            <w:pPr>
              <w:jc w:val="right"/>
              <w:ind w:right="421"/>
              <w:spacing w:after="0"/>
              <w:rPr>
                <w:sz w:val="20"/>
                <w:szCs w:val="20"/>
                <w:color w:val="auto"/>
              </w:rPr>
            </w:pPr>
            <w:r>
              <w:rPr>
                <w:rFonts w:ascii="Arial" w:cs="Arial" w:eastAsia="Arial" w:hAnsi="Arial"/>
                <w:sz w:val="16"/>
                <w:szCs w:val="16"/>
                <w:color w:val="202E39"/>
              </w:rPr>
              <w:t>11,149</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740" w:type="dxa"/>
            <w:vAlign w:val="bottom"/>
            <w:tcBorders>
              <w:right w:val="single" w:sz="8" w:color="E8EAEB"/>
            </w:tcBorders>
          </w:tcPr>
          <w:p>
            <w:pPr>
              <w:jc w:val="right"/>
              <w:ind w:right="441"/>
              <w:spacing w:after="0"/>
              <w:rPr>
                <w:sz w:val="20"/>
                <w:szCs w:val="20"/>
                <w:color w:val="auto"/>
              </w:rPr>
            </w:pPr>
            <w:r>
              <w:rPr>
                <w:rFonts w:ascii="Arial" w:cs="Arial" w:eastAsia="Arial" w:hAnsi="Arial"/>
                <w:sz w:val="16"/>
                <w:szCs w:val="16"/>
                <w:color w:val="202E39"/>
              </w:rPr>
              <w:t>342</w:t>
            </w:r>
          </w:p>
        </w:tc>
        <w:tc>
          <w:tcPr>
            <w:tcW w:w="2100" w:type="dxa"/>
            <w:vAlign w:val="bottom"/>
          </w:tcPr>
          <w:p>
            <w:pPr>
              <w:jc w:val="right"/>
              <w:ind w:right="421"/>
              <w:spacing w:after="0"/>
              <w:rPr>
                <w:sz w:val="20"/>
                <w:szCs w:val="20"/>
                <w:color w:val="auto"/>
              </w:rPr>
            </w:pPr>
            <w:r>
              <w:rPr>
                <w:rFonts w:ascii="Arial" w:cs="Arial" w:eastAsia="Arial" w:hAnsi="Arial"/>
                <w:sz w:val="16"/>
                <w:szCs w:val="16"/>
                <w:color w:val="202E39"/>
              </w:rPr>
              <w:t>11,149</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current executive officers, as a group (14 persons)</w:t>
            </w:r>
          </w:p>
        </w:tc>
        <w:tc>
          <w:tcPr>
            <w:tcW w:w="1740" w:type="dxa"/>
            <w:vAlign w:val="bottom"/>
            <w:tcBorders>
              <w:right w:val="single" w:sz="8" w:color="E8EAEB"/>
            </w:tcBorders>
          </w:tcPr>
          <w:p>
            <w:pPr>
              <w:jc w:val="right"/>
              <w:ind w:right="441"/>
              <w:spacing w:after="0"/>
              <w:rPr>
                <w:sz w:val="20"/>
                <w:szCs w:val="20"/>
                <w:color w:val="auto"/>
              </w:rPr>
            </w:pPr>
            <w:r>
              <w:rPr>
                <w:rFonts w:ascii="Arial" w:cs="Arial" w:eastAsia="Arial" w:hAnsi="Arial"/>
                <w:sz w:val="16"/>
                <w:szCs w:val="16"/>
                <w:color w:val="202E39"/>
              </w:rPr>
              <w:t>2,213</w:t>
            </w:r>
          </w:p>
        </w:tc>
        <w:tc>
          <w:tcPr>
            <w:tcW w:w="2100" w:type="dxa"/>
            <w:vAlign w:val="bottom"/>
          </w:tcPr>
          <w:p>
            <w:pPr>
              <w:jc w:val="right"/>
              <w:ind w:right="421"/>
              <w:spacing w:after="0"/>
              <w:rPr>
                <w:sz w:val="20"/>
                <w:szCs w:val="20"/>
                <w:color w:val="auto"/>
              </w:rPr>
            </w:pPr>
            <w:r>
              <w:rPr>
                <w:rFonts w:ascii="Arial" w:cs="Arial" w:eastAsia="Arial" w:hAnsi="Arial"/>
                <w:sz w:val="16"/>
                <w:szCs w:val="16"/>
                <w:color w:val="202E39"/>
              </w:rPr>
              <w:t>67,967</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1"/>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w:t>
            </w:r>
          </w:p>
        </w:tc>
        <w:tc>
          <w:tcPr>
            <w:tcW w:w="1740" w:type="dxa"/>
            <w:vAlign w:val="bottom"/>
            <w:tcBorders>
              <w:right w:val="single" w:sz="8" w:color="E8EAEB"/>
            </w:tcBorders>
          </w:tcPr>
          <w:p>
            <w:pPr>
              <w:spacing w:after="0"/>
              <w:rPr>
                <w:sz w:val="18"/>
                <w:szCs w:val="18"/>
                <w:color w:val="auto"/>
              </w:rPr>
            </w:pPr>
          </w:p>
        </w:tc>
        <w:tc>
          <w:tcPr>
            <w:tcW w:w="2100" w:type="dxa"/>
            <w:vAlign w:val="bottom"/>
          </w:tcPr>
          <w:p>
            <w:pPr>
              <w:spacing w:after="0"/>
              <w:rPr>
                <w:sz w:val="18"/>
                <w:szCs w:val="18"/>
                <w:color w:val="auto"/>
              </w:rPr>
            </w:pPr>
          </w:p>
        </w:tc>
      </w:tr>
      <w:tr>
        <w:trPr>
          <w:trHeight w:val="195"/>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(6 persons) (1)</w:t>
            </w:r>
          </w:p>
        </w:tc>
        <w:tc>
          <w:tcPr>
            <w:tcW w:w="1740" w:type="dxa"/>
            <w:vAlign w:val="bottom"/>
            <w:tcBorders>
              <w:right w:val="single" w:sz="8" w:color="E8EAEB"/>
            </w:tcBorders>
          </w:tcPr>
          <w:p>
            <w:pPr>
              <w:jc w:val="right"/>
              <w:ind w:right="521"/>
              <w:spacing w:after="0"/>
              <w:rPr>
                <w:sz w:val="20"/>
                <w:szCs w:val="20"/>
                <w:color w:val="auto"/>
              </w:rPr>
            </w:pPr>
            <w:r>
              <w:rPr>
                <w:rFonts w:ascii="Arial" w:cs="Arial" w:eastAsia="Arial" w:hAnsi="Arial"/>
                <w:sz w:val="16"/>
                <w:szCs w:val="16"/>
                <w:color w:val="202E39"/>
              </w:rPr>
              <w:t>—</w:t>
            </w:r>
          </w:p>
        </w:tc>
        <w:tc>
          <w:tcPr>
            <w:tcW w:w="2100" w:type="dxa"/>
            <w:vAlign w:val="bottom"/>
          </w:tcPr>
          <w:p>
            <w:pPr>
              <w:jc w:val="right"/>
              <w:ind w:right="501"/>
              <w:spacing w:after="0"/>
              <w:rPr>
                <w:sz w:val="20"/>
                <w:szCs w:val="20"/>
                <w:color w:val="auto"/>
              </w:rPr>
            </w:pPr>
            <w:r>
              <w:rPr>
                <w:rFonts w:ascii="Arial" w:cs="Arial" w:eastAsia="Arial" w:hAnsi="Arial"/>
                <w:sz w:val="16"/>
                <w:szCs w:val="16"/>
                <w:color w:val="202E39"/>
              </w:rPr>
              <w:t>—</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Each other person who received or is to receive 5% of such options, warrants or rights</w:t>
            </w:r>
          </w:p>
        </w:tc>
        <w:tc>
          <w:tcPr>
            <w:tcW w:w="1740" w:type="dxa"/>
            <w:vAlign w:val="bottom"/>
            <w:tcBorders>
              <w:right w:val="single" w:sz="8" w:color="E8EAEB"/>
            </w:tcBorders>
          </w:tcPr>
          <w:p>
            <w:pPr>
              <w:jc w:val="right"/>
              <w:ind w:right="521"/>
              <w:spacing w:after="0"/>
              <w:rPr>
                <w:sz w:val="20"/>
                <w:szCs w:val="20"/>
                <w:color w:val="auto"/>
              </w:rPr>
            </w:pPr>
            <w:r>
              <w:rPr>
                <w:rFonts w:ascii="Arial" w:cs="Arial" w:eastAsia="Arial" w:hAnsi="Arial"/>
                <w:sz w:val="16"/>
                <w:szCs w:val="16"/>
                <w:color w:val="202E39"/>
              </w:rPr>
              <w:t>—</w:t>
            </w:r>
          </w:p>
        </w:tc>
        <w:tc>
          <w:tcPr>
            <w:tcW w:w="2100" w:type="dxa"/>
            <w:vAlign w:val="bottom"/>
          </w:tcPr>
          <w:p>
            <w:pPr>
              <w:jc w:val="right"/>
              <w:ind w:right="501"/>
              <w:spacing w:after="0"/>
              <w:rPr>
                <w:sz w:val="20"/>
                <w:szCs w:val="20"/>
                <w:color w:val="auto"/>
              </w:rPr>
            </w:pPr>
            <w:r>
              <w:rPr>
                <w:rFonts w:ascii="Arial" w:cs="Arial" w:eastAsia="Arial" w:hAnsi="Arial"/>
                <w:sz w:val="16"/>
                <w:szCs w:val="16"/>
                <w:color w:val="202E39"/>
              </w:rPr>
              <w:t>—</w:t>
            </w:r>
          </w:p>
        </w:tc>
      </w:tr>
      <w:tr>
        <w:trPr>
          <w:trHeight w:val="33"/>
        </w:trPr>
        <w:tc>
          <w:tcPr>
            <w:tcW w:w="7180" w:type="dxa"/>
            <w:vAlign w:val="bottom"/>
            <w:tcBorders>
              <w:bottom w:val="single" w:sz="8" w:color="E8EAEB"/>
              <w:right w:val="single" w:sz="8" w:color="E8EAEB"/>
            </w:tcBorders>
          </w:tcPr>
          <w:p>
            <w:pPr>
              <w:spacing w:after="0"/>
              <w:rPr>
                <w:sz w:val="2"/>
                <w:szCs w:val="2"/>
                <w:color w:val="auto"/>
              </w:rPr>
            </w:pPr>
          </w:p>
        </w:tc>
        <w:tc>
          <w:tcPr>
            <w:tcW w:w="1740" w:type="dxa"/>
            <w:vAlign w:val="bottom"/>
            <w:tcBorders>
              <w:bottom w:val="single" w:sz="8" w:color="E8EAEB"/>
              <w:right w:val="single" w:sz="8" w:color="E8EAEB"/>
            </w:tcBorders>
          </w:tcPr>
          <w:p>
            <w:pPr>
              <w:spacing w:after="0"/>
              <w:rPr>
                <w:sz w:val="2"/>
                <w:szCs w:val="2"/>
                <w:color w:val="auto"/>
              </w:rPr>
            </w:pPr>
          </w:p>
        </w:tc>
        <w:tc>
          <w:tcPr>
            <w:tcW w:w="2100" w:type="dxa"/>
            <w:vAlign w:val="bottom"/>
            <w:tcBorders>
              <w:bottom w:val="single" w:sz="8" w:color="E8EAEB"/>
            </w:tcBorders>
          </w:tcPr>
          <w:p>
            <w:pPr>
              <w:spacing w:after="0"/>
              <w:rPr>
                <w:sz w:val="2"/>
                <w:szCs w:val="2"/>
                <w:color w:val="auto"/>
              </w:rPr>
            </w:pPr>
          </w:p>
        </w:tc>
      </w:tr>
      <w:tr>
        <w:trPr>
          <w:trHeight w:val="217"/>
        </w:trPr>
        <w:tc>
          <w:tcPr>
            <w:tcW w:w="718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other employees, as a group</w:t>
            </w:r>
          </w:p>
        </w:tc>
        <w:tc>
          <w:tcPr>
            <w:tcW w:w="1740" w:type="dxa"/>
            <w:vAlign w:val="bottom"/>
            <w:tcBorders>
              <w:right w:val="single" w:sz="8" w:color="E8EAEB"/>
            </w:tcBorders>
          </w:tcPr>
          <w:p>
            <w:pPr>
              <w:jc w:val="right"/>
              <w:ind w:right="441"/>
              <w:spacing w:after="0"/>
              <w:rPr>
                <w:sz w:val="20"/>
                <w:szCs w:val="20"/>
                <w:color w:val="auto"/>
              </w:rPr>
            </w:pPr>
            <w:r>
              <w:rPr>
                <w:rFonts w:ascii="Arial" w:cs="Arial" w:eastAsia="Arial" w:hAnsi="Arial"/>
                <w:sz w:val="16"/>
                <w:szCs w:val="16"/>
                <w:color w:val="202E39"/>
              </w:rPr>
              <w:t>636,579</w:t>
            </w:r>
          </w:p>
        </w:tc>
        <w:tc>
          <w:tcPr>
            <w:tcW w:w="2100" w:type="dxa"/>
            <w:vAlign w:val="bottom"/>
          </w:tcPr>
          <w:p>
            <w:pPr>
              <w:jc w:val="right"/>
              <w:ind w:right="421"/>
              <w:spacing w:after="0"/>
              <w:rPr>
                <w:sz w:val="20"/>
                <w:szCs w:val="20"/>
                <w:color w:val="auto"/>
              </w:rPr>
            </w:pPr>
            <w:r>
              <w:rPr>
                <w:rFonts w:ascii="Arial" w:cs="Arial" w:eastAsia="Arial" w:hAnsi="Arial"/>
                <w:sz w:val="16"/>
                <w:szCs w:val="16"/>
                <w:color w:val="202E39"/>
              </w:rPr>
              <w:t>19,032,830</w:t>
            </w:r>
          </w:p>
        </w:tc>
      </w:tr>
      <w:tr>
        <w:trPr>
          <w:trHeight w:val="33"/>
        </w:trPr>
        <w:tc>
          <w:tcPr>
            <w:tcW w:w="7180" w:type="dxa"/>
            <w:vAlign w:val="bottom"/>
            <w:tcBorders>
              <w:bottom w:val="single" w:sz="8" w:color="009FE3"/>
              <w:right w:val="single" w:sz="8" w:color="E8EAEB"/>
            </w:tcBorders>
          </w:tcPr>
          <w:p>
            <w:pPr>
              <w:spacing w:after="0"/>
              <w:rPr>
                <w:sz w:val="2"/>
                <w:szCs w:val="2"/>
                <w:color w:val="auto"/>
              </w:rPr>
            </w:pPr>
          </w:p>
        </w:tc>
        <w:tc>
          <w:tcPr>
            <w:tcW w:w="1740" w:type="dxa"/>
            <w:vAlign w:val="bottom"/>
            <w:tcBorders>
              <w:bottom w:val="single" w:sz="8" w:color="009FE3"/>
              <w:right w:val="single" w:sz="8" w:color="E8EAEB"/>
            </w:tcBorders>
          </w:tcPr>
          <w:p>
            <w:pPr>
              <w:spacing w:after="0"/>
              <w:rPr>
                <w:sz w:val="2"/>
                <w:szCs w:val="2"/>
                <w:color w:val="auto"/>
              </w:rPr>
            </w:pPr>
          </w:p>
        </w:tc>
        <w:tc>
          <w:tcPr>
            <w:tcW w:w="2100" w:type="dxa"/>
            <w:vAlign w:val="bottom"/>
            <w:tcBorders>
              <w:bottom w:val="single" w:sz="8" w:color="009FE3"/>
            </w:tcBorders>
          </w:tcPr>
          <w:p>
            <w:pPr>
              <w:spacing w:after="0"/>
              <w:rPr>
                <w:sz w:val="2"/>
                <w:szCs w:val="2"/>
                <w:color w:val="auto"/>
              </w:rPr>
            </w:pPr>
          </w:p>
        </w:tc>
      </w:tr>
    </w:tbl>
    <w:p>
      <w:pPr>
        <w:spacing w:after="0" w:line="126"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Directors who are not Viasat employees are not eligible to participate in the Purchase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Recommendation of the Board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109220</wp:posOffset>
            </wp:positionV>
            <wp:extent cx="4368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OWNERSHIP OF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Beneficial Ownership Table</w:t>
      </w:r>
    </w:p>
    <w:p>
      <w:pPr>
        <w:spacing w:after="0" w:line="18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6"/>
          <w:szCs w:val="16"/>
          <w:color w:val="202E39"/>
        </w:rPr>
        <w:t>The following table sets forth information known to us regarding the ownership of Viasat common stock as of July 1, 2021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7320" w:type="dxa"/>
            <w:vAlign w:val="bottom"/>
            <w:tcBorders>
              <w:top w:val="single" w:sz="8" w:color="E8EAEB"/>
              <w:right w:val="single" w:sz="8" w:color="E8EAEB"/>
            </w:tcBorders>
          </w:tcPr>
          <w:p>
            <w:pPr>
              <w:spacing w:after="0"/>
              <w:rPr>
                <w:sz w:val="15"/>
                <w:szCs w:val="15"/>
                <w:color w:val="auto"/>
              </w:rPr>
            </w:pPr>
          </w:p>
        </w:tc>
        <w:tc>
          <w:tcPr>
            <w:tcW w:w="1800" w:type="dxa"/>
            <w:vAlign w:val="bottom"/>
            <w:tcBorders>
              <w:top w:val="single" w:sz="8" w:color="E8EAEB"/>
              <w:right w:val="single" w:sz="8" w:color="E8EAEB"/>
            </w:tcBorders>
            <w:gridSpan w:val="2"/>
          </w:tcPr>
          <w:p>
            <w:pPr>
              <w:jc w:val="center"/>
              <w:ind w:left="100"/>
              <w:spacing w:after="0"/>
              <w:rPr>
                <w:sz w:val="20"/>
                <w:szCs w:val="20"/>
                <w:color w:val="auto"/>
              </w:rPr>
            </w:pPr>
            <w:r>
              <w:rPr>
                <w:rFonts w:ascii="Arial" w:cs="Arial" w:eastAsia="Arial" w:hAnsi="Arial"/>
                <w:sz w:val="14"/>
                <w:szCs w:val="14"/>
                <w:b w:val="1"/>
                <w:bCs w:val="1"/>
                <w:color w:val="009FE3"/>
              </w:rPr>
              <w:t>Amount and Nature</w:t>
            </w:r>
          </w:p>
        </w:tc>
        <w:tc>
          <w:tcPr>
            <w:tcW w:w="190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Percent Beneficial</w:t>
            </w:r>
          </w:p>
        </w:tc>
      </w:tr>
      <w:tr>
        <w:trPr>
          <w:trHeight w:val="162"/>
        </w:trPr>
        <w:tc>
          <w:tcPr>
            <w:tcW w:w="7320" w:type="dxa"/>
            <w:vAlign w:val="bottom"/>
            <w:tcBorders>
              <w:right w:val="single" w:sz="8" w:color="E8EAEB"/>
            </w:tcBorders>
          </w:tcPr>
          <w:p>
            <w:pPr>
              <w:spacing w:after="0"/>
              <w:rPr>
                <w:sz w:val="14"/>
                <w:szCs w:val="14"/>
                <w:color w:val="auto"/>
              </w:rPr>
            </w:pPr>
          </w:p>
        </w:tc>
        <w:tc>
          <w:tcPr>
            <w:tcW w:w="1440" w:type="dxa"/>
            <w:vAlign w:val="bottom"/>
          </w:tcPr>
          <w:p>
            <w:pPr>
              <w:jc w:val="center"/>
              <w:ind w:left="460"/>
              <w:spacing w:after="0"/>
              <w:rPr>
                <w:sz w:val="20"/>
                <w:szCs w:val="20"/>
                <w:color w:val="auto"/>
              </w:rPr>
            </w:pPr>
            <w:r>
              <w:rPr>
                <w:rFonts w:ascii="Arial" w:cs="Arial" w:eastAsia="Arial" w:hAnsi="Arial"/>
                <w:sz w:val="14"/>
                <w:szCs w:val="14"/>
                <w:b w:val="1"/>
                <w:bCs w:val="1"/>
                <w:color w:val="009FE3"/>
              </w:rPr>
              <w:t>of Beneficial</w:t>
            </w:r>
          </w:p>
        </w:tc>
        <w:tc>
          <w:tcPr>
            <w:tcW w:w="360" w:type="dxa"/>
            <w:vAlign w:val="bottom"/>
            <w:tcBorders>
              <w:right w:val="single" w:sz="8" w:color="E8EAEB"/>
            </w:tcBorders>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9FE3"/>
              </w:rPr>
              <w:t>Ownership</w:t>
            </w:r>
          </w:p>
        </w:tc>
      </w:tr>
      <w:tr>
        <w:trPr>
          <w:trHeight w:val="210"/>
        </w:trPr>
        <w:tc>
          <w:tcPr>
            <w:tcW w:w="73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of Beneficial Owner (1)</w:t>
            </w:r>
          </w:p>
        </w:tc>
        <w:tc>
          <w:tcPr>
            <w:tcW w:w="1800" w:type="dxa"/>
            <w:vAlign w:val="bottom"/>
            <w:tcBorders>
              <w:bottom w:val="single" w:sz="8" w:color="009FE3"/>
              <w:right w:val="single" w:sz="8" w:color="E8EAEB"/>
            </w:tcBorders>
            <w:gridSpan w:val="2"/>
          </w:tcPr>
          <w:p>
            <w:pPr>
              <w:jc w:val="center"/>
              <w:ind w:left="120"/>
              <w:spacing w:after="0"/>
              <w:rPr>
                <w:sz w:val="20"/>
                <w:szCs w:val="20"/>
                <w:color w:val="auto"/>
              </w:rPr>
            </w:pPr>
            <w:r>
              <w:rPr>
                <w:rFonts w:ascii="Arial" w:cs="Arial" w:eastAsia="Arial" w:hAnsi="Arial"/>
                <w:sz w:val="14"/>
                <w:szCs w:val="14"/>
                <w:b w:val="1"/>
                <w:bCs w:val="1"/>
                <w:color w:val="009FE3"/>
              </w:rPr>
              <w:t>Ownership (2)</w:t>
            </w:r>
          </w:p>
        </w:tc>
        <w:tc>
          <w:tcPr>
            <w:tcW w:w="190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(3)</w:t>
            </w:r>
          </w:p>
        </w:tc>
      </w:tr>
      <w:tr>
        <w:trPr>
          <w:trHeight w:val="21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Directors and Officers:</w:t>
            </w:r>
          </w:p>
        </w:tc>
        <w:tc>
          <w:tcPr>
            <w:tcW w:w="1440" w:type="dxa"/>
            <w:vAlign w:val="bottom"/>
          </w:tcPr>
          <w:p>
            <w:pPr>
              <w:spacing w:after="0"/>
              <w:rPr>
                <w:sz w:val="18"/>
                <w:szCs w:val="18"/>
                <w:color w:val="auto"/>
              </w:rPr>
            </w:pPr>
          </w:p>
        </w:tc>
        <w:tc>
          <w:tcPr>
            <w:tcW w:w="360" w:type="dxa"/>
            <w:vAlign w:val="bottom"/>
            <w:tcBorders>
              <w:right w:val="single" w:sz="8" w:color="E8EAEB"/>
            </w:tcBorders>
          </w:tcPr>
          <w:p>
            <w:pPr>
              <w:spacing w:after="0"/>
              <w:rPr>
                <w:sz w:val="18"/>
                <w:szCs w:val="18"/>
                <w:color w:val="auto"/>
              </w:rPr>
            </w:pPr>
          </w:p>
        </w:tc>
        <w:tc>
          <w:tcPr>
            <w:tcW w:w="1900" w:type="dxa"/>
            <w:vAlign w:val="bottom"/>
          </w:tcPr>
          <w:p>
            <w:pPr>
              <w:spacing w:after="0"/>
              <w:rPr>
                <w:sz w:val="18"/>
                <w:szCs w:val="18"/>
                <w:color w:val="auto"/>
              </w:rPr>
            </w:pP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1,906,219</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(4)</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2.6</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715,096</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(5)</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418,682</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(6)</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374,772</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(7)</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97,393</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(8)</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56,738</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(9)</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46,000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(10)</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30,050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(11)</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25,200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(12)</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6,923</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(13)</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Theresa Wise</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4,000</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(14)</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James Bridenstine</w:t>
            </w:r>
          </w:p>
        </w:tc>
        <w:tc>
          <w:tcPr>
            <w:tcW w:w="1440" w:type="dxa"/>
            <w:vAlign w:val="bottom"/>
          </w:tcPr>
          <w:p>
            <w:pPr>
              <w:jc w:val="right"/>
              <w:ind w:right="340"/>
              <w:spacing w:after="0"/>
              <w:rPr>
                <w:sz w:val="20"/>
                <w:szCs w:val="20"/>
                <w:color w:val="auto"/>
              </w:rPr>
            </w:pPr>
            <w:r>
              <w:rPr>
                <w:rFonts w:ascii="Arial" w:cs="Arial" w:eastAsia="Arial" w:hAnsi="Arial"/>
                <w:sz w:val="16"/>
                <w:szCs w:val="16"/>
                <w:color w:val="202E39"/>
              </w:rPr>
              <w:t>—</w:t>
            </w:r>
          </w:p>
        </w:tc>
        <w:tc>
          <w:tcPr>
            <w:tcW w:w="360" w:type="dxa"/>
            <w:vAlign w:val="bottom"/>
            <w:tcBorders>
              <w:right w:val="single" w:sz="8" w:color="E8EAEB"/>
            </w:tcBorders>
          </w:tcPr>
          <w:p>
            <w:pPr>
              <w:spacing w:after="0"/>
              <w:rPr>
                <w:sz w:val="17"/>
                <w:szCs w:val="17"/>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17"/>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All directors, named executive officers and executive officers as a group (21 persons)</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3,976,895</w:t>
            </w:r>
          </w:p>
        </w:tc>
        <w:tc>
          <w:tcPr>
            <w:tcW w:w="360" w:type="dxa"/>
            <w:vAlign w:val="bottom"/>
            <w:tcBorders>
              <w:right w:val="single" w:sz="8" w:color="E8EAEB"/>
            </w:tcBorders>
          </w:tcPr>
          <w:p>
            <w:pPr>
              <w:spacing w:after="0"/>
              <w:rPr>
                <w:sz w:val="18"/>
                <w:szCs w:val="18"/>
                <w:color w:val="auto"/>
              </w:rPr>
            </w:pP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5.4</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8"/>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Other 5% Stockholders:</w:t>
            </w:r>
          </w:p>
        </w:tc>
        <w:tc>
          <w:tcPr>
            <w:tcW w:w="1440" w:type="dxa"/>
            <w:vAlign w:val="bottom"/>
          </w:tcPr>
          <w:p>
            <w:pPr>
              <w:spacing w:after="0"/>
              <w:rPr>
                <w:sz w:val="18"/>
                <w:szCs w:val="18"/>
                <w:color w:val="auto"/>
              </w:rPr>
            </w:pPr>
          </w:p>
        </w:tc>
        <w:tc>
          <w:tcPr>
            <w:tcW w:w="360" w:type="dxa"/>
            <w:vAlign w:val="bottom"/>
            <w:tcBorders>
              <w:right w:val="single" w:sz="8" w:color="E8EAEB"/>
            </w:tcBorders>
          </w:tcPr>
          <w:p>
            <w:pPr>
              <w:spacing w:after="0"/>
              <w:rPr>
                <w:sz w:val="18"/>
                <w:szCs w:val="18"/>
                <w:color w:val="auto"/>
              </w:rPr>
            </w:pPr>
          </w:p>
        </w:tc>
        <w:tc>
          <w:tcPr>
            <w:tcW w:w="1900" w:type="dxa"/>
            <w:vAlign w:val="bottom"/>
          </w:tcPr>
          <w:p>
            <w:pPr>
              <w:spacing w:after="0"/>
              <w:rPr>
                <w:sz w:val="18"/>
                <w:szCs w:val="18"/>
                <w:color w:val="auto"/>
              </w:rPr>
            </w:pPr>
          </w:p>
        </w:tc>
      </w:tr>
      <w:tr>
        <w:trPr>
          <w:trHeight w:val="55"/>
        </w:trPr>
        <w:tc>
          <w:tcPr>
            <w:tcW w:w="7320" w:type="dxa"/>
            <w:vAlign w:val="bottom"/>
            <w:tcBorders>
              <w:bottom w:val="single" w:sz="8" w:color="E8EAEB"/>
              <w:right w:val="single" w:sz="8" w:color="E8EAEB"/>
            </w:tcBorders>
          </w:tcPr>
          <w:p>
            <w:pPr>
              <w:spacing w:after="0"/>
              <w:rPr>
                <w:sz w:val="4"/>
                <w:szCs w:val="4"/>
                <w:color w:val="auto"/>
              </w:rPr>
            </w:pPr>
          </w:p>
        </w:tc>
        <w:tc>
          <w:tcPr>
            <w:tcW w:w="1440" w:type="dxa"/>
            <w:vAlign w:val="bottom"/>
            <w:tcBorders>
              <w:bottom w:val="single" w:sz="8" w:color="E8EAEB"/>
            </w:tcBorders>
          </w:tcPr>
          <w:p>
            <w:pPr>
              <w:spacing w:after="0"/>
              <w:rPr>
                <w:sz w:val="4"/>
                <w:szCs w:val="4"/>
                <w:color w:val="auto"/>
              </w:rPr>
            </w:pPr>
          </w:p>
        </w:tc>
        <w:tc>
          <w:tcPr>
            <w:tcW w:w="360" w:type="dxa"/>
            <w:vAlign w:val="bottom"/>
            <w:tcBorders>
              <w:bottom w:val="single" w:sz="8" w:color="E8EAEB"/>
              <w:right w:val="single" w:sz="8" w:color="E8EAEB"/>
            </w:tcBorders>
          </w:tcPr>
          <w:p>
            <w:pPr>
              <w:spacing w:after="0"/>
              <w:rPr>
                <w:sz w:val="4"/>
                <w:szCs w:val="4"/>
                <w:color w:val="auto"/>
              </w:rPr>
            </w:pPr>
          </w:p>
        </w:tc>
        <w:tc>
          <w:tcPr>
            <w:tcW w:w="1900" w:type="dxa"/>
            <w:vAlign w:val="bottom"/>
            <w:tcBorders>
              <w:bottom w:val="single" w:sz="8" w:color="E8EAEB"/>
            </w:tcBorders>
          </w:tcPr>
          <w:p>
            <w:pPr>
              <w:spacing w:after="0"/>
              <w:rPr>
                <w:sz w:val="4"/>
                <w:szCs w:val="4"/>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 Baupost Group, L.L.C.</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16,288,959</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(15)</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22.2</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FPR Partners, LLC</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6,682,221</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(16)</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9.1</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4"/>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The Vanguard Group</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5,741,162</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(17)</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7.8</w:t>
            </w:r>
          </w:p>
        </w:tc>
      </w:tr>
      <w:tr>
        <w:trPr>
          <w:trHeight w:val="60"/>
        </w:trPr>
        <w:tc>
          <w:tcPr>
            <w:tcW w:w="7320" w:type="dxa"/>
            <w:vAlign w:val="bottom"/>
            <w:tcBorders>
              <w:bottom w:val="single" w:sz="8" w:color="E8EAEB"/>
              <w:right w:val="single" w:sz="8" w:color="E8EAEB"/>
            </w:tcBorders>
          </w:tcPr>
          <w:p>
            <w:pPr>
              <w:spacing w:after="0"/>
              <w:rPr>
                <w:sz w:val="5"/>
                <w:szCs w:val="5"/>
                <w:color w:val="auto"/>
              </w:rPr>
            </w:pPr>
          </w:p>
        </w:tc>
        <w:tc>
          <w:tcPr>
            <w:tcW w:w="1440" w:type="dxa"/>
            <w:vAlign w:val="bottom"/>
            <w:tcBorders>
              <w:bottom w:val="single" w:sz="8" w:color="E8EAEB"/>
            </w:tcBorders>
          </w:tcPr>
          <w:p>
            <w:pPr>
              <w:spacing w:after="0"/>
              <w:rPr>
                <w:sz w:val="5"/>
                <w:szCs w:val="5"/>
                <w:color w:val="auto"/>
              </w:rPr>
            </w:pPr>
          </w:p>
        </w:tc>
        <w:tc>
          <w:tcPr>
            <w:tcW w:w="360" w:type="dxa"/>
            <w:vAlign w:val="bottom"/>
            <w:tcBorders>
              <w:bottom w:val="single" w:sz="8" w:color="E8EAEB"/>
              <w:right w:val="single" w:sz="8" w:color="E8EAEB"/>
            </w:tcBorders>
          </w:tcPr>
          <w:p>
            <w:pPr>
              <w:spacing w:after="0"/>
              <w:rPr>
                <w:sz w:val="5"/>
                <w:szCs w:val="5"/>
                <w:color w:val="auto"/>
              </w:rPr>
            </w:pPr>
          </w:p>
        </w:tc>
        <w:tc>
          <w:tcPr>
            <w:tcW w:w="1900" w:type="dxa"/>
            <w:vAlign w:val="bottom"/>
            <w:tcBorders>
              <w:bottom w:val="single" w:sz="8" w:color="E8EAEB"/>
            </w:tcBorders>
          </w:tcPr>
          <w:p>
            <w:pPr>
              <w:spacing w:after="0"/>
              <w:rPr>
                <w:sz w:val="5"/>
                <w:szCs w:val="5"/>
                <w:color w:val="auto"/>
              </w:rPr>
            </w:pPr>
          </w:p>
        </w:tc>
      </w:tr>
      <w:tr>
        <w:trPr>
          <w:trHeight w:val="203"/>
        </w:trPr>
        <w:tc>
          <w:tcPr>
            <w:tcW w:w="732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BlackRock, Inc.</w:t>
            </w:r>
          </w:p>
        </w:tc>
        <w:tc>
          <w:tcPr>
            <w:tcW w:w="1440" w:type="dxa"/>
            <w:vAlign w:val="bottom"/>
          </w:tcPr>
          <w:p>
            <w:pPr>
              <w:jc w:val="right"/>
              <w:ind w:right="260"/>
              <w:spacing w:after="0"/>
              <w:rPr>
                <w:sz w:val="20"/>
                <w:szCs w:val="20"/>
                <w:color w:val="auto"/>
              </w:rPr>
            </w:pPr>
            <w:r>
              <w:rPr>
                <w:rFonts w:ascii="Arial" w:cs="Arial" w:eastAsia="Arial" w:hAnsi="Arial"/>
                <w:sz w:val="16"/>
                <w:szCs w:val="16"/>
                <w:color w:val="202E39"/>
              </w:rPr>
              <w:t>5,265,234</w:t>
            </w:r>
          </w:p>
        </w:tc>
        <w:tc>
          <w:tcPr>
            <w:tcW w:w="360" w:type="dxa"/>
            <w:vAlign w:val="bottom"/>
            <w:tcBorders>
              <w:right w:val="single" w:sz="8" w:color="E8EAEB"/>
            </w:tcBorders>
          </w:tcPr>
          <w:p>
            <w:pPr>
              <w:ind w:left="20"/>
              <w:spacing w:after="0"/>
              <w:rPr>
                <w:sz w:val="20"/>
                <w:szCs w:val="20"/>
                <w:color w:val="auto"/>
              </w:rPr>
            </w:pPr>
            <w:r>
              <w:rPr>
                <w:rFonts w:ascii="Arial" w:cs="Arial" w:eastAsia="Arial" w:hAnsi="Arial"/>
                <w:sz w:val="16"/>
                <w:szCs w:val="16"/>
                <w:color w:val="202E39"/>
              </w:rPr>
              <w:t>(18)</w:t>
            </w:r>
          </w:p>
        </w:tc>
        <w:tc>
          <w:tcPr>
            <w:tcW w:w="1900" w:type="dxa"/>
            <w:vAlign w:val="bottom"/>
          </w:tcPr>
          <w:p>
            <w:pPr>
              <w:jc w:val="right"/>
              <w:ind w:right="800"/>
              <w:spacing w:after="0"/>
              <w:rPr>
                <w:sz w:val="20"/>
                <w:szCs w:val="20"/>
                <w:color w:val="auto"/>
              </w:rPr>
            </w:pPr>
            <w:r>
              <w:rPr>
                <w:rFonts w:ascii="Arial" w:cs="Arial" w:eastAsia="Arial" w:hAnsi="Arial"/>
                <w:sz w:val="16"/>
                <w:szCs w:val="16"/>
                <w:color w:val="202E39"/>
              </w:rPr>
              <w:t>7.2</w:t>
            </w:r>
          </w:p>
        </w:tc>
      </w:tr>
      <w:tr>
        <w:trPr>
          <w:trHeight w:val="60"/>
        </w:trPr>
        <w:tc>
          <w:tcPr>
            <w:tcW w:w="7320" w:type="dxa"/>
            <w:vAlign w:val="bottom"/>
            <w:tcBorders>
              <w:bottom w:val="single" w:sz="8" w:color="009FE3"/>
              <w:right w:val="single" w:sz="8" w:color="E8EAEB"/>
            </w:tcBorders>
          </w:tcPr>
          <w:p>
            <w:pPr>
              <w:spacing w:after="0"/>
              <w:rPr>
                <w:sz w:val="5"/>
                <w:szCs w:val="5"/>
                <w:color w:val="auto"/>
              </w:rPr>
            </w:pPr>
          </w:p>
        </w:tc>
        <w:tc>
          <w:tcPr>
            <w:tcW w:w="1440" w:type="dxa"/>
            <w:vAlign w:val="bottom"/>
            <w:tcBorders>
              <w:bottom w:val="single" w:sz="8" w:color="009FE3"/>
            </w:tcBorders>
          </w:tcPr>
          <w:p>
            <w:pPr>
              <w:spacing w:after="0"/>
              <w:rPr>
                <w:sz w:val="5"/>
                <w:szCs w:val="5"/>
                <w:color w:val="auto"/>
              </w:rPr>
            </w:pPr>
          </w:p>
        </w:tc>
        <w:tc>
          <w:tcPr>
            <w:tcW w:w="360" w:type="dxa"/>
            <w:vAlign w:val="bottom"/>
            <w:tcBorders>
              <w:bottom w:val="single" w:sz="8" w:color="009FE3"/>
              <w:right w:val="single" w:sz="8" w:color="E8EAEB"/>
            </w:tcBorders>
          </w:tcPr>
          <w:p>
            <w:pPr>
              <w:spacing w:after="0"/>
              <w:rPr>
                <w:sz w:val="5"/>
                <w:szCs w:val="5"/>
                <w:color w:val="auto"/>
              </w:rPr>
            </w:pPr>
          </w:p>
        </w:tc>
        <w:tc>
          <w:tcPr>
            <w:tcW w:w="1900" w:type="dxa"/>
            <w:vAlign w:val="bottom"/>
            <w:tcBorders>
              <w:bottom w:val="single" w:sz="8" w:color="009FE3"/>
            </w:tcBorders>
          </w:tcPr>
          <w:p>
            <w:pPr>
              <w:spacing w:after="0"/>
              <w:rPr>
                <w:sz w:val="5"/>
                <w:szCs w:val="5"/>
                <w:color w:val="auto"/>
              </w:rPr>
            </w:pPr>
          </w:p>
        </w:tc>
      </w:tr>
    </w:tbl>
    <w:p>
      <w:pPr>
        <w:spacing w:after="0" w:line="126"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4"/>
          <w:szCs w:val="14"/>
          <w:color w:val="202E39"/>
        </w:rPr>
      </w:pPr>
      <w:r>
        <w:rPr>
          <w:rFonts w:ascii="Arial" w:cs="Arial" w:eastAsia="Arial" w:hAnsi="Arial"/>
          <w:sz w:val="14"/>
          <w:szCs w:val="14"/>
          <w:color w:val="202E39"/>
        </w:rPr>
        <w:t>Less than 1%.</w:t>
      </w:r>
    </w:p>
    <w:p>
      <w:pPr>
        <w:spacing w:after="0" w:line="69" w:lineRule="exact"/>
        <w:rPr>
          <w:sz w:val="20"/>
          <w:szCs w:val="20"/>
          <w:color w:val="auto"/>
        </w:rPr>
      </w:pPr>
    </w:p>
    <w:p>
      <w:pPr>
        <w:ind w:left="540" w:right="180" w:hanging="424"/>
        <w:spacing w:after="0" w:line="247" w:lineRule="auto"/>
        <w:tabs>
          <w:tab w:leader="none" w:pos="540" w:val="left"/>
        </w:tabs>
        <w:numPr>
          <w:ilvl w:val="0"/>
          <w:numId w:val="27"/>
        </w:numPr>
        <w:rPr>
          <w:rFonts w:ascii="Arial" w:cs="Arial" w:eastAsia="Arial" w:hAnsi="Arial"/>
          <w:sz w:val="14"/>
          <w:szCs w:val="14"/>
          <w:color w:val="202E39"/>
        </w:rPr>
      </w:pPr>
      <w:r>
        <w:rPr>
          <w:rFonts w:ascii="Arial" w:cs="Arial" w:eastAsia="Arial" w:hAnsi="Arial"/>
          <w:sz w:val="14"/>
          <w:szCs w:val="14"/>
          <w:color w:val="202E39"/>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52" w:lineRule="exact"/>
        <w:rPr>
          <w:rFonts w:ascii="Arial" w:cs="Arial" w:eastAsia="Arial" w:hAnsi="Arial"/>
          <w:sz w:val="14"/>
          <w:szCs w:val="14"/>
          <w:color w:val="202E39"/>
        </w:rPr>
      </w:pPr>
    </w:p>
    <w:p>
      <w:pPr>
        <w:ind w:left="540" w:right="20" w:hanging="424"/>
        <w:spacing w:after="0" w:line="245" w:lineRule="auto"/>
        <w:tabs>
          <w:tab w:leader="none" w:pos="540" w:val="left"/>
        </w:tabs>
        <w:numPr>
          <w:ilvl w:val="0"/>
          <w:numId w:val="27"/>
        </w:numPr>
        <w:rPr>
          <w:rFonts w:ascii="Arial" w:cs="Arial" w:eastAsia="Arial" w:hAnsi="Arial"/>
          <w:sz w:val="14"/>
          <w:szCs w:val="14"/>
          <w:color w:val="202E39"/>
        </w:rPr>
      </w:pPr>
      <w:r>
        <w:rPr>
          <w:rFonts w:ascii="Arial" w:cs="Arial" w:eastAsia="Arial" w:hAnsi="Arial"/>
          <w:sz w:val="14"/>
          <w:szCs w:val="14"/>
          <w:color w:val="202E39"/>
        </w:rPr>
        <w:t>In computing the number of shares beneficially owned by a person named in the table and the percentage ownership of that person, shares of common stock that such person had the right to acquire within 60 days after July 1, 2021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2021 and references to restricted stock units in the footnotes of the table include only restricted stock units that are scheduled to vest within 60 days after July 1, 2021.</w:t>
      </w:r>
    </w:p>
    <w:p>
      <w:pPr>
        <w:spacing w:after="0" w:line="55" w:lineRule="exact"/>
        <w:rPr>
          <w:rFonts w:ascii="Arial" w:cs="Arial" w:eastAsia="Arial" w:hAnsi="Arial"/>
          <w:sz w:val="14"/>
          <w:szCs w:val="14"/>
          <w:color w:val="202E39"/>
        </w:rPr>
      </w:pPr>
    </w:p>
    <w:p>
      <w:pPr>
        <w:ind w:left="540" w:right="200" w:hanging="424"/>
        <w:spacing w:after="0" w:line="249" w:lineRule="auto"/>
        <w:tabs>
          <w:tab w:leader="none" w:pos="540" w:val="left"/>
        </w:tabs>
        <w:numPr>
          <w:ilvl w:val="0"/>
          <w:numId w:val="27"/>
        </w:numPr>
        <w:rPr>
          <w:rFonts w:ascii="Arial" w:cs="Arial" w:eastAsia="Arial" w:hAnsi="Arial"/>
          <w:sz w:val="14"/>
          <w:szCs w:val="14"/>
          <w:color w:val="202E39"/>
        </w:rPr>
      </w:pPr>
      <w:r>
        <w:rPr>
          <w:rFonts w:ascii="Arial" w:cs="Arial" w:eastAsia="Arial" w:hAnsi="Arial"/>
          <w:sz w:val="14"/>
          <w:szCs w:val="14"/>
          <w:color w:val="202E39"/>
        </w:rPr>
        <w:t>For each person included in the table, percentage ownership is calculated by dividing the number of shares beneficially owned by such person by the sum of (a) 73,320,854 shares of common stock outstanding on July 1, 2021 plus (b) the number of shares of common stock that such person had the right to acquire within 60 days after July 1, 2021.</w:t>
      </w:r>
    </w:p>
    <w:p>
      <w:pPr>
        <w:spacing w:after="0" w:line="52" w:lineRule="exact"/>
        <w:rPr>
          <w:rFonts w:ascii="Arial" w:cs="Arial" w:eastAsia="Arial" w:hAnsi="Arial"/>
          <w:sz w:val="14"/>
          <w:szCs w:val="14"/>
          <w:color w:val="202E39"/>
        </w:rPr>
      </w:pPr>
    </w:p>
    <w:p>
      <w:pPr>
        <w:ind w:left="540" w:hanging="424"/>
        <w:spacing w:after="0" w:line="244" w:lineRule="auto"/>
        <w:tabs>
          <w:tab w:leader="none" w:pos="540" w:val="left"/>
        </w:tabs>
        <w:numPr>
          <w:ilvl w:val="0"/>
          <w:numId w:val="27"/>
        </w:numPr>
        <w:rPr>
          <w:rFonts w:ascii="Arial" w:cs="Arial" w:eastAsia="Arial" w:hAnsi="Arial"/>
          <w:sz w:val="14"/>
          <w:szCs w:val="14"/>
          <w:color w:val="202E39"/>
        </w:rPr>
      </w:pPr>
      <w:r>
        <w:rPr>
          <w:rFonts w:ascii="Arial" w:cs="Arial" w:eastAsia="Arial" w:hAnsi="Arial"/>
          <w:sz w:val="14"/>
          <w:szCs w:val="14"/>
          <w:color w:val="202E39"/>
        </w:rPr>
        <w:t>Includes (a) 265,000 shares subject to options exercisable by Mr. Dankberg within 60 days after July 1, 2021, (b) 72,746 shares held by the Dankberg Family Foundation, (c) 1,565,957 shares held by the Dankberg Family Trust, and (d) 587,049 shares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outstanding shares of Viasat common stock as of July 1, 2021, (iii) the maximum aggregate principal amount of advances secured by Mr. Dankberg’s pledged shares is $10 million, which, based on the closing price of Viasat common stock on July 1, 2021, would be equivalent to only approximately 200,240 shares of Viasat common stock, and (iv) Mr. Dankberg has advised us that he has the financial capacity to repay any advance under his agreement without resort to the pledged shares.</w:t>
      </w:r>
    </w:p>
    <w:p>
      <w:pPr>
        <w:spacing w:after="0" w:line="119"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35</w:t>
            </w: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OWNERSHIP OF SECURITIES </w:t>
      </w:r>
      <w:r>
        <w:rPr>
          <w:rFonts w:ascii="Arial" w:cs="Arial" w:eastAsia="Arial" w:hAnsi="Arial"/>
          <w:sz w:val="14"/>
          <w:szCs w:val="14"/>
          <w:color w:val="009FE3"/>
        </w:rPr>
        <w:t>• Beneficial Ownership Table</w:t>
      </w:r>
    </w:p>
    <w:p>
      <w:pPr>
        <w:spacing w:after="0" w:line="150" w:lineRule="exact"/>
        <w:rPr>
          <w:sz w:val="20"/>
          <w:szCs w:val="20"/>
          <w:color w:val="auto"/>
        </w:rPr>
      </w:pPr>
    </w:p>
    <w:p>
      <w:pPr>
        <w:ind w:left="540" w:right="240" w:hanging="424"/>
        <w:spacing w:after="0" w:line="258"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Johnson within 60 days after July 1, 2021, and (b) 680,096 shares held by the Robert W. Johnson Revocable Trust dated 8/13/1992.</w:t>
      </w:r>
    </w:p>
    <w:p>
      <w:pPr>
        <w:spacing w:after="0" w:line="45" w:lineRule="exact"/>
        <w:rPr>
          <w:rFonts w:ascii="Arial" w:cs="Arial" w:eastAsia="Arial" w:hAnsi="Arial"/>
          <w:sz w:val="14"/>
          <w:szCs w:val="14"/>
          <w:color w:val="202E39"/>
        </w:rPr>
      </w:pPr>
    </w:p>
    <w:p>
      <w:pPr>
        <w:ind w:left="540" w:right="260" w:hanging="424"/>
        <w:spacing w:after="0" w:line="258"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(a) 10,000 shares subject to options exercisable by Mr. Miller within 60 days after July 1, 2021, (b) 89,249 shares subject to restricted stock units that are scheduled to vest within 60 days after July 1, 2021 and (c) 317,171 shares subject to the Miller Family Trust dated 11/13/2000.</w:t>
      </w:r>
    </w:p>
    <w:p>
      <w:pPr>
        <w:spacing w:after="0" w:line="45" w:lineRule="exact"/>
        <w:rPr>
          <w:rFonts w:ascii="Arial" w:cs="Arial" w:eastAsia="Arial" w:hAnsi="Arial"/>
          <w:sz w:val="14"/>
          <w:szCs w:val="14"/>
          <w:color w:val="202E39"/>
        </w:rPr>
      </w:pPr>
    </w:p>
    <w:p>
      <w:pPr>
        <w:ind w:left="540" w:right="80" w:hanging="424"/>
        <w:spacing w:after="0" w:line="258"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(a) 207,500 shares subject to options exercisable by Mr. Baldridge within 60 days after July 1, 2021, and (b) 164,269 shares held by the Richard and Donna Baldridge Family Trust.</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55,000 shares subject to options exercisable by Ms. Duffy within 60 days after July 1, 2021.</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16,375 shares subject to options exercisable by Mr. Peterman within 60 days after July 1, 2021.</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Stenbit within 60 days after July 1, 2021, and (b) 16,200 shares held by the Pietje 2012 Gift Trust.</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24,000 shares subject to options exercisable by Ms. Rao within 60 days after July 1, 2021.</w:t>
      </w:r>
    </w:p>
    <w:p>
      <w:pPr>
        <w:spacing w:after="0" w:line="68" w:lineRule="exact"/>
        <w:rPr>
          <w:rFonts w:ascii="Arial" w:cs="Arial" w:eastAsia="Arial" w:hAnsi="Arial"/>
          <w:sz w:val="14"/>
          <w:szCs w:val="14"/>
          <w:color w:val="202E39"/>
        </w:rPr>
      </w:pPr>
    </w:p>
    <w:p>
      <w:pPr>
        <w:ind w:left="540" w:right="80" w:hanging="424"/>
        <w:spacing w:after="0" w:line="258"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(a) 19,000 shares subject to options exercisable by Mr. Pak within 60 days after July 1, 2021, and (b) 6,200 shares held by the Sean S. Pak and Caroline K. Shin Revocable Trust dated April 29, 2015.</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6,610 shares subject to restricted stock units held by Mr. Dodd that are scheduled to vest within 60 days after July 1, 2021.</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Includes 3,000 shares subject to options exercisable by Dr. Wise within 60 days after July 1, 2021.</w:t>
      </w:r>
    </w:p>
    <w:p>
      <w:pPr>
        <w:spacing w:after="0" w:line="68" w:lineRule="exact"/>
        <w:rPr>
          <w:rFonts w:ascii="Arial" w:cs="Arial" w:eastAsia="Arial" w:hAnsi="Arial"/>
          <w:sz w:val="14"/>
          <w:szCs w:val="14"/>
          <w:color w:val="202E39"/>
        </w:rPr>
      </w:pPr>
    </w:p>
    <w:p>
      <w:pPr>
        <w:ind w:left="540" w:right="80" w:hanging="424"/>
        <w:spacing w:after="0" w:line="245"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13D/A jointly filed with the SEC on May 5, 2021 by The Baupost Group, L.L.C. (Baupost), Baupost Group GP, L.L.C. (Baupost GP) and Seth A. Klarman. Such Schedule states that Baupost, Baupost GP and Mr. Klarman have shared voting and dispositive power over 16,288,959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55" w:lineRule="exact"/>
        <w:rPr>
          <w:rFonts w:ascii="Arial" w:cs="Arial" w:eastAsia="Arial" w:hAnsi="Arial"/>
          <w:sz w:val="14"/>
          <w:szCs w:val="14"/>
          <w:color w:val="202E39"/>
        </w:rPr>
      </w:pPr>
    </w:p>
    <w:p>
      <w:pPr>
        <w:ind w:left="540" w:hanging="424"/>
        <w:spacing w:after="0" w:line="247"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jointly filed with the SEC on February 16, 2021 by FPR Partners, LLC (FPR), Andrew Raab and Bob Peck. Such Schedule states that FPR has sole voting and dispositive power over 6,682,221 shares, and that Mr. Raab and Mr. Peck have shared voting and dispositive power over 6,682,221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52" w:lineRule="exact"/>
        <w:rPr>
          <w:rFonts w:ascii="Arial" w:cs="Arial" w:eastAsia="Arial" w:hAnsi="Arial"/>
          <w:sz w:val="14"/>
          <w:szCs w:val="14"/>
          <w:color w:val="202E39"/>
        </w:rPr>
      </w:pPr>
    </w:p>
    <w:p>
      <w:pPr>
        <w:jc w:val="both"/>
        <w:ind w:left="540" w:right="40" w:hanging="424"/>
        <w:spacing w:after="0" w:line="249"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filed with the SEC on February 10, 2021 by The Vanguard Group (Vanguard). Such Schedule states that Vanguard has shared voting power over 35,554 shares, sole dispositive power over 5,659,119 shares and shared dispositive power over 82,043 shares. The address of Vanguard is 100 Vanguard Boulevard, Malvern, Pennsylvania 19355.</w:t>
      </w:r>
    </w:p>
    <w:p>
      <w:pPr>
        <w:spacing w:after="0" w:line="52" w:lineRule="exact"/>
        <w:rPr>
          <w:rFonts w:ascii="Arial" w:cs="Arial" w:eastAsia="Arial" w:hAnsi="Arial"/>
          <w:sz w:val="14"/>
          <w:szCs w:val="14"/>
          <w:color w:val="202E39"/>
        </w:rPr>
      </w:pPr>
    </w:p>
    <w:p>
      <w:pPr>
        <w:ind w:left="540" w:right="20" w:hanging="424"/>
        <w:spacing w:after="0" w:line="249" w:lineRule="auto"/>
        <w:tabs>
          <w:tab w:leader="none" w:pos="540" w:val="left"/>
        </w:tabs>
        <w:numPr>
          <w:ilvl w:val="0"/>
          <w:numId w:val="28"/>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13G/A filed with the SEC on February 1, 2021 by BlackRock, Inc. Such Schedule states that BlackRock, Inc. has sole voting power over 5,065,968 shares and sole dispositive power over 5,265,234 shares. The address of BlackRock, Inc. is 55 East 52nd Street, New York, New York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81915</wp:posOffset>
            </wp:positionV>
            <wp:extent cx="43688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36</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EXECUTIVE COMPENSATION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QUICK REFERENCE GUIDE:</w:t>
      </w: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009FE3"/>
              </w:rPr>
              <w:t>Page</w:t>
            </w:r>
          </w:p>
        </w:tc>
        <w:tc>
          <w:tcPr>
            <w:tcW w:w="0" w:type="dxa"/>
            <w:vAlign w:val="bottom"/>
          </w:tcPr>
          <w:p>
            <w:pPr>
              <w:spacing w:after="0"/>
              <w:rPr>
                <w:sz w:val="1"/>
                <w:szCs w:val="1"/>
                <w:color w:val="auto"/>
              </w:rPr>
            </w:pPr>
          </w:p>
        </w:tc>
      </w:tr>
      <w:tr>
        <w:trPr>
          <w:trHeight w:val="40"/>
        </w:trPr>
        <w:tc>
          <w:tcPr>
            <w:tcW w:w="80" w:type="dxa"/>
            <w:vAlign w:val="bottom"/>
            <w:tcBorders>
              <w:bottom w:val="single" w:sz="8" w:color="009FE3"/>
            </w:tcBorders>
          </w:tcPr>
          <w:p>
            <w:pPr>
              <w:spacing w:after="0"/>
              <w:rPr>
                <w:sz w:val="3"/>
                <w:szCs w:val="3"/>
                <w:color w:val="auto"/>
              </w:rPr>
            </w:pPr>
          </w:p>
        </w:tc>
        <w:tc>
          <w:tcPr>
            <w:tcW w:w="180" w:type="dxa"/>
            <w:vAlign w:val="bottom"/>
            <w:tcBorders>
              <w:bottom w:val="single" w:sz="8" w:color="009FE3"/>
            </w:tcBorders>
          </w:tcPr>
          <w:p>
            <w:pPr>
              <w:spacing w:after="0"/>
              <w:rPr>
                <w:sz w:val="3"/>
                <w:szCs w:val="3"/>
                <w:color w:val="auto"/>
              </w:rPr>
            </w:pPr>
          </w:p>
        </w:tc>
        <w:tc>
          <w:tcPr>
            <w:tcW w:w="180" w:type="dxa"/>
            <w:vAlign w:val="bottom"/>
            <w:tcBorders>
              <w:bottom w:val="single" w:sz="8" w:color="009FE3"/>
            </w:tcBorders>
          </w:tcPr>
          <w:p>
            <w:pPr>
              <w:spacing w:after="0"/>
              <w:rPr>
                <w:sz w:val="3"/>
                <w:szCs w:val="3"/>
                <w:color w:val="auto"/>
              </w:rPr>
            </w:pPr>
          </w:p>
        </w:tc>
        <w:tc>
          <w:tcPr>
            <w:tcW w:w="460" w:type="dxa"/>
            <w:vAlign w:val="bottom"/>
            <w:tcBorders>
              <w:bottom w:val="single" w:sz="8" w:color="009FE3"/>
            </w:tcBorders>
          </w:tcPr>
          <w:p>
            <w:pPr>
              <w:spacing w:after="0"/>
              <w:rPr>
                <w:sz w:val="3"/>
                <w:szCs w:val="3"/>
                <w:color w:val="auto"/>
              </w:rPr>
            </w:pPr>
          </w:p>
        </w:tc>
        <w:tc>
          <w:tcPr>
            <w:tcW w:w="100" w:type="dxa"/>
            <w:vAlign w:val="bottom"/>
            <w:tcBorders>
              <w:bottom w:val="single" w:sz="8" w:color="009FE3"/>
            </w:tcBorders>
          </w:tcPr>
          <w:p>
            <w:pPr>
              <w:spacing w:after="0"/>
              <w:rPr>
                <w:sz w:val="3"/>
                <w:szCs w:val="3"/>
                <w:color w:val="auto"/>
              </w:rPr>
            </w:pPr>
          </w:p>
        </w:tc>
        <w:tc>
          <w:tcPr>
            <w:tcW w:w="680" w:type="dxa"/>
            <w:vAlign w:val="bottom"/>
            <w:tcBorders>
              <w:bottom w:val="single" w:sz="8" w:color="009FE3"/>
            </w:tcBorders>
          </w:tcPr>
          <w:p>
            <w:pPr>
              <w:spacing w:after="0"/>
              <w:rPr>
                <w:sz w:val="3"/>
                <w:szCs w:val="3"/>
                <w:color w:val="auto"/>
              </w:rPr>
            </w:pPr>
          </w:p>
        </w:tc>
        <w:tc>
          <w:tcPr>
            <w:tcW w:w="220" w:type="dxa"/>
            <w:vAlign w:val="bottom"/>
            <w:tcBorders>
              <w:bottom w:val="single" w:sz="8" w:color="009FE3"/>
            </w:tcBorders>
          </w:tcPr>
          <w:p>
            <w:pPr>
              <w:spacing w:after="0"/>
              <w:rPr>
                <w:sz w:val="3"/>
                <w:szCs w:val="3"/>
                <w:color w:val="auto"/>
              </w:rPr>
            </w:pPr>
          </w:p>
        </w:tc>
        <w:tc>
          <w:tcPr>
            <w:tcW w:w="60" w:type="dxa"/>
            <w:vAlign w:val="bottom"/>
            <w:tcBorders>
              <w:bottom w:val="single" w:sz="8" w:color="009FE3"/>
            </w:tcBorders>
          </w:tcPr>
          <w:p>
            <w:pPr>
              <w:spacing w:after="0"/>
              <w:rPr>
                <w:sz w:val="3"/>
                <w:szCs w:val="3"/>
                <w:color w:val="auto"/>
              </w:rPr>
            </w:pPr>
          </w:p>
        </w:tc>
        <w:tc>
          <w:tcPr>
            <w:tcW w:w="420" w:type="dxa"/>
            <w:vAlign w:val="bottom"/>
            <w:tcBorders>
              <w:bottom w:val="single" w:sz="8" w:color="009FE3"/>
            </w:tcBorders>
          </w:tcPr>
          <w:p>
            <w:pPr>
              <w:spacing w:after="0"/>
              <w:rPr>
                <w:sz w:val="3"/>
                <w:szCs w:val="3"/>
                <w:color w:val="auto"/>
              </w:rPr>
            </w:pPr>
          </w:p>
        </w:tc>
        <w:tc>
          <w:tcPr>
            <w:tcW w:w="200" w:type="dxa"/>
            <w:vAlign w:val="bottom"/>
            <w:tcBorders>
              <w:bottom w:val="single" w:sz="8" w:color="009FE3"/>
            </w:tcBorders>
          </w:tcPr>
          <w:p>
            <w:pPr>
              <w:spacing w:after="0"/>
              <w:rPr>
                <w:sz w:val="3"/>
                <w:szCs w:val="3"/>
                <w:color w:val="auto"/>
              </w:rPr>
            </w:pPr>
          </w:p>
        </w:tc>
        <w:tc>
          <w:tcPr>
            <w:tcW w:w="380" w:type="dxa"/>
            <w:vAlign w:val="bottom"/>
            <w:tcBorders>
              <w:bottom w:val="single" w:sz="8" w:color="009FE3"/>
            </w:tcBorders>
          </w:tcPr>
          <w:p>
            <w:pPr>
              <w:spacing w:after="0"/>
              <w:rPr>
                <w:sz w:val="3"/>
                <w:szCs w:val="3"/>
                <w:color w:val="auto"/>
              </w:rPr>
            </w:pPr>
          </w:p>
        </w:tc>
        <w:tc>
          <w:tcPr>
            <w:tcW w:w="160" w:type="dxa"/>
            <w:vAlign w:val="bottom"/>
            <w:tcBorders>
              <w:bottom w:val="single" w:sz="8" w:color="009FE3"/>
            </w:tcBorders>
          </w:tcPr>
          <w:p>
            <w:pPr>
              <w:spacing w:after="0"/>
              <w:rPr>
                <w:sz w:val="3"/>
                <w:szCs w:val="3"/>
                <w:color w:val="auto"/>
              </w:rPr>
            </w:pPr>
          </w:p>
        </w:tc>
        <w:tc>
          <w:tcPr>
            <w:tcW w:w="180" w:type="dxa"/>
            <w:vAlign w:val="bottom"/>
            <w:tcBorders>
              <w:bottom w:val="single" w:sz="8" w:color="009FE3"/>
            </w:tcBorders>
          </w:tcPr>
          <w:p>
            <w:pPr>
              <w:spacing w:after="0"/>
              <w:rPr>
                <w:sz w:val="3"/>
                <w:szCs w:val="3"/>
                <w:color w:val="auto"/>
              </w:rPr>
            </w:pPr>
          </w:p>
        </w:tc>
        <w:tc>
          <w:tcPr>
            <w:tcW w:w="520" w:type="dxa"/>
            <w:vAlign w:val="bottom"/>
            <w:tcBorders>
              <w:bottom w:val="single" w:sz="8" w:color="009FE3"/>
            </w:tcBorders>
          </w:tcPr>
          <w:p>
            <w:pPr>
              <w:spacing w:after="0"/>
              <w:rPr>
                <w:sz w:val="3"/>
                <w:szCs w:val="3"/>
                <w:color w:val="auto"/>
              </w:rPr>
            </w:pPr>
          </w:p>
        </w:tc>
        <w:tc>
          <w:tcPr>
            <w:tcW w:w="60" w:type="dxa"/>
            <w:vAlign w:val="bottom"/>
            <w:tcBorders>
              <w:bottom w:val="single" w:sz="8" w:color="009FE3"/>
            </w:tcBorders>
          </w:tcPr>
          <w:p>
            <w:pPr>
              <w:spacing w:after="0"/>
              <w:rPr>
                <w:sz w:val="3"/>
                <w:szCs w:val="3"/>
                <w:color w:val="auto"/>
              </w:rPr>
            </w:pPr>
          </w:p>
        </w:tc>
        <w:tc>
          <w:tcPr>
            <w:tcW w:w="380" w:type="dxa"/>
            <w:vAlign w:val="bottom"/>
            <w:tcBorders>
              <w:bottom w:val="single" w:sz="8" w:color="009FE3"/>
            </w:tcBorders>
          </w:tcPr>
          <w:p>
            <w:pPr>
              <w:spacing w:after="0"/>
              <w:rPr>
                <w:sz w:val="3"/>
                <w:szCs w:val="3"/>
                <w:color w:val="auto"/>
              </w:rPr>
            </w:pPr>
          </w:p>
        </w:tc>
        <w:tc>
          <w:tcPr>
            <w:tcW w:w="120" w:type="dxa"/>
            <w:vAlign w:val="bottom"/>
            <w:tcBorders>
              <w:bottom w:val="single" w:sz="8" w:color="009FE3"/>
            </w:tcBorders>
          </w:tcPr>
          <w:p>
            <w:pPr>
              <w:spacing w:after="0"/>
              <w:rPr>
                <w:sz w:val="3"/>
                <w:szCs w:val="3"/>
                <w:color w:val="auto"/>
              </w:rPr>
            </w:pPr>
          </w:p>
        </w:tc>
        <w:tc>
          <w:tcPr>
            <w:tcW w:w="280" w:type="dxa"/>
            <w:vAlign w:val="bottom"/>
            <w:tcBorders>
              <w:bottom w:val="single" w:sz="8" w:color="009FE3"/>
            </w:tcBorders>
          </w:tcPr>
          <w:p>
            <w:pPr>
              <w:spacing w:after="0"/>
              <w:rPr>
                <w:sz w:val="3"/>
                <w:szCs w:val="3"/>
                <w:color w:val="auto"/>
              </w:rPr>
            </w:pPr>
          </w:p>
        </w:tc>
        <w:tc>
          <w:tcPr>
            <w:tcW w:w="100" w:type="dxa"/>
            <w:vAlign w:val="bottom"/>
            <w:tcBorders>
              <w:bottom w:val="single" w:sz="8" w:color="009FE3"/>
            </w:tcBorders>
          </w:tcPr>
          <w:p>
            <w:pPr>
              <w:spacing w:after="0"/>
              <w:rPr>
                <w:sz w:val="3"/>
                <w:szCs w:val="3"/>
                <w:color w:val="auto"/>
              </w:rPr>
            </w:pPr>
          </w:p>
        </w:tc>
        <w:tc>
          <w:tcPr>
            <w:tcW w:w="520" w:type="dxa"/>
            <w:vAlign w:val="bottom"/>
            <w:tcBorders>
              <w:bottom w:val="single" w:sz="8" w:color="009FE3"/>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80" w:type="dxa"/>
            <w:vAlign w:val="bottom"/>
            <w:gridSpan w:val="18"/>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COMPENSATION DISCUSSION AND ANALYSIS</w:t>
              </w:r>
            </w:hyperlink>
          </w:p>
        </w:tc>
        <w:tc>
          <w:tcPr>
            <w:tcW w:w="520" w:type="dxa"/>
            <w:vAlign w:val="bottom"/>
          </w:tcPr>
          <w:p>
            <w:pPr>
              <w:jc w:val="right"/>
              <w:spacing w:after="0"/>
              <w:rPr>
                <w:sz w:val="20"/>
                <w:szCs w:val="20"/>
                <w:color w:val="auto"/>
              </w:rPr>
            </w:pPr>
            <w:r>
              <w:rPr>
                <w:rFonts w:ascii="Arial" w:cs="Arial" w:eastAsia="Arial" w:hAnsi="Arial"/>
                <w:sz w:val="17"/>
                <w:szCs w:val="17"/>
                <w:color w:val="202E39"/>
              </w:rPr>
              <w:t>37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20" w:type="dxa"/>
            <w:vAlign w:val="bottom"/>
            <w:tcBorders>
              <w:bottom w:val="single" w:sz="8" w:color="0000EE"/>
            </w:tcBorders>
            <w:gridSpan w:val="15"/>
          </w:tcPr>
          <w:p>
            <w:pPr>
              <w:spacing w:after="0"/>
              <w:rPr>
                <w:rFonts w:ascii="Arial" w:cs="Arial" w:eastAsia="Arial" w:hAnsi="Arial"/>
                <w:sz w:val="17"/>
                <w:szCs w:val="17"/>
                <w:color w:val="0000EE"/>
                <w:w w:val="99"/>
              </w:rPr>
            </w:pPr>
            <w:hyperlink w:anchor="page41">
              <w:r>
                <w:rPr>
                  <w:rFonts w:ascii="Arial" w:cs="Arial" w:eastAsia="Arial" w:hAnsi="Arial"/>
                  <w:sz w:val="17"/>
                  <w:szCs w:val="17"/>
                  <w:color w:val="0000EE"/>
                  <w:w w:val="99"/>
                </w:rPr>
                <w:t>Business Overview and Fiscal Year 2021 Performance</w:t>
              </w:r>
            </w:hyperlink>
          </w:p>
        </w:tc>
        <w:tc>
          <w:tcPr>
            <w:tcW w:w="380" w:type="dxa"/>
            <w:vAlign w:val="bottom"/>
            <w:gridSpan w:val="2"/>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202E39"/>
              </w:rPr>
              <w:t>38</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00" w:type="dxa"/>
            <w:vAlign w:val="bottom"/>
            <w:gridSpan w:val="17"/>
          </w:tcPr>
          <w:p>
            <w:pPr>
              <w:spacing w:after="0" w:line="169" w:lineRule="exact"/>
              <w:rPr>
                <w:rFonts w:ascii="Arial" w:cs="Arial" w:eastAsia="Arial" w:hAnsi="Arial"/>
                <w:sz w:val="17"/>
                <w:szCs w:val="17"/>
                <w:color w:val="0000EE"/>
              </w:rPr>
            </w:pPr>
            <w:hyperlink w:anchor="page41">
              <w:r>
                <w:rPr>
                  <w:rFonts w:ascii="Arial" w:cs="Arial" w:eastAsia="Arial" w:hAnsi="Arial"/>
                  <w:sz w:val="17"/>
                  <w:szCs w:val="17"/>
                  <w:color w:val="0000EE"/>
                </w:rPr>
                <w:t>Highlights</w:t>
              </w:r>
            </w:hyperlink>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tcBorders>
              <w:bottom w:val="single" w:sz="8" w:color="0000EE"/>
            </w:tcBorders>
            <w:gridSpan w:val="13"/>
          </w:tcPr>
          <w:p>
            <w:pPr>
              <w:spacing w:after="0"/>
              <w:rPr>
                <w:rFonts w:ascii="Arial" w:cs="Arial" w:eastAsia="Arial" w:hAnsi="Arial"/>
                <w:sz w:val="17"/>
                <w:szCs w:val="17"/>
                <w:color w:val="0000EE"/>
                <w:w w:val="99"/>
              </w:rPr>
            </w:pPr>
            <w:hyperlink w:anchor="page42">
              <w:r>
                <w:rPr>
                  <w:rFonts w:ascii="Arial" w:cs="Arial" w:eastAsia="Arial" w:hAnsi="Arial"/>
                  <w:sz w:val="17"/>
                  <w:szCs w:val="17"/>
                  <w:color w:val="0000EE"/>
                  <w:w w:val="99"/>
                </w:rPr>
                <w:t>Executive Compensation Decisions Informed by</w:t>
              </w:r>
            </w:hyperlink>
          </w:p>
        </w:tc>
        <w:tc>
          <w:tcPr>
            <w:tcW w:w="880" w:type="dxa"/>
            <w:vAlign w:val="bottom"/>
            <w:gridSpan w:val="4"/>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7"/>
                <w:szCs w:val="17"/>
                <w:color w:val="202E39"/>
              </w:rPr>
              <w:t>39</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0000EE"/>
            </w:tcBorders>
            <w:gridSpan w:val="6"/>
          </w:tcPr>
          <w:p>
            <w:pPr>
              <w:spacing w:after="0" w:line="169" w:lineRule="exact"/>
              <w:rPr>
                <w:rFonts w:ascii="Arial" w:cs="Arial" w:eastAsia="Arial" w:hAnsi="Arial"/>
                <w:sz w:val="17"/>
                <w:szCs w:val="17"/>
                <w:color w:val="0000EE"/>
                <w:w w:val="99"/>
              </w:rPr>
            </w:pPr>
            <w:hyperlink w:anchor="page42">
              <w:r>
                <w:rPr>
                  <w:rFonts w:ascii="Arial" w:cs="Arial" w:eastAsia="Arial" w:hAnsi="Arial"/>
                  <w:sz w:val="17"/>
                  <w:szCs w:val="17"/>
                  <w:color w:val="0000EE"/>
                  <w:w w:val="99"/>
                </w:rPr>
                <w:t>Stockholder Feedback</w:t>
              </w:r>
            </w:hyperlink>
          </w:p>
        </w:tc>
        <w:tc>
          <w:tcPr>
            <w:tcW w:w="2800" w:type="dxa"/>
            <w:vAlign w:val="bottom"/>
            <w:gridSpan w:val="11"/>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17"/>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Overview and Objectives of Executive Compensation</w:t>
              </w:r>
            </w:hyperlink>
          </w:p>
        </w:tc>
        <w:tc>
          <w:tcPr>
            <w:tcW w:w="520" w:type="dxa"/>
            <w:vAlign w:val="bottom"/>
            <w:vMerge w:val="restart"/>
          </w:tcPr>
          <w:p>
            <w:pPr>
              <w:jc w:val="right"/>
              <w:spacing w:after="0"/>
              <w:rPr>
                <w:sz w:val="20"/>
                <w:szCs w:val="20"/>
                <w:color w:val="auto"/>
              </w:rPr>
            </w:pPr>
            <w:r>
              <w:rPr>
                <w:rFonts w:ascii="Arial" w:cs="Arial" w:eastAsia="Arial" w:hAnsi="Arial"/>
                <w:sz w:val="17"/>
                <w:szCs w:val="17"/>
                <w:color w:val="202E39"/>
              </w:rPr>
              <w:t>40</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0" w:type="dxa"/>
            <w:vAlign w:val="bottom"/>
            <w:tcBorders>
              <w:top w:val="single" w:sz="8" w:color="0000EE"/>
            </w:tcBorders>
            <w:gridSpan w:val="14"/>
          </w:tcPr>
          <w:p>
            <w:pPr>
              <w:spacing w:after="0" w:line="169" w:lineRule="exact"/>
              <w:rPr>
                <w:rFonts w:ascii="Arial" w:cs="Arial" w:eastAsia="Arial" w:hAnsi="Arial"/>
                <w:sz w:val="17"/>
                <w:szCs w:val="17"/>
                <w:color w:val="0000EE"/>
              </w:rPr>
            </w:pPr>
            <w:hyperlink w:anchor="page43">
              <w:r>
                <w:rPr>
                  <w:rFonts w:ascii="Arial" w:cs="Arial" w:eastAsia="Arial" w:hAnsi="Arial"/>
                  <w:sz w:val="17"/>
                  <w:szCs w:val="17"/>
                  <w:color w:val="0000EE"/>
                </w:rPr>
                <w:t>Program</w:t>
              </w:r>
            </w:hyperlink>
          </w:p>
        </w:tc>
        <w:tc>
          <w:tcPr>
            <w:tcW w:w="500" w:type="dxa"/>
            <w:vAlign w:val="bottom"/>
            <w:gridSpan w:val="3"/>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20" w:type="dxa"/>
            <w:vAlign w:val="bottom"/>
            <w:tcBorders>
              <w:bottom w:val="single" w:sz="8" w:color="0000EE"/>
            </w:tcBorders>
            <w:gridSpan w:val="15"/>
          </w:tcPr>
          <w:p>
            <w:pPr>
              <w:spacing w:after="0"/>
              <w:rPr>
                <w:rFonts w:ascii="Arial" w:cs="Arial" w:eastAsia="Arial" w:hAnsi="Arial"/>
                <w:sz w:val="17"/>
                <w:szCs w:val="17"/>
                <w:color w:val="0000EE"/>
                <w:w w:val="99"/>
              </w:rPr>
            </w:pPr>
            <w:hyperlink w:anchor="page43">
              <w:r>
                <w:rPr>
                  <w:rFonts w:ascii="Arial" w:cs="Arial" w:eastAsia="Arial" w:hAnsi="Arial"/>
                  <w:sz w:val="17"/>
                  <w:szCs w:val="17"/>
                  <w:color w:val="0000EE"/>
                  <w:w w:val="99"/>
                </w:rPr>
                <w:t>Key Features of Our Executive Compensation Practices</w:t>
              </w:r>
            </w:hyperlink>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Borders>
              <w:bottom w:val="single" w:sz="8" w:color="0000EE"/>
            </w:tcBorders>
            <w:gridSpan w:val="6"/>
          </w:tcPr>
          <w:p>
            <w:pPr>
              <w:spacing w:after="0"/>
              <w:rPr>
                <w:rFonts w:ascii="Arial" w:cs="Arial" w:eastAsia="Arial" w:hAnsi="Arial"/>
                <w:sz w:val="17"/>
                <w:szCs w:val="17"/>
                <w:color w:val="0000EE"/>
                <w:w w:val="99"/>
              </w:rPr>
            </w:pPr>
            <w:hyperlink w:anchor="page43">
              <w:r>
                <w:rPr>
                  <w:rFonts w:ascii="Arial" w:cs="Arial" w:eastAsia="Arial" w:hAnsi="Arial"/>
                  <w:sz w:val="17"/>
                  <w:szCs w:val="17"/>
                  <w:color w:val="0000EE"/>
                  <w:w w:val="99"/>
                </w:rPr>
                <w:t>Compensation Objectives</w:t>
              </w:r>
            </w:hyperlink>
          </w:p>
        </w:tc>
        <w:tc>
          <w:tcPr>
            <w:tcW w:w="2380" w:type="dxa"/>
            <w:vAlign w:val="bottom"/>
            <w:gridSpan w:val="10"/>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Borders>
              <w:bottom w:val="single" w:sz="8" w:color="0000EE"/>
            </w:tcBorders>
            <w:gridSpan w:val="10"/>
          </w:tcPr>
          <w:p>
            <w:pPr>
              <w:spacing w:after="0"/>
              <w:rPr>
                <w:rFonts w:ascii="Arial" w:cs="Arial" w:eastAsia="Arial" w:hAnsi="Arial"/>
                <w:sz w:val="17"/>
                <w:szCs w:val="17"/>
                <w:color w:val="0000EE"/>
                <w:w w:val="99"/>
              </w:rPr>
            </w:pPr>
            <w:hyperlink w:anchor="page44">
              <w:r>
                <w:rPr>
                  <w:rFonts w:ascii="Arial" w:cs="Arial" w:eastAsia="Arial" w:hAnsi="Arial"/>
                  <w:sz w:val="17"/>
                  <w:szCs w:val="17"/>
                  <w:color w:val="0000EE"/>
                  <w:w w:val="99"/>
                </w:rPr>
                <w:t>Decision-Making Process and Criteria</w:t>
              </w:r>
            </w:hyperlink>
          </w:p>
        </w:tc>
        <w:tc>
          <w:tcPr>
            <w:tcW w:w="1460" w:type="dxa"/>
            <w:vAlign w:val="bottom"/>
            <w:gridSpan w:val="6"/>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41</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Borders>
              <w:bottom w:val="single" w:sz="8" w:color="0000EE"/>
            </w:tcBorders>
            <w:gridSpan w:val="11"/>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Components of Our Compensation Program</w:t>
              </w:r>
            </w:hyperlink>
          </w:p>
        </w:tc>
        <w:tc>
          <w:tcPr>
            <w:tcW w:w="940" w:type="dxa"/>
            <w:vAlign w:val="bottom"/>
            <w:gridSpan w:val="5"/>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500" w:type="dxa"/>
            <w:vAlign w:val="bottom"/>
            <w:gridSpan w:val="17"/>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Additional Information</w:t>
              </w:r>
            </w:hyperlink>
          </w:p>
        </w:tc>
        <w:tc>
          <w:tcPr>
            <w:tcW w:w="520" w:type="dxa"/>
            <w:vAlign w:val="bottom"/>
          </w:tcPr>
          <w:p>
            <w:pPr>
              <w:jc w:val="right"/>
              <w:spacing w:after="0"/>
              <w:rPr>
                <w:sz w:val="20"/>
                <w:szCs w:val="20"/>
                <w:color w:val="auto"/>
              </w:rPr>
            </w:pPr>
            <w:r>
              <w:rPr>
                <w:rFonts w:ascii="Arial" w:cs="Arial" w:eastAsia="Arial" w:hAnsi="Arial"/>
                <w:sz w:val="17"/>
                <w:szCs w:val="17"/>
                <w:color w:val="202E39"/>
              </w:rPr>
              <w:t>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Borders>
              <w:bottom w:val="single" w:sz="8" w:color="0000EE"/>
            </w:tcBorders>
            <w:gridSpan w:val="7"/>
          </w:tcPr>
          <w:p>
            <w:pPr>
              <w:spacing w:after="0"/>
              <w:rPr>
                <w:rFonts w:ascii="Arial" w:cs="Arial" w:eastAsia="Arial" w:hAnsi="Arial"/>
                <w:sz w:val="17"/>
                <w:szCs w:val="17"/>
                <w:color w:val="0000EE"/>
                <w:w w:val="99"/>
              </w:rPr>
            </w:pPr>
            <w:hyperlink w:anchor="page53">
              <w:r>
                <w:rPr>
                  <w:rFonts w:ascii="Arial" w:cs="Arial" w:eastAsia="Arial" w:hAnsi="Arial"/>
                  <w:sz w:val="17"/>
                  <w:szCs w:val="17"/>
                  <w:color w:val="0000EE"/>
                  <w:w w:val="99"/>
                </w:rPr>
                <w:t>Stock Ownership Guidelines</w:t>
              </w:r>
            </w:hyperlink>
          </w:p>
        </w:tc>
        <w:tc>
          <w:tcPr>
            <w:tcW w:w="2180" w:type="dxa"/>
            <w:vAlign w:val="bottom"/>
            <w:gridSpan w:val="9"/>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50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0000EE"/>
            </w:tcBorders>
            <w:gridSpan w:val="3"/>
          </w:tcPr>
          <w:p>
            <w:pPr>
              <w:spacing w:after="0"/>
              <w:rPr>
                <w:rFonts w:ascii="Arial" w:cs="Arial" w:eastAsia="Arial" w:hAnsi="Arial"/>
                <w:sz w:val="17"/>
                <w:szCs w:val="17"/>
                <w:color w:val="0000EE"/>
                <w:w w:val="98"/>
              </w:rPr>
            </w:pPr>
            <w:hyperlink w:anchor="page53">
              <w:r>
                <w:rPr>
                  <w:rFonts w:ascii="Arial" w:cs="Arial" w:eastAsia="Arial" w:hAnsi="Arial"/>
                  <w:sz w:val="17"/>
                  <w:szCs w:val="17"/>
                  <w:color w:val="0000EE"/>
                  <w:w w:val="98"/>
                </w:rPr>
                <w:t>Clawback Policy</w:t>
              </w:r>
            </w:hyperlink>
          </w:p>
        </w:tc>
        <w:tc>
          <w:tcPr>
            <w:tcW w:w="3080" w:type="dxa"/>
            <w:vAlign w:val="bottom"/>
            <w:gridSpan w:val="13"/>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50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16"/>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Anti-Hedging and Pledging Policy</w:t>
              </w:r>
            </w:hyperlink>
          </w:p>
        </w:tc>
        <w:tc>
          <w:tcPr>
            <w:tcW w:w="520" w:type="dxa"/>
            <w:vAlign w:val="bottom"/>
          </w:tcPr>
          <w:p>
            <w:pPr>
              <w:jc w:val="right"/>
              <w:spacing w:after="0"/>
              <w:rPr>
                <w:sz w:val="20"/>
                <w:szCs w:val="20"/>
                <w:color w:val="auto"/>
              </w:rPr>
            </w:pPr>
            <w:r>
              <w:rPr>
                <w:rFonts w:ascii="Arial" w:cs="Arial" w:eastAsia="Arial" w:hAnsi="Arial"/>
                <w:sz w:val="17"/>
                <w:szCs w:val="17"/>
                <w:color w:val="202E39"/>
              </w:rPr>
              <w:t>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8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54">
              <w:r>
                <w:rPr>
                  <w:rFonts w:ascii="Arial" w:cs="Arial" w:eastAsia="Arial" w:hAnsi="Arial"/>
                  <w:sz w:val="17"/>
                  <w:szCs w:val="17"/>
                  <w:color w:val="0000EE"/>
                  <w:w w:val="99"/>
                </w:rPr>
                <w:t>Tax and Accounting Considerations</w:t>
              </w:r>
            </w:hyperlink>
          </w:p>
        </w:tc>
        <w:tc>
          <w:tcPr>
            <w:tcW w:w="1640" w:type="dxa"/>
            <w:vAlign w:val="bottom"/>
            <w:gridSpan w:val="7"/>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202E39"/>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009FE3"/>
              </w:rPr>
              <w:t>Page</w:t>
            </w:r>
          </w:p>
        </w:tc>
      </w:tr>
      <w:tr>
        <w:trPr>
          <w:trHeight w:val="40"/>
        </w:trPr>
        <w:tc>
          <w:tcPr>
            <w:tcW w:w="80" w:type="dxa"/>
            <w:vAlign w:val="bottom"/>
            <w:tcBorders>
              <w:bottom w:val="single" w:sz="8" w:color="009FE3"/>
            </w:tcBorders>
          </w:tcPr>
          <w:p>
            <w:pPr>
              <w:spacing w:after="0"/>
              <w:rPr>
                <w:sz w:val="3"/>
                <w:szCs w:val="3"/>
                <w:color w:val="auto"/>
              </w:rPr>
            </w:pPr>
          </w:p>
        </w:tc>
        <w:tc>
          <w:tcPr>
            <w:tcW w:w="180" w:type="dxa"/>
            <w:vAlign w:val="bottom"/>
            <w:tcBorders>
              <w:bottom w:val="single" w:sz="8" w:color="009FE3"/>
            </w:tcBorders>
          </w:tcPr>
          <w:p>
            <w:pPr>
              <w:spacing w:after="0"/>
              <w:rPr>
                <w:sz w:val="3"/>
                <w:szCs w:val="3"/>
                <w:color w:val="auto"/>
              </w:rPr>
            </w:pPr>
          </w:p>
        </w:tc>
        <w:tc>
          <w:tcPr>
            <w:tcW w:w="1100" w:type="dxa"/>
            <w:vAlign w:val="bottom"/>
            <w:tcBorders>
              <w:bottom w:val="single" w:sz="8" w:color="009FE3"/>
            </w:tcBorders>
          </w:tcPr>
          <w:p>
            <w:pPr>
              <w:spacing w:after="0"/>
              <w:rPr>
                <w:sz w:val="3"/>
                <w:szCs w:val="3"/>
                <w:color w:val="auto"/>
              </w:rPr>
            </w:pPr>
          </w:p>
        </w:tc>
        <w:tc>
          <w:tcPr>
            <w:tcW w:w="180" w:type="dxa"/>
            <w:vAlign w:val="bottom"/>
            <w:tcBorders>
              <w:bottom w:val="single" w:sz="8" w:color="009FE3"/>
            </w:tcBorders>
          </w:tcPr>
          <w:p>
            <w:pPr>
              <w:spacing w:after="0"/>
              <w:rPr>
                <w:sz w:val="3"/>
                <w:szCs w:val="3"/>
                <w:color w:val="auto"/>
              </w:rPr>
            </w:pPr>
          </w:p>
        </w:tc>
        <w:tc>
          <w:tcPr>
            <w:tcW w:w="600" w:type="dxa"/>
            <w:vAlign w:val="bottom"/>
            <w:tcBorders>
              <w:bottom w:val="single" w:sz="8" w:color="009FE3"/>
            </w:tcBorders>
          </w:tcPr>
          <w:p>
            <w:pPr>
              <w:spacing w:after="0"/>
              <w:rPr>
                <w:sz w:val="3"/>
                <w:szCs w:val="3"/>
                <w:color w:val="auto"/>
              </w:rPr>
            </w:pPr>
          </w:p>
        </w:tc>
        <w:tc>
          <w:tcPr>
            <w:tcW w:w="240" w:type="dxa"/>
            <w:vAlign w:val="bottom"/>
            <w:tcBorders>
              <w:bottom w:val="single" w:sz="8" w:color="009FE3"/>
            </w:tcBorders>
          </w:tcPr>
          <w:p>
            <w:pPr>
              <w:spacing w:after="0"/>
              <w:rPr>
                <w:sz w:val="3"/>
                <w:szCs w:val="3"/>
                <w:color w:val="auto"/>
              </w:rPr>
            </w:pPr>
          </w:p>
        </w:tc>
        <w:tc>
          <w:tcPr>
            <w:tcW w:w="200" w:type="dxa"/>
            <w:vAlign w:val="bottom"/>
            <w:tcBorders>
              <w:bottom w:val="single" w:sz="8" w:color="009FE3"/>
            </w:tcBorders>
          </w:tcPr>
          <w:p>
            <w:pPr>
              <w:spacing w:after="0"/>
              <w:rPr>
                <w:sz w:val="3"/>
                <w:szCs w:val="3"/>
                <w:color w:val="auto"/>
              </w:rPr>
            </w:pPr>
          </w:p>
        </w:tc>
        <w:tc>
          <w:tcPr>
            <w:tcW w:w="520" w:type="dxa"/>
            <w:vAlign w:val="bottom"/>
            <w:tcBorders>
              <w:bottom w:val="single" w:sz="8" w:color="009FE3"/>
            </w:tcBorders>
          </w:tcPr>
          <w:p>
            <w:pPr>
              <w:spacing w:after="0"/>
              <w:rPr>
                <w:sz w:val="3"/>
                <w:szCs w:val="3"/>
                <w:color w:val="auto"/>
              </w:rPr>
            </w:pPr>
          </w:p>
        </w:tc>
        <w:tc>
          <w:tcPr>
            <w:tcW w:w="60" w:type="dxa"/>
            <w:vAlign w:val="bottom"/>
            <w:tcBorders>
              <w:bottom w:val="single" w:sz="8" w:color="009FE3"/>
            </w:tcBorders>
          </w:tcPr>
          <w:p>
            <w:pPr>
              <w:spacing w:after="0"/>
              <w:rPr>
                <w:sz w:val="3"/>
                <w:szCs w:val="3"/>
                <w:color w:val="auto"/>
              </w:rPr>
            </w:pPr>
          </w:p>
        </w:tc>
        <w:tc>
          <w:tcPr>
            <w:tcW w:w="120" w:type="dxa"/>
            <w:vAlign w:val="bottom"/>
            <w:tcBorders>
              <w:bottom w:val="single" w:sz="8" w:color="009FE3"/>
            </w:tcBorders>
          </w:tcPr>
          <w:p>
            <w:pPr>
              <w:spacing w:after="0"/>
              <w:rPr>
                <w:sz w:val="3"/>
                <w:szCs w:val="3"/>
                <w:color w:val="auto"/>
              </w:rPr>
            </w:pPr>
          </w:p>
        </w:tc>
        <w:tc>
          <w:tcPr>
            <w:tcW w:w="720" w:type="dxa"/>
            <w:vAlign w:val="bottom"/>
            <w:tcBorders>
              <w:bottom w:val="single" w:sz="8" w:color="009FE3"/>
            </w:tcBorders>
          </w:tcPr>
          <w:p>
            <w:pPr>
              <w:spacing w:after="0"/>
              <w:rPr>
                <w:sz w:val="3"/>
                <w:szCs w:val="3"/>
                <w:color w:val="auto"/>
              </w:rPr>
            </w:pPr>
          </w:p>
        </w:tc>
        <w:tc>
          <w:tcPr>
            <w:tcW w:w="160" w:type="dxa"/>
            <w:vAlign w:val="bottom"/>
            <w:tcBorders>
              <w:bottom w:val="single" w:sz="8" w:color="009FE3"/>
            </w:tcBorders>
          </w:tcPr>
          <w:p>
            <w:pPr>
              <w:spacing w:after="0"/>
              <w:rPr>
                <w:sz w:val="3"/>
                <w:szCs w:val="3"/>
                <w:color w:val="auto"/>
              </w:rPr>
            </w:pPr>
          </w:p>
        </w:tc>
        <w:tc>
          <w:tcPr>
            <w:tcW w:w="260" w:type="dxa"/>
            <w:vAlign w:val="bottom"/>
            <w:tcBorders>
              <w:bottom w:val="single" w:sz="8" w:color="009FE3"/>
            </w:tcBorders>
          </w:tcPr>
          <w:p>
            <w:pPr>
              <w:spacing w:after="0"/>
              <w:rPr>
                <w:sz w:val="3"/>
                <w:szCs w:val="3"/>
                <w:color w:val="auto"/>
              </w:rPr>
            </w:pPr>
          </w:p>
        </w:tc>
        <w:tc>
          <w:tcPr>
            <w:tcW w:w="260" w:type="dxa"/>
            <w:vAlign w:val="bottom"/>
            <w:tcBorders>
              <w:bottom w:val="single" w:sz="8" w:color="009FE3"/>
            </w:tcBorders>
          </w:tcPr>
          <w:p>
            <w:pPr>
              <w:spacing w:after="0"/>
              <w:rPr>
                <w:sz w:val="3"/>
                <w:szCs w:val="3"/>
                <w:color w:val="auto"/>
              </w:rPr>
            </w:pPr>
          </w:p>
        </w:tc>
        <w:tc>
          <w:tcPr>
            <w:tcW w:w="720" w:type="dxa"/>
            <w:vAlign w:val="bottom"/>
            <w:tcBorders>
              <w:bottom w:val="single" w:sz="8" w:color="009FE3"/>
            </w:tcBorders>
          </w:tcPr>
          <w:p>
            <w:pPr>
              <w:spacing w:after="0"/>
              <w:rPr>
                <w:sz w:val="3"/>
                <w:szCs w:val="3"/>
                <w:color w:val="auto"/>
              </w:rPr>
            </w:pPr>
          </w:p>
        </w:tc>
      </w:tr>
      <w:tr>
        <w:trPr>
          <w:trHeight w:val="196"/>
        </w:trPr>
        <w:tc>
          <w:tcPr>
            <w:tcW w:w="80" w:type="dxa"/>
            <w:vAlign w:val="bottom"/>
          </w:tcPr>
          <w:p>
            <w:pPr>
              <w:spacing w:after="0"/>
              <w:rPr>
                <w:sz w:val="17"/>
                <w:szCs w:val="17"/>
                <w:color w:val="auto"/>
              </w:rPr>
            </w:pPr>
          </w:p>
        </w:tc>
        <w:tc>
          <w:tcPr>
            <w:tcW w:w="320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55">
              <w:r>
                <w:rPr>
                  <w:rFonts w:ascii="Arial" w:cs="Arial" w:eastAsia="Arial" w:hAnsi="Arial"/>
                  <w:sz w:val="17"/>
                  <w:szCs w:val="17"/>
                  <w:color w:val="0000EE"/>
                  <w:w w:val="99"/>
                </w:rPr>
                <w:t>COMPENSATION COMMITTEE REPORT</w:t>
              </w:r>
            </w:hyperlink>
          </w:p>
        </w:tc>
        <w:tc>
          <w:tcPr>
            <w:tcW w:w="1400" w:type="dxa"/>
            <w:vAlign w:val="bottom"/>
            <w:gridSpan w:val="4"/>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52</w:t>
            </w:r>
          </w:p>
        </w:tc>
      </w:tr>
      <w:tr>
        <w:trPr>
          <w:trHeight w:val="277"/>
        </w:trPr>
        <w:tc>
          <w:tcPr>
            <w:tcW w:w="80" w:type="dxa"/>
            <w:vAlign w:val="bottom"/>
          </w:tcPr>
          <w:p>
            <w:pPr>
              <w:spacing w:after="0"/>
              <w:rPr>
                <w:sz w:val="24"/>
                <w:szCs w:val="24"/>
                <w:color w:val="auto"/>
              </w:rPr>
            </w:pPr>
          </w:p>
        </w:tc>
        <w:tc>
          <w:tcPr>
            <w:tcW w:w="2060" w:type="dxa"/>
            <w:vAlign w:val="bottom"/>
            <w:tcBorders>
              <w:bottom w:val="single" w:sz="8" w:color="0000EE"/>
            </w:tcBorders>
            <w:gridSpan w:val="4"/>
          </w:tcPr>
          <w:p>
            <w:pPr>
              <w:spacing w:after="0"/>
              <w:rPr>
                <w:rFonts w:ascii="Arial" w:cs="Arial" w:eastAsia="Arial" w:hAnsi="Arial"/>
                <w:sz w:val="17"/>
                <w:szCs w:val="17"/>
                <w:color w:val="0000EE"/>
                <w:w w:val="98"/>
              </w:rPr>
            </w:pPr>
            <w:hyperlink w:anchor="page56">
              <w:r>
                <w:rPr>
                  <w:rFonts w:ascii="Arial" w:cs="Arial" w:eastAsia="Arial" w:hAnsi="Arial"/>
                  <w:sz w:val="17"/>
                  <w:szCs w:val="17"/>
                  <w:color w:val="0000EE"/>
                  <w:w w:val="98"/>
                </w:rPr>
                <w:t>COMPENSATION TABLES</w:t>
              </w:r>
            </w:hyperlink>
          </w:p>
        </w:tc>
        <w:tc>
          <w:tcPr>
            <w:tcW w:w="254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53</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gridSpan w:val="12"/>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Summary Compensation Table</w:t>
              </w:r>
            </w:hyperlink>
          </w:p>
        </w:tc>
        <w:tc>
          <w:tcPr>
            <w:tcW w:w="720" w:type="dxa"/>
            <w:vAlign w:val="bottom"/>
          </w:tcPr>
          <w:p>
            <w:pPr>
              <w:jc w:val="right"/>
              <w:spacing w:after="0"/>
              <w:rPr>
                <w:sz w:val="20"/>
                <w:szCs w:val="20"/>
                <w:color w:val="auto"/>
              </w:rPr>
            </w:pPr>
            <w:r>
              <w:rPr>
                <w:rFonts w:ascii="Arial" w:cs="Arial" w:eastAsia="Arial" w:hAnsi="Arial"/>
                <w:sz w:val="17"/>
                <w:szCs w:val="17"/>
                <w:color w:val="202E39"/>
              </w:rPr>
              <w:t>53</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57">
              <w:r>
                <w:rPr>
                  <w:rFonts w:ascii="Arial" w:cs="Arial" w:eastAsia="Arial" w:hAnsi="Arial"/>
                  <w:sz w:val="17"/>
                  <w:szCs w:val="17"/>
                  <w:color w:val="0000EE"/>
                  <w:w w:val="99"/>
                </w:rPr>
                <w:t>Grants of Plan-Based Awards in Fiscal Year 2021</w:t>
              </w:r>
            </w:hyperlink>
          </w:p>
        </w:tc>
        <w:tc>
          <w:tcPr>
            <w:tcW w:w="680" w:type="dxa"/>
            <w:vAlign w:val="bottom"/>
            <w:gridSpan w:val="3"/>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54</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gridSpan w:val="12"/>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Outstanding Equity Awards at 2021 Fiscal Year End</w:t>
              </w:r>
            </w:hyperlink>
          </w:p>
        </w:tc>
        <w:tc>
          <w:tcPr>
            <w:tcW w:w="720" w:type="dxa"/>
            <w:vAlign w:val="bottom"/>
          </w:tcPr>
          <w:p>
            <w:pPr>
              <w:jc w:val="right"/>
              <w:spacing w:after="0"/>
              <w:rPr>
                <w:sz w:val="20"/>
                <w:szCs w:val="20"/>
                <w:color w:val="auto"/>
              </w:rPr>
            </w:pPr>
            <w:r>
              <w:rPr>
                <w:rFonts w:ascii="Arial" w:cs="Arial" w:eastAsia="Arial" w:hAnsi="Arial"/>
                <w:sz w:val="17"/>
                <w:szCs w:val="17"/>
                <w:color w:val="202E39"/>
              </w:rPr>
              <w:t>55</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60" w:type="dxa"/>
            <w:vAlign w:val="bottom"/>
            <w:tcBorders>
              <w:bottom w:val="single" w:sz="8" w:color="0000EE"/>
            </w:tcBorders>
            <w:gridSpan w:val="11"/>
          </w:tcPr>
          <w:p>
            <w:pPr>
              <w:spacing w:after="0"/>
              <w:rPr>
                <w:rFonts w:ascii="Arial" w:cs="Arial" w:eastAsia="Arial" w:hAnsi="Arial"/>
                <w:sz w:val="17"/>
                <w:szCs w:val="17"/>
                <w:color w:val="0000EE"/>
                <w:w w:val="99"/>
              </w:rPr>
            </w:pPr>
            <w:hyperlink w:anchor="page60">
              <w:r>
                <w:rPr>
                  <w:rFonts w:ascii="Arial" w:cs="Arial" w:eastAsia="Arial" w:hAnsi="Arial"/>
                  <w:sz w:val="17"/>
                  <w:szCs w:val="17"/>
                  <w:color w:val="0000EE"/>
                  <w:w w:val="99"/>
                </w:rPr>
                <w:t>Option Exercises and Stock Vested in Fiscal Year 2021</w:t>
              </w:r>
            </w:hyperlink>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57</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60">
              <w:r>
                <w:rPr>
                  <w:rFonts w:ascii="Arial" w:cs="Arial" w:eastAsia="Arial" w:hAnsi="Arial"/>
                  <w:sz w:val="17"/>
                  <w:szCs w:val="17"/>
                  <w:color w:val="0000EE"/>
                  <w:w w:val="98"/>
                </w:rPr>
                <w:t>Pension Benefits</w:t>
              </w:r>
            </w:hyperlink>
          </w:p>
        </w:tc>
        <w:tc>
          <w:tcPr>
            <w:tcW w:w="3140" w:type="dxa"/>
            <w:vAlign w:val="bottom"/>
            <w:gridSpan w:val="10"/>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57</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tcBorders>
              <w:bottom w:val="single" w:sz="8" w:color="0000EE"/>
            </w:tcBorders>
            <w:gridSpan w:val="7"/>
          </w:tcPr>
          <w:p>
            <w:pPr>
              <w:spacing w:after="0"/>
              <w:rPr>
                <w:rFonts w:ascii="Arial" w:cs="Arial" w:eastAsia="Arial" w:hAnsi="Arial"/>
                <w:sz w:val="17"/>
                <w:szCs w:val="17"/>
                <w:color w:val="0000EE"/>
                <w:w w:val="99"/>
              </w:rPr>
            </w:pPr>
            <w:hyperlink w:anchor="page60">
              <w:r>
                <w:rPr>
                  <w:rFonts w:ascii="Arial" w:cs="Arial" w:eastAsia="Arial" w:hAnsi="Arial"/>
                  <w:sz w:val="17"/>
                  <w:szCs w:val="17"/>
                  <w:color w:val="0000EE"/>
                  <w:w w:val="99"/>
                </w:rPr>
                <w:t>Non-Qualified Deferred Compensation</w:t>
              </w:r>
            </w:hyperlink>
          </w:p>
        </w:tc>
        <w:tc>
          <w:tcPr>
            <w:tcW w:w="1520" w:type="dxa"/>
            <w:vAlign w:val="bottom"/>
            <w:gridSpan w:val="5"/>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02E39"/>
              </w:rPr>
              <w:t>57</w:t>
            </w:r>
          </w:p>
        </w:tc>
      </w:tr>
      <w:tr>
        <w:trPr>
          <w:trHeight w:val="223"/>
        </w:trPr>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gridSpan w:val="12"/>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Potential Payments Upon Termination</w:t>
              </w:r>
            </w:hyperlink>
          </w:p>
        </w:tc>
        <w:tc>
          <w:tcPr>
            <w:tcW w:w="720" w:type="dxa"/>
            <w:vAlign w:val="bottom"/>
          </w:tcPr>
          <w:p>
            <w:pPr>
              <w:jc w:val="right"/>
              <w:spacing w:after="0"/>
              <w:rPr>
                <w:sz w:val="20"/>
                <w:szCs w:val="20"/>
                <w:color w:val="auto"/>
              </w:rPr>
            </w:pPr>
            <w:r>
              <w:rPr>
                <w:rFonts w:ascii="Arial" w:cs="Arial" w:eastAsia="Arial" w:hAnsi="Arial"/>
                <w:sz w:val="17"/>
                <w:szCs w:val="17"/>
                <w:color w:val="202E39"/>
              </w:rPr>
              <w:t>58</w:t>
            </w:r>
          </w:p>
        </w:tc>
      </w:tr>
      <w:tr>
        <w:trPr>
          <w:trHeight w:val="20"/>
        </w:trPr>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gridSpan w:val="13"/>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CEO PAY RATIO</w:t>
              </w:r>
            </w:hyperlink>
          </w:p>
        </w:tc>
        <w:tc>
          <w:tcPr>
            <w:tcW w:w="720" w:type="dxa"/>
            <w:vAlign w:val="bottom"/>
          </w:tcPr>
          <w:p>
            <w:pPr>
              <w:jc w:val="right"/>
              <w:spacing w:after="0"/>
              <w:rPr>
                <w:sz w:val="20"/>
                <w:szCs w:val="20"/>
                <w:color w:val="auto"/>
              </w:rPr>
            </w:pPr>
            <w:r>
              <w:rPr>
                <w:rFonts w:ascii="Arial" w:cs="Arial" w:eastAsia="Arial" w:hAnsi="Arial"/>
                <w:sz w:val="17"/>
                <w:szCs w:val="17"/>
                <w:color w:val="202E39"/>
              </w:rPr>
              <w:t>59</w:t>
            </w:r>
          </w:p>
        </w:tc>
      </w:tr>
      <w:tr>
        <w:trPr>
          <w:trHeight w:val="20"/>
        </w:trPr>
        <w:tc>
          <w:tcPr>
            <w:tcW w:w="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4600" w:type="dxa"/>
            <w:vAlign w:val="bottom"/>
            <w:gridSpan w:val="13"/>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DIRECTOR COMPENSATION</w:t>
              </w:r>
            </w:hyperlink>
          </w:p>
        </w:tc>
        <w:tc>
          <w:tcPr>
            <w:tcW w:w="720" w:type="dxa"/>
            <w:vAlign w:val="bottom"/>
          </w:tcPr>
          <w:p>
            <w:pPr>
              <w:jc w:val="right"/>
              <w:spacing w:after="0"/>
              <w:rPr>
                <w:sz w:val="20"/>
                <w:szCs w:val="20"/>
                <w:color w:val="auto"/>
              </w:rPr>
            </w:pPr>
            <w:r>
              <w:rPr>
                <w:rFonts w:ascii="Arial" w:cs="Arial" w:eastAsia="Arial" w:hAnsi="Arial"/>
                <w:sz w:val="17"/>
                <w:szCs w:val="17"/>
                <w:color w:val="202E39"/>
              </w:rPr>
              <w:t>60</w:t>
            </w:r>
          </w:p>
        </w:tc>
      </w:tr>
      <w:tr>
        <w:trPr>
          <w:trHeight w:val="20"/>
        </w:trPr>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-3420110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090" w:lineRule="exact"/>
        <w:rPr>
          <w:sz w:val="20"/>
          <w:szCs w:val="20"/>
          <w:color w:val="auto"/>
        </w:rPr>
      </w:pPr>
    </w:p>
    <w:p>
      <w:pPr>
        <w:sectPr>
          <w:pgSz w:w="11900" w:h="16838" w:orient="portrait"/>
          <w:cols w:equalWidth="0" w:num="2">
            <w:col w:w="5400" w:space="340"/>
            <w:col w:w="5400"/>
          </w:cols>
          <w:pgMar w:left="320" w:top="459" w:right="439" w:bottom="1440" w:gutter="0" w:footer="0" w:header="0"/>
        </w:sect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202E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106680</wp:posOffset>
            </wp:positionV>
            <wp:extent cx="8890" cy="255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25546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170" w:lineRule="exact"/>
        <w:rPr>
          <w:sz w:val="20"/>
          <w:szCs w:val="20"/>
          <w:color w:val="auto"/>
        </w:rPr>
      </w:pPr>
    </w:p>
    <w:p>
      <w:pPr>
        <w:ind w:left="2260"/>
        <w:spacing w:after="0"/>
        <w:rPr>
          <w:sz w:val="20"/>
          <w:szCs w:val="20"/>
          <w:color w:val="auto"/>
        </w:rPr>
      </w:pPr>
      <w:r>
        <w:rPr>
          <w:rFonts w:ascii="Arial" w:cs="Arial" w:eastAsia="Arial" w:hAnsi="Arial"/>
          <w:sz w:val="16"/>
          <w:szCs w:val="16"/>
          <w:color w:val="009FE3"/>
        </w:rPr>
        <w:t>Richard Baldridge</w:t>
      </w:r>
    </w:p>
    <w:p>
      <w:pPr>
        <w:spacing w:after="0" w:line="5" w:lineRule="exact"/>
        <w:rPr>
          <w:sz w:val="20"/>
          <w:szCs w:val="20"/>
          <w:color w:val="auto"/>
        </w:rPr>
      </w:pPr>
    </w:p>
    <w:p>
      <w:pPr>
        <w:jc w:val="right"/>
        <w:ind w:left="1120" w:right="100"/>
        <w:spacing w:after="0" w:line="260" w:lineRule="auto"/>
        <w:rPr>
          <w:sz w:val="20"/>
          <w:szCs w:val="20"/>
          <w:color w:val="auto"/>
        </w:rPr>
      </w:pPr>
      <w:r>
        <w:rPr>
          <w:rFonts w:ascii="Arial" w:cs="Arial" w:eastAsia="Arial" w:hAnsi="Arial"/>
          <w:sz w:val="16"/>
          <w:szCs w:val="16"/>
          <w:i w:val="1"/>
          <w:iCs w:val="1"/>
          <w:color w:val="202E39"/>
        </w:rPr>
        <w:t>President, Chief Executive Officer and Board Director</w:t>
      </w:r>
    </w:p>
    <w:p>
      <w:pPr>
        <w:spacing w:after="0" w:line="101"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009FE3"/>
        </w:rPr>
        <w:t>Mark Dankberg</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i w:val="1"/>
          <w:iCs w:val="1"/>
          <w:color w:val="202E39"/>
        </w:rPr>
        <w:t>Executive Chairman and</w:t>
      </w:r>
    </w:p>
    <w:p>
      <w:pPr>
        <w:spacing w:after="0" w:line="5" w:lineRule="exact"/>
        <w:rPr>
          <w:sz w:val="20"/>
          <w:szCs w:val="20"/>
          <w:color w:val="auto"/>
        </w:rPr>
      </w:pPr>
    </w:p>
    <w:p>
      <w:pPr>
        <w:ind w:left="1340"/>
        <w:spacing w:after="0"/>
        <w:rPr>
          <w:sz w:val="20"/>
          <w:szCs w:val="20"/>
          <w:color w:val="auto"/>
        </w:rPr>
      </w:pPr>
      <w:r>
        <w:rPr>
          <w:rFonts w:ascii="Arial" w:cs="Arial" w:eastAsia="Arial" w:hAnsi="Arial"/>
          <w:sz w:val="16"/>
          <w:szCs w:val="16"/>
          <w:i w:val="1"/>
          <w:iCs w:val="1"/>
          <w:color w:val="202E39"/>
        </w:rPr>
        <w:t>Former Chief Executive Officer</w:t>
      </w:r>
    </w:p>
    <w:p>
      <w:pPr>
        <w:spacing w:after="0" w:line="127" w:lineRule="exact"/>
        <w:rPr>
          <w:sz w:val="20"/>
          <w:szCs w:val="20"/>
          <w:color w:val="auto"/>
        </w:rPr>
      </w:pPr>
    </w:p>
    <w:p>
      <w:pPr>
        <w:ind w:left="2640"/>
        <w:spacing w:after="0"/>
        <w:rPr>
          <w:sz w:val="20"/>
          <w:szCs w:val="20"/>
          <w:color w:val="auto"/>
        </w:rPr>
      </w:pPr>
      <w:r>
        <w:rPr>
          <w:rFonts w:ascii="Arial" w:cs="Arial" w:eastAsia="Arial" w:hAnsi="Arial"/>
          <w:sz w:val="16"/>
          <w:szCs w:val="16"/>
          <w:color w:val="009FE3"/>
        </w:rPr>
        <w:t>Shawn Duffy</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i w:val="1"/>
          <w:iCs w:val="1"/>
          <w:color w:val="202E39"/>
        </w:rPr>
        <w:t>Senior Vice President and</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6"/>
          <w:szCs w:val="16"/>
          <w:i w:val="1"/>
          <w:iCs w:val="1"/>
          <w:color w:val="202E39"/>
        </w:rPr>
        <w:t>Chief Financial Officer</w:t>
      </w:r>
    </w:p>
    <w:p>
      <w:pPr>
        <w:spacing w:after="0" w:line="127" w:lineRule="exact"/>
        <w:rPr>
          <w:sz w:val="20"/>
          <w:szCs w:val="20"/>
          <w:color w:val="auto"/>
        </w:rPr>
      </w:pPr>
    </w:p>
    <w:p>
      <w:pPr>
        <w:ind w:left="2640"/>
        <w:spacing w:after="0"/>
        <w:rPr>
          <w:sz w:val="20"/>
          <w:szCs w:val="20"/>
          <w:color w:val="auto"/>
        </w:rPr>
      </w:pPr>
      <w:r>
        <w:rPr>
          <w:rFonts w:ascii="Arial" w:cs="Arial" w:eastAsia="Arial" w:hAnsi="Arial"/>
          <w:sz w:val="16"/>
          <w:szCs w:val="16"/>
          <w:color w:val="009FE3"/>
        </w:rPr>
        <w:t>James Dodd</w:t>
      </w:r>
    </w:p>
    <w:p>
      <w:pPr>
        <w:spacing w:after="0" w:line="5" w:lineRule="exact"/>
        <w:rPr>
          <w:sz w:val="20"/>
          <w:szCs w:val="20"/>
          <w:color w:val="auto"/>
        </w:rPr>
      </w:pPr>
    </w:p>
    <w:p>
      <w:pPr>
        <w:ind w:left="1680"/>
        <w:spacing w:after="0"/>
        <w:rPr>
          <w:sz w:val="20"/>
          <w:szCs w:val="20"/>
          <w:color w:val="auto"/>
        </w:rPr>
      </w:pPr>
      <w:r>
        <w:rPr>
          <w:rFonts w:ascii="Arial" w:cs="Arial" w:eastAsia="Arial" w:hAnsi="Arial"/>
          <w:sz w:val="16"/>
          <w:szCs w:val="16"/>
          <w:i w:val="1"/>
          <w:iCs w:val="1"/>
          <w:color w:val="202E39"/>
        </w:rPr>
        <w:t>Senior Vice President and</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i w:val="1"/>
          <w:iCs w:val="1"/>
          <w:color w:val="202E39"/>
        </w:rPr>
        <w:t>President, Global Enterprise &amp; Mobility</w:t>
      </w:r>
    </w:p>
    <w:p>
      <w:pPr>
        <w:spacing w:after="0" w:line="127" w:lineRule="exact"/>
        <w:rPr>
          <w:sz w:val="20"/>
          <w:szCs w:val="20"/>
          <w:color w:val="auto"/>
        </w:rPr>
      </w:pPr>
    </w:p>
    <w:p>
      <w:pPr>
        <w:ind w:left="2520"/>
        <w:spacing w:after="0"/>
        <w:rPr>
          <w:sz w:val="20"/>
          <w:szCs w:val="20"/>
          <w:color w:val="auto"/>
        </w:rPr>
      </w:pPr>
      <w:r>
        <w:rPr>
          <w:rFonts w:ascii="Arial" w:cs="Arial" w:eastAsia="Arial" w:hAnsi="Arial"/>
          <w:sz w:val="16"/>
          <w:szCs w:val="16"/>
          <w:color w:val="009FE3"/>
        </w:rPr>
        <w:t>Ken Peterman</w:t>
      </w:r>
    </w:p>
    <w:p>
      <w:pPr>
        <w:spacing w:after="0" w:line="5" w:lineRule="exact"/>
        <w:rPr>
          <w:sz w:val="20"/>
          <w:szCs w:val="20"/>
          <w:color w:val="auto"/>
        </w:rPr>
      </w:pPr>
    </w:p>
    <w:p>
      <w:pPr>
        <w:ind w:left="2000" w:hanging="1653"/>
        <w:spacing w:after="0" w:line="260" w:lineRule="auto"/>
        <w:rPr>
          <w:sz w:val="20"/>
          <w:szCs w:val="20"/>
          <w:color w:val="auto"/>
        </w:rPr>
      </w:pPr>
      <w:r>
        <w:rPr>
          <w:rFonts w:ascii="Arial" w:cs="Arial" w:eastAsia="Arial" w:hAnsi="Arial"/>
          <w:sz w:val="16"/>
          <w:szCs w:val="16"/>
          <w:i w:val="1"/>
          <w:iCs w:val="1"/>
          <w:color w:val="202E39"/>
        </w:rPr>
        <w:t>Former Senior Vice President and</w:t>
      </w:r>
      <w:r>
        <w:rPr>
          <w:sz w:val="20"/>
          <w:szCs w:val="20"/>
          <w:color w:val="auto"/>
        </w:rPr>
        <w:t xml:space="preserve"> </w:t>
      </w:r>
      <w:r>
        <w:rPr>
          <w:rFonts w:ascii="Arial" w:cs="Arial" w:eastAsia="Arial" w:hAnsi="Arial"/>
          <w:sz w:val="16"/>
          <w:szCs w:val="16"/>
          <w:i w:val="1"/>
          <w:iCs w:val="1"/>
          <w:color w:val="202E39"/>
        </w:rPr>
        <w:t>President, Government Systems</w:t>
      </w:r>
    </w:p>
    <w:p>
      <w:pPr>
        <w:spacing w:after="0" w:line="101" w:lineRule="exact"/>
        <w:rPr>
          <w:sz w:val="20"/>
          <w:szCs w:val="20"/>
          <w:color w:val="auto"/>
        </w:rPr>
      </w:pPr>
    </w:p>
    <w:p>
      <w:pPr>
        <w:ind w:left="2760"/>
        <w:spacing w:after="0"/>
        <w:rPr>
          <w:sz w:val="20"/>
          <w:szCs w:val="20"/>
          <w:color w:val="auto"/>
        </w:rPr>
      </w:pPr>
      <w:r>
        <w:rPr>
          <w:rFonts w:ascii="Arial" w:cs="Arial" w:eastAsia="Arial" w:hAnsi="Arial"/>
          <w:sz w:val="16"/>
          <w:szCs w:val="16"/>
          <w:color w:val="009FE3"/>
        </w:rPr>
        <w:t>Mark Miller</w:t>
      </w:r>
    </w:p>
    <w:p>
      <w:pPr>
        <w:spacing w:after="0" w:line="5" w:lineRule="exact"/>
        <w:rPr>
          <w:sz w:val="20"/>
          <w:szCs w:val="20"/>
          <w:color w:val="auto"/>
        </w:rPr>
      </w:pPr>
    </w:p>
    <w:p>
      <w:pPr>
        <w:jc w:val="right"/>
        <w:ind w:left="1440" w:right="100"/>
        <w:spacing w:after="0" w:line="260" w:lineRule="auto"/>
        <w:rPr>
          <w:sz w:val="20"/>
          <w:szCs w:val="20"/>
          <w:color w:val="auto"/>
        </w:rPr>
      </w:pPr>
      <w:r>
        <w:rPr>
          <w:rFonts w:ascii="Arial" w:cs="Arial" w:eastAsia="Arial" w:hAnsi="Arial"/>
          <w:sz w:val="16"/>
          <w:szCs w:val="16"/>
          <w:i w:val="1"/>
          <w:iCs w:val="1"/>
          <w:color w:val="202E39"/>
        </w:rPr>
        <w:t>Executive Vice President and Chief Technical Officer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202E39"/>
        </w:rPr>
        <w:t>The following Compensation Discussion and Analysis provides information regarding the compensation program in place for our executive officers, including the Named Executive Officers identified in the Summary Compensation Table, during our 2021 fiscal year. In particular, this Compensation Discussion and Analysis provides information related to our performance and each of the following aspects of our executive compensation program:</w:t>
      </w:r>
    </w:p>
    <w:p>
      <w:pPr>
        <w:spacing w:after="0" w:line="108" w:lineRule="exact"/>
        <w:rPr>
          <w:sz w:val="20"/>
          <w:szCs w:val="20"/>
          <w:color w:val="auto"/>
        </w:rPr>
      </w:pPr>
    </w:p>
    <w:p>
      <w:pPr>
        <w:ind w:left="320" w:hanging="149"/>
        <w:spacing w:after="0"/>
        <w:tabs>
          <w:tab w:leader="none" w:pos="32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overview and objectives of our executive compensation program,</w:t>
      </w:r>
    </w:p>
    <w:p>
      <w:pPr>
        <w:spacing w:after="0" w:line="72" w:lineRule="exact"/>
        <w:rPr>
          <w:rFonts w:ascii="Arial" w:cs="Arial" w:eastAsia="Arial" w:hAnsi="Arial"/>
          <w:sz w:val="16"/>
          <w:szCs w:val="16"/>
          <w:color w:val="009FE3"/>
        </w:rPr>
      </w:pPr>
    </w:p>
    <w:p>
      <w:pPr>
        <w:ind w:left="320" w:hanging="149"/>
        <w:spacing w:after="0"/>
        <w:tabs>
          <w:tab w:leader="none" w:pos="32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explanation of our executive compensation decision-making processes and criteria,</w:t>
      </w:r>
    </w:p>
    <w:p>
      <w:pPr>
        <w:spacing w:after="0" w:line="72" w:lineRule="exact"/>
        <w:rPr>
          <w:rFonts w:ascii="Arial" w:cs="Arial" w:eastAsia="Arial" w:hAnsi="Arial"/>
          <w:sz w:val="16"/>
          <w:szCs w:val="16"/>
          <w:color w:val="009FE3"/>
        </w:rPr>
      </w:pPr>
    </w:p>
    <w:p>
      <w:pPr>
        <w:ind w:left="320" w:hanging="149"/>
        <w:spacing w:after="0"/>
        <w:tabs>
          <w:tab w:leader="none" w:pos="32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description of the components of our executive compensation program, and</w:t>
      </w:r>
    </w:p>
    <w:p>
      <w:pPr>
        <w:spacing w:after="0" w:line="72" w:lineRule="exact"/>
        <w:rPr>
          <w:rFonts w:ascii="Arial" w:cs="Arial" w:eastAsia="Arial" w:hAnsi="Arial"/>
          <w:sz w:val="16"/>
          <w:szCs w:val="16"/>
          <w:color w:val="009FE3"/>
        </w:rPr>
      </w:pPr>
    </w:p>
    <w:p>
      <w:pPr>
        <w:ind w:left="320" w:hanging="149"/>
        <w:spacing w:after="0"/>
        <w:tabs>
          <w:tab w:leader="none" w:pos="32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discussion of how each component helps us achieve our overall compensation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51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37</w:t>
            </w:r>
          </w:p>
        </w:tc>
      </w:tr>
    </w:tbl>
    <w:p>
      <w:pPr>
        <w:sectPr>
          <w:pgSz w:w="11900" w:h="16838" w:orient="portrait"/>
          <w:cols w:equalWidth="0" w:num="2">
            <w:col w:w="3640" w:space="220"/>
            <w:col w:w="728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Business Overview and Fiscal Year 2021 Performance Highlights</w:t>
      </w:r>
    </w:p>
    <w:p>
      <w:pPr>
        <w:spacing w:after="0" w:line="124"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Performance Highlights</w:t>
      </w:r>
    </w:p>
    <w:p>
      <w:pPr>
        <w:spacing w:after="0" w:line="133"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202E39"/>
        </w:rPr>
        <w:t>We began the fiscal year amid the onset of the COVID-19 pandemic, and despite the immense individual and business challenges this event posed, we performed extremely well. We stabilized our business by implementing rapid actions to adjust our go-to-market strategy and cost structure. We also preserved capital, which enabled us to progress on our ViaSat-3 program and continue our investments in innovation. As the fiscal year unfolded, it highlighted the value of our diversified business model and the resilience of our employees. Momentum increased throughout fiscal year 2021, and we delivered strong financial results and achieved key strategic and developmental objectives, including:</w:t>
      </w:r>
    </w:p>
    <w:p>
      <w:pPr>
        <w:spacing w:after="0" w:line="108" w:lineRule="exact"/>
        <w:rPr>
          <w:sz w:val="20"/>
          <w:szCs w:val="20"/>
          <w:color w:val="auto"/>
        </w:rPr>
      </w:pPr>
    </w:p>
    <w:p>
      <w:pPr>
        <w:ind w:left="660" w:hanging="220"/>
        <w:spacing w:after="0"/>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Increased operating income and net income year-over-year, despite the COVID-19 pandemic;</w:t>
      </w:r>
    </w:p>
    <w:p>
      <w:pPr>
        <w:spacing w:after="0" w:line="18" w:lineRule="exact"/>
        <w:rPr>
          <w:rFonts w:ascii="Arial" w:cs="Arial" w:eastAsia="Arial" w:hAnsi="Arial"/>
          <w:sz w:val="16"/>
          <w:szCs w:val="16"/>
          <w:color w:val="009FE3"/>
        </w:rPr>
      </w:pPr>
    </w:p>
    <w:p>
      <w:pPr>
        <w:ind w:left="660" w:hanging="220"/>
        <w:spacing w:after="0"/>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New records in awards and Adjusted EBITDA</w:t>
      </w:r>
      <w:r>
        <w:rPr>
          <w:rFonts w:ascii="Arial" w:cs="Arial" w:eastAsia="Arial" w:hAnsi="Arial"/>
          <w:sz w:val="27"/>
          <w:szCs w:val="27"/>
          <w:color w:val="202E39"/>
          <w:vertAlign w:val="superscript"/>
        </w:rPr>
        <w:t>1</w:t>
      </w:r>
      <w:r>
        <w:rPr>
          <w:rFonts w:ascii="Arial" w:cs="Arial" w:eastAsia="Arial" w:hAnsi="Arial"/>
          <w:sz w:val="16"/>
          <w:szCs w:val="16"/>
          <w:color w:val="202E39"/>
        </w:rPr>
        <w:t>, both of which were up 16% year-over-year;</w:t>
      </w:r>
    </w:p>
    <w:p>
      <w:pPr>
        <w:ind w:left="660" w:hanging="220"/>
        <w:spacing w:after="0" w:line="198" w:lineRule="auto"/>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Reduced net leverage ratio by half a turn year-over-year, supported by record Adjusted EBITDA</w:t>
      </w:r>
      <w:r>
        <w:rPr>
          <w:rFonts w:ascii="Arial" w:cs="Arial" w:eastAsia="Arial" w:hAnsi="Arial"/>
          <w:sz w:val="27"/>
          <w:szCs w:val="27"/>
          <w:color w:val="202E39"/>
          <w:vertAlign w:val="superscript"/>
        </w:rPr>
        <w:t>1</w:t>
      </w:r>
      <w:r>
        <w:rPr>
          <w:rFonts w:ascii="Arial" w:cs="Arial" w:eastAsia="Arial" w:hAnsi="Arial"/>
          <w:sz w:val="16"/>
          <w:szCs w:val="16"/>
          <w:color w:val="202E39"/>
        </w:rPr>
        <w:t xml:space="preserve"> growth;</w:t>
      </w:r>
    </w:p>
    <w:p>
      <w:pPr>
        <w:ind w:left="660" w:hanging="220"/>
        <w:spacing w:after="0"/>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Generated over $727 million in operating cash flow, up 66% year-over-year;</w:t>
      </w:r>
    </w:p>
    <w:p>
      <w:pPr>
        <w:spacing w:after="0" w:line="72" w:lineRule="exact"/>
        <w:rPr>
          <w:rFonts w:ascii="Arial" w:cs="Arial" w:eastAsia="Arial" w:hAnsi="Arial"/>
          <w:sz w:val="16"/>
          <w:szCs w:val="16"/>
          <w:color w:val="009FE3"/>
        </w:rPr>
      </w:pPr>
    </w:p>
    <w:p>
      <w:pPr>
        <w:ind w:left="660" w:right="360" w:hanging="220"/>
        <w:spacing w:after="0" w:line="260" w:lineRule="auto"/>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Significant progress toward the launch of the ViaSat-3 global satellite constellation, with the first payload integration completed subsequent to fiscal year end;</w:t>
      </w:r>
    </w:p>
    <w:p>
      <w:pPr>
        <w:spacing w:after="0" w:line="46" w:lineRule="exact"/>
        <w:rPr>
          <w:rFonts w:ascii="Arial" w:cs="Arial" w:eastAsia="Arial" w:hAnsi="Arial"/>
          <w:sz w:val="16"/>
          <w:szCs w:val="16"/>
          <w:color w:val="009FE3"/>
        </w:rPr>
      </w:pPr>
    </w:p>
    <w:p>
      <w:pPr>
        <w:ind w:left="660" w:hanging="220"/>
        <w:spacing w:after="0"/>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Received commercial air awards from Delta Air Lines and KLM Royal Dutch Airlines, showing signs that airlines are preparing for future growth;</w:t>
      </w:r>
    </w:p>
    <w:p>
      <w:pPr>
        <w:spacing w:after="0" w:line="72" w:lineRule="exact"/>
        <w:rPr>
          <w:rFonts w:ascii="Arial" w:cs="Arial" w:eastAsia="Arial" w:hAnsi="Arial"/>
          <w:sz w:val="16"/>
          <w:szCs w:val="16"/>
          <w:color w:val="009FE3"/>
        </w:rPr>
      </w:pPr>
    </w:p>
    <w:p>
      <w:pPr>
        <w:ind w:left="660" w:right="360" w:hanging="220"/>
        <w:spacing w:after="0" w:line="253" w:lineRule="auto"/>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Enhanced global capabilities ahead of the expanded ViaSat-3 coverage footprint through the signing of definitive agreements for the strategic acquisitions of RigNet, which positions Viasat for expansion into new global markets, and the remaining equity interests in Euro Broadband Infrastructure Sàrl (EBI), which enables Viasat to expand more effectively and rapidly in EMEA; and</w:t>
      </w:r>
    </w:p>
    <w:p>
      <w:pPr>
        <w:spacing w:after="0" w:line="52" w:lineRule="exact"/>
        <w:rPr>
          <w:rFonts w:ascii="Arial" w:cs="Arial" w:eastAsia="Arial" w:hAnsi="Arial"/>
          <w:sz w:val="16"/>
          <w:szCs w:val="16"/>
          <w:color w:val="009FE3"/>
        </w:rPr>
      </w:pPr>
    </w:p>
    <w:p>
      <w:pPr>
        <w:ind w:left="660" w:hanging="220"/>
        <w:spacing w:after="0"/>
        <w:tabs>
          <w:tab w:leader="none" w:pos="660" w:val="left"/>
        </w:tabs>
        <w:numPr>
          <w:ilvl w:val="1"/>
          <w:numId w:val="30"/>
        </w:numPr>
        <w:rPr>
          <w:rFonts w:ascii="Arial" w:cs="Arial" w:eastAsia="Arial" w:hAnsi="Arial"/>
          <w:sz w:val="16"/>
          <w:szCs w:val="16"/>
          <w:color w:val="009FE3"/>
        </w:rPr>
      </w:pPr>
      <w:r>
        <w:rPr>
          <w:rFonts w:ascii="Arial" w:cs="Arial" w:eastAsia="Arial" w:hAnsi="Arial"/>
          <w:sz w:val="16"/>
          <w:szCs w:val="16"/>
          <w:color w:val="202E39"/>
        </w:rPr>
        <w:t>Awarded CNET’s 2021 Best Satellite Provider for U.S. rural internet services.</w:t>
      </w:r>
    </w:p>
    <w:p>
      <w:pPr>
        <w:spacing w:after="0" w:line="189" w:lineRule="exact"/>
        <w:rPr>
          <w:rFonts w:ascii="Arial" w:cs="Arial" w:eastAsia="Arial" w:hAnsi="Arial"/>
          <w:sz w:val="16"/>
          <w:szCs w:val="16"/>
          <w:color w:val="009FE3"/>
        </w:rPr>
      </w:pPr>
    </w:p>
    <w:p>
      <w:pPr>
        <w:ind w:left="540" w:right="140" w:hanging="432"/>
        <w:spacing w:after="0" w:line="249" w:lineRule="auto"/>
        <w:rPr>
          <w:rFonts w:ascii="Arial" w:cs="Arial" w:eastAsia="Arial" w:hAnsi="Arial"/>
          <w:sz w:val="16"/>
          <w:szCs w:val="16"/>
          <w:color w:val="009FE3"/>
        </w:rPr>
      </w:pPr>
      <w:r>
        <w:rPr>
          <w:rFonts w:ascii="Arial" w:cs="Arial" w:eastAsia="Arial" w:hAnsi="Arial"/>
          <w:sz w:val="24"/>
          <w:szCs w:val="24"/>
          <w:color w:val="202E39"/>
          <w:vertAlign w:val="superscript"/>
        </w:rPr>
        <w:t>1</w:t>
      </w: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An itemized reconciliation between net income (loss) attributable to Viasat, Inc. and Adjusted EBITDA for fiscal year 2021 is set forth below in this Compensation Discussion and Analysis.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Investing in our Future</w:t>
      </w:r>
    </w:p>
    <w:p>
      <w:pPr>
        <w:spacing w:after="0" w:line="13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6"/>
          <w:szCs w:val="16"/>
          <w:color w:val="202E39"/>
        </w:rPr>
        <w:t>We continue to invest heavily in positioning Viasat for long-term success. Due to the upfront investment necessary to grow our satellite fleet, our financial growth is not linear or coincident with research and development, or R&amp;D, spending. However, strong revenues and order flow demonstrate that our long-term strategy is working. Our investments have allowed us to make significant progress toward completing our global constellation of ViaSat-3 satellites.</w:t>
      </w:r>
    </w:p>
    <w:p>
      <w:pPr>
        <w:spacing w:after="0" w:line="1"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202E39"/>
        </w:rPr>
        <w:t>Subsequent to fiscal year end, we completed the payload integration for the ViaSat-3 (Americas) satellite, and we continue to focus on the payloads for the second and third satellites, ViaSat-3 (EMEA) and ViaSat-3 (APAC). Our third-generation ViaSat-3 satellites offer a new satellite architecture with miniaturized electronics and more productive and efficient antenna designs. This new satellite design is expected to significantly expand the geographic coverage area and data throughput capacity of each satellite and to further enhance our ability to flexibly and dynamically allocate capacity to match geographic demand, resulting in greater speed, availability and cost-efficiency of our proprietary Ka-band satellite network.</w:t>
      </w:r>
    </w:p>
    <w:p>
      <w:pPr>
        <w:spacing w:after="0" w:line="13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 In addition, we expect that the coverage, density and dynamic bandwidth allocation of our next-generation broadband satellites will allow us to pursue attractive new opportunities, such as the maritime market (which shares many of the same characteristics as the commercial air mobility market in which we have been successful), and to further expand existing businesses, such as our Community Internet business. Although it will take a few years until we realize all the benefits of these technology investments, we believe that they uniquely position us to capitalize on future opportunities to grow our business and create significant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87630</wp:posOffset>
            </wp:positionV>
            <wp:extent cx="43688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Leadership Transition</w:t>
      </w:r>
    </w:p>
    <w:p>
      <w:pPr>
        <w:spacing w:after="0" w:line="133"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202E39"/>
        </w:rPr>
        <w:t>Fiscal year 2021 was marked by an unprecedented set of challenges resulting from the COVID-19 pandemic, which negatively impacted several of our existing businesses, presented schedule impediments to the development of our ViaSat-3 satellites, and amplified the regulatory and strategic challenges inherent in our planned expansion into new vertical and geographic markets. To best position Viasat to persevere through these challenges, and successfully execute our short- and long-term strategies, the Board appointed Mark Dankberg, our former Chief Executive Officer, as Executive Chairman, and appointed Richard Baldridge as President and Chief Executive Officer, in November 2020.</w:t>
      </w:r>
    </w:p>
    <w:p>
      <w:pPr>
        <w:spacing w:after="0" w:line="135" w:lineRule="exact"/>
        <w:rPr>
          <w:sz w:val="20"/>
          <w:szCs w:val="20"/>
          <w:color w:val="auto"/>
        </w:rPr>
      </w:pPr>
    </w:p>
    <w:p>
      <w:pPr>
        <w:ind w:left="120" w:right="40"/>
        <w:spacing w:after="0" w:line="246" w:lineRule="auto"/>
        <w:rPr>
          <w:sz w:val="20"/>
          <w:szCs w:val="20"/>
          <w:color w:val="auto"/>
        </w:rPr>
      </w:pPr>
      <w:r>
        <w:rPr>
          <w:rFonts w:ascii="Arial" w:cs="Arial" w:eastAsia="Arial" w:hAnsi="Arial"/>
          <w:sz w:val="16"/>
          <w:szCs w:val="16"/>
          <w:color w:val="202E39"/>
        </w:rPr>
        <w:t>Mr. Dankberg’s appointment to Executive Chairman enabled him to focus on the increasingly complex space and broadband regulatory environments that are critical to our global strategy, and allowed us to leverage his strengths as a leading visionary for next-generation high-capacity satellite systems.</w:t>
      </w:r>
    </w:p>
    <w:p>
      <w:pPr>
        <w:spacing w:after="0" w:line="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Mr. Baldridge’s appointment to President and Chief Executive Officer enabled him to drive execution and provide agile leadership in the challenging COVID-19 environment, and to continue to build and grow a customer-centric organization that can deliver compelling global services and products. Our leadership approach was validated by our strong fiscal year 2021 performance and positive outlook, as we believe our diverse business is positioned for a strong recovery and sustained shareholder value creation.</w:t>
      </w:r>
    </w:p>
    <w:p>
      <w:pPr>
        <w:spacing w:after="0" w:line="135" w:lineRule="exact"/>
        <w:rPr>
          <w:sz w:val="20"/>
          <w:szCs w:val="20"/>
          <w:color w:val="auto"/>
        </w:rPr>
      </w:pPr>
    </w:p>
    <w:p>
      <w:pPr>
        <w:ind w:left="120" w:right="440"/>
        <w:spacing w:after="0" w:line="250" w:lineRule="auto"/>
        <w:rPr>
          <w:sz w:val="20"/>
          <w:szCs w:val="20"/>
          <w:color w:val="auto"/>
        </w:rPr>
      </w:pPr>
      <w:r>
        <w:rPr>
          <w:rFonts w:ascii="Arial" w:cs="Arial" w:eastAsia="Arial" w:hAnsi="Arial"/>
          <w:sz w:val="16"/>
          <w:szCs w:val="16"/>
          <w:color w:val="202E39"/>
        </w:rPr>
        <w:t>In determining competitive and market-based compensation packages for Mr. Dankberg and Mr. Baldridge, the Board recognized the increasing complexity of our business as we continue to execute upon our transformative growth strategy and received guidance from the Compensation and Human Resources Committee’s independent compensation consultant to guide its decisions. As described in the Components of our Compensation Program section below, Mr. Baldridge received an increase to his base salary only upon his appointment to President and Chief Executive Officer. Mr. Dankberg did not receive an adjustment to his compensation following his appointment to Executive Chairman.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Executive Compensation Decisions Informed by Stockholder Feedback</w:t>
      </w:r>
    </w:p>
    <w:p>
      <w:pPr>
        <w:spacing w:after="0" w:line="151"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Our management team regularly engages with our stockholders to proactively understand their perspectives on our business and strategy and governance and compensation practices, and to address any concerns they may have. During fiscal year 2021, we engaged in substantive conversations with stockholders representing approximately 65% of our total outstanding common stock.</w:t>
      </w:r>
    </w:p>
    <w:p>
      <w:pPr>
        <w:spacing w:after="0" w:line="93"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202E39"/>
        </w:rPr>
        <w:t>Our Board of Directors and our Compensation and Human Resources Committee, or the Committee, have demonstrated responsiveness to feedback received during these discussions through the recent changes we have made to our executive compensation program,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911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911350"/>
                    </a:xfrm>
                    <a:prstGeom prst="rect">
                      <a:avLst/>
                    </a:prstGeom>
                    <a:noFill/>
                  </pic:spPr>
                </pic:pic>
              </a:graphicData>
            </a:graphic>
          </wp:anchor>
        </w:drawing>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560" w:type="dxa"/>
            <w:vAlign w:val="bottom"/>
            <w:shd w:val="clear" w:color="auto" w:fill="009FE3"/>
          </w:tcPr>
          <w:p>
            <w:pPr>
              <w:ind w:left="2360"/>
              <w:spacing w:after="0"/>
              <w:rPr>
                <w:sz w:val="20"/>
                <w:szCs w:val="20"/>
                <w:color w:val="auto"/>
              </w:rPr>
            </w:pPr>
            <w:r>
              <w:rPr>
                <w:rFonts w:ascii="Arial" w:cs="Arial" w:eastAsia="Arial" w:hAnsi="Arial"/>
                <w:sz w:val="14"/>
                <w:szCs w:val="14"/>
                <w:b w:val="1"/>
                <w:bCs w:val="1"/>
                <w:color w:val="FFFFFF"/>
              </w:rPr>
              <w:t>What We Heard</w:t>
            </w:r>
          </w:p>
        </w:tc>
        <w:tc>
          <w:tcPr>
            <w:tcW w:w="5280" w:type="dxa"/>
            <w:vAlign w:val="bottom"/>
            <w:shd w:val="clear" w:color="auto" w:fill="009FE3"/>
          </w:tcPr>
          <w:p>
            <w:pPr>
              <w:ind w:left="2340"/>
              <w:spacing w:after="0"/>
              <w:rPr>
                <w:sz w:val="20"/>
                <w:szCs w:val="20"/>
                <w:color w:val="auto"/>
              </w:rPr>
            </w:pPr>
            <w:r>
              <w:rPr>
                <w:rFonts w:ascii="Arial" w:cs="Arial" w:eastAsia="Arial" w:hAnsi="Arial"/>
                <w:sz w:val="14"/>
                <w:szCs w:val="14"/>
                <w:b w:val="1"/>
                <w:bCs w:val="1"/>
                <w:color w:val="FFFFFF"/>
              </w:rPr>
              <w:t>What We Did</w:t>
            </w:r>
          </w:p>
        </w:tc>
        <w:tc>
          <w:tcPr>
            <w:tcW w:w="180" w:type="dxa"/>
            <w:vAlign w:val="bottom"/>
            <w:shd w:val="clear" w:color="auto" w:fill="009FE3"/>
          </w:tcPr>
          <w:p>
            <w:pPr>
              <w:spacing w:after="0"/>
              <w:rPr>
                <w:sz w:val="18"/>
                <w:szCs w:val="18"/>
                <w:color w:val="auto"/>
              </w:rPr>
            </w:pPr>
          </w:p>
        </w:tc>
      </w:tr>
      <w:tr>
        <w:trPr>
          <w:trHeight w:val="218"/>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Seek further alignment of executive compensation with long-term</w:t>
            </w:r>
          </w:p>
        </w:tc>
        <w:tc>
          <w:tcPr>
            <w:tcW w:w="5460" w:type="dxa"/>
            <w:vAlign w:val="bottom"/>
            <w:gridSpan w:val="2"/>
            <w:shd w:val="clear" w:color="auto" w:fill="EDEEEF"/>
          </w:tcPr>
          <w:p>
            <w:pPr>
              <w:ind w:left="100"/>
              <w:spacing w:after="0"/>
              <w:rPr>
                <w:sz w:val="20"/>
                <w:szCs w:val="20"/>
                <w:color w:val="auto"/>
              </w:rPr>
            </w:pPr>
            <w:r>
              <w:rPr>
                <w:rFonts w:ascii="Arial" w:cs="Arial" w:eastAsia="Arial" w:hAnsi="Arial"/>
                <w:sz w:val="16"/>
                <w:szCs w:val="16"/>
                <w:color w:val="202E39"/>
              </w:rPr>
              <w:t>Implemented a performance-based equity program in fiscal year 2018 and</w:t>
            </w:r>
          </w:p>
        </w:tc>
      </w:tr>
      <w:tr>
        <w:trPr>
          <w:trHeight w:val="19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stockholder interests</w:t>
            </w: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maintained program in subsequent years</w:t>
            </w:r>
          </w:p>
        </w:tc>
        <w:tc>
          <w:tcPr>
            <w:tcW w:w="180" w:type="dxa"/>
            <w:vAlign w:val="bottom"/>
            <w:shd w:val="clear" w:color="auto" w:fill="EDEEEF"/>
          </w:tcPr>
          <w:p>
            <w:pPr>
              <w:spacing w:after="0"/>
              <w:rPr>
                <w:sz w:val="16"/>
                <w:szCs w:val="16"/>
                <w:color w:val="auto"/>
              </w:rPr>
            </w:pPr>
          </w:p>
        </w:tc>
      </w:tr>
      <w:tr>
        <w:trPr>
          <w:trHeight w:val="23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Increase weighting of objective, financial criteria in determining annual</w:t>
            </w:r>
          </w:p>
        </w:tc>
        <w:tc>
          <w:tcPr>
            <w:tcW w:w="5460" w:type="dxa"/>
            <w:vAlign w:val="bottom"/>
            <w:gridSpan w:val="2"/>
            <w:shd w:val="clear" w:color="auto" w:fill="EDEEEF"/>
          </w:tcPr>
          <w:p>
            <w:pPr>
              <w:ind w:left="100"/>
              <w:spacing w:after="0"/>
              <w:rPr>
                <w:sz w:val="20"/>
                <w:szCs w:val="20"/>
                <w:color w:val="auto"/>
              </w:rPr>
            </w:pPr>
            <w:r>
              <w:rPr>
                <w:rFonts w:ascii="Arial" w:cs="Arial" w:eastAsia="Arial" w:hAnsi="Arial"/>
                <w:sz w:val="16"/>
                <w:szCs w:val="16"/>
                <w:color w:val="202E39"/>
              </w:rPr>
              <w:t>Increased weighting of objective, financial criteria in bonus determination</w:t>
            </w:r>
          </w:p>
        </w:tc>
      </w:tr>
      <w:tr>
        <w:trPr>
          <w:trHeight w:val="189"/>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bonus payouts</w:t>
            </w: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to 50% for Chief Executive Officer, consistent with weighting for all other</w:t>
            </w:r>
          </w:p>
        </w:tc>
        <w:tc>
          <w:tcPr>
            <w:tcW w:w="180" w:type="dxa"/>
            <w:vAlign w:val="bottom"/>
            <w:shd w:val="clear" w:color="auto" w:fill="EDEEEF"/>
          </w:tcPr>
          <w:p>
            <w:pPr>
              <w:spacing w:after="0"/>
              <w:rPr>
                <w:sz w:val="16"/>
                <w:szCs w:val="16"/>
                <w:color w:val="auto"/>
              </w:rPr>
            </w:pPr>
          </w:p>
        </w:tc>
      </w:tr>
      <w:tr>
        <w:trPr>
          <w:trHeight w:val="195"/>
        </w:trPr>
        <w:tc>
          <w:tcPr>
            <w:tcW w:w="5560" w:type="dxa"/>
            <w:vAlign w:val="bottom"/>
            <w:shd w:val="clear" w:color="auto" w:fill="EDEEEF"/>
          </w:tcPr>
          <w:p>
            <w:pPr>
              <w:spacing w:after="0"/>
              <w:rPr>
                <w:sz w:val="16"/>
                <w:szCs w:val="16"/>
                <w:color w:val="auto"/>
              </w:rPr>
            </w:pP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executive officers, in fiscal year 2020</w:t>
            </w:r>
          </w:p>
        </w:tc>
        <w:tc>
          <w:tcPr>
            <w:tcW w:w="180" w:type="dxa"/>
            <w:vAlign w:val="bottom"/>
            <w:shd w:val="clear" w:color="auto" w:fill="EDEEEF"/>
          </w:tcPr>
          <w:p>
            <w:pPr>
              <w:spacing w:after="0"/>
              <w:rPr>
                <w:sz w:val="16"/>
                <w:szCs w:val="16"/>
                <w:color w:val="auto"/>
              </w:rPr>
            </w:pPr>
          </w:p>
        </w:tc>
      </w:tr>
      <w:tr>
        <w:trPr>
          <w:trHeight w:val="23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Replace target annual bonus ranges with specific target annual bonus</w:t>
            </w: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Shifted to a specific annual bonus target for annual incentive</w:t>
            </w:r>
          </w:p>
        </w:tc>
        <w:tc>
          <w:tcPr>
            <w:tcW w:w="180" w:type="dxa"/>
            <w:vAlign w:val="bottom"/>
            <w:shd w:val="clear" w:color="auto" w:fill="EDEEEF"/>
          </w:tcPr>
          <w:p>
            <w:pPr>
              <w:spacing w:after="0"/>
              <w:rPr>
                <w:sz w:val="20"/>
                <w:szCs w:val="20"/>
                <w:color w:val="auto"/>
              </w:rPr>
            </w:pPr>
          </w:p>
        </w:tc>
      </w:tr>
      <w:tr>
        <w:trPr>
          <w:trHeight w:val="195"/>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percentages for each executive officer</w:t>
            </w: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compensation in fiscal year 2020</w:t>
            </w:r>
          </w:p>
        </w:tc>
        <w:tc>
          <w:tcPr>
            <w:tcW w:w="180" w:type="dxa"/>
            <w:vAlign w:val="bottom"/>
            <w:shd w:val="clear" w:color="auto" w:fill="EDEEEF"/>
          </w:tcPr>
          <w:p>
            <w:pPr>
              <w:spacing w:after="0"/>
              <w:rPr>
                <w:sz w:val="16"/>
                <w:szCs w:val="16"/>
                <w:color w:val="auto"/>
              </w:rPr>
            </w:pPr>
          </w:p>
        </w:tc>
      </w:tr>
      <w:tr>
        <w:trPr>
          <w:trHeight w:val="23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Adopt a maximum cap on annual bonus payouts</w:t>
            </w: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Implemented a maximum annual bonus payout, equal to 250% of target,</w:t>
            </w:r>
          </w:p>
        </w:tc>
        <w:tc>
          <w:tcPr>
            <w:tcW w:w="180" w:type="dxa"/>
            <w:vAlign w:val="bottom"/>
            <w:shd w:val="clear" w:color="auto" w:fill="EDEEEF"/>
          </w:tcPr>
          <w:p>
            <w:pPr>
              <w:spacing w:after="0"/>
              <w:rPr>
                <w:sz w:val="20"/>
                <w:szCs w:val="20"/>
                <w:color w:val="auto"/>
              </w:rPr>
            </w:pPr>
          </w:p>
        </w:tc>
      </w:tr>
      <w:tr>
        <w:trPr>
          <w:trHeight w:val="195"/>
        </w:trPr>
        <w:tc>
          <w:tcPr>
            <w:tcW w:w="5560" w:type="dxa"/>
            <w:vAlign w:val="bottom"/>
            <w:shd w:val="clear" w:color="auto" w:fill="EDEEEF"/>
          </w:tcPr>
          <w:p>
            <w:pPr>
              <w:spacing w:after="0"/>
              <w:rPr>
                <w:sz w:val="16"/>
                <w:szCs w:val="16"/>
                <w:color w:val="auto"/>
              </w:rPr>
            </w:pP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for all executive officers in fiscal year 2020</w:t>
            </w:r>
          </w:p>
        </w:tc>
        <w:tc>
          <w:tcPr>
            <w:tcW w:w="180" w:type="dxa"/>
            <w:vAlign w:val="bottom"/>
            <w:shd w:val="clear" w:color="auto" w:fill="EDEEEF"/>
          </w:tcPr>
          <w:p>
            <w:pPr>
              <w:spacing w:after="0"/>
              <w:rPr>
                <w:sz w:val="16"/>
                <w:szCs w:val="16"/>
                <w:color w:val="auto"/>
              </w:rPr>
            </w:pPr>
          </w:p>
        </w:tc>
      </w:tr>
      <w:tr>
        <w:trPr>
          <w:trHeight w:val="243"/>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Provide additional disclosure about peer group selection process</w:t>
            </w: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Enhanced peer group disclosure included in proxy statement</w:t>
            </w:r>
          </w:p>
        </w:tc>
        <w:tc>
          <w:tcPr>
            <w:tcW w:w="180" w:type="dxa"/>
            <w:vAlign w:val="bottom"/>
            <w:shd w:val="clear" w:color="auto" w:fill="EDEEEF"/>
          </w:tcPr>
          <w:p>
            <w:pPr>
              <w:spacing w:after="0"/>
              <w:rPr>
                <w:sz w:val="21"/>
                <w:szCs w:val="21"/>
                <w:color w:val="auto"/>
              </w:rPr>
            </w:pPr>
          </w:p>
        </w:tc>
      </w:tr>
      <w:tr>
        <w:trPr>
          <w:trHeight w:val="237"/>
        </w:trPr>
        <w:tc>
          <w:tcPr>
            <w:tcW w:w="556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 a clawback policy</w:t>
            </w:r>
          </w:p>
        </w:tc>
        <w:tc>
          <w:tcPr>
            <w:tcW w:w="5460" w:type="dxa"/>
            <w:vAlign w:val="bottom"/>
            <w:gridSpan w:val="2"/>
            <w:shd w:val="clear" w:color="auto" w:fill="EDEEEF"/>
          </w:tcPr>
          <w:p>
            <w:pPr>
              <w:ind w:left="100"/>
              <w:spacing w:after="0"/>
              <w:rPr>
                <w:sz w:val="20"/>
                <w:szCs w:val="20"/>
                <w:color w:val="auto"/>
              </w:rPr>
            </w:pPr>
            <w:r>
              <w:rPr>
                <w:rFonts w:ascii="Arial" w:cs="Arial" w:eastAsia="Arial" w:hAnsi="Arial"/>
                <w:sz w:val="16"/>
                <w:szCs w:val="16"/>
                <w:color w:val="202E39"/>
              </w:rPr>
              <w:t>Adopted a clawback policy in fiscal year 2021 to enable recovery of cash</w:t>
            </w:r>
          </w:p>
        </w:tc>
      </w:tr>
      <w:tr>
        <w:trPr>
          <w:trHeight w:val="189"/>
        </w:trPr>
        <w:tc>
          <w:tcPr>
            <w:tcW w:w="5560" w:type="dxa"/>
            <w:vAlign w:val="bottom"/>
            <w:shd w:val="clear" w:color="auto" w:fill="EDEEEF"/>
          </w:tcPr>
          <w:p>
            <w:pPr>
              <w:spacing w:after="0"/>
              <w:rPr>
                <w:sz w:val="16"/>
                <w:szCs w:val="16"/>
                <w:color w:val="auto"/>
              </w:rPr>
            </w:pPr>
          </w:p>
        </w:tc>
        <w:tc>
          <w:tcPr>
            <w:tcW w:w="5280" w:type="dxa"/>
            <w:vAlign w:val="bottom"/>
            <w:shd w:val="clear" w:color="auto" w:fill="EDEEEF"/>
          </w:tcPr>
          <w:p>
            <w:pPr>
              <w:ind w:left="100"/>
              <w:spacing w:after="0"/>
              <w:rPr>
                <w:sz w:val="20"/>
                <w:szCs w:val="20"/>
                <w:color w:val="auto"/>
              </w:rPr>
            </w:pPr>
            <w:r>
              <w:rPr>
                <w:rFonts w:ascii="Arial" w:cs="Arial" w:eastAsia="Arial" w:hAnsi="Arial"/>
                <w:sz w:val="16"/>
                <w:szCs w:val="16"/>
                <w:color w:val="202E39"/>
              </w:rPr>
              <w:t>and equity incentive compensation related to a financial restatement</w:t>
            </w:r>
          </w:p>
        </w:tc>
        <w:tc>
          <w:tcPr>
            <w:tcW w:w="180" w:type="dxa"/>
            <w:vAlign w:val="bottom"/>
            <w:shd w:val="clear" w:color="auto" w:fill="EDEEEF"/>
          </w:tcPr>
          <w:p>
            <w:pPr>
              <w:spacing w:after="0"/>
              <w:rPr>
                <w:sz w:val="16"/>
                <w:szCs w:val="16"/>
                <w:color w:val="auto"/>
              </w:rPr>
            </w:pPr>
          </w:p>
        </w:tc>
      </w:tr>
      <w:tr>
        <w:trPr>
          <w:trHeight w:val="208"/>
        </w:trPr>
        <w:tc>
          <w:tcPr>
            <w:tcW w:w="5560" w:type="dxa"/>
            <w:vAlign w:val="bottom"/>
            <w:tcBorders>
              <w:bottom w:val="single" w:sz="8" w:color="009FE3"/>
            </w:tcBorders>
            <w:shd w:val="clear" w:color="auto" w:fill="EDEEEF"/>
          </w:tcPr>
          <w:p>
            <w:pPr>
              <w:spacing w:after="0"/>
              <w:rPr>
                <w:sz w:val="18"/>
                <w:szCs w:val="18"/>
                <w:color w:val="auto"/>
              </w:rPr>
            </w:pPr>
          </w:p>
        </w:tc>
        <w:tc>
          <w:tcPr>
            <w:tcW w:w="5280" w:type="dxa"/>
            <w:vAlign w:val="bottom"/>
            <w:tcBorders>
              <w:bottom w:val="single" w:sz="8" w:color="009FE3"/>
            </w:tcBorders>
            <w:shd w:val="clear" w:color="auto" w:fill="EDEEEF"/>
          </w:tcPr>
          <w:p>
            <w:pPr>
              <w:ind w:left="100"/>
              <w:spacing w:after="0"/>
              <w:rPr>
                <w:sz w:val="20"/>
                <w:szCs w:val="20"/>
                <w:color w:val="auto"/>
              </w:rPr>
            </w:pPr>
            <w:r>
              <w:rPr>
                <w:rFonts w:ascii="Arial" w:cs="Arial" w:eastAsia="Arial" w:hAnsi="Arial"/>
                <w:sz w:val="16"/>
                <w:szCs w:val="16"/>
                <w:color w:val="202E39"/>
              </w:rPr>
              <w:t>resulting from an executive officer’s misconduct</w:t>
            </w:r>
          </w:p>
        </w:tc>
        <w:tc>
          <w:tcPr>
            <w:tcW w:w="180" w:type="dxa"/>
            <w:vAlign w:val="bottom"/>
            <w:tcBorders>
              <w:bottom w:val="single" w:sz="8" w:color="009FE3"/>
            </w:tcBorders>
            <w:shd w:val="clear" w:color="auto" w:fill="EDEEEF"/>
          </w:tcPr>
          <w:p>
            <w:pPr>
              <w:spacing w:after="0"/>
              <w:rPr>
                <w:sz w:val="18"/>
                <w:szCs w:val="18"/>
                <w:color w:val="auto"/>
              </w:rPr>
            </w:pPr>
          </w:p>
        </w:tc>
      </w:tr>
      <w:tr>
        <w:trPr>
          <w:trHeight w:val="325"/>
        </w:trPr>
        <w:tc>
          <w:tcPr>
            <w:tcW w:w="5560" w:type="dxa"/>
            <w:vAlign w:val="bottom"/>
          </w:tcPr>
          <w:p>
            <w:pPr>
              <w:spacing w:after="0"/>
              <w:rPr>
                <w:sz w:val="24"/>
                <w:szCs w:val="24"/>
                <w:color w:val="auto"/>
              </w:rPr>
            </w:pPr>
          </w:p>
        </w:tc>
        <w:tc>
          <w:tcPr>
            <w:tcW w:w="5280" w:type="dxa"/>
            <w:vAlign w:val="bottom"/>
          </w:tcPr>
          <w:p>
            <w:pPr>
              <w:ind w:left="3320"/>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202E39"/>
              </w:rPr>
              <w:t>39</w:t>
            </w:r>
          </w:p>
        </w:tc>
      </w:tr>
    </w:tbl>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Overview and Objectives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003415"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231775"/>
                    </a:xfrm>
                    <a:prstGeom prst="rect">
                      <a:avLst/>
                    </a:prstGeom>
                    <a:noFill/>
                  </pic:spPr>
                </pic:pic>
              </a:graphicData>
            </a:graphic>
          </wp:anchor>
        </w:drawing>
      </w: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FFFFFF"/>
        </w:rPr>
        <w:t>Key Features of Our Executive Compensation Policies and Practices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580" w:type="dxa"/>
            <w:vAlign w:val="bottom"/>
          </w:tcPr>
          <w:p>
            <w:pPr>
              <w:spacing w:after="0"/>
              <w:rPr>
                <w:sz w:val="20"/>
                <w:szCs w:val="20"/>
                <w:color w:val="auto"/>
              </w:rPr>
            </w:pPr>
            <w:r>
              <w:rPr>
                <w:rFonts w:ascii="Arial" w:cs="Arial" w:eastAsia="Arial" w:hAnsi="Arial"/>
                <w:sz w:val="14"/>
                <w:szCs w:val="14"/>
                <w:b w:val="1"/>
                <w:bCs w:val="1"/>
                <w:color w:val="202E39"/>
              </w:rPr>
              <w:t>What We Do</w:t>
            </w:r>
          </w:p>
        </w:tc>
        <w:tc>
          <w:tcPr>
            <w:tcW w:w="5440" w:type="dxa"/>
            <w:vAlign w:val="bottom"/>
          </w:tcPr>
          <w:p>
            <w:pPr>
              <w:ind w:left="160"/>
              <w:spacing w:after="0"/>
              <w:rPr>
                <w:sz w:val="20"/>
                <w:szCs w:val="20"/>
                <w:color w:val="auto"/>
              </w:rPr>
            </w:pPr>
            <w:r>
              <w:rPr>
                <w:rFonts w:ascii="Arial" w:cs="Arial" w:eastAsia="Arial" w:hAnsi="Arial"/>
                <w:sz w:val="14"/>
                <w:szCs w:val="14"/>
                <w:b w:val="1"/>
                <w:bCs w:val="1"/>
                <w:color w:val="202E39"/>
              </w:rPr>
              <w:t>What We Don’t Do</w:t>
            </w:r>
          </w:p>
        </w:tc>
        <w:tc>
          <w:tcPr>
            <w:tcW w:w="0" w:type="dxa"/>
            <w:vAlign w:val="bottom"/>
          </w:tcPr>
          <w:p>
            <w:pPr>
              <w:spacing w:after="0"/>
              <w:rPr>
                <w:sz w:val="1"/>
                <w:szCs w:val="1"/>
                <w:color w:val="auto"/>
              </w:rPr>
            </w:pPr>
          </w:p>
        </w:tc>
      </w:tr>
      <w:tr>
        <w:trPr>
          <w:trHeight w:val="311"/>
        </w:trPr>
        <w:tc>
          <w:tcPr>
            <w:tcW w:w="558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Establish the vast majority of executive officer pay on business</w:t>
            </w:r>
          </w:p>
        </w:tc>
        <w:tc>
          <w:tcPr>
            <w:tcW w:w="5440" w:type="dxa"/>
            <w:vAlign w:val="bottom"/>
          </w:tcPr>
          <w:p>
            <w:pPr>
              <w:ind w:left="1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repricing of underwater stock options without stockholder approval</w:t>
            </w:r>
          </w:p>
        </w:tc>
        <w:tc>
          <w:tcPr>
            <w:tcW w:w="0" w:type="dxa"/>
            <w:vAlign w:val="bottom"/>
          </w:tcPr>
          <w:p>
            <w:pPr>
              <w:spacing w:after="0"/>
              <w:rPr>
                <w:sz w:val="1"/>
                <w:szCs w:val="1"/>
                <w:color w:val="auto"/>
              </w:rPr>
            </w:pPr>
          </w:p>
        </w:tc>
      </w:tr>
      <w:tr>
        <w:trPr>
          <w:trHeight w:val="195"/>
        </w:trPr>
        <w:tc>
          <w:tcPr>
            <w:tcW w:w="5580" w:type="dxa"/>
            <w:vAlign w:val="bottom"/>
          </w:tcPr>
          <w:p>
            <w:pPr>
              <w:ind w:left="240"/>
              <w:spacing w:after="0"/>
              <w:rPr>
                <w:sz w:val="20"/>
                <w:szCs w:val="20"/>
                <w:color w:val="auto"/>
              </w:rPr>
            </w:pPr>
            <w:r>
              <w:rPr>
                <w:rFonts w:ascii="Arial" w:cs="Arial" w:eastAsia="Arial" w:hAnsi="Arial"/>
                <w:sz w:val="16"/>
                <w:szCs w:val="16"/>
                <w:color w:val="202E39"/>
              </w:rPr>
              <w:t>performance</w:t>
            </w:r>
          </w:p>
        </w:tc>
        <w:tc>
          <w:tcPr>
            <w:tcW w:w="5440" w:type="dxa"/>
            <w:vAlign w:val="bottom"/>
            <w:vMerge w:val="restart"/>
          </w:tcPr>
          <w:p>
            <w:pPr>
              <w:ind w:left="1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single trigger change in control provisions for executive officers</w:t>
            </w:r>
          </w:p>
        </w:tc>
        <w:tc>
          <w:tcPr>
            <w:tcW w:w="0" w:type="dxa"/>
            <w:vAlign w:val="bottom"/>
          </w:tcPr>
          <w:p>
            <w:pPr>
              <w:spacing w:after="0"/>
              <w:rPr>
                <w:sz w:val="1"/>
                <w:szCs w:val="1"/>
                <w:color w:val="auto"/>
              </w:rPr>
            </w:pPr>
          </w:p>
        </w:tc>
      </w:tr>
      <w:tr>
        <w:trPr>
          <w:trHeight w:val="139"/>
        </w:trPr>
        <w:tc>
          <w:tcPr>
            <w:tcW w:w="5580" w:type="dxa"/>
            <w:vAlign w:val="bottom"/>
            <w:vMerge w:val="restart"/>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meaningful executive officer and non-employee director stock</w:t>
            </w:r>
          </w:p>
        </w:tc>
        <w:tc>
          <w:tcPr>
            <w:tcW w:w="5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vMerge w:val="continue"/>
          </w:tcPr>
          <w:p>
            <w:pPr>
              <w:spacing w:after="0"/>
              <w:rPr>
                <w:sz w:val="16"/>
                <w:szCs w:val="16"/>
                <w:color w:val="auto"/>
              </w:rPr>
            </w:pPr>
          </w:p>
        </w:tc>
        <w:tc>
          <w:tcPr>
            <w:tcW w:w="5440" w:type="dxa"/>
            <w:vAlign w:val="bottom"/>
            <w:vMerge w:val="restart"/>
          </w:tcPr>
          <w:p>
            <w:pPr>
              <w:ind w:left="1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excise tax gross-ups</w:t>
            </w:r>
          </w:p>
        </w:tc>
        <w:tc>
          <w:tcPr>
            <w:tcW w:w="0" w:type="dxa"/>
            <w:vAlign w:val="bottom"/>
          </w:tcPr>
          <w:p>
            <w:pPr>
              <w:spacing w:after="0"/>
              <w:rPr>
                <w:sz w:val="1"/>
                <w:szCs w:val="1"/>
                <w:color w:val="auto"/>
              </w:rPr>
            </w:pPr>
          </w:p>
        </w:tc>
      </w:tr>
      <w:tr>
        <w:trPr>
          <w:trHeight w:val="132"/>
        </w:trPr>
        <w:tc>
          <w:tcPr>
            <w:tcW w:w="5580" w:type="dxa"/>
            <w:vAlign w:val="bottom"/>
            <w:vMerge w:val="restart"/>
          </w:tcPr>
          <w:p>
            <w:pPr>
              <w:ind w:left="240"/>
              <w:spacing w:after="0"/>
              <w:rPr>
                <w:sz w:val="20"/>
                <w:szCs w:val="20"/>
                <w:color w:val="auto"/>
              </w:rPr>
            </w:pPr>
            <w:r>
              <w:rPr>
                <w:rFonts w:ascii="Arial" w:cs="Arial" w:eastAsia="Arial" w:hAnsi="Arial"/>
                <w:sz w:val="16"/>
                <w:szCs w:val="16"/>
                <w:color w:val="202E39"/>
              </w:rPr>
              <w:t>ownership guidelines</w:t>
            </w:r>
          </w:p>
        </w:tc>
        <w:tc>
          <w:tcPr>
            <w:tcW w:w="5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5580" w:type="dxa"/>
            <w:vAlign w:val="bottom"/>
            <w:vMerge w:val="continue"/>
          </w:tcPr>
          <w:p>
            <w:pPr>
              <w:spacing w:after="0"/>
              <w:rPr>
                <w:sz w:val="5"/>
                <w:szCs w:val="5"/>
                <w:color w:val="auto"/>
              </w:rPr>
            </w:pPr>
          </w:p>
        </w:tc>
        <w:tc>
          <w:tcPr>
            <w:tcW w:w="5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5580" w:type="dxa"/>
            <w:vAlign w:val="bottom"/>
            <w:vMerge w:val="restart"/>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Provide a limited number of perquisites</w:t>
            </w:r>
          </w:p>
        </w:tc>
        <w:tc>
          <w:tcPr>
            <w:tcW w:w="5440" w:type="dxa"/>
            <w:vAlign w:val="bottom"/>
          </w:tcPr>
          <w:p>
            <w:pPr>
              <w:ind w:left="1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employment contracts unless required by law</w:t>
            </w:r>
          </w:p>
        </w:tc>
        <w:tc>
          <w:tcPr>
            <w:tcW w:w="0" w:type="dxa"/>
            <w:vAlign w:val="bottom"/>
          </w:tcPr>
          <w:p>
            <w:pPr>
              <w:spacing w:after="0"/>
              <w:rPr>
                <w:sz w:val="1"/>
                <w:szCs w:val="1"/>
                <w:color w:val="auto"/>
              </w:rPr>
            </w:pPr>
          </w:p>
        </w:tc>
      </w:tr>
      <w:tr>
        <w:trPr>
          <w:trHeight w:val="81"/>
        </w:trPr>
        <w:tc>
          <w:tcPr>
            <w:tcW w:w="5580" w:type="dxa"/>
            <w:vAlign w:val="bottom"/>
            <w:vMerge w:val="continue"/>
          </w:tcPr>
          <w:p>
            <w:pPr>
              <w:spacing w:after="0"/>
              <w:rPr>
                <w:sz w:val="7"/>
                <w:szCs w:val="7"/>
                <w:color w:val="auto"/>
              </w:rPr>
            </w:pPr>
          </w:p>
        </w:tc>
        <w:tc>
          <w:tcPr>
            <w:tcW w:w="5440" w:type="dxa"/>
            <w:vAlign w:val="bottom"/>
            <w:vMerge w:val="restart"/>
          </w:tcPr>
          <w:p>
            <w:pPr>
              <w:ind w:left="1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guaranteed base salary increases or bonuses</w:t>
            </w:r>
          </w:p>
        </w:tc>
        <w:tc>
          <w:tcPr>
            <w:tcW w:w="0" w:type="dxa"/>
            <w:vAlign w:val="bottom"/>
          </w:tcPr>
          <w:p>
            <w:pPr>
              <w:spacing w:after="0"/>
              <w:rPr>
                <w:sz w:val="1"/>
                <w:szCs w:val="1"/>
                <w:color w:val="auto"/>
              </w:rPr>
            </w:pPr>
          </w:p>
        </w:tc>
      </w:tr>
      <w:tr>
        <w:trPr>
          <w:trHeight w:val="243"/>
        </w:trPr>
        <w:tc>
          <w:tcPr>
            <w:tcW w:w="5580" w:type="dxa"/>
            <w:vAlign w:val="bottom"/>
            <w:vMerge w:val="restart"/>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Prohibit short sales and hedging of Viasat stock by executive officers and</w:t>
            </w:r>
          </w:p>
        </w:tc>
        <w:tc>
          <w:tcPr>
            <w:tcW w:w="5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4"/>
        </w:trPr>
        <w:tc>
          <w:tcPr>
            <w:tcW w:w="5580" w:type="dxa"/>
            <w:vAlign w:val="bottom"/>
            <w:vMerge w:val="continue"/>
          </w:tcPr>
          <w:p>
            <w:pPr>
              <w:spacing w:after="0"/>
              <w:rPr>
                <w:sz w:val="7"/>
                <w:szCs w:val="7"/>
                <w:color w:val="auto"/>
              </w:rPr>
            </w:pPr>
          </w:p>
        </w:tc>
        <w:tc>
          <w:tcPr>
            <w:tcW w:w="5440" w:type="dxa"/>
            <w:vAlign w:val="bottom"/>
            <w:vMerge w:val="restart"/>
          </w:tcPr>
          <w:p>
            <w:pPr>
              <w:ind w:left="160"/>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No compensation plans that encourage excessive or unnecessary risk</w:t>
            </w:r>
          </w:p>
        </w:tc>
        <w:tc>
          <w:tcPr>
            <w:tcW w:w="0" w:type="dxa"/>
            <w:vAlign w:val="bottom"/>
          </w:tcPr>
          <w:p>
            <w:pPr>
              <w:spacing w:after="0"/>
              <w:rPr>
                <w:sz w:val="1"/>
                <w:szCs w:val="1"/>
                <w:color w:val="auto"/>
              </w:rPr>
            </w:pPr>
          </w:p>
        </w:tc>
      </w:tr>
      <w:tr>
        <w:trPr>
          <w:trHeight w:val="230"/>
        </w:trPr>
        <w:tc>
          <w:tcPr>
            <w:tcW w:w="5580" w:type="dxa"/>
            <w:vAlign w:val="bottom"/>
          </w:tcPr>
          <w:p>
            <w:pPr>
              <w:ind w:left="240"/>
              <w:spacing w:after="0"/>
              <w:rPr>
                <w:sz w:val="20"/>
                <w:szCs w:val="20"/>
                <w:color w:val="auto"/>
              </w:rPr>
            </w:pPr>
            <w:r>
              <w:rPr>
                <w:rFonts w:ascii="Arial" w:cs="Arial" w:eastAsia="Arial" w:hAnsi="Arial"/>
                <w:sz w:val="16"/>
                <w:szCs w:val="16"/>
                <w:color w:val="202E39"/>
              </w:rPr>
              <w:t>directors</w:t>
            </w:r>
          </w:p>
        </w:tc>
        <w:tc>
          <w:tcPr>
            <w:tcW w:w="5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580" w:type="dxa"/>
            <w:vAlign w:val="bottom"/>
            <w:vMerge w:val="restart"/>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Maintain a clawback policy</w:t>
            </w:r>
          </w:p>
        </w:tc>
        <w:tc>
          <w:tcPr>
            <w:tcW w:w="5440" w:type="dxa"/>
            <w:vAlign w:val="bottom"/>
          </w:tcPr>
          <w:p>
            <w:pPr>
              <w:ind w:left="400"/>
              <w:spacing w:after="0"/>
              <w:rPr>
                <w:sz w:val="20"/>
                <w:szCs w:val="20"/>
                <w:color w:val="auto"/>
              </w:rPr>
            </w:pPr>
            <w:r>
              <w:rPr>
                <w:rFonts w:ascii="Arial" w:cs="Arial" w:eastAsia="Arial" w:hAnsi="Arial"/>
                <w:sz w:val="16"/>
                <w:szCs w:val="16"/>
                <w:color w:val="202E39"/>
              </w:rPr>
              <w:t>taking</w:t>
            </w:r>
          </w:p>
        </w:tc>
        <w:tc>
          <w:tcPr>
            <w:tcW w:w="0" w:type="dxa"/>
            <w:vAlign w:val="bottom"/>
          </w:tcPr>
          <w:p>
            <w:pPr>
              <w:spacing w:after="0"/>
              <w:rPr>
                <w:sz w:val="1"/>
                <w:szCs w:val="1"/>
                <w:color w:val="auto"/>
              </w:rPr>
            </w:pPr>
          </w:p>
        </w:tc>
      </w:tr>
      <w:tr>
        <w:trPr>
          <w:trHeight w:val="112"/>
        </w:trPr>
        <w:tc>
          <w:tcPr>
            <w:tcW w:w="5580" w:type="dxa"/>
            <w:vAlign w:val="bottom"/>
            <w:vMerge w:val="continue"/>
          </w:tcPr>
          <w:p>
            <w:pPr>
              <w:spacing w:after="0"/>
              <w:rPr>
                <w:sz w:val="9"/>
                <w:szCs w:val="9"/>
                <w:color w:val="auto"/>
              </w:rPr>
            </w:pPr>
          </w:p>
        </w:tc>
        <w:tc>
          <w:tcPr>
            <w:tcW w:w="5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7"/>
        </w:trPr>
        <w:tc>
          <w:tcPr>
            <w:tcW w:w="558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Use multiple performance measures and caps on potential incentive</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240"/>
              <w:spacing w:after="0"/>
              <w:rPr>
                <w:sz w:val="20"/>
                <w:szCs w:val="20"/>
                <w:color w:val="auto"/>
              </w:rPr>
            </w:pPr>
            <w:r>
              <w:rPr>
                <w:rFonts w:ascii="Arial" w:cs="Arial" w:eastAsia="Arial" w:hAnsi="Arial"/>
                <w:sz w:val="16"/>
                <w:szCs w:val="16"/>
                <w:color w:val="202E39"/>
              </w:rPr>
              <w:t>payments</w:t>
            </w:r>
          </w:p>
        </w:tc>
        <w:tc>
          <w:tcPr>
            <w:tcW w:w="5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5580" w:type="dxa"/>
            <w:vAlign w:val="bottom"/>
          </w:tcPr>
          <w:p>
            <w:pPr>
              <w:spacing w:after="0" w:line="184" w:lineRule="exact"/>
              <w:rPr>
                <w:sz w:val="20"/>
                <w:szCs w:val="20"/>
                <w:color w:val="auto"/>
              </w:rPr>
            </w:pPr>
            <w:r>
              <w:rPr>
                <w:rFonts w:ascii="MS PGothic" w:cs="MS PGothic" w:eastAsia="MS PGothic" w:hAnsi="MS PGothic"/>
                <w:sz w:val="16"/>
                <w:szCs w:val="16"/>
                <w:color w:val="009FE3"/>
              </w:rPr>
              <w:t>☑</w:t>
            </w:r>
            <w:r>
              <w:rPr>
                <w:rFonts w:ascii="Arial" w:cs="Arial" w:eastAsia="Arial" w:hAnsi="Arial"/>
                <w:sz w:val="16"/>
                <w:szCs w:val="16"/>
                <w:color w:val="202E39"/>
              </w:rPr>
              <w:t xml:space="preserve"> Engage an independent compensation consultant</w:t>
            </w:r>
          </w:p>
        </w:tc>
        <w:tc>
          <w:tcPr>
            <w:tcW w:w="5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580" w:type="dxa"/>
            <w:vAlign w:val="bottom"/>
            <w:tcBorders>
              <w:bottom w:val="single" w:sz="8" w:color="009FE3"/>
            </w:tcBorders>
          </w:tcPr>
          <w:p>
            <w:pPr>
              <w:spacing w:after="0"/>
              <w:rPr>
                <w:sz w:val="7"/>
                <w:szCs w:val="7"/>
                <w:color w:val="auto"/>
              </w:rPr>
            </w:pPr>
          </w:p>
        </w:tc>
        <w:tc>
          <w:tcPr>
            <w:tcW w:w="5440" w:type="dxa"/>
            <w:vAlign w:val="bottom"/>
            <w:tcBorders>
              <w:bottom w:val="single" w:sz="8" w:color="009FE3"/>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Objectives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objectives of our executive compensation program are premised on the following three fundamental principles, each of which is discussed below:</w:t>
      </w:r>
    </w:p>
    <w:p>
      <w:pPr>
        <w:spacing w:after="0" w:line="5" w:lineRule="exact"/>
        <w:rPr>
          <w:sz w:val="20"/>
          <w:szCs w:val="20"/>
          <w:color w:val="auto"/>
        </w:rPr>
      </w:pPr>
    </w:p>
    <w:p>
      <w:pPr>
        <w:ind w:left="120" w:right="20" w:hanging="4"/>
        <w:spacing w:after="0" w:line="249" w:lineRule="auto"/>
        <w:tabs>
          <w:tab w:leader="none" w:pos="363" w:val="left"/>
        </w:tabs>
        <w:numPr>
          <w:ilvl w:val="0"/>
          <w:numId w:val="31"/>
        </w:numPr>
        <w:rPr>
          <w:rFonts w:ascii="Arial" w:cs="Arial" w:eastAsia="Arial" w:hAnsi="Arial"/>
          <w:sz w:val="16"/>
          <w:szCs w:val="16"/>
          <w:color w:val="202E39"/>
        </w:rPr>
      </w:pPr>
      <w:r>
        <w:rPr>
          <w:rFonts w:ascii="Arial" w:cs="Arial" w:eastAsia="Arial" w:hAnsi="Arial"/>
          <w:sz w:val="16"/>
          <w:szCs w:val="16"/>
          <w:color w:val="202E39"/>
        </w:rPr>
        <w:t>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4368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31"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i w:val="1"/>
          <w:iCs w:val="1"/>
          <w:color w:val="009FE3"/>
        </w:rPr>
        <w:t xml:space="preserve">Performance-Based Compensation. </w:t>
      </w:r>
      <w:r>
        <w:rPr>
          <w:rFonts w:ascii="Arial" w:cs="Arial" w:eastAsia="Arial" w:hAnsi="Arial"/>
          <w:sz w:val="16"/>
          <w:szCs w:val="16"/>
          <w:color w:val="202E39"/>
        </w:rPr>
        <w:t>We strongly believe that a significant amount of executive compensation should be designed to reward superior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 pre-established corporate financial performance metrics and operational targets, and individual performance. Also, during fiscal year 2018, we introduced performance-based stock options as a significant component of our long-term incentives for our executive officers, as described below. As illustrated below, a significant portion of the total direct compensation for our Named Executive Officers is delivered as variable performance-based compensation, including time-based restricted stock units and performance–based stock options, the value of which is driven by stock price performance. Variable incentive-based compensation accounted for approximately 87.2% of total direct compensation for our Chief Executive Officer and an average of approximately 80.4% of total direct compensation for our Named Executive Officers other than our Executive Chairman in fiscal year 2021. Incentive-based compensation accounted for approximately 86.1% of total direct compensation for our 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144780</wp:posOffset>
            </wp:positionV>
            <wp:extent cx="5949315" cy="2297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4931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right="140"/>
        <w:spacing w:after="0" w:line="250" w:lineRule="auto"/>
        <w:rPr>
          <w:sz w:val="20"/>
          <w:szCs w:val="20"/>
          <w:color w:val="auto"/>
        </w:rPr>
      </w:pPr>
      <w:r>
        <w:rPr>
          <w:rFonts w:ascii="Arial" w:cs="Arial" w:eastAsia="Arial" w:hAnsi="Arial"/>
          <w:sz w:val="16"/>
          <w:szCs w:val="16"/>
          <w:i w:val="1"/>
          <w:iCs w:val="1"/>
          <w:color w:val="009FE3"/>
        </w:rPr>
        <w:t xml:space="preserve">Alignment with Stockholder Interests. </w:t>
      </w:r>
      <w:r>
        <w:rPr>
          <w:rFonts w:ascii="Arial" w:cs="Arial" w:eastAsia="Arial" w:hAnsi="Arial"/>
          <w:sz w:val="16"/>
          <w:szCs w:val="16"/>
          <w:color w:val="202E39"/>
        </w:rPr>
        <w:t>We believe that executive compensation and stockholder interests should be linked, and our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is designed so that the financial interests of our executive officers are closely aligned with the interests of our stockholders. We accomplish this objective in multiple ways. First, a significant portion of our Named Executive Officer compensation is linked to achievement of rigorous financial and operational performance metrics. Second, we have adopted stock ownership guidelines that require our executive officers to own a significant amount of Viasat stock. Third, we grant performance-based stock options as a significant part of our long-term equity award program, which provide our executive officers with an opportunity to earn a number of stock options based, in part, on Viasat’s total shareholder return, or TSR, relative to the TSR of the companies that comprise the S&amp;P MidCap 400 Index measured over a four-year performance period and, in part, based on continued service for that performance period. We have also adopted a clawback policy to allow the Committee to recover incentive compensation from an executive officer in the event of a financial restatement resulting from such executive officer’s misconduct, as further described below.</w:t>
      </w:r>
    </w:p>
    <w:p>
      <w:pPr>
        <w:spacing w:after="0" w:line="84" w:lineRule="exact"/>
        <w:rPr>
          <w:sz w:val="20"/>
          <w:szCs w:val="20"/>
          <w:color w:val="auto"/>
        </w:rPr>
      </w:pPr>
    </w:p>
    <w:p>
      <w:pPr>
        <w:ind w:left="120" w:right="40"/>
        <w:spacing w:after="0" w:line="258" w:lineRule="auto"/>
        <w:rPr>
          <w:sz w:val="20"/>
          <w:szCs w:val="20"/>
          <w:color w:val="auto"/>
        </w:rPr>
      </w:pPr>
      <w:r>
        <w:rPr>
          <w:rFonts w:ascii="Arial" w:cs="Arial" w:eastAsia="Arial" w:hAnsi="Arial"/>
          <w:sz w:val="16"/>
          <w:szCs w:val="16"/>
          <w:i w:val="1"/>
          <w:iCs w:val="1"/>
          <w:color w:val="009FE3"/>
        </w:rPr>
        <w:t xml:space="preserve">Structure Allows Competitive and Fair Compensation Packages. </w:t>
      </w:r>
      <w:r>
        <w:rPr>
          <w:rFonts w:ascii="Arial" w:cs="Arial" w:eastAsia="Arial" w:hAnsi="Arial"/>
          <w:sz w:val="16"/>
          <w:szCs w:val="16"/>
          <w:color w:val="202E39"/>
        </w:rPr>
        <w:t>We believe our success depends to a significant degree on our ability to attract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retain highly skilled personnel. Stockholders are accordingly best served when we can attract and retain talented executives with compensation packages that are competitive and fair. Therefore, we strive to create compensation packages for our executive officers that deliver compensation that is comparable to the total compensation delivered by the companies with which we compete for executive talent.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Decision-Making Processes and Criteria</w:t>
      </w:r>
    </w:p>
    <w:p>
      <w:pPr>
        <w:spacing w:after="0" w:line="133"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The Committee is responsible for determining our overall executive compensation philosophy, and for evaluating and recommending certain components of executive officer compensation to our Board of Directors for approval. The Committee acts under a written charter adopted and approved by our Board and may, in its discretion, obtain the assistance of outside advisors, including compensation consultants, legal counsel and accounting and other advisors. Effective December 2020, the Board adopted and approved an amended and restated Compensation Committee charter that delegates authority to the Compensation Committee to review and approve the compensation for the company’s Executive Chairman, Chief Executive Officer and the other executive officers of the company. Each member of the Committee qualifies as a “non-employee director”</w:t>
      </w:r>
    </w:p>
    <w:p>
      <w:pPr>
        <w:spacing w:after="0" w:line="12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41</w:t>
            </w:r>
          </w:p>
        </w:tc>
      </w:tr>
    </w:tbl>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202E39"/>
        </w:rPr>
        <w:t xml:space="preserve">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87"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202E39"/>
        </w:rPr>
        <w:t>In fiscal year 2021,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arising from the work performed by Compensia during fiscal year 2021.</w:t>
      </w:r>
    </w:p>
    <w:p>
      <w:pPr>
        <w:spacing w:after="0" w:line="94"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202E39"/>
        </w:rPr>
        <w:t>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w:t>
      </w:r>
    </w:p>
    <w:p>
      <w:pPr>
        <w:spacing w:after="0" w:line="107" w:lineRule="exact"/>
        <w:rPr>
          <w:sz w:val="20"/>
          <w:szCs w:val="20"/>
          <w:color w:val="auto"/>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industry compensation data,</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individual performance and contributions,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company financial and operational performance,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company strategic positioning,</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total executive compensation,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affordability of cash compensation based on Viasat’s financial results,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availability and affordability of shares for equity awards,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2"/>
        </w:numPr>
        <w:rPr>
          <w:rFonts w:ascii="Arial" w:cs="Arial" w:eastAsia="Arial" w:hAnsi="Arial"/>
          <w:sz w:val="16"/>
          <w:szCs w:val="16"/>
          <w:color w:val="009FE3"/>
        </w:rPr>
      </w:pPr>
      <w:r>
        <w:rPr>
          <w:rFonts w:ascii="Arial" w:cs="Arial" w:eastAsia="Arial" w:hAnsi="Arial"/>
          <w:sz w:val="16"/>
          <w:szCs w:val="16"/>
          <w:color w:val="202E39"/>
        </w:rPr>
        <w:t>stockholder feedback, including the results of say-on-pay votes.</w:t>
      </w:r>
    </w:p>
    <w:p>
      <w:pPr>
        <w:spacing w:after="0" w:line="97"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i w:val="1"/>
          <w:iCs w:val="1"/>
          <w:color w:val="009FE3"/>
        </w:rPr>
        <w:t xml:space="preserve">Peer Group Selection Process. </w:t>
      </w:r>
      <w:r>
        <w:rPr>
          <w:rFonts w:ascii="Arial" w:cs="Arial" w:eastAsia="Arial" w:hAnsi="Arial"/>
          <w:sz w:val="16"/>
          <w:szCs w:val="16"/>
          <w:color w:val="202E39"/>
        </w:rPr>
        <w:t>As part of the process of determining executive compensation, the Committee reviews competitive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data of relevant companies from across the industries in which we primarily operate. Through a thorough evaluation process that takes place on an annual basis, the Committee identifies the appropriate group of companies to reference as a peer group for compensation comparison purposes. The peer group was selected based on a variety of factors, including industry, revenue, business model and market capitalization. The Committee also reviewed competitive market information from the Radford Global Technology survey, a globally recognized compensation survey containing market information of companies in the technology industry. An overview of the key criteria considered and process followed by the Committee to determine the appropriate peer group is summarized below:</w:t>
      </w:r>
    </w:p>
    <w:p>
      <w:pPr>
        <w:spacing w:after="0" w:line="208" w:lineRule="exact"/>
        <w:rPr>
          <w:sz w:val="20"/>
          <w:szCs w:val="20"/>
          <w:color w:val="auto"/>
        </w:rPr>
      </w:pPr>
    </w:p>
    <w:tbl>
      <w:tblPr>
        <w:tblLayout w:type="fixed"/>
        <w:tblInd w:w="130" w:type="dxa"/>
        <w:tblCellMar>
          <w:top w:w="0" w:type="dxa"/>
          <w:left w:w="0" w:type="dxa"/>
          <w:bottom w:w="0" w:type="dxa"/>
          <w:right w:w="0" w:type="dxa"/>
        </w:tblCellMar>
      </w:tblPr>
      <w:tr>
        <w:trPr>
          <w:trHeight w:val="184"/>
        </w:trPr>
        <w:tc>
          <w:tcPr>
            <w:tcW w:w="2680" w:type="dxa"/>
            <w:vAlign w:val="bottom"/>
            <w:tcBorders>
              <w:top w:val="single" w:sz="8" w:color="202E39"/>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Factors Considered for</w:t>
            </w:r>
          </w:p>
        </w:tc>
        <w:tc>
          <w:tcPr>
            <w:tcW w:w="300" w:type="dxa"/>
            <w:vAlign w:val="bottom"/>
            <w:tcBorders>
              <w:top w:val="single" w:sz="8" w:color="202E39"/>
            </w:tcBorders>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top w:val="single" w:sz="8" w:color="202E39"/>
              <w:right w:val="single" w:sz="8" w:color="202E39"/>
            </w:tcBorders>
          </w:tcPr>
          <w:p>
            <w:pPr>
              <w:ind w:left="40"/>
              <w:spacing w:after="0"/>
              <w:rPr>
                <w:sz w:val="20"/>
                <w:szCs w:val="20"/>
                <w:color w:val="auto"/>
              </w:rPr>
            </w:pPr>
            <w:r>
              <w:rPr>
                <w:rFonts w:ascii="Arial" w:cs="Arial" w:eastAsia="Arial" w:hAnsi="Arial"/>
                <w:sz w:val="16"/>
                <w:szCs w:val="16"/>
                <w:color w:val="202E39"/>
              </w:rPr>
              <w:t>Industry</w:t>
            </w:r>
          </w:p>
        </w:tc>
        <w:tc>
          <w:tcPr>
            <w:tcW w:w="200" w:type="dxa"/>
            <w:vAlign w:val="bottom"/>
            <w:tcBorders>
              <w:top w:val="single" w:sz="8" w:color="202E39"/>
            </w:tcBorders>
          </w:tcPr>
          <w:p>
            <w:pPr>
              <w:ind w:left="100"/>
              <w:spacing w:after="0"/>
              <w:rPr>
                <w:sz w:val="20"/>
                <w:szCs w:val="20"/>
                <w:color w:val="auto"/>
              </w:rPr>
            </w:pPr>
            <w:r>
              <w:rPr>
                <w:rFonts w:ascii="Arial" w:cs="Arial" w:eastAsia="Arial" w:hAnsi="Arial"/>
                <w:sz w:val="16"/>
                <w:szCs w:val="16"/>
                <w:color w:val="009FE3"/>
              </w:rPr>
              <w:t>•</w:t>
            </w:r>
          </w:p>
        </w:tc>
        <w:tc>
          <w:tcPr>
            <w:tcW w:w="3840" w:type="dxa"/>
            <w:vAlign w:val="bottom"/>
            <w:tcBorders>
              <w:top w:val="single" w:sz="8" w:color="202E39"/>
              <w:right w:val="single" w:sz="8" w:color="202E39"/>
            </w:tcBorders>
          </w:tcPr>
          <w:p>
            <w:pPr>
              <w:ind w:left="40"/>
              <w:spacing w:after="0"/>
              <w:rPr>
                <w:sz w:val="20"/>
                <w:szCs w:val="20"/>
                <w:color w:val="auto"/>
              </w:rPr>
            </w:pPr>
            <w:r>
              <w:rPr>
                <w:rFonts w:ascii="Arial" w:cs="Arial" w:eastAsia="Arial" w:hAnsi="Arial"/>
                <w:sz w:val="16"/>
                <w:szCs w:val="16"/>
                <w:color w:val="202E39"/>
              </w:rPr>
              <w:t>Provides multiple lenses to review potentially</w:t>
            </w:r>
          </w:p>
        </w:tc>
        <w:tc>
          <w:tcPr>
            <w:tcW w:w="0" w:type="dxa"/>
            <w:vAlign w:val="bottom"/>
          </w:tcPr>
          <w:p>
            <w:pPr>
              <w:spacing w:after="0"/>
              <w:rPr>
                <w:sz w:val="1"/>
                <w:szCs w:val="1"/>
                <w:color w:val="auto"/>
              </w:rPr>
            </w:pPr>
          </w:p>
        </w:tc>
      </w:tr>
      <w:tr>
        <w:trPr>
          <w:trHeight w:val="215"/>
        </w:trPr>
        <w:tc>
          <w:tcPr>
            <w:tcW w:w="2680" w:type="dxa"/>
            <w:vAlign w:val="bottom"/>
            <w:tcBorders>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Peer Group Selection</w:t>
            </w:r>
          </w:p>
        </w:tc>
        <w:tc>
          <w:tcPr>
            <w:tcW w:w="4320" w:type="dxa"/>
            <w:vAlign w:val="bottom"/>
            <w:tcBorders>
              <w:right w:val="single" w:sz="8" w:color="202E39"/>
            </w:tcBorders>
            <w:gridSpan w:val="2"/>
            <w:vMerge w:val="restart"/>
          </w:tcPr>
          <w:p>
            <w:pPr>
              <w:ind w:left="2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Revenue</w:t>
            </w:r>
          </w:p>
        </w:tc>
        <w:tc>
          <w:tcPr>
            <w:tcW w:w="200" w:type="dxa"/>
            <w:vAlign w:val="bottom"/>
          </w:tcPr>
          <w:p>
            <w:pPr>
              <w:spacing w:after="0"/>
              <w:rPr>
                <w:sz w:val="18"/>
                <w:szCs w:val="18"/>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comparable companies</w:t>
            </w:r>
          </w:p>
        </w:tc>
        <w:tc>
          <w:tcPr>
            <w:tcW w:w="0" w:type="dxa"/>
            <w:vAlign w:val="bottom"/>
          </w:tcPr>
          <w:p>
            <w:pPr>
              <w:spacing w:after="0"/>
              <w:rPr>
                <w:sz w:val="1"/>
                <w:szCs w:val="1"/>
                <w:color w:val="auto"/>
              </w:rPr>
            </w:pPr>
          </w:p>
        </w:tc>
      </w:tr>
      <w:tr>
        <w:trPr>
          <w:trHeight w:val="68"/>
        </w:trPr>
        <w:tc>
          <w:tcPr>
            <w:tcW w:w="2680" w:type="dxa"/>
            <w:vAlign w:val="bottom"/>
            <w:tcBorders>
              <w:left w:val="single" w:sz="8" w:color="202E39"/>
              <w:right w:val="single" w:sz="8" w:color="202E39"/>
            </w:tcBorders>
            <w:shd w:val="clear" w:color="auto" w:fill="D8F0FA"/>
          </w:tcPr>
          <w:p>
            <w:pPr>
              <w:spacing w:after="0"/>
              <w:rPr>
                <w:sz w:val="5"/>
                <w:szCs w:val="5"/>
                <w:color w:val="auto"/>
              </w:rPr>
            </w:pPr>
          </w:p>
        </w:tc>
        <w:tc>
          <w:tcPr>
            <w:tcW w:w="4320" w:type="dxa"/>
            <w:vAlign w:val="bottom"/>
            <w:tcBorders>
              <w:right w:val="single" w:sz="8" w:color="202E39"/>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840" w:type="dxa"/>
            <w:vAlign w:val="bottom"/>
            <w:tcBorders>
              <w:right w:val="single" w:sz="8" w:color="202E39"/>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680" w:type="dxa"/>
            <w:vAlign w:val="bottom"/>
            <w:tcBorders>
              <w:left w:val="single" w:sz="8" w:color="202E39"/>
              <w:right w:val="single" w:sz="8" w:color="202E39"/>
            </w:tcBorders>
            <w:shd w:val="clear" w:color="auto" w:fill="D8F0FA"/>
          </w:tcPr>
          <w:p>
            <w:pPr>
              <w:spacing w:after="0"/>
              <w:rPr>
                <w:sz w:val="22"/>
                <w:szCs w:val="22"/>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Business Model</w:t>
            </w:r>
          </w:p>
        </w:tc>
        <w:tc>
          <w:tcPr>
            <w:tcW w:w="200" w:type="dxa"/>
            <w:vAlign w:val="bottom"/>
          </w:tcPr>
          <w:p>
            <w:pPr>
              <w:spacing w:after="0"/>
              <w:rPr>
                <w:sz w:val="22"/>
                <w:szCs w:val="22"/>
                <w:color w:val="auto"/>
              </w:rPr>
            </w:pPr>
          </w:p>
        </w:tc>
        <w:tc>
          <w:tcPr>
            <w:tcW w:w="3840" w:type="dxa"/>
            <w:vAlign w:val="bottom"/>
            <w:tcBorders>
              <w:right w:val="single" w:sz="8" w:color="202E39"/>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680" w:type="dxa"/>
            <w:vAlign w:val="bottom"/>
            <w:tcBorders>
              <w:left w:val="single" w:sz="8" w:color="202E39"/>
              <w:bottom w:val="single" w:sz="8" w:color="202E39"/>
              <w:right w:val="single" w:sz="8" w:color="202E39"/>
            </w:tcBorders>
            <w:shd w:val="clear" w:color="auto" w:fill="D8F0FA"/>
          </w:tcPr>
          <w:p>
            <w:pPr>
              <w:spacing w:after="0"/>
              <w:rPr>
                <w:sz w:val="22"/>
                <w:szCs w:val="22"/>
                <w:color w:val="auto"/>
              </w:rPr>
            </w:pPr>
          </w:p>
        </w:tc>
        <w:tc>
          <w:tcPr>
            <w:tcW w:w="300" w:type="dxa"/>
            <w:vAlign w:val="bottom"/>
            <w:tcBorders>
              <w:bottom w:val="single" w:sz="8" w:color="202E39"/>
            </w:tcBorders>
          </w:tcPr>
          <w:p>
            <w:pPr>
              <w:ind w:left="200"/>
              <w:spacing w:after="0"/>
              <w:rPr>
                <w:sz w:val="20"/>
                <w:szCs w:val="20"/>
                <w:color w:val="auto"/>
              </w:rPr>
            </w:pPr>
            <w:r>
              <w:rPr>
                <w:rFonts w:ascii="Arial" w:cs="Arial" w:eastAsia="Arial" w:hAnsi="Arial"/>
                <w:sz w:val="16"/>
                <w:szCs w:val="16"/>
                <w:color w:val="009FE3"/>
              </w:rPr>
              <w:t>•</w:t>
            </w:r>
          </w:p>
        </w:tc>
        <w:tc>
          <w:tcPr>
            <w:tcW w:w="4020" w:type="dxa"/>
            <w:vAlign w:val="bottom"/>
            <w:tcBorders>
              <w:bottom w:val="single" w:sz="8" w:color="202E39"/>
              <w:right w:val="single" w:sz="8" w:color="202E39"/>
            </w:tcBorders>
          </w:tcPr>
          <w:p>
            <w:pPr>
              <w:ind w:left="40"/>
              <w:spacing w:after="0"/>
              <w:rPr>
                <w:sz w:val="20"/>
                <w:szCs w:val="20"/>
                <w:color w:val="auto"/>
              </w:rPr>
            </w:pPr>
            <w:r>
              <w:rPr>
                <w:rFonts w:ascii="Arial" w:cs="Arial" w:eastAsia="Arial" w:hAnsi="Arial"/>
                <w:sz w:val="16"/>
                <w:szCs w:val="16"/>
                <w:color w:val="202E39"/>
              </w:rPr>
              <w:t>Market Capitalization</w:t>
            </w:r>
          </w:p>
        </w:tc>
        <w:tc>
          <w:tcPr>
            <w:tcW w:w="200" w:type="dxa"/>
            <w:vAlign w:val="bottom"/>
            <w:tcBorders>
              <w:bottom w:val="single" w:sz="8" w:color="202E39"/>
            </w:tcBorders>
          </w:tcPr>
          <w:p>
            <w:pPr>
              <w:spacing w:after="0"/>
              <w:rPr>
                <w:sz w:val="22"/>
                <w:szCs w:val="22"/>
                <w:color w:val="auto"/>
              </w:rPr>
            </w:pPr>
          </w:p>
        </w:tc>
        <w:tc>
          <w:tcPr>
            <w:tcW w:w="3840" w:type="dxa"/>
            <w:vAlign w:val="bottom"/>
            <w:tcBorders>
              <w:bottom w:val="single" w:sz="8" w:color="202E39"/>
              <w:right w:val="single" w:sz="8" w:color="202E39"/>
            </w:tcBorders>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680" w:type="dxa"/>
            <w:vAlign w:val="bottom"/>
            <w:tcBorders>
              <w:left w:val="single" w:sz="8" w:color="202E39"/>
              <w:right w:val="single" w:sz="8" w:color="202E39"/>
            </w:tcBorders>
            <w:shd w:val="clear" w:color="auto" w:fill="D8F0FA"/>
          </w:tcPr>
          <w:p>
            <w:pPr>
              <w:ind w:left="240"/>
              <w:spacing w:after="0" w:line="168" w:lineRule="exact"/>
              <w:rPr>
                <w:sz w:val="20"/>
                <w:szCs w:val="20"/>
                <w:color w:val="auto"/>
              </w:rPr>
            </w:pPr>
            <w:r>
              <w:rPr>
                <w:rFonts w:ascii="Arial" w:cs="Arial" w:eastAsia="Arial" w:hAnsi="Arial"/>
                <w:sz w:val="16"/>
                <w:szCs w:val="16"/>
                <w:b w:val="1"/>
                <w:bCs w:val="1"/>
                <w:color w:val="202E39"/>
              </w:rPr>
              <w:t>Additional Inputs Used for</w:t>
            </w:r>
          </w:p>
        </w:tc>
        <w:tc>
          <w:tcPr>
            <w:tcW w:w="300" w:type="dxa"/>
            <w:vAlign w:val="bottom"/>
          </w:tcPr>
          <w:p>
            <w:pPr>
              <w:ind w:left="200"/>
              <w:spacing w:after="0" w:line="168" w:lineRule="exact"/>
              <w:rPr>
                <w:sz w:val="20"/>
                <w:szCs w:val="20"/>
                <w:color w:val="auto"/>
              </w:rPr>
            </w:pPr>
            <w:r>
              <w:rPr>
                <w:rFonts w:ascii="Arial" w:cs="Arial" w:eastAsia="Arial" w:hAnsi="Arial"/>
                <w:sz w:val="16"/>
                <w:szCs w:val="16"/>
                <w:color w:val="009FE3"/>
              </w:rPr>
              <w:t>•</w:t>
            </w:r>
          </w:p>
        </w:tc>
        <w:tc>
          <w:tcPr>
            <w:tcW w:w="4020" w:type="dxa"/>
            <w:vAlign w:val="bottom"/>
            <w:tcBorders>
              <w:right w:val="single" w:sz="8" w:color="202E39"/>
            </w:tcBorders>
          </w:tcPr>
          <w:p>
            <w:pPr>
              <w:ind w:left="40"/>
              <w:spacing w:after="0" w:line="168" w:lineRule="exact"/>
              <w:rPr>
                <w:sz w:val="20"/>
                <w:szCs w:val="20"/>
                <w:color w:val="auto"/>
              </w:rPr>
            </w:pPr>
            <w:r>
              <w:rPr>
                <w:rFonts w:ascii="Arial" w:cs="Arial" w:eastAsia="Arial" w:hAnsi="Arial"/>
                <w:sz w:val="16"/>
                <w:szCs w:val="16"/>
                <w:color w:val="202E39"/>
              </w:rPr>
              <w:t>Competitive market information from the Radford</w:t>
            </w:r>
          </w:p>
        </w:tc>
        <w:tc>
          <w:tcPr>
            <w:tcW w:w="200" w:type="dxa"/>
            <w:vAlign w:val="bottom"/>
          </w:tcPr>
          <w:p>
            <w:pPr>
              <w:ind w:left="100"/>
              <w:spacing w:after="0" w:line="168" w:lineRule="exact"/>
              <w:rPr>
                <w:sz w:val="20"/>
                <w:szCs w:val="20"/>
                <w:color w:val="auto"/>
              </w:rPr>
            </w:pPr>
            <w:r>
              <w:rPr>
                <w:rFonts w:ascii="Arial" w:cs="Arial" w:eastAsia="Arial" w:hAnsi="Arial"/>
                <w:sz w:val="16"/>
                <w:szCs w:val="16"/>
                <w:color w:val="009FE3"/>
              </w:rPr>
              <w:t>•</w:t>
            </w:r>
          </w:p>
        </w:tc>
        <w:tc>
          <w:tcPr>
            <w:tcW w:w="3840" w:type="dxa"/>
            <w:vAlign w:val="bottom"/>
            <w:tcBorders>
              <w:right w:val="single" w:sz="8" w:color="202E39"/>
            </w:tcBorders>
          </w:tcPr>
          <w:p>
            <w:pPr>
              <w:ind w:left="40"/>
              <w:spacing w:after="0" w:line="168" w:lineRule="exact"/>
              <w:rPr>
                <w:sz w:val="20"/>
                <w:szCs w:val="20"/>
                <w:color w:val="auto"/>
              </w:rPr>
            </w:pPr>
            <w:r>
              <w:rPr>
                <w:rFonts w:ascii="Arial" w:cs="Arial" w:eastAsia="Arial" w:hAnsi="Arial"/>
                <w:sz w:val="16"/>
                <w:szCs w:val="16"/>
                <w:color w:val="202E39"/>
              </w:rPr>
              <w:t>Permits the Committee to review aggregated</w:t>
            </w:r>
          </w:p>
        </w:tc>
        <w:tc>
          <w:tcPr>
            <w:tcW w:w="0" w:type="dxa"/>
            <w:vAlign w:val="bottom"/>
          </w:tcPr>
          <w:p>
            <w:pPr>
              <w:spacing w:after="0"/>
              <w:rPr>
                <w:sz w:val="1"/>
                <w:szCs w:val="1"/>
                <w:color w:val="auto"/>
              </w:rPr>
            </w:pPr>
          </w:p>
        </w:tc>
      </w:tr>
      <w:tr>
        <w:trPr>
          <w:trHeight w:val="209"/>
        </w:trPr>
        <w:tc>
          <w:tcPr>
            <w:tcW w:w="2680" w:type="dxa"/>
            <w:vAlign w:val="bottom"/>
            <w:tcBorders>
              <w:left w:val="single" w:sz="8" w:color="202E39"/>
              <w:right w:val="single" w:sz="8" w:color="202E39"/>
            </w:tcBorders>
            <w:shd w:val="clear" w:color="auto" w:fill="D8F0FA"/>
          </w:tcPr>
          <w:p>
            <w:pPr>
              <w:ind w:left="240"/>
              <w:spacing w:after="0"/>
              <w:rPr>
                <w:sz w:val="20"/>
                <w:szCs w:val="20"/>
                <w:color w:val="auto"/>
              </w:rPr>
            </w:pPr>
            <w:r>
              <w:rPr>
                <w:rFonts w:ascii="Arial" w:cs="Arial" w:eastAsia="Arial" w:hAnsi="Arial"/>
                <w:sz w:val="16"/>
                <w:szCs w:val="16"/>
                <w:b w:val="1"/>
                <w:bCs w:val="1"/>
                <w:color w:val="202E39"/>
              </w:rPr>
              <w:t>Compensation Decisions</w:t>
            </w:r>
          </w:p>
        </w:tc>
        <w:tc>
          <w:tcPr>
            <w:tcW w:w="300" w:type="dxa"/>
            <w:vAlign w:val="bottom"/>
          </w:tcPr>
          <w:p>
            <w:pPr>
              <w:spacing w:after="0"/>
              <w:rPr>
                <w:sz w:val="18"/>
                <w:szCs w:val="18"/>
                <w:color w:val="auto"/>
              </w:rPr>
            </w:pP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Global Technology survey, a globally recognized</w:t>
            </w:r>
          </w:p>
        </w:tc>
        <w:tc>
          <w:tcPr>
            <w:tcW w:w="200" w:type="dxa"/>
            <w:vAlign w:val="bottom"/>
          </w:tcPr>
          <w:p>
            <w:pPr>
              <w:spacing w:after="0"/>
              <w:rPr>
                <w:sz w:val="18"/>
                <w:szCs w:val="18"/>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compensation data for positions similar to those</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compensation survey containing market information of</w:t>
            </w: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held by executive officers in the technology industry</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companies in the technology industry</w:t>
            </w:r>
          </w:p>
        </w:tc>
        <w:tc>
          <w:tcPr>
            <w:tcW w:w="200" w:type="dxa"/>
            <w:vAlign w:val="bottom"/>
            <w:vMerge w:val="restart"/>
          </w:tcPr>
          <w:p>
            <w:pPr>
              <w:ind w:left="100"/>
              <w:spacing w:after="0"/>
              <w:rPr>
                <w:sz w:val="20"/>
                <w:szCs w:val="20"/>
                <w:color w:val="auto"/>
              </w:rPr>
            </w:pPr>
            <w:r>
              <w:rPr>
                <w:rFonts w:ascii="Arial" w:cs="Arial" w:eastAsia="Arial" w:hAnsi="Arial"/>
                <w:sz w:val="16"/>
                <w:szCs w:val="16"/>
                <w:color w:val="009FE3"/>
              </w:rPr>
              <w:t>•</w:t>
            </w:r>
          </w:p>
        </w:tc>
        <w:tc>
          <w:tcPr>
            <w:tcW w:w="3840" w:type="dxa"/>
            <w:vAlign w:val="bottom"/>
            <w:tcBorders>
              <w:right w:val="single" w:sz="8" w:color="202E39"/>
            </w:tcBorders>
            <w:vMerge w:val="restart"/>
          </w:tcPr>
          <w:p>
            <w:pPr>
              <w:ind w:left="40"/>
              <w:spacing w:after="0"/>
              <w:rPr>
                <w:sz w:val="20"/>
                <w:szCs w:val="20"/>
                <w:color w:val="auto"/>
              </w:rPr>
            </w:pPr>
            <w:r>
              <w:rPr>
                <w:rFonts w:ascii="Arial" w:cs="Arial" w:eastAsia="Arial" w:hAnsi="Arial"/>
                <w:sz w:val="16"/>
                <w:szCs w:val="16"/>
                <w:color w:val="202E39"/>
              </w:rPr>
              <w:t>Provides comprehensive survey data including</w:t>
            </w:r>
          </w:p>
        </w:tc>
        <w:tc>
          <w:tcPr>
            <w:tcW w:w="0" w:type="dxa"/>
            <w:vAlign w:val="bottom"/>
          </w:tcPr>
          <w:p>
            <w:pPr>
              <w:spacing w:after="0"/>
              <w:rPr>
                <w:sz w:val="1"/>
                <w:szCs w:val="1"/>
                <w:color w:val="auto"/>
              </w:rPr>
            </w:pPr>
          </w:p>
        </w:tc>
      </w:tr>
      <w:tr>
        <w:trPr>
          <w:trHeight w:val="62"/>
        </w:trPr>
        <w:tc>
          <w:tcPr>
            <w:tcW w:w="2680" w:type="dxa"/>
            <w:vAlign w:val="bottom"/>
            <w:tcBorders>
              <w:left w:val="single" w:sz="8" w:color="202E39"/>
              <w:right w:val="single" w:sz="8" w:color="202E39"/>
            </w:tcBorders>
            <w:shd w:val="clear" w:color="auto" w:fill="D8F0FA"/>
          </w:tcPr>
          <w:p>
            <w:pPr>
              <w:spacing w:after="0"/>
              <w:rPr>
                <w:sz w:val="5"/>
                <w:szCs w:val="5"/>
                <w:color w:val="auto"/>
              </w:rPr>
            </w:pPr>
          </w:p>
        </w:tc>
        <w:tc>
          <w:tcPr>
            <w:tcW w:w="300" w:type="dxa"/>
            <w:vAlign w:val="bottom"/>
          </w:tcPr>
          <w:p>
            <w:pPr>
              <w:spacing w:after="0"/>
              <w:rPr>
                <w:sz w:val="5"/>
                <w:szCs w:val="5"/>
                <w:color w:val="auto"/>
              </w:rPr>
            </w:pPr>
          </w:p>
        </w:tc>
        <w:tc>
          <w:tcPr>
            <w:tcW w:w="4020" w:type="dxa"/>
            <w:vAlign w:val="bottom"/>
            <w:tcBorders>
              <w:right w:val="single" w:sz="8" w:color="202E39"/>
            </w:tcBorders>
          </w:tcPr>
          <w:p>
            <w:pPr>
              <w:spacing w:after="0"/>
              <w:rPr>
                <w:sz w:val="5"/>
                <w:szCs w:val="5"/>
                <w:color w:val="auto"/>
              </w:rPr>
            </w:pPr>
          </w:p>
        </w:tc>
        <w:tc>
          <w:tcPr>
            <w:tcW w:w="200" w:type="dxa"/>
            <w:vAlign w:val="bottom"/>
            <w:vMerge w:val="continue"/>
          </w:tcPr>
          <w:p>
            <w:pPr>
              <w:spacing w:after="0"/>
              <w:rPr>
                <w:sz w:val="5"/>
                <w:szCs w:val="5"/>
                <w:color w:val="auto"/>
              </w:rPr>
            </w:pPr>
          </w:p>
        </w:tc>
        <w:tc>
          <w:tcPr>
            <w:tcW w:w="3840" w:type="dxa"/>
            <w:vAlign w:val="bottom"/>
            <w:tcBorders>
              <w:right w:val="single" w:sz="8" w:color="202E39"/>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pooled compensation data for positions closely akin</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to those held by each executive officer</w:t>
            </w:r>
          </w:p>
        </w:tc>
        <w:tc>
          <w:tcPr>
            <w:tcW w:w="0" w:type="dxa"/>
            <w:vAlign w:val="bottom"/>
          </w:tcPr>
          <w:p>
            <w:pPr>
              <w:spacing w:after="0"/>
              <w:rPr>
                <w:sz w:val="1"/>
                <w:szCs w:val="1"/>
                <w:color w:val="auto"/>
              </w:rPr>
            </w:pPr>
          </w:p>
        </w:tc>
      </w:tr>
      <w:tr>
        <w:trPr>
          <w:trHeight w:val="251"/>
        </w:trPr>
        <w:tc>
          <w:tcPr>
            <w:tcW w:w="2680" w:type="dxa"/>
            <w:vAlign w:val="bottom"/>
            <w:tcBorders>
              <w:left w:val="single" w:sz="8" w:color="202E39"/>
              <w:right w:val="single" w:sz="8" w:color="202E39"/>
            </w:tcBorders>
            <w:shd w:val="clear" w:color="auto" w:fill="D8F0FA"/>
          </w:tcPr>
          <w:p>
            <w:pPr>
              <w:spacing w:after="0"/>
              <w:rPr>
                <w:sz w:val="21"/>
                <w:szCs w:val="21"/>
                <w:color w:val="auto"/>
              </w:rPr>
            </w:pPr>
          </w:p>
        </w:tc>
        <w:tc>
          <w:tcPr>
            <w:tcW w:w="300" w:type="dxa"/>
            <w:vAlign w:val="bottom"/>
          </w:tcPr>
          <w:p>
            <w:pPr>
              <w:spacing w:after="0"/>
              <w:rPr>
                <w:sz w:val="21"/>
                <w:szCs w:val="21"/>
                <w:color w:val="auto"/>
              </w:rPr>
            </w:pPr>
          </w:p>
        </w:tc>
        <w:tc>
          <w:tcPr>
            <w:tcW w:w="4020" w:type="dxa"/>
            <w:vAlign w:val="bottom"/>
            <w:tcBorders>
              <w:right w:val="single" w:sz="8" w:color="202E39"/>
            </w:tcBorders>
          </w:tcPr>
          <w:p>
            <w:pPr>
              <w:spacing w:after="0"/>
              <w:rPr>
                <w:sz w:val="21"/>
                <w:szCs w:val="21"/>
                <w:color w:val="auto"/>
              </w:rPr>
            </w:pPr>
          </w:p>
        </w:tc>
        <w:tc>
          <w:tcPr>
            <w:tcW w:w="4040" w:type="dxa"/>
            <w:vAlign w:val="bottom"/>
            <w:tcBorders>
              <w:right w:val="single" w:sz="8" w:color="202E39"/>
            </w:tcBorders>
            <w:gridSpan w:val="2"/>
          </w:tcPr>
          <w:p>
            <w:pPr>
              <w:ind w:left="100"/>
              <w:spacing w:after="0"/>
              <w:rPr>
                <w:sz w:val="20"/>
                <w:szCs w:val="20"/>
                <w:color w:val="auto"/>
              </w:rPr>
            </w:pPr>
            <w:r>
              <w:rPr>
                <w:rFonts w:ascii="Arial" w:cs="Arial" w:eastAsia="Arial" w:hAnsi="Arial"/>
                <w:sz w:val="16"/>
                <w:szCs w:val="16"/>
                <w:color w:val="009FE3"/>
              </w:rPr>
              <w:t xml:space="preserve">• </w:t>
            </w:r>
            <w:r>
              <w:rPr>
                <w:rFonts w:ascii="Arial" w:cs="Arial" w:eastAsia="Arial" w:hAnsi="Arial"/>
                <w:sz w:val="16"/>
                <w:szCs w:val="16"/>
                <w:color w:val="202E39"/>
              </w:rPr>
              <w:t>Allows for the Committee to compare executive</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officers to those across a wide range of</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organizations outside of Viasat’s traditional, and</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limited, group of competitors</w:t>
            </w:r>
          </w:p>
        </w:tc>
        <w:tc>
          <w:tcPr>
            <w:tcW w:w="0" w:type="dxa"/>
            <w:vAlign w:val="bottom"/>
          </w:tcPr>
          <w:p>
            <w:pPr>
              <w:spacing w:after="0"/>
              <w:rPr>
                <w:sz w:val="1"/>
                <w:szCs w:val="1"/>
                <w:color w:val="auto"/>
              </w:rPr>
            </w:pPr>
          </w:p>
        </w:tc>
      </w:tr>
      <w:tr>
        <w:trPr>
          <w:trHeight w:val="251"/>
        </w:trPr>
        <w:tc>
          <w:tcPr>
            <w:tcW w:w="2680" w:type="dxa"/>
            <w:vAlign w:val="bottom"/>
            <w:tcBorders>
              <w:left w:val="single" w:sz="8" w:color="202E39"/>
              <w:right w:val="single" w:sz="8" w:color="202E39"/>
            </w:tcBorders>
            <w:shd w:val="clear" w:color="auto" w:fill="D8F0FA"/>
          </w:tcPr>
          <w:p>
            <w:pPr>
              <w:spacing w:after="0"/>
              <w:rPr>
                <w:sz w:val="21"/>
                <w:szCs w:val="21"/>
                <w:color w:val="auto"/>
              </w:rPr>
            </w:pPr>
          </w:p>
        </w:tc>
        <w:tc>
          <w:tcPr>
            <w:tcW w:w="300" w:type="dxa"/>
            <w:vAlign w:val="bottom"/>
          </w:tcPr>
          <w:p>
            <w:pPr>
              <w:spacing w:after="0"/>
              <w:rPr>
                <w:sz w:val="21"/>
                <w:szCs w:val="21"/>
                <w:color w:val="auto"/>
              </w:rPr>
            </w:pPr>
          </w:p>
        </w:tc>
        <w:tc>
          <w:tcPr>
            <w:tcW w:w="4020" w:type="dxa"/>
            <w:vAlign w:val="bottom"/>
            <w:tcBorders>
              <w:right w:val="single" w:sz="8" w:color="202E39"/>
            </w:tcBorders>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009FE3"/>
              </w:rPr>
              <w:t>•</w:t>
            </w: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Individual company compensation data for</w:t>
            </w:r>
          </w:p>
        </w:tc>
        <w:tc>
          <w:tcPr>
            <w:tcW w:w="0" w:type="dxa"/>
            <w:vAlign w:val="bottom"/>
          </w:tcPr>
          <w:p>
            <w:pPr>
              <w:spacing w:after="0"/>
              <w:rPr>
                <w:sz w:val="1"/>
                <w:szCs w:val="1"/>
                <w:color w:val="auto"/>
              </w:rPr>
            </w:pPr>
          </w:p>
        </w:tc>
      </w:tr>
      <w:tr>
        <w:trPr>
          <w:trHeight w:val="189"/>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companies in the survey was not provided to the</w:t>
            </w:r>
          </w:p>
        </w:tc>
        <w:tc>
          <w:tcPr>
            <w:tcW w:w="0" w:type="dxa"/>
            <w:vAlign w:val="bottom"/>
          </w:tcPr>
          <w:p>
            <w:pPr>
              <w:spacing w:after="0"/>
              <w:rPr>
                <w:sz w:val="1"/>
                <w:szCs w:val="1"/>
                <w:color w:val="auto"/>
              </w:rPr>
            </w:pPr>
          </w:p>
        </w:tc>
      </w:tr>
      <w:tr>
        <w:trPr>
          <w:trHeight w:val="195"/>
        </w:trPr>
        <w:tc>
          <w:tcPr>
            <w:tcW w:w="2680" w:type="dxa"/>
            <w:vAlign w:val="bottom"/>
            <w:tcBorders>
              <w:left w:val="single" w:sz="8" w:color="202E39"/>
              <w:right w:val="single" w:sz="8" w:color="202E39"/>
            </w:tcBorders>
            <w:shd w:val="clear" w:color="auto" w:fill="D8F0FA"/>
          </w:tcPr>
          <w:p>
            <w:pPr>
              <w:spacing w:after="0"/>
              <w:rPr>
                <w:sz w:val="16"/>
                <w:szCs w:val="16"/>
                <w:color w:val="auto"/>
              </w:rPr>
            </w:pPr>
          </w:p>
        </w:tc>
        <w:tc>
          <w:tcPr>
            <w:tcW w:w="300" w:type="dxa"/>
            <w:vAlign w:val="bottom"/>
          </w:tcPr>
          <w:p>
            <w:pPr>
              <w:spacing w:after="0"/>
              <w:rPr>
                <w:sz w:val="16"/>
                <w:szCs w:val="16"/>
                <w:color w:val="auto"/>
              </w:rPr>
            </w:pPr>
          </w:p>
        </w:tc>
        <w:tc>
          <w:tcPr>
            <w:tcW w:w="4020" w:type="dxa"/>
            <w:vAlign w:val="bottom"/>
            <w:tcBorders>
              <w:right w:val="single" w:sz="8" w:color="202E39"/>
            </w:tcBorders>
          </w:tcPr>
          <w:p>
            <w:pPr>
              <w:spacing w:after="0"/>
              <w:rPr>
                <w:sz w:val="16"/>
                <w:szCs w:val="16"/>
                <w:color w:val="auto"/>
              </w:rPr>
            </w:pPr>
          </w:p>
        </w:tc>
        <w:tc>
          <w:tcPr>
            <w:tcW w:w="200" w:type="dxa"/>
            <w:vAlign w:val="bottom"/>
          </w:tcPr>
          <w:p>
            <w:pPr>
              <w:spacing w:after="0"/>
              <w:rPr>
                <w:sz w:val="16"/>
                <w:szCs w:val="16"/>
                <w:color w:val="auto"/>
              </w:rPr>
            </w:pPr>
          </w:p>
        </w:tc>
        <w:tc>
          <w:tcPr>
            <w:tcW w:w="3840" w:type="dxa"/>
            <w:vAlign w:val="bottom"/>
            <w:tcBorders>
              <w:right w:val="single" w:sz="8" w:color="202E39"/>
            </w:tcBorders>
          </w:tcPr>
          <w:p>
            <w:pPr>
              <w:ind w:left="40"/>
              <w:spacing w:after="0"/>
              <w:rPr>
                <w:sz w:val="20"/>
                <w:szCs w:val="20"/>
                <w:color w:val="auto"/>
              </w:rPr>
            </w:pPr>
            <w:r>
              <w:rPr>
                <w:rFonts w:ascii="Arial" w:cs="Arial" w:eastAsia="Arial" w:hAnsi="Arial"/>
                <w:sz w:val="16"/>
                <w:szCs w:val="16"/>
                <w:color w:val="202E39"/>
              </w:rPr>
              <w:t>Committee</w:t>
            </w:r>
          </w:p>
        </w:tc>
        <w:tc>
          <w:tcPr>
            <w:tcW w:w="0" w:type="dxa"/>
            <w:vAlign w:val="bottom"/>
          </w:tcPr>
          <w:p>
            <w:pPr>
              <w:spacing w:after="0"/>
              <w:rPr>
                <w:sz w:val="1"/>
                <w:szCs w:val="1"/>
                <w:color w:val="auto"/>
              </w:rPr>
            </w:pPr>
          </w:p>
        </w:tc>
      </w:tr>
      <w:tr>
        <w:trPr>
          <w:trHeight w:val="87"/>
        </w:trPr>
        <w:tc>
          <w:tcPr>
            <w:tcW w:w="2680" w:type="dxa"/>
            <w:vAlign w:val="bottom"/>
            <w:tcBorders>
              <w:left w:val="single" w:sz="8" w:color="202E39"/>
              <w:bottom w:val="single" w:sz="8" w:color="202E39"/>
              <w:right w:val="single" w:sz="8" w:color="202E39"/>
            </w:tcBorders>
            <w:shd w:val="clear" w:color="auto" w:fill="D8F0FA"/>
          </w:tcPr>
          <w:p>
            <w:pPr>
              <w:spacing w:after="0"/>
              <w:rPr>
                <w:sz w:val="7"/>
                <w:szCs w:val="7"/>
                <w:color w:val="auto"/>
              </w:rPr>
            </w:pPr>
          </w:p>
        </w:tc>
        <w:tc>
          <w:tcPr>
            <w:tcW w:w="300" w:type="dxa"/>
            <w:vAlign w:val="bottom"/>
            <w:tcBorders>
              <w:bottom w:val="single" w:sz="8" w:color="202E39"/>
            </w:tcBorders>
          </w:tcPr>
          <w:p>
            <w:pPr>
              <w:spacing w:after="0"/>
              <w:rPr>
                <w:sz w:val="7"/>
                <w:szCs w:val="7"/>
                <w:color w:val="auto"/>
              </w:rPr>
            </w:pPr>
          </w:p>
        </w:tc>
        <w:tc>
          <w:tcPr>
            <w:tcW w:w="4020" w:type="dxa"/>
            <w:vAlign w:val="bottom"/>
            <w:tcBorders>
              <w:bottom w:val="single" w:sz="8" w:color="202E39"/>
              <w:right w:val="single" w:sz="8" w:color="202E39"/>
            </w:tcBorders>
          </w:tcPr>
          <w:p>
            <w:pPr>
              <w:spacing w:after="0"/>
              <w:rPr>
                <w:sz w:val="7"/>
                <w:szCs w:val="7"/>
                <w:color w:val="auto"/>
              </w:rPr>
            </w:pPr>
          </w:p>
        </w:tc>
        <w:tc>
          <w:tcPr>
            <w:tcW w:w="200" w:type="dxa"/>
            <w:vAlign w:val="bottom"/>
            <w:tcBorders>
              <w:bottom w:val="single" w:sz="8" w:color="202E39"/>
            </w:tcBorders>
          </w:tcPr>
          <w:p>
            <w:pPr>
              <w:spacing w:after="0"/>
              <w:rPr>
                <w:sz w:val="7"/>
                <w:szCs w:val="7"/>
                <w:color w:val="auto"/>
              </w:rPr>
            </w:pPr>
          </w:p>
        </w:tc>
        <w:tc>
          <w:tcPr>
            <w:tcW w:w="3840" w:type="dxa"/>
            <w:vAlign w:val="bottom"/>
            <w:tcBorders>
              <w:bottom w:val="single" w:sz="8" w:color="202E39"/>
              <w:right w:val="single" w:sz="8" w:color="202E39"/>
            </w:tcBorders>
          </w:tcPr>
          <w:p>
            <w:pPr>
              <w:spacing w:after="0"/>
              <w:rPr>
                <w:sz w:val="7"/>
                <w:szCs w:val="7"/>
                <w:color w:val="auto"/>
              </w:rPr>
            </w:pPr>
          </w:p>
        </w:tc>
        <w:tc>
          <w:tcPr>
            <w:tcW w:w="0" w:type="dxa"/>
            <w:vAlign w:val="bottom"/>
          </w:tcPr>
          <w:p>
            <w:pPr>
              <w:spacing w:after="0"/>
              <w:rPr>
                <w:sz w:val="1"/>
                <w:szCs w:val="1"/>
                <w:color w:val="auto"/>
              </w:rPr>
            </w:pPr>
          </w:p>
        </w:tc>
      </w:tr>
      <w:tr>
        <w:trPr>
          <w:trHeight w:val="427"/>
        </w:trPr>
        <w:tc>
          <w:tcPr>
            <w:tcW w:w="2680" w:type="dxa"/>
            <w:vAlign w:val="bottom"/>
          </w:tcPr>
          <w:p>
            <w:pPr>
              <w:spacing w:after="0"/>
              <w:rPr>
                <w:sz w:val="20"/>
                <w:szCs w:val="20"/>
                <w:color w:val="auto"/>
              </w:rPr>
            </w:pPr>
            <w:r>
              <w:rPr>
                <w:rFonts w:ascii="Arial" w:cs="Arial" w:eastAsia="Arial" w:hAnsi="Arial"/>
                <w:sz w:val="14"/>
                <w:szCs w:val="14"/>
                <w:b w:val="1"/>
                <w:bCs w:val="1"/>
                <w:color w:val="202E39"/>
              </w:rPr>
              <w:t>42</w:t>
            </w:r>
          </w:p>
        </w:tc>
        <w:tc>
          <w:tcPr>
            <w:tcW w:w="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-180340</wp:posOffset>
            </wp:positionV>
            <wp:extent cx="43688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For fiscal year 2021 compensation decisions, the Committee approved a peer group consisting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003415" cy="21259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03415" cy="2125980"/>
                    </a:xfrm>
                    <a:prstGeom prst="rect">
                      <a:avLst/>
                    </a:prstGeom>
                    <a:noFill/>
                  </pic:spPr>
                </pic:pic>
              </a:graphicData>
            </a:graphic>
          </wp:anchor>
        </w:drawing>
      </w:r>
    </w:p>
    <w:p>
      <w:pPr>
        <w:spacing w:after="0" w:line="294"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FFFFFF"/>
        </w:rPr>
        <w:t>Fiscal Year 2021 Peer Group</w:t>
      </w:r>
    </w:p>
    <w:p>
      <w:pPr>
        <w:spacing w:after="0" w:line="75"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3860" w:type="dxa"/>
            <w:vAlign w:val="bottom"/>
            <w:tcBorders>
              <w:top w:val="single" w:sz="8" w:color="202E39"/>
              <w:bottom w:val="single" w:sz="8" w:color="202E39"/>
              <w:right w:val="single" w:sz="8" w:color="202E39"/>
            </w:tcBorders>
          </w:tcPr>
          <w:p>
            <w:pPr>
              <w:jc w:val="center"/>
              <w:ind w:left="39"/>
              <w:spacing w:after="0"/>
              <w:rPr>
                <w:sz w:val="20"/>
                <w:szCs w:val="20"/>
                <w:color w:val="auto"/>
              </w:rPr>
            </w:pPr>
            <w:r>
              <w:rPr>
                <w:rFonts w:ascii="Arial" w:cs="Arial" w:eastAsia="Arial" w:hAnsi="Arial"/>
                <w:sz w:val="16"/>
                <w:szCs w:val="16"/>
                <w:color w:val="202E39"/>
                <w:w w:val="99"/>
              </w:rPr>
              <w:t>Technology</w:t>
            </w:r>
          </w:p>
        </w:tc>
        <w:tc>
          <w:tcPr>
            <w:tcW w:w="3640" w:type="dxa"/>
            <w:vAlign w:val="bottom"/>
            <w:tcBorders>
              <w:top w:val="single" w:sz="8" w:color="202E39"/>
              <w:bottom w:val="single" w:sz="8" w:color="202E39"/>
              <w:right w:val="single" w:sz="8" w:color="202E39"/>
            </w:tcBorders>
          </w:tcPr>
          <w:p>
            <w:pPr>
              <w:jc w:val="center"/>
              <w:spacing w:after="0"/>
              <w:rPr>
                <w:sz w:val="20"/>
                <w:szCs w:val="20"/>
                <w:color w:val="auto"/>
              </w:rPr>
            </w:pPr>
            <w:r>
              <w:rPr>
                <w:rFonts w:ascii="Arial" w:cs="Arial" w:eastAsia="Arial" w:hAnsi="Arial"/>
                <w:sz w:val="16"/>
                <w:szCs w:val="16"/>
                <w:color w:val="202E39"/>
              </w:rPr>
              <w:t>Network/Communications</w:t>
            </w:r>
          </w:p>
        </w:tc>
        <w:tc>
          <w:tcPr>
            <w:tcW w:w="3520" w:type="dxa"/>
            <w:vAlign w:val="bottom"/>
            <w:tcBorders>
              <w:top w:val="single" w:sz="8" w:color="202E39"/>
              <w:bottom w:val="single" w:sz="8" w:color="202E39"/>
            </w:tcBorders>
          </w:tcPr>
          <w:p>
            <w:pPr>
              <w:jc w:val="center"/>
              <w:spacing w:after="0"/>
              <w:rPr>
                <w:sz w:val="20"/>
                <w:szCs w:val="20"/>
                <w:color w:val="auto"/>
              </w:rPr>
            </w:pPr>
            <w:r>
              <w:rPr>
                <w:rFonts w:ascii="Arial" w:cs="Arial" w:eastAsia="Arial" w:hAnsi="Arial"/>
                <w:sz w:val="16"/>
                <w:szCs w:val="16"/>
                <w:color w:val="202E39"/>
              </w:rPr>
              <w:t>Aerospace</w:t>
            </w:r>
          </w:p>
        </w:tc>
      </w:tr>
      <w:tr>
        <w:trPr>
          <w:trHeight w:val="210"/>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Akamai Technologies Inc.</w:t>
            </w:r>
          </w:p>
        </w:tc>
        <w:tc>
          <w:tcPr>
            <w:tcW w:w="3640" w:type="dxa"/>
            <w:vAlign w:val="bottom"/>
            <w:tcBorders>
              <w:right w:val="single" w:sz="8" w:color="202E39"/>
            </w:tcBorders>
          </w:tcPr>
          <w:p>
            <w:pPr>
              <w:spacing w:after="0"/>
              <w:rPr>
                <w:sz w:val="18"/>
                <w:szCs w:val="18"/>
                <w:color w:val="auto"/>
              </w:rPr>
            </w:pPr>
          </w:p>
        </w:tc>
        <w:tc>
          <w:tcPr>
            <w:tcW w:w="3520" w:type="dxa"/>
            <w:vAlign w:val="bottom"/>
          </w:tcPr>
          <w:p>
            <w:pPr>
              <w:spacing w:after="0"/>
              <w:rPr>
                <w:sz w:val="18"/>
                <w:szCs w:val="18"/>
                <w:color w:val="auto"/>
              </w:rPr>
            </w:pPr>
          </w:p>
        </w:tc>
      </w:tr>
      <w:tr>
        <w:trPr>
          <w:trHeight w:val="257"/>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Citrix Systems Inc.</w:t>
            </w:r>
          </w:p>
        </w:tc>
        <w:tc>
          <w:tcPr>
            <w:tcW w:w="3640" w:type="dxa"/>
            <w:vAlign w:val="bottom"/>
            <w:tcBorders>
              <w:right w:val="single" w:sz="8" w:color="202E39"/>
            </w:tcBorders>
          </w:tcPr>
          <w:p>
            <w:pPr>
              <w:spacing w:after="0"/>
              <w:rPr>
                <w:sz w:val="22"/>
                <w:szCs w:val="22"/>
                <w:color w:val="auto"/>
              </w:rPr>
            </w:pPr>
          </w:p>
        </w:tc>
        <w:tc>
          <w:tcPr>
            <w:tcW w:w="3520" w:type="dxa"/>
            <w:vAlign w:val="bottom"/>
          </w:tcPr>
          <w:p>
            <w:pPr>
              <w:spacing w:after="0"/>
              <w:rPr>
                <w:sz w:val="22"/>
                <w:szCs w:val="22"/>
                <w:color w:val="auto"/>
              </w:rPr>
            </w:pPr>
          </w:p>
        </w:tc>
      </w:tr>
      <w:tr>
        <w:trPr>
          <w:trHeight w:val="257"/>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w w:val="99"/>
              </w:rPr>
              <w:t>Coherent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Ciena Corporation</w:t>
            </w:r>
          </w:p>
        </w:tc>
        <w:tc>
          <w:tcPr>
            <w:tcW w:w="3520" w:type="dxa"/>
            <w:vAlign w:val="bottom"/>
          </w:tcPr>
          <w:p>
            <w:pPr>
              <w:spacing w:after="0"/>
              <w:rPr>
                <w:sz w:val="22"/>
                <w:szCs w:val="22"/>
                <w:color w:val="auto"/>
              </w:rPr>
            </w:pP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Cree Inc.</w:t>
            </w:r>
          </w:p>
        </w:tc>
        <w:tc>
          <w:tcPr>
            <w:tcW w:w="3640" w:type="dxa"/>
            <w:vAlign w:val="bottom"/>
            <w:tcBorders>
              <w:right w:val="single" w:sz="8" w:color="202E39"/>
            </w:tcBorders>
          </w:tcPr>
          <w:p>
            <w:pPr>
              <w:jc w:val="center"/>
              <w:spacing w:after="0"/>
              <w:rPr>
                <w:sz w:val="20"/>
                <w:szCs w:val="20"/>
                <w:color w:val="auto"/>
              </w:rPr>
            </w:pPr>
            <w:r>
              <w:rPr>
                <w:rFonts w:ascii="Arial" w:cs="Arial" w:eastAsia="Arial" w:hAnsi="Arial"/>
                <w:sz w:val="16"/>
                <w:szCs w:val="16"/>
                <w:color w:val="202E39"/>
              </w:rPr>
              <w:t>Cogent Communications Holdings, Inc.</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Equinix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GTT Communications, Inc.</w:t>
            </w:r>
          </w:p>
        </w:tc>
        <w:tc>
          <w:tcPr>
            <w:tcW w:w="3520" w:type="dxa"/>
            <w:vAlign w:val="bottom"/>
          </w:tcPr>
          <w:p>
            <w:pPr>
              <w:jc w:val="center"/>
              <w:spacing w:after="0"/>
              <w:rPr>
                <w:sz w:val="20"/>
                <w:szCs w:val="20"/>
                <w:color w:val="auto"/>
              </w:rPr>
            </w:pPr>
            <w:r>
              <w:rPr>
                <w:rFonts w:ascii="Arial" w:cs="Arial" w:eastAsia="Arial" w:hAnsi="Arial"/>
                <w:sz w:val="16"/>
                <w:szCs w:val="16"/>
                <w:color w:val="202E39"/>
              </w:rPr>
              <w:t>Spirit Aerosystems Holdings, Inc.</w:t>
            </w: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IAC/Interactivecorp</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Lumentum Holdings Inc.</w:t>
            </w:r>
          </w:p>
        </w:tc>
        <w:tc>
          <w:tcPr>
            <w:tcW w:w="3520" w:type="dxa"/>
            <w:vAlign w:val="bottom"/>
          </w:tcPr>
          <w:p>
            <w:pPr>
              <w:jc w:val="center"/>
              <w:spacing w:after="0"/>
              <w:rPr>
                <w:sz w:val="20"/>
                <w:szCs w:val="20"/>
                <w:color w:val="auto"/>
              </w:rPr>
            </w:pPr>
            <w:r>
              <w:rPr>
                <w:rFonts w:ascii="Arial" w:cs="Arial" w:eastAsia="Arial" w:hAnsi="Arial"/>
                <w:sz w:val="16"/>
                <w:szCs w:val="16"/>
                <w:color w:val="202E39"/>
              </w:rPr>
              <w:t>Transdigm Group Inc.</w:t>
            </w: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LogmeIn,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SBA Communications Corp</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Nuance Communications, Inc.</w:t>
            </w:r>
          </w:p>
        </w:tc>
        <w:tc>
          <w:tcPr>
            <w:tcW w:w="3640" w:type="dxa"/>
            <w:vAlign w:val="bottom"/>
            <w:tcBorders>
              <w:right w:val="single" w:sz="8" w:color="202E39"/>
            </w:tcBorders>
          </w:tcPr>
          <w:p>
            <w:pPr>
              <w:jc w:val="center"/>
              <w:ind w:left="19"/>
              <w:spacing w:after="0"/>
              <w:rPr>
                <w:sz w:val="20"/>
                <w:szCs w:val="20"/>
                <w:color w:val="auto"/>
              </w:rPr>
            </w:pPr>
            <w:r>
              <w:rPr>
                <w:rFonts w:ascii="Arial" w:cs="Arial" w:eastAsia="Arial" w:hAnsi="Arial"/>
                <w:sz w:val="16"/>
                <w:szCs w:val="16"/>
                <w:color w:val="202E39"/>
              </w:rPr>
              <w:t>Vonage Holdings Corp</w:t>
            </w: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39"/>
              <w:spacing w:after="0"/>
              <w:rPr>
                <w:sz w:val="20"/>
                <w:szCs w:val="20"/>
                <w:color w:val="auto"/>
              </w:rPr>
            </w:pPr>
            <w:r>
              <w:rPr>
                <w:rFonts w:ascii="Arial" w:cs="Arial" w:eastAsia="Arial" w:hAnsi="Arial"/>
                <w:sz w:val="16"/>
                <w:szCs w:val="16"/>
                <w:color w:val="202E39"/>
              </w:rPr>
              <w:t>Nutanix,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PTC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243"/>
        </w:trPr>
        <w:tc>
          <w:tcPr>
            <w:tcW w:w="3860" w:type="dxa"/>
            <w:vAlign w:val="bottom"/>
            <w:tcBorders>
              <w:right w:val="single" w:sz="8" w:color="202E39"/>
            </w:tcBorders>
          </w:tcPr>
          <w:p>
            <w:pPr>
              <w:jc w:val="center"/>
              <w:ind w:left="59"/>
              <w:spacing w:after="0"/>
              <w:rPr>
                <w:sz w:val="20"/>
                <w:szCs w:val="20"/>
                <w:color w:val="auto"/>
              </w:rPr>
            </w:pPr>
            <w:r>
              <w:rPr>
                <w:rFonts w:ascii="Arial" w:cs="Arial" w:eastAsia="Arial" w:hAnsi="Arial"/>
                <w:sz w:val="16"/>
                <w:szCs w:val="16"/>
                <w:color w:val="202E39"/>
              </w:rPr>
              <w:t>Palo Alto Networks Inc.</w:t>
            </w:r>
          </w:p>
        </w:tc>
        <w:tc>
          <w:tcPr>
            <w:tcW w:w="3640" w:type="dxa"/>
            <w:vAlign w:val="bottom"/>
            <w:tcBorders>
              <w:right w:val="single" w:sz="8" w:color="202E39"/>
            </w:tcBorders>
          </w:tcPr>
          <w:p>
            <w:pPr>
              <w:spacing w:after="0"/>
              <w:rPr>
                <w:sz w:val="21"/>
                <w:szCs w:val="21"/>
                <w:color w:val="auto"/>
              </w:rPr>
            </w:pPr>
          </w:p>
        </w:tc>
        <w:tc>
          <w:tcPr>
            <w:tcW w:w="3520" w:type="dxa"/>
            <w:vAlign w:val="bottom"/>
          </w:tcPr>
          <w:p>
            <w:pPr>
              <w:spacing w:after="0"/>
              <w:rPr>
                <w:sz w:val="21"/>
                <w:szCs w:val="21"/>
                <w:color w:val="auto"/>
              </w:rPr>
            </w:pPr>
          </w:p>
        </w:tc>
      </w:tr>
      <w:tr>
        <w:trPr>
          <w:trHeight w:val="73"/>
        </w:trPr>
        <w:tc>
          <w:tcPr>
            <w:tcW w:w="3860" w:type="dxa"/>
            <w:vAlign w:val="bottom"/>
            <w:tcBorders>
              <w:bottom w:val="single" w:sz="8" w:color="202E39"/>
              <w:right w:val="single" w:sz="8" w:color="202E39"/>
            </w:tcBorders>
          </w:tcPr>
          <w:p>
            <w:pPr>
              <w:spacing w:after="0"/>
              <w:rPr>
                <w:sz w:val="6"/>
                <w:szCs w:val="6"/>
                <w:color w:val="auto"/>
              </w:rPr>
            </w:pPr>
          </w:p>
        </w:tc>
        <w:tc>
          <w:tcPr>
            <w:tcW w:w="3640" w:type="dxa"/>
            <w:vAlign w:val="bottom"/>
            <w:tcBorders>
              <w:bottom w:val="single" w:sz="8" w:color="202E39"/>
              <w:right w:val="single" w:sz="8" w:color="202E39"/>
            </w:tcBorders>
          </w:tcPr>
          <w:p>
            <w:pPr>
              <w:spacing w:after="0"/>
              <w:rPr>
                <w:sz w:val="6"/>
                <w:szCs w:val="6"/>
                <w:color w:val="auto"/>
              </w:rPr>
            </w:pPr>
          </w:p>
        </w:tc>
        <w:tc>
          <w:tcPr>
            <w:tcW w:w="3520" w:type="dxa"/>
            <w:vAlign w:val="bottom"/>
            <w:tcBorders>
              <w:bottom w:val="single" w:sz="8" w:color="202E39"/>
            </w:tcBorders>
          </w:tcPr>
          <w:p>
            <w:pPr>
              <w:spacing w:after="0"/>
              <w:rPr>
                <w:sz w:val="6"/>
                <w:szCs w:val="6"/>
                <w:color w:val="auto"/>
              </w:rPr>
            </w:pPr>
          </w:p>
        </w:tc>
      </w:tr>
    </w:tbl>
    <w:p>
      <w:pPr>
        <w:spacing w:after="0" w:line="110" w:lineRule="exact"/>
        <w:rPr>
          <w:sz w:val="20"/>
          <w:szCs w:val="20"/>
          <w:color w:val="auto"/>
        </w:rPr>
      </w:pPr>
    </w:p>
    <w:p>
      <w:pPr>
        <w:ind w:left="120" w:right="200"/>
        <w:spacing w:after="0" w:line="225" w:lineRule="auto"/>
        <w:rPr>
          <w:sz w:val="20"/>
          <w:szCs w:val="20"/>
          <w:color w:val="auto"/>
        </w:rPr>
      </w:pPr>
      <w:r>
        <w:rPr>
          <w:rFonts w:ascii="Arial" w:cs="Arial" w:eastAsia="Arial" w:hAnsi="Arial"/>
          <w:sz w:val="16"/>
          <w:szCs w:val="16"/>
          <w:color w:val="202E39"/>
        </w:rPr>
        <w:t>With consideration to input received through continued stockholder engagement efforts, the Committee made several changes to our fiscal year 2021 peer group. These changes included removing Gogo Inc., L3 Technologies, Inc., CenturyLink, Inc., and T-Mobile US, Inc., and adding Citrix Systems, Inc., GTT Communications, Inc., and Lumentum Holdings, Inc. to our fiscal year 2021 peer group. The Committee made these changes to increase our alignment with peer group companies from an industry and size perspective. The resulting peer group for fiscal year 2021 was comprised of companies with revenues generally ranging between 50% and 250% of Viasat’s revenues for the most recently completed fiscal year, with Viasat placing in approximately the 55</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percentile among the nineteen peer group companies based on the data available to the Committee at the time the peer group was selected.</w:t>
      </w:r>
    </w:p>
    <w:p>
      <w:pPr>
        <w:spacing w:after="0" w:line="89"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i w:val="1"/>
          <w:iCs w:val="1"/>
          <w:color w:val="009FE3"/>
        </w:rPr>
        <w:t xml:space="preserve">Individual Performance and Contributions. </w:t>
      </w:r>
      <w:r>
        <w:rPr>
          <w:rFonts w:ascii="Arial" w:cs="Arial" w:eastAsia="Arial" w:hAnsi="Arial"/>
          <w:sz w:val="16"/>
          <w:szCs w:val="16"/>
          <w:color w:val="202E39"/>
        </w:rPr>
        <w:t>The Committee assesses individual executive performance and contributions. The individual performance</w:t>
      </w:r>
      <w:r>
        <w:rPr>
          <w:rFonts w:ascii="Arial" w:cs="Arial" w:eastAsia="Arial" w:hAnsi="Arial"/>
          <w:sz w:val="16"/>
          <w:szCs w:val="16"/>
          <w:i w:val="1"/>
          <w:iCs w:val="1"/>
          <w:color w:val="009FE3"/>
        </w:rPr>
        <w:t xml:space="preserve"> </w:t>
      </w:r>
      <w:r>
        <w:rPr>
          <w:rFonts w:ascii="Arial" w:cs="Arial" w:eastAsia="Arial" w:hAnsi="Arial"/>
          <w:sz w:val="16"/>
          <w:szCs w:val="16"/>
          <w:color w:val="202E39"/>
        </w:rPr>
        <w:t>assessments made by the Committee are based in part on input from executive management. As part of our executive compensation process, our Chief Executive Officer provides input to the Committee on the individual performance and contributions of our executive officers other than the Executive Chairman and himself. With respect to assessing the individual performance of our Executive Chairman and Chief Executive Officer, the Committee relies on an annual assessment completed by our Nomination, Evaluation and Corporate Governance Committee. While the Committee believes input from management and outside advisors is valuable, the Committee makes its recommendations and decisions based on its independent analysis and assessment.</w:t>
      </w:r>
    </w:p>
    <w:p>
      <w:pPr>
        <w:spacing w:after="0" w:line="79" w:lineRule="exact"/>
        <w:rPr>
          <w:sz w:val="20"/>
          <w:szCs w:val="20"/>
          <w:color w:val="auto"/>
        </w:rPr>
      </w:pPr>
    </w:p>
    <w:p>
      <w:pPr>
        <w:ind w:left="120" w:right="120"/>
        <w:spacing w:after="0" w:line="263" w:lineRule="auto"/>
        <w:rPr>
          <w:sz w:val="20"/>
          <w:szCs w:val="20"/>
          <w:color w:val="auto"/>
        </w:rPr>
      </w:pPr>
      <w:r>
        <w:rPr>
          <w:rFonts w:ascii="Arial" w:cs="Arial" w:eastAsia="Arial" w:hAnsi="Arial"/>
          <w:sz w:val="16"/>
          <w:szCs w:val="16"/>
          <w:i w:val="1"/>
          <w:iCs w:val="1"/>
          <w:color w:val="009FE3"/>
        </w:rPr>
        <w:t xml:space="preserve">Company Financial and Operational Performance. </w:t>
      </w:r>
      <w:r>
        <w:rPr>
          <w:rFonts w:ascii="Arial" w:cs="Arial" w:eastAsia="Arial" w:hAnsi="Arial"/>
          <w:sz w:val="16"/>
          <w:szCs w:val="16"/>
          <w:color w:val="202E39"/>
        </w:rPr>
        <w:t>A major component of our executive compensation program is the belief that a significant amount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should be based on performance, including company financial and operational performance. These financial and operational performance metrics are important factors considered by the Committee in determining base salary, annual bonuses and equity awards.</w:t>
      </w:r>
    </w:p>
    <w:p>
      <w:pPr>
        <w:spacing w:after="0" w:line="70" w:lineRule="exact"/>
        <w:rPr>
          <w:sz w:val="20"/>
          <w:szCs w:val="20"/>
          <w:color w:val="auto"/>
        </w:rPr>
      </w:pPr>
    </w:p>
    <w:p>
      <w:pPr>
        <w:ind w:left="120" w:right="120"/>
        <w:spacing w:after="0" w:line="258" w:lineRule="auto"/>
        <w:rPr>
          <w:sz w:val="20"/>
          <w:szCs w:val="20"/>
          <w:color w:val="auto"/>
        </w:rPr>
      </w:pPr>
      <w:r>
        <w:rPr>
          <w:rFonts w:ascii="Arial" w:cs="Arial" w:eastAsia="Arial" w:hAnsi="Arial"/>
          <w:sz w:val="16"/>
          <w:szCs w:val="16"/>
          <w:i w:val="1"/>
          <w:iCs w:val="1"/>
          <w:color w:val="009FE3"/>
        </w:rPr>
        <w:t xml:space="preserve">Company Strategic Positioning. </w:t>
      </w:r>
      <w:r>
        <w:rPr>
          <w:rFonts w:ascii="Arial" w:cs="Arial" w:eastAsia="Arial" w:hAnsi="Arial"/>
          <w:sz w:val="16"/>
          <w:szCs w:val="16"/>
          <w:color w:val="202E39"/>
        </w:rPr>
        <w:t>Given the importance of the long-term performance of the company, the current strategic positioning of the company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also a significant factor in the assessment of our executive compensation program and the determination of executive compensation components. The Committee considers the strategic positioning of the company as a basis for determining base salaries, annual bonuses, equity award allocations and other executive compensation.</w:t>
      </w:r>
    </w:p>
    <w:p>
      <w:pPr>
        <w:spacing w:after="0" w:line="73" w:lineRule="exact"/>
        <w:rPr>
          <w:sz w:val="20"/>
          <w:szCs w:val="20"/>
          <w:color w:val="auto"/>
        </w:rPr>
      </w:pPr>
    </w:p>
    <w:p>
      <w:pPr>
        <w:ind w:left="120" w:right="460"/>
        <w:spacing w:after="0" w:line="263" w:lineRule="auto"/>
        <w:rPr>
          <w:sz w:val="20"/>
          <w:szCs w:val="20"/>
          <w:color w:val="auto"/>
        </w:rPr>
      </w:pPr>
      <w:r>
        <w:rPr>
          <w:rFonts w:ascii="Arial" w:cs="Arial" w:eastAsia="Arial" w:hAnsi="Arial"/>
          <w:sz w:val="16"/>
          <w:szCs w:val="16"/>
          <w:i w:val="1"/>
          <w:iCs w:val="1"/>
          <w:color w:val="009FE3"/>
        </w:rPr>
        <w:t xml:space="preserve">Total Executive Compensation. </w:t>
      </w:r>
      <w:r>
        <w:rPr>
          <w:rFonts w:ascii="Arial" w:cs="Arial" w:eastAsia="Arial" w:hAnsi="Arial"/>
          <w:sz w:val="16"/>
          <w:szCs w:val="16"/>
          <w:color w:val="202E39"/>
        </w:rPr>
        <w:t>In addition to reviewing each component of executive compensation, the Committee also considers the total direct</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of each executive officer. This review of total compensation is completed to assure that each executive officer’s total compensation remains appropriately competitive and continues to meet the compensation objectives described above.</w:t>
      </w:r>
    </w:p>
    <w:p>
      <w:pPr>
        <w:spacing w:after="0" w:line="70"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i w:val="1"/>
          <w:iCs w:val="1"/>
          <w:color w:val="009FE3"/>
        </w:rPr>
        <w:t xml:space="preserve">Affordability. </w:t>
      </w:r>
      <w:r>
        <w:rPr>
          <w:rFonts w:ascii="Arial" w:cs="Arial" w:eastAsia="Arial" w:hAnsi="Arial"/>
          <w:sz w:val="16"/>
          <w:szCs w:val="16"/>
          <w:color w:val="202E39"/>
        </w:rPr>
        <w:t>Prior to completing its executive compensation review and evaluation, the Committee confirms that proposed cash compensation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affordable under and consistent with Viasat’s financial results. With respect to equity awards,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 For example, in light of the impact of the COVID-19 pandemic on the global business environment, the Committee decided to delay the annual base salary review process for our executive officers in fiscal year 2021, which are typically effective in April of each year.</w:t>
      </w:r>
    </w:p>
    <w:p>
      <w:pPr>
        <w:spacing w:after="0" w:line="78" w:lineRule="exact"/>
        <w:rPr>
          <w:sz w:val="20"/>
          <w:szCs w:val="20"/>
          <w:color w:val="auto"/>
        </w:rPr>
      </w:pPr>
    </w:p>
    <w:p>
      <w:pPr>
        <w:ind w:left="120" w:right="60"/>
        <w:spacing w:after="0" w:line="281" w:lineRule="auto"/>
        <w:rPr>
          <w:sz w:val="20"/>
          <w:szCs w:val="20"/>
          <w:color w:val="auto"/>
        </w:rPr>
      </w:pPr>
      <w:r>
        <w:rPr>
          <w:rFonts w:ascii="Arial" w:cs="Arial" w:eastAsia="Arial" w:hAnsi="Arial"/>
          <w:sz w:val="16"/>
          <w:szCs w:val="16"/>
          <w:i w:val="1"/>
          <w:iCs w:val="1"/>
          <w:color w:val="009FE3"/>
        </w:rPr>
        <w:t xml:space="preserve">The Role of Stockholder Feedback. </w:t>
      </w:r>
      <w:r>
        <w:rPr>
          <w:rFonts w:ascii="Arial" w:cs="Arial" w:eastAsia="Arial" w:hAnsi="Arial"/>
          <w:sz w:val="16"/>
          <w:szCs w:val="16"/>
          <w:color w:val="202E39"/>
        </w:rPr>
        <w:t>As described above, our management team regularly engages with our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corporate governance and compensation</w:t>
      </w:r>
    </w:p>
    <w:p>
      <w:pPr>
        <w:spacing w:after="0" w:line="97"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43</w:t>
            </w:r>
          </w:p>
        </w:tc>
      </w:tr>
    </w:tbl>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220"/>
        <w:spacing w:after="0" w:line="249" w:lineRule="auto"/>
        <w:rPr>
          <w:sz w:val="20"/>
          <w:szCs w:val="20"/>
          <w:color w:val="auto"/>
        </w:rPr>
      </w:pPr>
      <w:r>
        <w:rPr>
          <w:rFonts w:ascii="Arial" w:cs="Arial" w:eastAsia="Arial" w:hAnsi="Arial"/>
          <w:sz w:val="16"/>
          <w:szCs w:val="16"/>
          <w:color w:val="202E39"/>
        </w:rPr>
        <w:t>practices, and to address any concerns they may have. We also hold annual non-binding advisory say-on-pay votes on our Named Executive Officer compensation, with the most recent say-on-pay vote held in September 2020, with a substantial majority of stockholder votes cast in favor of our say-on-pay proposal. As the Committee evaluated our executive compensation policies and practices throughout fiscal year 2021, they were mindful of the level of support for the say-on-pay vote held at our annual meeting in September 2020 and the input our stockholders expressed for our compensation philosophy and objectives. The Committee will continue to consider the outcome of future say-on-pay votes and material stockholder feedback when making future compensation decisions for executive officers.</w:t>
      </w:r>
    </w:p>
    <w:p>
      <w:pPr>
        <w:spacing w:after="0" w:line="81" w:lineRule="exact"/>
        <w:rPr>
          <w:sz w:val="20"/>
          <w:szCs w:val="20"/>
          <w:color w:val="auto"/>
        </w:rPr>
      </w:pPr>
    </w:p>
    <w:p>
      <w:pPr>
        <w:ind w:left="120" w:right="420"/>
        <w:spacing w:after="0" w:line="263" w:lineRule="auto"/>
        <w:rPr>
          <w:sz w:val="20"/>
          <w:szCs w:val="20"/>
          <w:color w:val="auto"/>
        </w:rPr>
      </w:pPr>
      <w:r>
        <w:rPr>
          <w:rFonts w:ascii="Arial" w:cs="Arial" w:eastAsia="Arial" w:hAnsi="Arial"/>
          <w:sz w:val="16"/>
          <w:szCs w:val="16"/>
          <w:i w:val="1"/>
          <w:iCs w:val="1"/>
          <w:color w:val="009FE3"/>
        </w:rPr>
        <w:t xml:space="preserve">Determination of Compensation. </w:t>
      </w:r>
      <w:r>
        <w:rPr>
          <w:rFonts w:ascii="Arial" w:cs="Arial" w:eastAsia="Arial" w:hAnsi="Arial"/>
          <w:sz w:val="16"/>
          <w:szCs w:val="16"/>
          <w:color w:val="202E39"/>
        </w:rPr>
        <w:t>The Committee and the Board hold several meetings each year for the review, evaluation and determination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The Committee determines the appropriate compensation for each individual executive officer after considering the factors described in the preceding paragraphs.</w:t>
      </w:r>
    </w:p>
    <w:p>
      <w:pPr>
        <w:spacing w:after="0" w:line="86"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considers in assessing the reasonableness of compensation, we do not attempt to maintain a certain target percentile within a peer group or otherwise rely entirely on that data to determine executive officer compensation. Instead, we incorporate flexibility into our executive compensation program and in the assessment process to respond to and adjust for the evolving business environment.</w:t>
      </w:r>
    </w:p>
    <w:p>
      <w:pPr>
        <w:spacing w:after="0" w:line="99"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We strive to achieve an appropriate mix between long-term equity awards and cash payments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long-term equity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Components of Our Compensation Program</w:t>
      </w:r>
    </w:p>
    <w:p>
      <w:pPr>
        <w:spacing w:after="0" w:line="133"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202E39"/>
        </w:rPr>
        <w:t>The components of our executive compensation program are the following: base salary, annual bonuses, long-term incentive compensation in the form of equity awards and certain other benefits that are generally available to all our employees.</w:t>
      </w:r>
    </w:p>
    <w:p>
      <w:pPr>
        <w:spacing w:after="0" w:line="71" w:lineRule="exact"/>
        <w:rPr>
          <w:sz w:val="20"/>
          <w:szCs w:val="20"/>
          <w:color w:val="auto"/>
        </w:rPr>
      </w:pPr>
    </w:p>
    <w:p>
      <w:pPr>
        <w:ind w:left="120" w:right="140"/>
        <w:spacing w:after="0" w:line="258" w:lineRule="auto"/>
        <w:rPr>
          <w:sz w:val="20"/>
          <w:szCs w:val="20"/>
          <w:color w:val="auto"/>
        </w:rPr>
      </w:pPr>
      <w:r>
        <w:rPr>
          <w:rFonts w:ascii="Arial" w:cs="Arial" w:eastAsia="Arial" w:hAnsi="Arial"/>
          <w:sz w:val="16"/>
          <w:szCs w:val="16"/>
          <w:i w:val="1"/>
          <w:iCs w:val="1"/>
          <w:color w:val="009FE3"/>
        </w:rPr>
        <w:t xml:space="preserve">Base Salary. </w:t>
      </w:r>
      <w:r>
        <w:rPr>
          <w:rFonts w:ascii="Arial" w:cs="Arial" w:eastAsia="Arial" w:hAnsi="Arial"/>
          <w:sz w:val="16"/>
          <w:szCs w:val="16"/>
          <w:color w:val="202E39"/>
        </w:rPr>
        <w:t>In evaluating base salaries, the Committee primarily considers (1) executive compensation survey results from Radford, which generally</w:t>
      </w:r>
      <w:r>
        <w:rPr>
          <w:rFonts w:ascii="Arial" w:cs="Arial" w:eastAsia="Arial" w:hAnsi="Arial"/>
          <w:sz w:val="16"/>
          <w:szCs w:val="16"/>
          <w:i w:val="1"/>
          <w:iCs w:val="1"/>
          <w:color w:val="009FE3"/>
        </w:rPr>
        <w:t xml:space="preserve"> </w:t>
      </w:r>
      <w:r>
        <w:rPr>
          <w:rFonts w:ascii="Arial" w:cs="Arial" w:eastAsia="Arial" w:hAnsi="Arial"/>
          <w:sz w:val="16"/>
          <w:szCs w:val="16"/>
          <w:color w:val="202E39"/>
        </w:rPr>
        <w:t>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 officer:</w:t>
      </w:r>
    </w:p>
    <w:p>
      <w:pPr>
        <w:spacing w:after="0" w:line="102" w:lineRule="exact"/>
        <w:rPr>
          <w:sz w:val="20"/>
          <w:szCs w:val="20"/>
          <w:color w:val="auto"/>
        </w:rPr>
      </w:pPr>
    </w:p>
    <w:p>
      <w:pPr>
        <w:ind w:left="660" w:hanging="220"/>
        <w:spacing w:after="0"/>
        <w:tabs>
          <w:tab w:leader="none" w:pos="66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sustains a high level of performance,</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demonstrates leadership and success in contributing toward Viasat’s achievement of key business and financial objectives,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contributes significantly to the development and execution of Viasat’s long-term strategy,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has a proven ability to help create stockholder value,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33"/>
        </w:numPr>
        <w:rPr>
          <w:rFonts w:ascii="Arial" w:cs="Arial" w:eastAsia="Arial" w:hAnsi="Arial"/>
          <w:sz w:val="16"/>
          <w:szCs w:val="16"/>
          <w:color w:val="009FE3"/>
        </w:rPr>
      </w:pPr>
      <w:r>
        <w:rPr>
          <w:rFonts w:ascii="Arial" w:cs="Arial" w:eastAsia="Arial" w:hAnsi="Arial"/>
          <w:sz w:val="16"/>
          <w:szCs w:val="16"/>
          <w:color w:val="202E39"/>
        </w:rPr>
        <w:t>possesses highly developed skills and abilities critical to Viasat’s success.</w:t>
      </w:r>
    </w:p>
    <w:p>
      <w:pPr>
        <w:spacing w:after="0" w:line="11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In assessing individual executive performance and contributions for fiscal year 2021 base salary determination purposes, the Committee considered the individual contributions toward the achievement of key strategic objectives, such as continued strong revenue and net income, record Adjusted EBITDA, the continued advancement of our next-generation, high-capacity ViaSat-3 satellite program, including strategic positioning efforts in key geographies that will be covered by ViaSat-3 satellites; our continued disruption of the in-flight connectivity, or IFC, market, including growing aircraft in service and average revenue per aircraft; our continued growth in the Government Systems segment; and the receipt of multiple awards related to workplace culture, innovation and social good. After thoughtful discussion and in consideration of the impact of the COVID-19 pandemic on the global business environment, the Committee determined to delay base salary adjustments for our executive officers that would have normally become effective at the start of fiscal year 2021. With the sole exception of Mr. Baldridge, no executive officer received a base salary increase during fiscal year 2021. In recognition of his appointment as President and Chief Executive Officer, Mr. Baldridge received a base salary increase that was effective in November 2020. The following table sets forth the base salaries for fiscal years 2020 and 2021 for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85725</wp:posOffset>
            </wp:positionV>
            <wp:extent cx="43688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End 2020 and Fiscal Year End 2021 Base Salary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960" w:type="dxa"/>
            <w:vAlign w:val="bottom"/>
            <w:tcBorders>
              <w:top w:val="single" w:sz="8" w:color="E8EAEB"/>
              <w:right w:val="single" w:sz="8" w:color="E8EAEB"/>
            </w:tcBorders>
          </w:tcPr>
          <w:p>
            <w:pPr>
              <w:spacing w:after="0"/>
              <w:rPr>
                <w:sz w:val="17"/>
                <w:szCs w:val="17"/>
                <w:color w:val="auto"/>
              </w:rPr>
            </w:pPr>
          </w:p>
        </w:tc>
        <w:tc>
          <w:tcPr>
            <w:tcW w:w="1440" w:type="dxa"/>
            <w:vAlign w:val="bottom"/>
            <w:tcBorders>
              <w:top w:val="single" w:sz="8" w:color="E8EAEB"/>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Fiscal Year End 2020</w:t>
            </w:r>
          </w:p>
        </w:tc>
        <w:tc>
          <w:tcPr>
            <w:tcW w:w="1440" w:type="dxa"/>
            <w:vAlign w:val="bottom"/>
            <w:tcBorders>
              <w:top w:val="single" w:sz="8" w:color="E8EAEB"/>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Fiscal Year End 2021</w:t>
            </w:r>
          </w:p>
        </w:tc>
        <w:tc>
          <w:tcPr>
            <w:tcW w:w="118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Percentage</w:t>
            </w:r>
          </w:p>
        </w:tc>
      </w:tr>
      <w:tr>
        <w:trPr>
          <w:trHeight w:val="196"/>
        </w:trPr>
        <w:tc>
          <w:tcPr>
            <w:tcW w:w="69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440" w:type="dxa"/>
            <w:vAlign w:val="bottom"/>
            <w:tcBorders>
              <w:bottom w:val="single" w:sz="8" w:color="009FE3"/>
              <w:right w:val="single" w:sz="8" w:color="E8EAEB"/>
            </w:tcBorders>
          </w:tcPr>
          <w:p>
            <w:pPr>
              <w:jc w:val="right"/>
              <w:ind w:right="141"/>
              <w:spacing w:after="0"/>
              <w:rPr>
                <w:sz w:val="20"/>
                <w:szCs w:val="20"/>
                <w:color w:val="auto"/>
              </w:rPr>
            </w:pPr>
            <w:r>
              <w:rPr>
                <w:rFonts w:ascii="Arial" w:cs="Arial" w:eastAsia="Arial" w:hAnsi="Arial"/>
                <w:sz w:val="14"/>
                <w:szCs w:val="14"/>
                <w:b w:val="1"/>
                <w:bCs w:val="1"/>
                <w:color w:val="009FE3"/>
              </w:rPr>
              <w:t>Base Salary ($)</w:t>
            </w:r>
          </w:p>
        </w:tc>
        <w:tc>
          <w:tcPr>
            <w:tcW w:w="1440" w:type="dxa"/>
            <w:vAlign w:val="bottom"/>
            <w:tcBorders>
              <w:bottom w:val="single" w:sz="8" w:color="009FE3"/>
              <w:right w:val="single" w:sz="8" w:color="E8EAEB"/>
            </w:tcBorders>
          </w:tcPr>
          <w:p>
            <w:pPr>
              <w:jc w:val="right"/>
              <w:ind w:right="141"/>
              <w:spacing w:after="0"/>
              <w:rPr>
                <w:sz w:val="20"/>
                <w:szCs w:val="20"/>
                <w:color w:val="auto"/>
              </w:rPr>
            </w:pPr>
            <w:r>
              <w:rPr>
                <w:rFonts w:ascii="Arial" w:cs="Arial" w:eastAsia="Arial" w:hAnsi="Arial"/>
                <w:sz w:val="14"/>
                <w:szCs w:val="14"/>
                <w:b w:val="1"/>
                <w:bCs w:val="1"/>
                <w:color w:val="009FE3"/>
              </w:rPr>
              <w:t>Base Salary ($)</w:t>
            </w:r>
          </w:p>
        </w:tc>
        <w:tc>
          <w:tcPr>
            <w:tcW w:w="118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Increase (%)</w:t>
            </w:r>
          </w:p>
        </w:tc>
      </w:tr>
      <w:tr>
        <w:trPr>
          <w:trHeight w:val="236"/>
        </w:trPr>
        <w:tc>
          <w:tcPr>
            <w:tcW w:w="69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1,100,000</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1,300,000</w:t>
            </w:r>
          </w:p>
        </w:tc>
        <w:tc>
          <w:tcPr>
            <w:tcW w:w="1180" w:type="dxa"/>
            <w:vAlign w:val="bottom"/>
            <w:tcBorders>
              <w:bottom w:val="single" w:sz="8" w:color="E8EAEB"/>
            </w:tcBorders>
          </w:tcPr>
          <w:p>
            <w:pPr>
              <w:jc w:val="center"/>
              <w:ind w:left="61"/>
              <w:spacing w:after="0"/>
              <w:rPr>
                <w:sz w:val="20"/>
                <w:szCs w:val="20"/>
                <w:color w:val="auto"/>
              </w:rPr>
            </w:pPr>
            <w:r>
              <w:rPr>
                <w:rFonts w:ascii="Arial" w:cs="Arial" w:eastAsia="Arial" w:hAnsi="Arial"/>
                <w:sz w:val="16"/>
                <w:szCs w:val="16"/>
                <w:color w:val="202E39"/>
              </w:rPr>
              <w:t>18.2</w:t>
            </w:r>
          </w:p>
        </w:tc>
      </w:tr>
      <w:tr>
        <w:trPr>
          <w:trHeight w:val="236"/>
        </w:trPr>
        <w:tc>
          <w:tcPr>
            <w:tcW w:w="69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1,300,000</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1,300,000</w:t>
            </w:r>
          </w:p>
        </w:tc>
        <w:tc>
          <w:tcPr>
            <w:tcW w:w="1180" w:type="dxa"/>
            <w:vAlign w:val="bottom"/>
            <w:tcBorders>
              <w:bottom w:val="single" w:sz="8" w:color="E8EAEB"/>
            </w:tcBorders>
          </w:tcPr>
          <w:p>
            <w:pPr>
              <w:jc w:val="center"/>
              <w:ind w:left="41"/>
              <w:spacing w:after="0"/>
              <w:rPr>
                <w:sz w:val="20"/>
                <w:szCs w:val="20"/>
                <w:color w:val="auto"/>
              </w:rPr>
            </w:pPr>
            <w:r>
              <w:rPr>
                <w:rFonts w:ascii="Arial" w:cs="Arial" w:eastAsia="Arial" w:hAnsi="Arial"/>
                <w:sz w:val="16"/>
                <w:szCs w:val="16"/>
                <w:color w:val="202E39"/>
              </w:rPr>
              <w:t>—</w:t>
            </w:r>
          </w:p>
        </w:tc>
      </w:tr>
      <w:tr>
        <w:trPr>
          <w:trHeight w:val="237"/>
        </w:trPr>
        <w:tc>
          <w:tcPr>
            <w:tcW w:w="69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575,000</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575,000</w:t>
            </w:r>
          </w:p>
        </w:tc>
        <w:tc>
          <w:tcPr>
            <w:tcW w:w="1180" w:type="dxa"/>
            <w:vAlign w:val="bottom"/>
            <w:tcBorders>
              <w:bottom w:val="single" w:sz="8" w:color="E8EAEB"/>
            </w:tcBorders>
          </w:tcPr>
          <w:p>
            <w:pPr>
              <w:jc w:val="center"/>
              <w:ind w:left="41"/>
              <w:spacing w:after="0"/>
              <w:rPr>
                <w:sz w:val="20"/>
                <w:szCs w:val="20"/>
                <w:color w:val="auto"/>
              </w:rPr>
            </w:pPr>
            <w:r>
              <w:rPr>
                <w:rFonts w:ascii="Arial" w:cs="Arial" w:eastAsia="Arial" w:hAnsi="Arial"/>
                <w:sz w:val="16"/>
                <w:szCs w:val="16"/>
                <w:color w:val="202E39"/>
              </w:rPr>
              <w:t>—</w:t>
            </w:r>
          </w:p>
        </w:tc>
      </w:tr>
      <w:tr>
        <w:trPr>
          <w:trHeight w:val="237"/>
        </w:trPr>
        <w:tc>
          <w:tcPr>
            <w:tcW w:w="69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600,000</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600,000</w:t>
            </w:r>
          </w:p>
        </w:tc>
        <w:tc>
          <w:tcPr>
            <w:tcW w:w="1180" w:type="dxa"/>
            <w:vAlign w:val="bottom"/>
            <w:tcBorders>
              <w:bottom w:val="single" w:sz="8" w:color="E8EAEB"/>
            </w:tcBorders>
          </w:tcPr>
          <w:p>
            <w:pPr>
              <w:jc w:val="center"/>
              <w:ind w:left="41"/>
              <w:spacing w:after="0"/>
              <w:rPr>
                <w:sz w:val="20"/>
                <w:szCs w:val="20"/>
                <w:color w:val="auto"/>
              </w:rPr>
            </w:pPr>
            <w:r>
              <w:rPr>
                <w:rFonts w:ascii="Arial" w:cs="Arial" w:eastAsia="Arial" w:hAnsi="Arial"/>
                <w:sz w:val="16"/>
                <w:szCs w:val="16"/>
                <w:color w:val="202E39"/>
              </w:rPr>
              <w:t>—</w:t>
            </w:r>
          </w:p>
        </w:tc>
      </w:tr>
      <w:tr>
        <w:trPr>
          <w:trHeight w:val="237"/>
        </w:trPr>
        <w:tc>
          <w:tcPr>
            <w:tcW w:w="69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750,000</w:t>
            </w:r>
          </w:p>
        </w:tc>
        <w:tc>
          <w:tcPr>
            <w:tcW w:w="1440" w:type="dxa"/>
            <w:vAlign w:val="bottom"/>
            <w:tcBorders>
              <w:bottom w:val="single" w:sz="8" w:color="E8EAEB"/>
              <w:right w:val="single" w:sz="8" w:color="E8EAEB"/>
            </w:tcBorders>
          </w:tcPr>
          <w:p>
            <w:pPr>
              <w:jc w:val="right"/>
              <w:ind w:right="301"/>
              <w:spacing w:after="0"/>
              <w:rPr>
                <w:sz w:val="20"/>
                <w:szCs w:val="20"/>
                <w:color w:val="auto"/>
              </w:rPr>
            </w:pPr>
            <w:r>
              <w:rPr>
                <w:rFonts w:ascii="Arial" w:cs="Arial" w:eastAsia="Arial" w:hAnsi="Arial"/>
                <w:sz w:val="16"/>
                <w:szCs w:val="16"/>
                <w:color w:val="202E39"/>
              </w:rPr>
              <w:t>750,000</w:t>
            </w:r>
          </w:p>
        </w:tc>
        <w:tc>
          <w:tcPr>
            <w:tcW w:w="1180" w:type="dxa"/>
            <w:vAlign w:val="bottom"/>
            <w:tcBorders>
              <w:bottom w:val="single" w:sz="8" w:color="E8EAEB"/>
            </w:tcBorders>
          </w:tcPr>
          <w:p>
            <w:pPr>
              <w:jc w:val="center"/>
              <w:ind w:left="41"/>
              <w:spacing w:after="0"/>
              <w:rPr>
                <w:sz w:val="20"/>
                <w:szCs w:val="20"/>
                <w:color w:val="auto"/>
              </w:rPr>
            </w:pPr>
            <w:r>
              <w:rPr>
                <w:rFonts w:ascii="Arial" w:cs="Arial" w:eastAsia="Arial" w:hAnsi="Arial"/>
                <w:sz w:val="16"/>
                <w:szCs w:val="16"/>
                <w:color w:val="202E39"/>
              </w:rPr>
              <w:t>—</w:t>
            </w:r>
          </w:p>
        </w:tc>
      </w:tr>
      <w:tr>
        <w:trPr>
          <w:trHeight w:val="236"/>
        </w:trPr>
        <w:tc>
          <w:tcPr>
            <w:tcW w:w="69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440" w:type="dxa"/>
            <w:vAlign w:val="bottom"/>
            <w:tcBorders>
              <w:bottom w:val="single" w:sz="8" w:color="009FE3"/>
              <w:right w:val="single" w:sz="8" w:color="E8EAEB"/>
            </w:tcBorders>
          </w:tcPr>
          <w:p>
            <w:pPr>
              <w:jc w:val="right"/>
              <w:ind w:right="301"/>
              <w:spacing w:after="0"/>
              <w:rPr>
                <w:sz w:val="20"/>
                <w:szCs w:val="20"/>
                <w:color w:val="auto"/>
              </w:rPr>
            </w:pPr>
            <w:r>
              <w:rPr>
                <w:rFonts w:ascii="Arial" w:cs="Arial" w:eastAsia="Arial" w:hAnsi="Arial"/>
                <w:sz w:val="16"/>
                <w:szCs w:val="16"/>
                <w:color w:val="202E39"/>
              </w:rPr>
              <w:t>550,000</w:t>
            </w:r>
          </w:p>
        </w:tc>
        <w:tc>
          <w:tcPr>
            <w:tcW w:w="1440" w:type="dxa"/>
            <w:vAlign w:val="bottom"/>
            <w:tcBorders>
              <w:bottom w:val="single" w:sz="8" w:color="009FE3"/>
              <w:right w:val="single" w:sz="8" w:color="E8EAEB"/>
            </w:tcBorders>
          </w:tcPr>
          <w:p>
            <w:pPr>
              <w:jc w:val="right"/>
              <w:ind w:right="301"/>
              <w:spacing w:after="0"/>
              <w:rPr>
                <w:sz w:val="20"/>
                <w:szCs w:val="20"/>
                <w:color w:val="auto"/>
              </w:rPr>
            </w:pPr>
            <w:r>
              <w:rPr>
                <w:rFonts w:ascii="Arial" w:cs="Arial" w:eastAsia="Arial" w:hAnsi="Arial"/>
                <w:sz w:val="16"/>
                <w:szCs w:val="16"/>
                <w:color w:val="202E39"/>
              </w:rPr>
              <w:t>550,000</w:t>
            </w:r>
          </w:p>
        </w:tc>
        <w:tc>
          <w:tcPr>
            <w:tcW w:w="1180" w:type="dxa"/>
            <w:vAlign w:val="bottom"/>
            <w:tcBorders>
              <w:bottom w:val="single" w:sz="8" w:color="009FE3"/>
            </w:tcBorders>
          </w:tcPr>
          <w:p>
            <w:pPr>
              <w:jc w:val="center"/>
              <w:ind w:left="41"/>
              <w:spacing w:after="0"/>
              <w:rPr>
                <w:sz w:val="20"/>
                <w:szCs w:val="20"/>
                <w:color w:val="auto"/>
              </w:rPr>
            </w:pPr>
            <w:r>
              <w:rPr>
                <w:rFonts w:ascii="Arial" w:cs="Arial" w:eastAsia="Arial" w:hAnsi="Arial"/>
                <w:sz w:val="16"/>
                <w:szCs w:val="16"/>
                <w:color w:val="202E39"/>
              </w:rPr>
              <w:t>—</w:t>
            </w:r>
          </w:p>
        </w:tc>
      </w:tr>
    </w:tbl>
    <w:p>
      <w:pPr>
        <w:spacing w:after="0" w:line="9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Annual Bonuses. </w:t>
      </w:r>
      <w:r>
        <w:rPr>
          <w:rFonts w:ascii="Arial" w:cs="Arial" w:eastAsia="Arial" w:hAnsi="Arial"/>
          <w:sz w:val="16"/>
          <w:szCs w:val="16"/>
          <w:color w:val="202E39"/>
        </w:rPr>
        <w:t>Consistent with our overall compensation objectives of linking compensation to performance, aligning executive compensation with</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interests, and attracting and retaining top level executive officers in our industry, the Committee approved annual bonuses for fiscal year 2021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The Committee also considers the expected contributions of each executive officer toward the overall success of the company.</w:t>
      </w:r>
    </w:p>
    <w:p>
      <w:pPr>
        <w:spacing w:after="0" w:line="95"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202E39"/>
        </w:rPr>
        <w:t>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w:t>
      </w:r>
    </w:p>
    <w:p>
      <w:pPr>
        <w:spacing w:after="0" w:line="93" w:lineRule="exact"/>
        <w:rPr>
          <w:sz w:val="20"/>
          <w:szCs w:val="20"/>
          <w:color w:val="auto"/>
        </w:rPr>
      </w:pPr>
    </w:p>
    <w:p>
      <w:pPr>
        <w:ind w:left="120" w:right="200"/>
        <w:spacing w:after="0" w:line="251" w:lineRule="auto"/>
        <w:rPr>
          <w:sz w:val="20"/>
          <w:szCs w:val="20"/>
          <w:color w:val="auto"/>
        </w:rPr>
      </w:pPr>
      <w:r>
        <w:rPr>
          <w:rFonts w:ascii="Arial" w:cs="Arial" w:eastAsia="Arial" w:hAnsi="Arial"/>
          <w:sz w:val="16"/>
          <w:szCs w:val="16"/>
          <w:color w:val="202E39"/>
        </w:rPr>
        <w:t>Following a thorough review of the executive compensation program, including an evaluation of feedback received through the Company’s stockholder engagement program, in fiscal year 2020 the Committee shifted to setting a specific target bonus as a percentage of base salary, rather than a target bonus range as a percentage of base salary. Furthermore, the Committee established a maximum bonus payout opportunity of 250% of each executive officer’s target bonus. These features were maintained in fiscal year 2021.</w:t>
      </w:r>
    </w:p>
    <w:p>
      <w:pPr>
        <w:spacing w:after="0" w:line="78" w:lineRule="exact"/>
        <w:rPr>
          <w:sz w:val="20"/>
          <w:szCs w:val="20"/>
          <w:color w:val="auto"/>
        </w:rPr>
      </w:pPr>
    </w:p>
    <w:p>
      <w:pPr>
        <w:ind w:left="120" w:right="140"/>
        <w:spacing w:after="0" w:line="263" w:lineRule="auto"/>
        <w:rPr>
          <w:sz w:val="20"/>
          <w:szCs w:val="20"/>
          <w:color w:val="auto"/>
        </w:rPr>
      </w:pPr>
      <w:r>
        <w:rPr>
          <w:rFonts w:ascii="Arial" w:cs="Arial" w:eastAsia="Arial" w:hAnsi="Arial"/>
          <w:sz w:val="16"/>
          <w:szCs w:val="16"/>
          <w:i w:val="1"/>
          <w:iCs w:val="1"/>
          <w:color w:val="009FE3"/>
        </w:rPr>
        <w:t xml:space="preserve">Named Executive Officers Annual Metric Selection and Bonus Determination. </w:t>
      </w:r>
      <w:r>
        <w:rPr>
          <w:rFonts w:ascii="Arial" w:cs="Arial" w:eastAsia="Arial" w:hAnsi="Arial"/>
          <w:sz w:val="16"/>
          <w:szCs w:val="16"/>
          <w:color w:val="202E39"/>
        </w:rPr>
        <w:t>For fiscal year 2021, the metrics considered for determining annual</w:t>
      </w:r>
      <w:r>
        <w:rPr>
          <w:rFonts w:ascii="Arial" w:cs="Arial" w:eastAsia="Arial" w:hAnsi="Arial"/>
          <w:sz w:val="16"/>
          <w:szCs w:val="16"/>
          <w:i w:val="1"/>
          <w:iCs w:val="1"/>
          <w:color w:val="009FE3"/>
        </w:rPr>
        <w:t xml:space="preserve"> </w:t>
      </w:r>
      <w:r>
        <w:rPr>
          <w:rFonts w:ascii="Arial" w:cs="Arial" w:eastAsia="Arial" w:hAnsi="Arial"/>
          <w:sz w:val="16"/>
          <w:szCs w:val="16"/>
          <w:color w:val="202E39"/>
        </w:rPr>
        <w:t>bonuses for our Named Executive Officers included Viasat’s annual financial performance and individual performance. The annual performance metrics, both financial and individual, are intended to be challenging and rigorous, but achievable through a sustained level of high performance.</w:t>
      </w:r>
    </w:p>
    <w:p>
      <w:pPr>
        <w:spacing w:after="0" w:line="100" w:lineRule="exact"/>
        <w:rPr>
          <w:sz w:val="20"/>
          <w:szCs w:val="20"/>
          <w:color w:val="auto"/>
        </w:rPr>
      </w:pPr>
    </w:p>
    <w:p>
      <w:pPr>
        <w:ind w:left="660" w:right="240" w:hanging="220"/>
        <w:spacing w:after="0" w:line="253" w:lineRule="auto"/>
        <w:tabs>
          <w:tab w:leader="none" w:pos="660" w:val="left"/>
        </w:tabs>
        <w:numPr>
          <w:ilvl w:val="0"/>
          <w:numId w:val="34"/>
        </w:numPr>
        <w:rPr>
          <w:rFonts w:ascii="Arial" w:cs="Arial" w:eastAsia="Arial" w:hAnsi="Arial"/>
          <w:sz w:val="16"/>
          <w:szCs w:val="16"/>
          <w:color w:val="009FE3"/>
        </w:rPr>
      </w:pPr>
      <w:r>
        <w:rPr>
          <w:rFonts w:ascii="Arial" w:cs="Arial" w:eastAsia="Arial" w:hAnsi="Arial"/>
          <w:sz w:val="16"/>
          <w:szCs w:val="16"/>
          <w:color w:val="009FE3"/>
        </w:rPr>
        <w:t xml:space="preserve">Financial performance objectives (50% of annual bonus determination): </w:t>
      </w:r>
      <w:r>
        <w:rPr>
          <w:rFonts w:ascii="Arial" w:cs="Arial" w:eastAsia="Arial" w:hAnsi="Arial"/>
          <w:sz w:val="16"/>
          <w:szCs w:val="16"/>
          <w:color w:val="202E39"/>
        </w:rPr>
        <w:t>Financial metrics were set based on an internally-developed financial</w:t>
      </w:r>
      <w:r>
        <w:rPr>
          <w:rFonts w:ascii="Arial" w:cs="Arial" w:eastAsia="Arial" w:hAnsi="Arial"/>
          <w:sz w:val="16"/>
          <w:szCs w:val="16"/>
          <w:color w:val="009FE3"/>
        </w:rPr>
        <w:t xml:space="preserve"> </w:t>
      </w:r>
      <w:r>
        <w:rPr>
          <w:rFonts w:ascii="Arial" w:cs="Arial" w:eastAsia="Arial" w:hAnsi="Arial"/>
          <w:sz w:val="16"/>
          <w:szCs w:val="16"/>
          <w:color w:val="202E39"/>
        </w:rPr>
        <w:t>plan approved by our Board at the beginning of the fiscal year. The financial metrics selected for the annual bonus are intended to balance incentivizing strong short-term performance while also retaining alignment to the execution of our long-term strategy.</w:t>
      </w:r>
    </w:p>
    <w:p>
      <w:pPr>
        <w:spacing w:after="0" w:line="52" w:lineRule="exact"/>
        <w:rPr>
          <w:rFonts w:ascii="Arial" w:cs="Arial" w:eastAsia="Arial" w:hAnsi="Arial"/>
          <w:sz w:val="16"/>
          <w:szCs w:val="16"/>
          <w:color w:val="009FE3"/>
        </w:rPr>
      </w:pPr>
    </w:p>
    <w:p>
      <w:pPr>
        <w:ind w:left="660" w:right="60" w:hanging="220"/>
        <w:spacing w:after="0" w:line="249" w:lineRule="auto"/>
        <w:tabs>
          <w:tab w:leader="none" w:pos="660" w:val="left"/>
        </w:tabs>
        <w:numPr>
          <w:ilvl w:val="0"/>
          <w:numId w:val="34"/>
        </w:numPr>
        <w:rPr>
          <w:rFonts w:ascii="Arial" w:cs="Arial" w:eastAsia="Arial" w:hAnsi="Arial"/>
          <w:sz w:val="16"/>
          <w:szCs w:val="16"/>
          <w:color w:val="009FE3"/>
        </w:rPr>
      </w:pPr>
      <w:r>
        <w:rPr>
          <w:rFonts w:ascii="Arial" w:cs="Arial" w:eastAsia="Arial" w:hAnsi="Arial"/>
          <w:sz w:val="16"/>
          <w:szCs w:val="16"/>
          <w:color w:val="009FE3"/>
        </w:rPr>
        <w:t xml:space="preserve">Individual performance objectives (50% of annual bonus determination): </w:t>
      </w:r>
      <w:r>
        <w:rPr>
          <w:rFonts w:ascii="Arial" w:cs="Arial" w:eastAsia="Arial" w:hAnsi="Arial"/>
          <w:sz w:val="16"/>
          <w:szCs w:val="16"/>
          <w:color w:val="202E39"/>
        </w:rPr>
        <w:t>Individual leadership and strategic objectives are determined by the</w:t>
      </w:r>
      <w:r>
        <w:rPr>
          <w:rFonts w:ascii="Arial" w:cs="Arial" w:eastAsia="Arial" w:hAnsi="Arial"/>
          <w:sz w:val="16"/>
          <w:szCs w:val="16"/>
          <w:color w:val="009FE3"/>
        </w:rPr>
        <w:t xml:space="preserve"> </w:t>
      </w:r>
      <w:r>
        <w:rPr>
          <w:rFonts w:ascii="Arial" w:cs="Arial" w:eastAsia="Arial" w:hAnsi="Arial"/>
          <w:sz w:val="16"/>
          <w:szCs w:val="16"/>
          <w:color w:val="202E39"/>
        </w:rPr>
        <w:t>Committee, with the objectives for the executive officers (other than our Chief Executive Officer and Executive Chairman) based on input and recommendations from our Chief Executive Officer and Executive Chairman. Individual leadership and strategic objectives for our Chief Executive Officer and Executive Chairman are determined by the Committee based on the recommendation of the Nomination, Evaluation and Corporate Governance Committee. Metrics are qualitative in nature; each individual executive officer’s attainment of individual performance objectives, while made in the context of such pre-established objectives, is based upon an evaluation of individual performance by the Committee.</w:t>
      </w:r>
    </w:p>
    <w:p>
      <w:pPr>
        <w:spacing w:after="0" w:line="12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45</w:t>
            </w: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202E39"/>
        </w:rPr>
        <w:t>The table below describes the company financial and individual performance objectives and weighting of each objective used for determining annual bonuses for all our executive officers for fiscal year 2021:</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2021 Bonus Objectives</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060" w:type="dxa"/>
            <w:vAlign w:val="bottom"/>
            <w:tcBorders>
              <w:top w:val="single" w:sz="8" w:color="E8EAEB"/>
              <w:right w:val="single" w:sz="8" w:color="E8EAEB"/>
            </w:tcBorders>
          </w:tcPr>
          <w:p>
            <w:pPr>
              <w:spacing w:after="0"/>
              <w:rPr>
                <w:sz w:val="17"/>
                <w:szCs w:val="17"/>
                <w:color w:val="auto"/>
              </w:rPr>
            </w:pPr>
          </w:p>
        </w:tc>
        <w:tc>
          <w:tcPr>
            <w:tcW w:w="1420" w:type="dxa"/>
            <w:vAlign w:val="bottom"/>
            <w:tcBorders>
              <w:top w:val="single" w:sz="8" w:color="E8EAEB"/>
              <w:right w:val="single" w:sz="8" w:color="E8EAEB"/>
            </w:tcBorders>
          </w:tcPr>
          <w:p>
            <w:pPr>
              <w:jc w:val="right"/>
              <w:ind w:right="201"/>
              <w:spacing w:after="0"/>
              <w:rPr>
                <w:sz w:val="20"/>
                <w:szCs w:val="20"/>
                <w:color w:val="auto"/>
              </w:rPr>
            </w:pPr>
            <w:r>
              <w:rPr>
                <w:rFonts w:ascii="Arial" w:cs="Arial" w:eastAsia="Arial" w:hAnsi="Arial"/>
                <w:sz w:val="14"/>
                <w:szCs w:val="14"/>
                <w:b w:val="1"/>
                <w:bCs w:val="1"/>
                <w:color w:val="009FE3"/>
              </w:rPr>
              <w:t>Approximate</w:t>
            </w:r>
          </w:p>
        </w:tc>
        <w:tc>
          <w:tcPr>
            <w:tcW w:w="1760" w:type="dxa"/>
            <w:vAlign w:val="bottom"/>
            <w:tcBorders>
              <w:top w:val="single" w:sz="8" w:color="E8EAEB"/>
              <w:right w:val="single" w:sz="8" w:color="E8EAEB"/>
            </w:tcBorders>
          </w:tcPr>
          <w:p>
            <w:pPr>
              <w:jc w:val="right"/>
              <w:ind w:right="541"/>
              <w:spacing w:after="0"/>
              <w:rPr>
                <w:sz w:val="20"/>
                <w:szCs w:val="20"/>
                <w:color w:val="auto"/>
              </w:rPr>
            </w:pPr>
            <w:r>
              <w:rPr>
                <w:rFonts w:ascii="Arial" w:cs="Arial" w:eastAsia="Arial" w:hAnsi="Arial"/>
                <w:sz w:val="14"/>
                <w:szCs w:val="14"/>
                <w:b w:val="1"/>
                <w:bCs w:val="1"/>
                <w:color w:val="009FE3"/>
              </w:rPr>
              <w:t>FY 2021</w:t>
            </w:r>
          </w:p>
        </w:tc>
        <w:tc>
          <w:tcPr>
            <w:tcW w:w="1780" w:type="dxa"/>
            <w:vAlign w:val="bottom"/>
            <w:tcBorders>
              <w:top w:val="single" w:sz="8" w:color="E8EAEB"/>
            </w:tcBorders>
          </w:tcPr>
          <w:p>
            <w:pPr>
              <w:jc w:val="right"/>
              <w:ind w:right="541"/>
              <w:spacing w:after="0"/>
              <w:rPr>
                <w:sz w:val="20"/>
                <w:szCs w:val="20"/>
                <w:color w:val="auto"/>
              </w:rPr>
            </w:pPr>
            <w:r>
              <w:rPr>
                <w:rFonts w:ascii="Arial" w:cs="Arial" w:eastAsia="Arial" w:hAnsi="Arial"/>
                <w:sz w:val="14"/>
                <w:szCs w:val="14"/>
                <w:b w:val="1"/>
                <w:bCs w:val="1"/>
                <w:color w:val="009FE3"/>
              </w:rPr>
              <w:t>FY 2021</w:t>
            </w:r>
          </w:p>
        </w:tc>
      </w:tr>
      <w:tr>
        <w:trPr>
          <w:trHeight w:val="196"/>
        </w:trPr>
        <w:tc>
          <w:tcPr>
            <w:tcW w:w="60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Performance Metric</w:t>
            </w:r>
          </w:p>
        </w:tc>
        <w:tc>
          <w:tcPr>
            <w:tcW w:w="1420" w:type="dxa"/>
            <w:vAlign w:val="bottom"/>
            <w:tcBorders>
              <w:bottom w:val="single" w:sz="8" w:color="009FE3"/>
              <w:right w:val="single" w:sz="8" w:color="E8EAEB"/>
            </w:tcBorders>
          </w:tcPr>
          <w:p>
            <w:pPr>
              <w:jc w:val="right"/>
              <w:ind w:right="161"/>
              <w:spacing w:after="0"/>
              <w:rPr>
                <w:sz w:val="20"/>
                <w:szCs w:val="20"/>
                <w:color w:val="auto"/>
              </w:rPr>
            </w:pPr>
            <w:r>
              <w:rPr>
                <w:rFonts w:ascii="Arial" w:cs="Arial" w:eastAsia="Arial" w:hAnsi="Arial"/>
                <w:sz w:val="14"/>
                <w:szCs w:val="14"/>
                <w:b w:val="1"/>
                <w:bCs w:val="1"/>
                <w:color w:val="009FE3"/>
              </w:rPr>
              <w:t>Weighting (%)</w:t>
            </w:r>
          </w:p>
        </w:tc>
        <w:tc>
          <w:tcPr>
            <w:tcW w:w="1760" w:type="dxa"/>
            <w:vAlign w:val="bottom"/>
            <w:tcBorders>
              <w:bottom w:val="single" w:sz="8" w:color="009FE3"/>
              <w:right w:val="single" w:sz="8" w:color="E8EAEB"/>
            </w:tcBorders>
          </w:tcPr>
          <w:p>
            <w:pPr>
              <w:jc w:val="right"/>
              <w:ind w:right="481"/>
              <w:spacing w:after="0"/>
              <w:rPr>
                <w:sz w:val="20"/>
                <w:szCs w:val="20"/>
                <w:color w:val="auto"/>
              </w:rPr>
            </w:pPr>
            <w:r>
              <w:rPr>
                <w:rFonts w:ascii="Arial" w:cs="Arial" w:eastAsia="Arial" w:hAnsi="Arial"/>
                <w:sz w:val="14"/>
                <w:szCs w:val="14"/>
                <w:b w:val="1"/>
                <w:bCs w:val="1"/>
                <w:color w:val="009FE3"/>
              </w:rPr>
              <w:t>Objective</w:t>
            </w:r>
          </w:p>
        </w:tc>
        <w:tc>
          <w:tcPr>
            <w:tcW w:w="1780" w:type="dxa"/>
            <w:vAlign w:val="bottom"/>
            <w:tcBorders>
              <w:bottom w:val="single" w:sz="8" w:color="009FE3"/>
            </w:tcBorders>
          </w:tcPr>
          <w:p>
            <w:pPr>
              <w:jc w:val="right"/>
              <w:ind w:right="321"/>
              <w:spacing w:after="0"/>
              <w:rPr>
                <w:sz w:val="20"/>
                <w:szCs w:val="20"/>
                <w:color w:val="auto"/>
              </w:rPr>
            </w:pPr>
            <w:r>
              <w:rPr>
                <w:rFonts w:ascii="Arial" w:cs="Arial" w:eastAsia="Arial" w:hAnsi="Arial"/>
                <w:sz w:val="14"/>
                <w:szCs w:val="14"/>
                <w:b w:val="1"/>
                <w:bCs w:val="1"/>
                <w:color w:val="009FE3"/>
              </w:rPr>
              <w:t>Actual Results</w:t>
            </w: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Non-GAAP Diluted Net Income Per Share Attributable to Viasat, Inc.</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10</w:t>
            </w:r>
          </w:p>
        </w:tc>
        <w:tc>
          <w:tcPr>
            <w:tcW w:w="176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$0.88</w:t>
            </w:r>
          </w:p>
        </w:tc>
        <w:tc>
          <w:tcPr>
            <w:tcW w:w="1780" w:type="dxa"/>
            <w:vAlign w:val="bottom"/>
          </w:tcPr>
          <w:p>
            <w:pPr>
              <w:jc w:val="right"/>
              <w:ind w:right="101"/>
              <w:spacing w:after="0"/>
              <w:rPr>
                <w:sz w:val="20"/>
                <w:szCs w:val="20"/>
                <w:color w:val="auto"/>
              </w:rPr>
            </w:pPr>
            <w:r>
              <w:rPr>
                <w:rFonts w:ascii="Arial" w:cs="Arial" w:eastAsia="Arial" w:hAnsi="Arial"/>
                <w:sz w:val="16"/>
                <w:szCs w:val="16"/>
                <w:color w:val="202E39"/>
              </w:rPr>
              <w:t>$1.15</w:t>
            </w:r>
          </w:p>
        </w:tc>
      </w:tr>
      <w:tr>
        <w:trPr>
          <w:trHeight w:val="195"/>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Common Stockholders (1)</w:t>
            </w:r>
          </w:p>
        </w:tc>
        <w:tc>
          <w:tcPr>
            <w:tcW w:w="1420" w:type="dxa"/>
            <w:vAlign w:val="bottom"/>
            <w:tcBorders>
              <w:right w:val="single" w:sz="8" w:color="E8EAEB"/>
            </w:tcBorders>
          </w:tcPr>
          <w:p>
            <w:pPr>
              <w:spacing w:after="0"/>
              <w:rPr>
                <w:sz w:val="16"/>
                <w:szCs w:val="16"/>
                <w:color w:val="auto"/>
              </w:rPr>
            </w:pPr>
          </w:p>
        </w:tc>
        <w:tc>
          <w:tcPr>
            <w:tcW w:w="1760" w:type="dxa"/>
            <w:vAlign w:val="bottom"/>
            <w:tcBorders>
              <w:right w:val="single" w:sz="8" w:color="E8EAEB"/>
            </w:tcBorders>
          </w:tcPr>
          <w:p>
            <w:pPr>
              <w:spacing w:after="0"/>
              <w:rPr>
                <w:sz w:val="16"/>
                <w:szCs w:val="16"/>
                <w:color w:val="auto"/>
              </w:rPr>
            </w:pPr>
          </w:p>
        </w:tc>
        <w:tc>
          <w:tcPr>
            <w:tcW w:w="1780" w:type="dxa"/>
            <w:vAlign w:val="bottom"/>
          </w:tcPr>
          <w:p>
            <w:pPr>
              <w:spacing w:after="0"/>
              <w:rPr>
                <w:sz w:val="16"/>
                <w:szCs w:val="16"/>
                <w:color w:val="auto"/>
              </w:rPr>
            </w:pPr>
          </w:p>
        </w:tc>
      </w:tr>
      <w:tr>
        <w:trPr>
          <w:trHeight w:val="46"/>
        </w:trPr>
        <w:tc>
          <w:tcPr>
            <w:tcW w:w="606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1760" w:type="dxa"/>
            <w:vAlign w:val="bottom"/>
            <w:tcBorders>
              <w:bottom w:val="single" w:sz="8" w:color="E8EAEB"/>
              <w:right w:val="single" w:sz="8" w:color="E8EAEB"/>
            </w:tcBorders>
          </w:tcPr>
          <w:p>
            <w:pPr>
              <w:spacing w:after="0"/>
              <w:rPr>
                <w:sz w:val="4"/>
                <w:szCs w:val="4"/>
                <w:color w:val="auto"/>
              </w:rPr>
            </w:pPr>
          </w:p>
        </w:tc>
        <w:tc>
          <w:tcPr>
            <w:tcW w:w="1780" w:type="dxa"/>
            <w:vAlign w:val="bottom"/>
            <w:tcBorders>
              <w:bottom w:val="single" w:sz="8" w:color="E8EAEB"/>
            </w:tcBorders>
          </w:tcPr>
          <w:p>
            <w:pPr>
              <w:spacing w:after="0"/>
              <w:rPr>
                <w:sz w:val="4"/>
                <w:szCs w:val="4"/>
                <w:color w:val="auto"/>
              </w:rPr>
            </w:pP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Adjusted EBITDA (2)</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12.5</w:t>
            </w:r>
          </w:p>
        </w:tc>
        <w:tc>
          <w:tcPr>
            <w:tcW w:w="176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$484.1 million</w:t>
            </w:r>
          </w:p>
        </w:tc>
        <w:tc>
          <w:tcPr>
            <w:tcW w:w="1780" w:type="dxa"/>
            <w:vAlign w:val="bottom"/>
          </w:tcPr>
          <w:p>
            <w:pPr>
              <w:jc w:val="right"/>
              <w:ind w:right="101"/>
              <w:spacing w:after="0"/>
              <w:rPr>
                <w:sz w:val="20"/>
                <w:szCs w:val="20"/>
                <w:color w:val="auto"/>
              </w:rPr>
            </w:pPr>
            <w:r>
              <w:rPr>
                <w:rFonts w:ascii="Arial" w:cs="Arial" w:eastAsia="Arial" w:hAnsi="Arial"/>
                <w:sz w:val="16"/>
                <w:szCs w:val="16"/>
                <w:color w:val="202E39"/>
              </w:rPr>
              <w:t>$530.7 million</w:t>
            </w:r>
          </w:p>
        </w:tc>
      </w:tr>
      <w:tr>
        <w:trPr>
          <w:trHeight w:val="46"/>
        </w:trPr>
        <w:tc>
          <w:tcPr>
            <w:tcW w:w="606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1760" w:type="dxa"/>
            <w:vAlign w:val="bottom"/>
            <w:tcBorders>
              <w:bottom w:val="single" w:sz="8" w:color="E8EAEB"/>
              <w:right w:val="single" w:sz="8" w:color="E8EAEB"/>
            </w:tcBorders>
          </w:tcPr>
          <w:p>
            <w:pPr>
              <w:spacing w:after="0"/>
              <w:rPr>
                <w:sz w:val="4"/>
                <w:szCs w:val="4"/>
                <w:color w:val="auto"/>
              </w:rPr>
            </w:pPr>
          </w:p>
        </w:tc>
        <w:tc>
          <w:tcPr>
            <w:tcW w:w="1780" w:type="dxa"/>
            <w:vAlign w:val="bottom"/>
            <w:tcBorders>
              <w:bottom w:val="single" w:sz="8" w:color="E8EAEB"/>
            </w:tcBorders>
          </w:tcPr>
          <w:p>
            <w:pPr>
              <w:spacing w:after="0"/>
              <w:rPr>
                <w:sz w:val="4"/>
                <w:szCs w:val="4"/>
                <w:color w:val="auto"/>
              </w:rPr>
            </w:pP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New Contract Awards</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7.5</w:t>
            </w:r>
          </w:p>
        </w:tc>
        <w:tc>
          <w:tcPr>
            <w:tcW w:w="176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$2,277.4 million</w:t>
            </w:r>
          </w:p>
        </w:tc>
        <w:tc>
          <w:tcPr>
            <w:tcW w:w="1780" w:type="dxa"/>
            <w:vAlign w:val="bottom"/>
          </w:tcPr>
          <w:p>
            <w:pPr>
              <w:jc w:val="right"/>
              <w:ind w:right="101"/>
              <w:spacing w:after="0"/>
              <w:rPr>
                <w:sz w:val="20"/>
                <w:szCs w:val="20"/>
                <w:color w:val="auto"/>
              </w:rPr>
            </w:pPr>
            <w:r>
              <w:rPr>
                <w:rFonts w:ascii="Arial" w:cs="Arial" w:eastAsia="Arial" w:hAnsi="Arial"/>
                <w:sz w:val="16"/>
                <w:szCs w:val="16"/>
                <w:color w:val="202E39"/>
              </w:rPr>
              <w:t>$2,703.9 million</w:t>
            </w:r>
          </w:p>
        </w:tc>
      </w:tr>
      <w:tr>
        <w:trPr>
          <w:trHeight w:val="46"/>
        </w:trPr>
        <w:tc>
          <w:tcPr>
            <w:tcW w:w="606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1760" w:type="dxa"/>
            <w:vAlign w:val="bottom"/>
            <w:tcBorders>
              <w:bottom w:val="single" w:sz="8" w:color="E8EAEB"/>
              <w:right w:val="single" w:sz="8" w:color="E8EAEB"/>
            </w:tcBorders>
          </w:tcPr>
          <w:p>
            <w:pPr>
              <w:spacing w:after="0"/>
              <w:rPr>
                <w:sz w:val="4"/>
                <w:szCs w:val="4"/>
                <w:color w:val="auto"/>
              </w:rPr>
            </w:pPr>
          </w:p>
        </w:tc>
        <w:tc>
          <w:tcPr>
            <w:tcW w:w="1780" w:type="dxa"/>
            <w:vAlign w:val="bottom"/>
            <w:tcBorders>
              <w:bottom w:val="single" w:sz="8" w:color="E8EAEB"/>
            </w:tcBorders>
          </w:tcPr>
          <w:p>
            <w:pPr>
              <w:spacing w:after="0"/>
              <w:rPr>
                <w:sz w:val="4"/>
                <w:szCs w:val="4"/>
                <w:color w:val="auto"/>
              </w:rPr>
            </w:pP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Total Revenues</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12.5</w:t>
            </w:r>
          </w:p>
        </w:tc>
        <w:tc>
          <w:tcPr>
            <w:tcW w:w="176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$2,303.7 million</w:t>
            </w:r>
          </w:p>
        </w:tc>
        <w:tc>
          <w:tcPr>
            <w:tcW w:w="1780" w:type="dxa"/>
            <w:vAlign w:val="bottom"/>
          </w:tcPr>
          <w:p>
            <w:pPr>
              <w:jc w:val="right"/>
              <w:ind w:right="101"/>
              <w:spacing w:after="0"/>
              <w:rPr>
                <w:sz w:val="20"/>
                <w:szCs w:val="20"/>
                <w:color w:val="auto"/>
              </w:rPr>
            </w:pPr>
            <w:r>
              <w:rPr>
                <w:rFonts w:ascii="Arial" w:cs="Arial" w:eastAsia="Arial" w:hAnsi="Arial"/>
                <w:sz w:val="16"/>
                <w:szCs w:val="16"/>
                <w:color w:val="202E39"/>
              </w:rPr>
              <w:t>$2,256.1 million</w:t>
            </w:r>
          </w:p>
        </w:tc>
      </w:tr>
      <w:tr>
        <w:trPr>
          <w:trHeight w:val="47"/>
        </w:trPr>
        <w:tc>
          <w:tcPr>
            <w:tcW w:w="606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1760" w:type="dxa"/>
            <w:vAlign w:val="bottom"/>
            <w:tcBorders>
              <w:bottom w:val="single" w:sz="8" w:color="E8EAEB"/>
              <w:right w:val="single" w:sz="8" w:color="E8EAEB"/>
            </w:tcBorders>
          </w:tcPr>
          <w:p>
            <w:pPr>
              <w:spacing w:after="0"/>
              <w:rPr>
                <w:sz w:val="4"/>
                <w:szCs w:val="4"/>
                <w:color w:val="auto"/>
              </w:rPr>
            </w:pPr>
          </w:p>
        </w:tc>
        <w:tc>
          <w:tcPr>
            <w:tcW w:w="1780" w:type="dxa"/>
            <w:vAlign w:val="bottom"/>
            <w:tcBorders>
              <w:bottom w:val="single" w:sz="8" w:color="E8EAEB"/>
            </w:tcBorders>
          </w:tcPr>
          <w:p>
            <w:pPr>
              <w:spacing w:after="0"/>
              <w:rPr>
                <w:sz w:val="4"/>
                <w:szCs w:val="4"/>
                <w:color w:val="auto"/>
              </w:rPr>
            </w:pP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Net Operating Asset Turnover</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7.5</w:t>
            </w:r>
          </w:p>
        </w:tc>
        <w:tc>
          <w:tcPr>
            <w:tcW w:w="1760" w:type="dxa"/>
            <w:vAlign w:val="bottom"/>
            <w:tcBorders>
              <w:right w:val="single" w:sz="8" w:color="E8EAEB"/>
            </w:tcBorders>
          </w:tcPr>
          <w:p>
            <w:pPr>
              <w:jc w:val="right"/>
              <w:ind w:right="101"/>
              <w:spacing w:after="0"/>
              <w:rPr>
                <w:sz w:val="20"/>
                <w:szCs w:val="20"/>
                <w:color w:val="auto"/>
              </w:rPr>
            </w:pPr>
            <w:r>
              <w:rPr>
                <w:rFonts w:ascii="Arial" w:cs="Arial" w:eastAsia="Arial" w:hAnsi="Arial"/>
                <w:sz w:val="16"/>
                <w:szCs w:val="16"/>
                <w:color w:val="202E39"/>
              </w:rPr>
              <w:t>7.05</w:t>
            </w:r>
          </w:p>
        </w:tc>
        <w:tc>
          <w:tcPr>
            <w:tcW w:w="1780" w:type="dxa"/>
            <w:vAlign w:val="bottom"/>
          </w:tcPr>
          <w:p>
            <w:pPr>
              <w:jc w:val="right"/>
              <w:ind w:right="101"/>
              <w:spacing w:after="0"/>
              <w:rPr>
                <w:sz w:val="20"/>
                <w:szCs w:val="20"/>
                <w:color w:val="auto"/>
              </w:rPr>
            </w:pPr>
            <w:r>
              <w:rPr>
                <w:rFonts w:ascii="Arial" w:cs="Arial" w:eastAsia="Arial" w:hAnsi="Arial"/>
                <w:sz w:val="16"/>
                <w:szCs w:val="16"/>
                <w:color w:val="202E39"/>
              </w:rPr>
              <w:t>10.56</w:t>
            </w:r>
          </w:p>
        </w:tc>
      </w:tr>
      <w:tr>
        <w:trPr>
          <w:trHeight w:val="46"/>
        </w:trPr>
        <w:tc>
          <w:tcPr>
            <w:tcW w:w="606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1760" w:type="dxa"/>
            <w:vAlign w:val="bottom"/>
            <w:tcBorders>
              <w:bottom w:val="single" w:sz="8" w:color="E8EAEB"/>
              <w:right w:val="single" w:sz="8" w:color="E8EAEB"/>
            </w:tcBorders>
          </w:tcPr>
          <w:p>
            <w:pPr>
              <w:spacing w:after="0"/>
              <w:rPr>
                <w:sz w:val="4"/>
                <w:szCs w:val="4"/>
                <w:color w:val="auto"/>
              </w:rPr>
            </w:pPr>
          </w:p>
        </w:tc>
        <w:tc>
          <w:tcPr>
            <w:tcW w:w="1780" w:type="dxa"/>
            <w:vAlign w:val="bottom"/>
            <w:tcBorders>
              <w:bottom w:val="single" w:sz="8" w:color="E8EAEB"/>
            </w:tcBorders>
          </w:tcPr>
          <w:p>
            <w:pPr>
              <w:spacing w:after="0"/>
              <w:rPr>
                <w:sz w:val="4"/>
                <w:szCs w:val="4"/>
                <w:color w:val="auto"/>
              </w:rPr>
            </w:pP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Individual — Strategic Performance</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25</w:t>
            </w:r>
          </w:p>
        </w:tc>
        <w:tc>
          <w:tcPr>
            <w:tcW w:w="1760" w:type="dxa"/>
            <w:vAlign w:val="bottom"/>
            <w:tcBorders>
              <w:right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c>
          <w:tcPr>
            <w:tcW w:w="1780" w:type="dxa"/>
            <w:vAlign w:val="bottom"/>
          </w:tcPr>
          <w:p>
            <w:pPr>
              <w:jc w:val="right"/>
              <w:ind w:right="201"/>
              <w:spacing w:after="0"/>
              <w:rPr>
                <w:sz w:val="20"/>
                <w:szCs w:val="20"/>
                <w:color w:val="auto"/>
              </w:rPr>
            </w:pPr>
            <w:r>
              <w:rPr>
                <w:rFonts w:ascii="Arial" w:cs="Arial" w:eastAsia="Arial" w:hAnsi="Arial"/>
                <w:sz w:val="16"/>
                <w:szCs w:val="16"/>
                <w:color w:val="202E39"/>
              </w:rPr>
              <w:t>—</w:t>
            </w:r>
          </w:p>
        </w:tc>
      </w:tr>
      <w:tr>
        <w:trPr>
          <w:trHeight w:val="46"/>
        </w:trPr>
        <w:tc>
          <w:tcPr>
            <w:tcW w:w="606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1760" w:type="dxa"/>
            <w:vAlign w:val="bottom"/>
            <w:tcBorders>
              <w:bottom w:val="single" w:sz="8" w:color="E8EAEB"/>
              <w:right w:val="single" w:sz="8" w:color="E8EAEB"/>
            </w:tcBorders>
          </w:tcPr>
          <w:p>
            <w:pPr>
              <w:spacing w:after="0"/>
              <w:rPr>
                <w:sz w:val="4"/>
                <w:szCs w:val="4"/>
                <w:color w:val="auto"/>
              </w:rPr>
            </w:pPr>
          </w:p>
        </w:tc>
        <w:tc>
          <w:tcPr>
            <w:tcW w:w="1780" w:type="dxa"/>
            <w:vAlign w:val="bottom"/>
            <w:tcBorders>
              <w:bottom w:val="single" w:sz="8" w:color="E8EAEB"/>
            </w:tcBorders>
          </w:tcPr>
          <w:p>
            <w:pPr>
              <w:spacing w:after="0"/>
              <w:rPr>
                <w:sz w:val="4"/>
                <w:szCs w:val="4"/>
                <w:color w:val="auto"/>
              </w:rPr>
            </w:pPr>
          </w:p>
        </w:tc>
      </w:tr>
      <w:tr>
        <w:trPr>
          <w:trHeight w:val="231"/>
        </w:trPr>
        <w:tc>
          <w:tcPr>
            <w:tcW w:w="60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Individual — Leadership Performance</w:t>
            </w:r>
          </w:p>
        </w:tc>
        <w:tc>
          <w:tcPr>
            <w:tcW w:w="1420" w:type="dxa"/>
            <w:vAlign w:val="bottom"/>
            <w:tcBorders>
              <w:right w:val="single" w:sz="8" w:color="E8EAEB"/>
            </w:tcBorders>
          </w:tcPr>
          <w:p>
            <w:pPr>
              <w:jc w:val="right"/>
              <w:ind w:right="421"/>
              <w:spacing w:after="0"/>
              <w:rPr>
                <w:sz w:val="20"/>
                <w:szCs w:val="20"/>
                <w:color w:val="auto"/>
              </w:rPr>
            </w:pPr>
            <w:r>
              <w:rPr>
                <w:rFonts w:ascii="Arial" w:cs="Arial" w:eastAsia="Arial" w:hAnsi="Arial"/>
                <w:sz w:val="16"/>
                <w:szCs w:val="16"/>
                <w:color w:val="202E39"/>
              </w:rPr>
              <w:t>25</w:t>
            </w:r>
          </w:p>
        </w:tc>
        <w:tc>
          <w:tcPr>
            <w:tcW w:w="1760" w:type="dxa"/>
            <w:vAlign w:val="bottom"/>
            <w:tcBorders>
              <w:right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c>
          <w:tcPr>
            <w:tcW w:w="1780" w:type="dxa"/>
            <w:vAlign w:val="bottom"/>
          </w:tcPr>
          <w:p>
            <w:pPr>
              <w:jc w:val="right"/>
              <w:ind w:right="201"/>
              <w:spacing w:after="0"/>
              <w:rPr>
                <w:sz w:val="20"/>
                <w:szCs w:val="20"/>
                <w:color w:val="auto"/>
              </w:rPr>
            </w:pPr>
            <w:r>
              <w:rPr>
                <w:rFonts w:ascii="Arial" w:cs="Arial" w:eastAsia="Arial" w:hAnsi="Arial"/>
                <w:sz w:val="16"/>
                <w:szCs w:val="16"/>
                <w:color w:val="202E39"/>
              </w:rPr>
              <w:t>—</w:t>
            </w:r>
          </w:p>
        </w:tc>
      </w:tr>
      <w:tr>
        <w:trPr>
          <w:trHeight w:val="46"/>
        </w:trPr>
        <w:tc>
          <w:tcPr>
            <w:tcW w:w="6060" w:type="dxa"/>
            <w:vAlign w:val="bottom"/>
            <w:tcBorders>
              <w:bottom w:val="single" w:sz="8" w:color="009FE3"/>
              <w:right w:val="single" w:sz="8" w:color="E8EAEB"/>
            </w:tcBorders>
          </w:tcPr>
          <w:p>
            <w:pPr>
              <w:spacing w:after="0"/>
              <w:rPr>
                <w:sz w:val="4"/>
                <w:szCs w:val="4"/>
                <w:color w:val="auto"/>
              </w:rPr>
            </w:pPr>
          </w:p>
        </w:tc>
        <w:tc>
          <w:tcPr>
            <w:tcW w:w="1420" w:type="dxa"/>
            <w:vAlign w:val="bottom"/>
            <w:tcBorders>
              <w:bottom w:val="single" w:sz="8" w:color="009FE3"/>
              <w:right w:val="single" w:sz="8" w:color="E8EAEB"/>
            </w:tcBorders>
          </w:tcPr>
          <w:p>
            <w:pPr>
              <w:spacing w:after="0"/>
              <w:rPr>
                <w:sz w:val="4"/>
                <w:szCs w:val="4"/>
                <w:color w:val="auto"/>
              </w:rPr>
            </w:pPr>
          </w:p>
        </w:tc>
        <w:tc>
          <w:tcPr>
            <w:tcW w:w="1760" w:type="dxa"/>
            <w:vAlign w:val="bottom"/>
            <w:tcBorders>
              <w:bottom w:val="single" w:sz="8" w:color="009FE3"/>
              <w:right w:val="single" w:sz="8" w:color="E8EAEB"/>
            </w:tcBorders>
          </w:tcPr>
          <w:p>
            <w:pPr>
              <w:spacing w:after="0"/>
              <w:rPr>
                <w:sz w:val="4"/>
                <w:szCs w:val="4"/>
                <w:color w:val="auto"/>
              </w:rPr>
            </w:pPr>
          </w:p>
        </w:tc>
        <w:tc>
          <w:tcPr>
            <w:tcW w:w="1780" w:type="dxa"/>
            <w:vAlign w:val="bottom"/>
            <w:tcBorders>
              <w:bottom w:val="single" w:sz="8" w:color="009FE3"/>
            </w:tcBorders>
          </w:tcPr>
          <w:p>
            <w:pPr>
              <w:spacing w:after="0"/>
              <w:rPr>
                <w:sz w:val="4"/>
                <w:szCs w:val="4"/>
                <w:color w:val="auto"/>
              </w:rPr>
            </w:pPr>
          </w:p>
        </w:tc>
      </w:tr>
    </w:tbl>
    <w:p>
      <w:pPr>
        <w:spacing w:after="0" w:line="126" w:lineRule="exact"/>
        <w:rPr>
          <w:sz w:val="20"/>
          <w:szCs w:val="20"/>
          <w:color w:val="auto"/>
        </w:rPr>
      </w:pPr>
    </w:p>
    <w:p>
      <w:pPr>
        <w:ind w:left="540" w:right="40" w:hanging="424"/>
        <w:spacing w:after="0" w:line="258" w:lineRule="auto"/>
        <w:tabs>
          <w:tab w:leader="none" w:pos="540" w:val="left"/>
        </w:tabs>
        <w:numPr>
          <w:ilvl w:val="0"/>
          <w:numId w:val="35"/>
        </w:numPr>
        <w:rPr>
          <w:rFonts w:ascii="Arial" w:cs="Arial" w:eastAsia="Arial" w:hAnsi="Arial"/>
          <w:sz w:val="14"/>
          <w:szCs w:val="14"/>
          <w:color w:val="202E39"/>
        </w:rPr>
      </w:pPr>
      <w:r>
        <w:rPr>
          <w:rFonts w:ascii="Arial" w:cs="Arial" w:eastAsia="Arial" w:hAnsi="Arial"/>
          <w:sz w:val="14"/>
          <w:szCs w:val="14"/>
          <w:color w:val="202E39"/>
        </w:rPr>
        <w:t>An itemized reconciliation between net income (loss) attributable to Viasat, Inc. common stockholders on a GAAP and non-GAAP basis for fiscal year 2021 is set forth below:</w:t>
      </w:r>
    </w:p>
    <w:p>
      <w:pPr>
        <w:spacing w:after="0" w:line="75" w:lineRule="exact"/>
        <w:rPr>
          <w:sz w:val="20"/>
          <w:szCs w:val="20"/>
          <w:color w:val="auto"/>
        </w:rPr>
      </w:pPr>
    </w:p>
    <w:tbl>
      <w:tblPr>
        <w:tblLayout w:type="fixed"/>
        <w:tblInd w:w="2320" w:type="dxa"/>
        <w:tblCellMar>
          <w:top w:w="0" w:type="dxa"/>
          <w:left w:w="0" w:type="dxa"/>
          <w:bottom w:w="0" w:type="dxa"/>
          <w:right w:w="0" w:type="dxa"/>
        </w:tblCellMar>
      </w:tblPr>
      <w:tr>
        <w:trPr>
          <w:trHeight w:val="203"/>
        </w:trPr>
        <w:tc>
          <w:tcPr>
            <w:tcW w:w="4580" w:type="dxa"/>
            <w:vAlign w:val="bottom"/>
            <w:tcBorders>
              <w:top w:val="single" w:sz="8" w:color="E8EAEB"/>
              <w:right w:val="single" w:sz="8" w:color="E8EAEB"/>
            </w:tcBorders>
          </w:tcPr>
          <w:p>
            <w:pPr>
              <w:spacing w:after="0"/>
              <w:rPr>
                <w:sz w:val="17"/>
                <w:szCs w:val="17"/>
                <w:color w:val="auto"/>
              </w:rPr>
            </w:pPr>
          </w:p>
        </w:tc>
        <w:tc>
          <w:tcPr>
            <w:tcW w:w="2040" w:type="dxa"/>
            <w:vAlign w:val="bottom"/>
            <w:tcBorders>
              <w:top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4580" w:type="dxa"/>
            <w:vAlign w:val="bottom"/>
            <w:tcBorders>
              <w:bottom w:val="single" w:sz="8" w:color="009FE3"/>
              <w:right w:val="single" w:sz="8" w:color="E8EAEB"/>
            </w:tcBorders>
          </w:tcPr>
          <w:p>
            <w:pPr>
              <w:spacing w:after="0"/>
              <w:rPr>
                <w:sz w:val="17"/>
                <w:szCs w:val="17"/>
                <w:color w:val="auto"/>
              </w:rPr>
            </w:pPr>
          </w:p>
        </w:tc>
        <w:tc>
          <w:tcPr>
            <w:tcW w:w="2040" w:type="dxa"/>
            <w:vAlign w:val="bottom"/>
            <w:tcBorders>
              <w:bottom w:val="single" w:sz="8" w:color="009FE3"/>
            </w:tcBorders>
            <w:gridSpan w:val="2"/>
          </w:tcPr>
          <w:p>
            <w:pPr>
              <w:jc w:val="center"/>
              <w:spacing w:after="0"/>
              <w:rPr>
                <w:sz w:val="20"/>
                <w:szCs w:val="20"/>
                <w:color w:val="auto"/>
              </w:rPr>
            </w:pPr>
            <w:r>
              <w:rPr>
                <w:rFonts w:ascii="Arial" w:cs="Arial" w:eastAsia="Arial" w:hAnsi="Arial"/>
                <w:sz w:val="14"/>
                <w:szCs w:val="14"/>
                <w:b w:val="1"/>
                <w:bCs w:val="1"/>
                <w:color w:val="009FE3"/>
              </w:rPr>
              <w:t>March 31, 2021</w:t>
            </w:r>
          </w:p>
        </w:tc>
      </w:tr>
      <w:tr>
        <w:trPr>
          <w:trHeight w:val="217"/>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 except per share data)</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
        </w:trPr>
        <w:tc>
          <w:tcPr>
            <w:tcW w:w="4580" w:type="dxa"/>
            <w:vAlign w:val="bottom"/>
            <w:tcBorders>
              <w:bottom w:val="single" w:sz="8" w:color="E8EAEB"/>
              <w:right w:val="single" w:sz="8" w:color="E8EAEB"/>
            </w:tcBorders>
          </w:tcPr>
          <w:p>
            <w:pPr>
              <w:spacing w:after="0"/>
              <w:rPr>
                <w:sz w:val="2"/>
                <w:szCs w:val="2"/>
                <w:color w:val="auto"/>
              </w:rPr>
            </w:pPr>
          </w:p>
        </w:tc>
        <w:tc>
          <w:tcPr>
            <w:tcW w:w="1060" w:type="dxa"/>
            <w:vAlign w:val="bottom"/>
            <w:tcBorders>
              <w:bottom w:val="single" w:sz="8" w:color="E8EAEB"/>
            </w:tcBorders>
          </w:tcPr>
          <w:p>
            <w:pPr>
              <w:spacing w:after="0"/>
              <w:rPr>
                <w:sz w:val="2"/>
                <w:szCs w:val="2"/>
                <w:color w:val="auto"/>
              </w:rPr>
            </w:pPr>
          </w:p>
        </w:tc>
        <w:tc>
          <w:tcPr>
            <w:tcW w:w="980" w:type="dxa"/>
            <w:vAlign w:val="bottom"/>
            <w:tcBorders>
              <w:bottom w:val="single" w:sz="8" w:color="E8EAEB"/>
            </w:tcBorders>
          </w:tcPr>
          <w:p>
            <w:pPr>
              <w:spacing w:after="0"/>
              <w:rPr>
                <w:sz w:val="2"/>
                <w:szCs w:val="2"/>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GAAP net income attributable to Viasat, Inc.</w:t>
            </w:r>
          </w:p>
        </w:tc>
        <w:tc>
          <w:tcPr>
            <w:tcW w:w="1060" w:type="dxa"/>
            <w:vAlign w:val="bottom"/>
          </w:tcPr>
          <w:p>
            <w:pPr>
              <w:jc w:val="center"/>
              <w:ind w:left="868"/>
              <w:spacing w:after="0"/>
              <w:rPr>
                <w:sz w:val="20"/>
                <w:szCs w:val="20"/>
                <w:color w:val="auto"/>
              </w:rPr>
            </w:pPr>
            <w:r>
              <w:rPr>
                <w:rFonts w:ascii="Arial" w:cs="Arial" w:eastAsia="Arial" w:hAnsi="Arial"/>
                <w:sz w:val="14"/>
                <w:szCs w:val="14"/>
                <w:color w:val="202E39"/>
              </w:rPr>
              <w:t>$</w:t>
            </w: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3,691</w:t>
            </w:r>
          </w:p>
        </w:tc>
      </w:tr>
      <w:tr>
        <w:trPr>
          <w:trHeight w:val="26"/>
        </w:trPr>
        <w:tc>
          <w:tcPr>
            <w:tcW w:w="4580" w:type="dxa"/>
            <w:vAlign w:val="bottom"/>
            <w:tcBorders>
              <w:bottom w:val="single" w:sz="8" w:color="E8EAEB"/>
              <w:right w:val="single" w:sz="8" w:color="E8EAEB"/>
            </w:tcBorders>
          </w:tcPr>
          <w:p>
            <w:pPr>
              <w:spacing w:after="0"/>
              <w:rPr>
                <w:sz w:val="2"/>
                <w:szCs w:val="2"/>
                <w:color w:val="auto"/>
              </w:rPr>
            </w:pPr>
          </w:p>
        </w:tc>
        <w:tc>
          <w:tcPr>
            <w:tcW w:w="1060" w:type="dxa"/>
            <w:vAlign w:val="bottom"/>
            <w:tcBorders>
              <w:bottom w:val="single" w:sz="8" w:color="E8EAEB"/>
            </w:tcBorders>
          </w:tcPr>
          <w:p>
            <w:pPr>
              <w:spacing w:after="0"/>
              <w:rPr>
                <w:sz w:val="2"/>
                <w:szCs w:val="2"/>
                <w:color w:val="auto"/>
              </w:rPr>
            </w:pPr>
          </w:p>
        </w:tc>
        <w:tc>
          <w:tcPr>
            <w:tcW w:w="980" w:type="dxa"/>
            <w:vAlign w:val="bottom"/>
            <w:tcBorders>
              <w:bottom w:val="single" w:sz="8" w:color="E8EAEB"/>
            </w:tcBorders>
          </w:tcPr>
          <w:p>
            <w:pPr>
              <w:spacing w:after="0"/>
              <w:rPr>
                <w:sz w:val="2"/>
                <w:szCs w:val="2"/>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Amortization of acquired intangible assets</w:t>
            </w:r>
          </w:p>
        </w:tc>
        <w:tc>
          <w:tcPr>
            <w:tcW w:w="1060" w:type="dxa"/>
            <w:vAlign w:val="bottom"/>
          </w:tcPr>
          <w:p>
            <w:pPr>
              <w:spacing w:after="0"/>
              <w:rPr>
                <w:sz w:val="18"/>
                <w:szCs w:val="18"/>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5,482</w:t>
            </w:r>
          </w:p>
        </w:tc>
      </w:tr>
      <w:tr>
        <w:trPr>
          <w:trHeight w:val="25"/>
        </w:trPr>
        <w:tc>
          <w:tcPr>
            <w:tcW w:w="4580" w:type="dxa"/>
            <w:vAlign w:val="bottom"/>
            <w:tcBorders>
              <w:bottom w:val="single" w:sz="8" w:color="E8EAEB"/>
              <w:right w:val="single" w:sz="8" w:color="E8EAEB"/>
            </w:tcBorders>
          </w:tcPr>
          <w:p>
            <w:pPr>
              <w:spacing w:after="0"/>
              <w:rPr>
                <w:sz w:val="2"/>
                <w:szCs w:val="2"/>
                <w:color w:val="auto"/>
              </w:rPr>
            </w:pPr>
          </w:p>
        </w:tc>
        <w:tc>
          <w:tcPr>
            <w:tcW w:w="1060" w:type="dxa"/>
            <w:vAlign w:val="bottom"/>
            <w:tcBorders>
              <w:bottom w:val="single" w:sz="8" w:color="E8EAEB"/>
            </w:tcBorders>
          </w:tcPr>
          <w:p>
            <w:pPr>
              <w:spacing w:after="0"/>
              <w:rPr>
                <w:sz w:val="2"/>
                <w:szCs w:val="2"/>
                <w:color w:val="auto"/>
              </w:rPr>
            </w:pPr>
          </w:p>
        </w:tc>
        <w:tc>
          <w:tcPr>
            <w:tcW w:w="980" w:type="dxa"/>
            <w:vAlign w:val="bottom"/>
            <w:tcBorders>
              <w:bottom w:val="single" w:sz="8" w:color="E8EAEB"/>
            </w:tcBorders>
          </w:tcPr>
          <w:p>
            <w:pPr>
              <w:spacing w:after="0"/>
              <w:rPr>
                <w:sz w:val="2"/>
                <w:szCs w:val="2"/>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1060" w:type="dxa"/>
            <w:vAlign w:val="bottom"/>
          </w:tcPr>
          <w:p>
            <w:pPr>
              <w:spacing w:after="0"/>
              <w:rPr>
                <w:sz w:val="18"/>
                <w:szCs w:val="18"/>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84,879</w:t>
            </w:r>
          </w:p>
        </w:tc>
      </w:tr>
      <w:tr>
        <w:trPr>
          <w:trHeight w:val="25"/>
        </w:trPr>
        <w:tc>
          <w:tcPr>
            <w:tcW w:w="4580" w:type="dxa"/>
            <w:vAlign w:val="bottom"/>
            <w:tcBorders>
              <w:bottom w:val="single" w:sz="8" w:color="E8EAEB"/>
              <w:right w:val="single" w:sz="8" w:color="E8EAEB"/>
            </w:tcBorders>
          </w:tcPr>
          <w:p>
            <w:pPr>
              <w:spacing w:after="0"/>
              <w:rPr>
                <w:sz w:val="2"/>
                <w:szCs w:val="2"/>
                <w:color w:val="auto"/>
              </w:rPr>
            </w:pPr>
          </w:p>
        </w:tc>
        <w:tc>
          <w:tcPr>
            <w:tcW w:w="1060" w:type="dxa"/>
            <w:vAlign w:val="bottom"/>
            <w:tcBorders>
              <w:bottom w:val="single" w:sz="8" w:color="E8EAEB"/>
            </w:tcBorders>
          </w:tcPr>
          <w:p>
            <w:pPr>
              <w:spacing w:after="0"/>
              <w:rPr>
                <w:sz w:val="2"/>
                <w:szCs w:val="2"/>
                <w:color w:val="auto"/>
              </w:rPr>
            </w:pPr>
          </w:p>
        </w:tc>
        <w:tc>
          <w:tcPr>
            <w:tcW w:w="980" w:type="dxa"/>
            <w:vAlign w:val="bottom"/>
            <w:tcBorders>
              <w:bottom w:val="single" w:sz="8" w:color="E8EAEB"/>
            </w:tcBorders>
          </w:tcPr>
          <w:p>
            <w:pPr>
              <w:spacing w:after="0"/>
              <w:rPr>
                <w:sz w:val="2"/>
                <w:szCs w:val="2"/>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Acquisition related expenses</w:t>
            </w:r>
          </w:p>
        </w:tc>
        <w:tc>
          <w:tcPr>
            <w:tcW w:w="1060" w:type="dxa"/>
            <w:vAlign w:val="bottom"/>
          </w:tcPr>
          <w:p>
            <w:pPr>
              <w:spacing w:after="0"/>
              <w:rPr>
                <w:sz w:val="18"/>
                <w:szCs w:val="18"/>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3,328</w:t>
            </w:r>
          </w:p>
        </w:tc>
      </w:tr>
      <w:tr>
        <w:trPr>
          <w:trHeight w:val="25"/>
        </w:trPr>
        <w:tc>
          <w:tcPr>
            <w:tcW w:w="4580" w:type="dxa"/>
            <w:vAlign w:val="bottom"/>
            <w:tcBorders>
              <w:bottom w:val="single" w:sz="8" w:color="E8EAEB"/>
              <w:right w:val="single" w:sz="8" w:color="E8EAEB"/>
            </w:tcBorders>
          </w:tcPr>
          <w:p>
            <w:pPr>
              <w:spacing w:after="0"/>
              <w:rPr>
                <w:sz w:val="2"/>
                <w:szCs w:val="2"/>
                <w:color w:val="auto"/>
              </w:rPr>
            </w:pPr>
          </w:p>
        </w:tc>
        <w:tc>
          <w:tcPr>
            <w:tcW w:w="2040" w:type="dxa"/>
            <w:vAlign w:val="bottom"/>
            <w:tcBorders>
              <w:bottom w:val="single" w:sz="8" w:color="E8EAEB"/>
            </w:tcBorders>
            <w:gridSpan w:val="2"/>
          </w:tcPr>
          <w:p>
            <w:pPr>
              <w:spacing w:after="0"/>
              <w:rPr>
                <w:sz w:val="2"/>
                <w:szCs w:val="2"/>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Income tax effect</w:t>
            </w:r>
          </w:p>
        </w:tc>
        <w:tc>
          <w:tcPr>
            <w:tcW w:w="2040" w:type="dxa"/>
            <w:vAlign w:val="bottom"/>
            <w:gridSpan w:val="2"/>
          </w:tcPr>
          <w:p>
            <w:pPr>
              <w:jc w:val="right"/>
              <w:ind w:right="388"/>
              <w:spacing w:after="0"/>
              <w:rPr>
                <w:sz w:val="20"/>
                <w:szCs w:val="20"/>
                <w:color w:val="auto"/>
              </w:rPr>
            </w:pPr>
            <w:r>
              <w:rPr>
                <w:rFonts w:ascii="Arial" w:cs="Arial" w:eastAsia="Arial" w:hAnsi="Arial"/>
                <w:sz w:val="14"/>
                <w:szCs w:val="14"/>
                <w:color w:val="202E39"/>
              </w:rPr>
              <w:t>(20,379)</w:t>
            </w:r>
          </w:p>
        </w:tc>
      </w:tr>
      <w:tr>
        <w:trPr>
          <w:trHeight w:val="25"/>
        </w:trPr>
        <w:tc>
          <w:tcPr>
            <w:tcW w:w="4580" w:type="dxa"/>
            <w:vAlign w:val="bottom"/>
            <w:tcBorders>
              <w:bottom w:val="single" w:sz="8" w:color="009FE3"/>
              <w:right w:val="single" w:sz="8" w:color="E8EAEB"/>
            </w:tcBorders>
          </w:tcPr>
          <w:p>
            <w:pPr>
              <w:spacing w:after="0"/>
              <w:rPr>
                <w:sz w:val="2"/>
                <w:szCs w:val="2"/>
                <w:color w:val="auto"/>
              </w:rPr>
            </w:pPr>
          </w:p>
        </w:tc>
        <w:tc>
          <w:tcPr>
            <w:tcW w:w="1060" w:type="dxa"/>
            <w:vAlign w:val="bottom"/>
            <w:tcBorders>
              <w:bottom w:val="single" w:sz="8" w:color="009FE3"/>
            </w:tcBorders>
          </w:tcPr>
          <w:p>
            <w:pPr>
              <w:spacing w:after="0"/>
              <w:rPr>
                <w:sz w:val="2"/>
                <w:szCs w:val="2"/>
                <w:color w:val="auto"/>
              </w:rPr>
            </w:pPr>
          </w:p>
        </w:tc>
        <w:tc>
          <w:tcPr>
            <w:tcW w:w="980" w:type="dxa"/>
            <w:vAlign w:val="bottom"/>
            <w:tcBorders>
              <w:bottom w:val="single" w:sz="8" w:color="009FE3"/>
            </w:tcBorders>
          </w:tcPr>
          <w:p>
            <w:pPr>
              <w:spacing w:after="0"/>
              <w:rPr>
                <w:sz w:val="2"/>
                <w:szCs w:val="2"/>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Non-GAAP net income attributable to Viasat, Inc.</w:t>
            </w:r>
          </w:p>
        </w:tc>
        <w:tc>
          <w:tcPr>
            <w:tcW w:w="1060" w:type="dxa"/>
            <w:vAlign w:val="bottom"/>
          </w:tcPr>
          <w:p>
            <w:pPr>
              <w:jc w:val="center"/>
              <w:ind w:left="868"/>
              <w:spacing w:after="0"/>
              <w:rPr>
                <w:sz w:val="20"/>
                <w:szCs w:val="20"/>
                <w:color w:val="auto"/>
              </w:rPr>
            </w:pPr>
            <w:r>
              <w:rPr>
                <w:rFonts w:ascii="Arial" w:cs="Arial" w:eastAsia="Arial" w:hAnsi="Arial"/>
                <w:sz w:val="14"/>
                <w:szCs w:val="14"/>
                <w:color w:val="202E39"/>
              </w:rPr>
              <w:t>$</w:t>
            </w: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77,001</w:t>
            </w:r>
          </w:p>
        </w:tc>
      </w:tr>
      <w:tr>
        <w:trPr>
          <w:trHeight w:val="25"/>
        </w:trPr>
        <w:tc>
          <w:tcPr>
            <w:tcW w:w="4580" w:type="dxa"/>
            <w:vAlign w:val="bottom"/>
            <w:tcBorders>
              <w:bottom w:val="single" w:sz="8" w:color="009FE3"/>
              <w:right w:val="single" w:sz="8" w:color="E8EAEB"/>
            </w:tcBorders>
          </w:tcPr>
          <w:p>
            <w:pPr>
              <w:spacing w:after="0"/>
              <w:rPr>
                <w:sz w:val="2"/>
                <w:szCs w:val="2"/>
                <w:color w:val="auto"/>
              </w:rPr>
            </w:pPr>
          </w:p>
        </w:tc>
        <w:tc>
          <w:tcPr>
            <w:tcW w:w="1060" w:type="dxa"/>
            <w:vAlign w:val="bottom"/>
            <w:tcBorders>
              <w:bottom w:val="single" w:sz="8" w:color="009FE3"/>
            </w:tcBorders>
          </w:tcPr>
          <w:p>
            <w:pPr>
              <w:spacing w:after="0"/>
              <w:rPr>
                <w:sz w:val="2"/>
                <w:szCs w:val="2"/>
                <w:color w:val="auto"/>
              </w:rPr>
            </w:pPr>
          </w:p>
        </w:tc>
        <w:tc>
          <w:tcPr>
            <w:tcW w:w="980" w:type="dxa"/>
            <w:vAlign w:val="bottom"/>
            <w:tcBorders>
              <w:bottom w:val="single" w:sz="8" w:color="009FE3"/>
            </w:tcBorders>
          </w:tcPr>
          <w:p>
            <w:pPr>
              <w:spacing w:after="0"/>
              <w:rPr>
                <w:sz w:val="2"/>
                <w:szCs w:val="2"/>
                <w:color w:val="auto"/>
              </w:rPr>
            </w:pPr>
          </w:p>
        </w:tc>
      </w:tr>
      <w:tr>
        <w:trPr>
          <w:trHeight w:val="20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Non-GAAP diluted net income per share attributable to Viasat, Inc.</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2"/>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common stockholders</w:t>
            </w:r>
          </w:p>
        </w:tc>
        <w:tc>
          <w:tcPr>
            <w:tcW w:w="1060" w:type="dxa"/>
            <w:vAlign w:val="bottom"/>
          </w:tcPr>
          <w:p>
            <w:pPr>
              <w:jc w:val="center"/>
              <w:ind w:left="868"/>
              <w:spacing w:after="0"/>
              <w:rPr>
                <w:sz w:val="20"/>
                <w:szCs w:val="20"/>
                <w:color w:val="auto"/>
              </w:rPr>
            </w:pPr>
            <w:r>
              <w:rPr>
                <w:rFonts w:ascii="Arial" w:cs="Arial" w:eastAsia="Arial" w:hAnsi="Arial"/>
                <w:sz w:val="14"/>
                <w:szCs w:val="14"/>
                <w:color w:val="202E39"/>
              </w:rPr>
              <w:t>$</w:t>
            </w: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1.15</w:t>
            </w:r>
          </w:p>
        </w:tc>
      </w:tr>
      <w:tr>
        <w:trPr>
          <w:trHeight w:val="39"/>
        </w:trPr>
        <w:tc>
          <w:tcPr>
            <w:tcW w:w="4580" w:type="dxa"/>
            <w:vAlign w:val="bottom"/>
            <w:tcBorders>
              <w:bottom w:val="single" w:sz="8" w:color="E8EAEB"/>
              <w:right w:val="single" w:sz="8" w:color="E8EAEB"/>
            </w:tcBorders>
          </w:tcPr>
          <w:p>
            <w:pPr>
              <w:spacing w:after="0"/>
              <w:rPr>
                <w:sz w:val="3"/>
                <w:szCs w:val="3"/>
                <w:color w:val="auto"/>
              </w:rPr>
            </w:pPr>
          </w:p>
        </w:tc>
        <w:tc>
          <w:tcPr>
            <w:tcW w:w="1060" w:type="dxa"/>
            <w:vAlign w:val="bottom"/>
            <w:tcBorders>
              <w:bottom w:val="single" w:sz="8" w:color="E8EAEB"/>
            </w:tcBorders>
          </w:tcPr>
          <w:p>
            <w:pPr>
              <w:spacing w:after="0"/>
              <w:rPr>
                <w:sz w:val="3"/>
                <w:szCs w:val="3"/>
                <w:color w:val="auto"/>
              </w:rPr>
            </w:pPr>
          </w:p>
        </w:tc>
        <w:tc>
          <w:tcPr>
            <w:tcW w:w="980" w:type="dxa"/>
            <w:vAlign w:val="bottom"/>
            <w:tcBorders>
              <w:bottom w:val="single" w:sz="8" w:color="E8EAEB"/>
            </w:tcBorders>
          </w:tcPr>
          <w:p>
            <w:pPr>
              <w:spacing w:after="0"/>
              <w:rPr>
                <w:sz w:val="3"/>
                <w:szCs w:val="3"/>
                <w:color w:val="auto"/>
              </w:rPr>
            </w:pPr>
          </w:p>
        </w:tc>
      </w:tr>
      <w:tr>
        <w:trPr>
          <w:trHeight w:val="211"/>
        </w:trPr>
        <w:tc>
          <w:tcPr>
            <w:tcW w:w="458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Shares used in computing diluted net income per share</w:t>
            </w:r>
          </w:p>
        </w:tc>
        <w:tc>
          <w:tcPr>
            <w:tcW w:w="1060" w:type="dxa"/>
            <w:vAlign w:val="bottom"/>
          </w:tcPr>
          <w:p>
            <w:pPr>
              <w:spacing w:after="0"/>
              <w:rPr>
                <w:sz w:val="18"/>
                <w:szCs w:val="18"/>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202E39"/>
              </w:rPr>
              <w:t>67,020</w:t>
            </w:r>
          </w:p>
        </w:tc>
      </w:tr>
      <w:tr>
        <w:trPr>
          <w:trHeight w:val="25"/>
        </w:trPr>
        <w:tc>
          <w:tcPr>
            <w:tcW w:w="4580" w:type="dxa"/>
            <w:vAlign w:val="bottom"/>
            <w:tcBorders>
              <w:bottom w:val="single" w:sz="8" w:color="009FE3"/>
              <w:right w:val="single" w:sz="8" w:color="E8EAEB"/>
            </w:tcBorders>
          </w:tcPr>
          <w:p>
            <w:pPr>
              <w:spacing w:after="0"/>
              <w:rPr>
                <w:sz w:val="2"/>
                <w:szCs w:val="2"/>
                <w:color w:val="auto"/>
              </w:rPr>
            </w:pPr>
          </w:p>
        </w:tc>
        <w:tc>
          <w:tcPr>
            <w:tcW w:w="1060" w:type="dxa"/>
            <w:vAlign w:val="bottom"/>
            <w:tcBorders>
              <w:bottom w:val="single" w:sz="8" w:color="009FE3"/>
            </w:tcBorders>
          </w:tcPr>
          <w:p>
            <w:pPr>
              <w:spacing w:after="0"/>
              <w:rPr>
                <w:sz w:val="2"/>
                <w:szCs w:val="2"/>
                <w:color w:val="auto"/>
              </w:rPr>
            </w:pPr>
          </w:p>
        </w:tc>
        <w:tc>
          <w:tcPr>
            <w:tcW w:w="980" w:type="dxa"/>
            <w:vAlign w:val="bottom"/>
            <w:tcBorders>
              <w:bottom w:val="single" w:sz="8" w:color="009FE3"/>
            </w:tcBorders>
          </w:tcPr>
          <w:p>
            <w:pPr>
              <w:spacing w:after="0"/>
              <w:rPr>
                <w:sz w:val="2"/>
                <w:szCs w:val="2"/>
                <w:color w:val="auto"/>
              </w:rPr>
            </w:pPr>
          </w:p>
        </w:tc>
      </w:tr>
    </w:tbl>
    <w:p>
      <w:pPr>
        <w:spacing w:after="0" w:line="126" w:lineRule="exact"/>
        <w:rPr>
          <w:sz w:val="20"/>
          <w:szCs w:val="20"/>
          <w:color w:val="auto"/>
        </w:rPr>
      </w:pPr>
    </w:p>
    <w:p>
      <w:pPr>
        <w:ind w:left="540" w:right="160" w:hanging="424"/>
        <w:spacing w:after="0" w:line="247" w:lineRule="auto"/>
        <w:tabs>
          <w:tab w:leader="none" w:pos="540" w:val="left"/>
        </w:tabs>
        <w:numPr>
          <w:ilvl w:val="0"/>
          <w:numId w:val="36"/>
        </w:numPr>
        <w:rPr>
          <w:rFonts w:ascii="Arial" w:cs="Arial" w:eastAsia="Arial" w:hAnsi="Arial"/>
          <w:sz w:val="14"/>
          <w:szCs w:val="14"/>
          <w:color w:val="202E39"/>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 2021 is set forth below:</w:t>
      </w:r>
    </w:p>
    <w:p>
      <w:pPr>
        <w:spacing w:after="0" w:line="82" w:lineRule="exact"/>
        <w:rPr>
          <w:sz w:val="20"/>
          <w:szCs w:val="20"/>
          <w:color w:val="auto"/>
        </w:rPr>
      </w:pPr>
    </w:p>
    <w:tbl>
      <w:tblPr>
        <w:tblLayout w:type="fixed"/>
        <w:tblInd w:w="2860" w:type="dxa"/>
        <w:tblCellMar>
          <w:top w:w="0" w:type="dxa"/>
          <w:left w:w="0" w:type="dxa"/>
          <w:bottom w:w="0" w:type="dxa"/>
          <w:right w:w="0" w:type="dxa"/>
        </w:tblCellMar>
      </w:tblPr>
      <w:tr>
        <w:trPr>
          <w:trHeight w:val="203"/>
        </w:trPr>
        <w:tc>
          <w:tcPr>
            <w:tcW w:w="3900" w:type="dxa"/>
            <w:vAlign w:val="bottom"/>
            <w:tcBorders>
              <w:top w:val="single" w:sz="8" w:color="E8EAEB"/>
              <w:right w:val="single" w:sz="8" w:color="E8EAEB"/>
            </w:tcBorders>
          </w:tcPr>
          <w:p>
            <w:pPr>
              <w:spacing w:after="0"/>
              <w:rPr>
                <w:sz w:val="17"/>
                <w:szCs w:val="17"/>
                <w:color w:val="auto"/>
              </w:rPr>
            </w:pPr>
          </w:p>
        </w:tc>
        <w:tc>
          <w:tcPr>
            <w:tcW w:w="1620" w:type="dxa"/>
            <w:vAlign w:val="bottom"/>
            <w:tcBorders>
              <w:top w:val="single" w:sz="8" w:color="E8EAEB"/>
            </w:tcBorders>
            <w:gridSpan w:val="2"/>
          </w:tcPr>
          <w:p>
            <w:pPr>
              <w:jc w:val="right"/>
              <w:ind w:right="12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3900" w:type="dxa"/>
            <w:vAlign w:val="bottom"/>
            <w:tcBorders>
              <w:bottom w:val="single" w:sz="8" w:color="009FE3"/>
              <w:right w:val="single" w:sz="8" w:color="E8EAEB"/>
            </w:tcBorders>
          </w:tcPr>
          <w:p>
            <w:pPr>
              <w:spacing w:after="0"/>
              <w:rPr>
                <w:sz w:val="17"/>
                <w:szCs w:val="17"/>
                <w:color w:val="auto"/>
              </w:rPr>
            </w:pPr>
          </w:p>
        </w:tc>
        <w:tc>
          <w:tcPr>
            <w:tcW w:w="1620" w:type="dxa"/>
            <w:vAlign w:val="bottom"/>
            <w:tcBorders>
              <w:bottom w:val="single" w:sz="8" w:color="009FE3"/>
            </w:tcBorders>
            <w:gridSpan w:val="2"/>
          </w:tcPr>
          <w:p>
            <w:pPr>
              <w:jc w:val="right"/>
              <w:ind w:right="228"/>
              <w:spacing w:after="0"/>
              <w:rPr>
                <w:sz w:val="20"/>
                <w:szCs w:val="20"/>
                <w:color w:val="auto"/>
              </w:rPr>
            </w:pPr>
            <w:r>
              <w:rPr>
                <w:rFonts w:ascii="Arial" w:cs="Arial" w:eastAsia="Arial" w:hAnsi="Arial"/>
                <w:sz w:val="14"/>
                <w:szCs w:val="14"/>
                <w:b w:val="1"/>
                <w:bCs w:val="1"/>
                <w:color w:val="009FE3"/>
              </w:rPr>
              <w:t>March 31, 2021</w:t>
            </w:r>
          </w:p>
        </w:tc>
      </w:tr>
      <w:tr>
        <w:trPr>
          <w:trHeight w:val="217"/>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w:t>
            </w: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
        </w:trPr>
        <w:tc>
          <w:tcPr>
            <w:tcW w:w="3900" w:type="dxa"/>
            <w:vAlign w:val="bottom"/>
            <w:tcBorders>
              <w:bottom w:val="single" w:sz="8" w:color="E8EAEB"/>
              <w:right w:val="single" w:sz="8" w:color="E8EAEB"/>
            </w:tcBorders>
          </w:tcPr>
          <w:p>
            <w:pPr>
              <w:spacing w:after="0"/>
              <w:rPr>
                <w:sz w:val="2"/>
                <w:szCs w:val="2"/>
                <w:color w:val="auto"/>
              </w:rPr>
            </w:pPr>
          </w:p>
        </w:tc>
        <w:tc>
          <w:tcPr>
            <w:tcW w:w="620" w:type="dxa"/>
            <w:vAlign w:val="bottom"/>
            <w:tcBorders>
              <w:bottom w:val="single" w:sz="8" w:color="E8EAEB"/>
            </w:tcBorders>
          </w:tcPr>
          <w:p>
            <w:pPr>
              <w:spacing w:after="0"/>
              <w:rPr>
                <w:sz w:val="2"/>
                <w:szCs w:val="2"/>
                <w:color w:val="auto"/>
              </w:rPr>
            </w:pPr>
          </w:p>
        </w:tc>
        <w:tc>
          <w:tcPr>
            <w:tcW w:w="1000" w:type="dxa"/>
            <w:vAlign w:val="bottom"/>
            <w:tcBorders>
              <w:bottom w:val="single" w:sz="8" w:color="E8EAEB"/>
            </w:tcBorders>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GAAP net income attributable to Viasat, Inc.</w:t>
            </w:r>
          </w:p>
        </w:tc>
        <w:tc>
          <w:tcPr>
            <w:tcW w:w="620" w:type="dxa"/>
            <w:vAlign w:val="bottom"/>
          </w:tcPr>
          <w:p>
            <w:pPr>
              <w:jc w:val="right"/>
              <w:spacing w:after="0"/>
              <w:rPr>
                <w:sz w:val="20"/>
                <w:szCs w:val="20"/>
                <w:color w:val="auto"/>
              </w:rPr>
            </w:pPr>
            <w:r>
              <w:rPr>
                <w:rFonts w:ascii="Arial" w:cs="Arial" w:eastAsia="Arial" w:hAnsi="Arial"/>
                <w:sz w:val="14"/>
                <w:szCs w:val="14"/>
                <w:color w:val="202E39"/>
              </w:rPr>
              <w:t>$</w:t>
            </w:r>
          </w:p>
        </w:tc>
        <w:tc>
          <w:tcPr>
            <w:tcW w:w="1000" w:type="dxa"/>
            <w:vAlign w:val="bottom"/>
          </w:tcPr>
          <w:p>
            <w:pPr>
              <w:jc w:val="right"/>
              <w:ind w:right="408"/>
              <w:spacing w:after="0"/>
              <w:rPr>
                <w:sz w:val="20"/>
                <w:szCs w:val="20"/>
                <w:color w:val="auto"/>
              </w:rPr>
            </w:pPr>
            <w:r>
              <w:rPr>
                <w:rFonts w:ascii="Arial" w:cs="Arial" w:eastAsia="Arial" w:hAnsi="Arial"/>
                <w:sz w:val="14"/>
                <w:szCs w:val="14"/>
                <w:color w:val="202E39"/>
              </w:rPr>
              <w:t>3,691</w:t>
            </w:r>
          </w:p>
        </w:tc>
      </w:tr>
      <w:tr>
        <w:trPr>
          <w:trHeight w:val="25"/>
        </w:trPr>
        <w:tc>
          <w:tcPr>
            <w:tcW w:w="3900" w:type="dxa"/>
            <w:vAlign w:val="bottom"/>
            <w:tcBorders>
              <w:bottom w:val="single" w:sz="8" w:color="E8EAEB"/>
              <w:right w:val="single" w:sz="8" w:color="E8EAEB"/>
            </w:tcBorders>
          </w:tcPr>
          <w:p>
            <w:pPr>
              <w:spacing w:after="0"/>
              <w:rPr>
                <w:sz w:val="2"/>
                <w:szCs w:val="2"/>
                <w:color w:val="auto"/>
              </w:rPr>
            </w:pPr>
          </w:p>
        </w:tc>
        <w:tc>
          <w:tcPr>
            <w:tcW w:w="620" w:type="dxa"/>
            <w:vAlign w:val="bottom"/>
            <w:tcBorders>
              <w:bottom w:val="single" w:sz="8" w:color="E8EAEB"/>
            </w:tcBorders>
          </w:tcPr>
          <w:p>
            <w:pPr>
              <w:spacing w:after="0"/>
              <w:rPr>
                <w:sz w:val="2"/>
                <w:szCs w:val="2"/>
                <w:color w:val="auto"/>
              </w:rPr>
            </w:pPr>
          </w:p>
        </w:tc>
        <w:tc>
          <w:tcPr>
            <w:tcW w:w="1000" w:type="dxa"/>
            <w:vAlign w:val="bottom"/>
            <w:tcBorders>
              <w:bottom w:val="single" w:sz="8" w:color="E8EAEB"/>
            </w:tcBorders>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Provision for income taxes</w:t>
            </w:r>
          </w:p>
        </w:tc>
        <w:tc>
          <w:tcPr>
            <w:tcW w:w="62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202E39"/>
              </w:rPr>
              <w:t>9,441</w:t>
            </w:r>
          </w:p>
        </w:tc>
      </w:tr>
      <w:tr>
        <w:trPr>
          <w:trHeight w:val="25"/>
        </w:trPr>
        <w:tc>
          <w:tcPr>
            <w:tcW w:w="3900" w:type="dxa"/>
            <w:vAlign w:val="bottom"/>
            <w:tcBorders>
              <w:bottom w:val="single" w:sz="8" w:color="E8EAEB"/>
              <w:right w:val="single" w:sz="8" w:color="E8EAEB"/>
            </w:tcBorders>
          </w:tcPr>
          <w:p>
            <w:pPr>
              <w:spacing w:after="0"/>
              <w:rPr>
                <w:sz w:val="2"/>
                <w:szCs w:val="2"/>
                <w:color w:val="auto"/>
              </w:rPr>
            </w:pPr>
          </w:p>
        </w:tc>
        <w:tc>
          <w:tcPr>
            <w:tcW w:w="620" w:type="dxa"/>
            <w:vAlign w:val="bottom"/>
            <w:tcBorders>
              <w:bottom w:val="single" w:sz="8" w:color="E8EAEB"/>
            </w:tcBorders>
          </w:tcPr>
          <w:p>
            <w:pPr>
              <w:spacing w:after="0"/>
              <w:rPr>
                <w:sz w:val="2"/>
                <w:szCs w:val="2"/>
                <w:color w:val="auto"/>
              </w:rPr>
            </w:pPr>
          </w:p>
        </w:tc>
        <w:tc>
          <w:tcPr>
            <w:tcW w:w="1000" w:type="dxa"/>
            <w:vAlign w:val="bottom"/>
            <w:tcBorders>
              <w:bottom w:val="single" w:sz="8" w:color="E8EAEB"/>
            </w:tcBorders>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Interest expense, net</w:t>
            </w:r>
          </w:p>
        </w:tc>
        <w:tc>
          <w:tcPr>
            <w:tcW w:w="62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202E39"/>
              </w:rPr>
              <w:t>32,247</w:t>
            </w:r>
          </w:p>
        </w:tc>
      </w:tr>
      <w:tr>
        <w:trPr>
          <w:trHeight w:val="25"/>
        </w:trPr>
        <w:tc>
          <w:tcPr>
            <w:tcW w:w="3900" w:type="dxa"/>
            <w:vAlign w:val="bottom"/>
            <w:tcBorders>
              <w:bottom w:val="single" w:sz="8" w:color="E8EAEB"/>
              <w:right w:val="single" w:sz="8" w:color="E8EAEB"/>
            </w:tcBorders>
          </w:tcPr>
          <w:p>
            <w:pPr>
              <w:spacing w:after="0"/>
              <w:rPr>
                <w:sz w:val="2"/>
                <w:szCs w:val="2"/>
                <w:color w:val="auto"/>
              </w:rPr>
            </w:pPr>
          </w:p>
        </w:tc>
        <w:tc>
          <w:tcPr>
            <w:tcW w:w="620" w:type="dxa"/>
            <w:vAlign w:val="bottom"/>
            <w:tcBorders>
              <w:bottom w:val="single" w:sz="8" w:color="E8EAEB"/>
            </w:tcBorders>
          </w:tcPr>
          <w:p>
            <w:pPr>
              <w:spacing w:after="0"/>
              <w:rPr>
                <w:sz w:val="2"/>
                <w:szCs w:val="2"/>
                <w:color w:val="auto"/>
              </w:rPr>
            </w:pPr>
          </w:p>
        </w:tc>
        <w:tc>
          <w:tcPr>
            <w:tcW w:w="1000" w:type="dxa"/>
            <w:vAlign w:val="bottom"/>
            <w:tcBorders>
              <w:bottom w:val="single" w:sz="8" w:color="E8EAEB"/>
            </w:tcBorders>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Depreciation and amortization</w:t>
            </w:r>
          </w:p>
        </w:tc>
        <w:tc>
          <w:tcPr>
            <w:tcW w:w="62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202E39"/>
                <w:w w:val="98"/>
              </w:rPr>
              <w:t>397,102</w:t>
            </w:r>
          </w:p>
        </w:tc>
      </w:tr>
      <w:tr>
        <w:trPr>
          <w:trHeight w:val="25"/>
        </w:trPr>
        <w:tc>
          <w:tcPr>
            <w:tcW w:w="3900" w:type="dxa"/>
            <w:vAlign w:val="bottom"/>
            <w:tcBorders>
              <w:bottom w:val="single" w:sz="8" w:color="E8EAEB"/>
              <w:right w:val="single" w:sz="8" w:color="E8EAEB"/>
            </w:tcBorders>
          </w:tcPr>
          <w:p>
            <w:pPr>
              <w:spacing w:after="0"/>
              <w:rPr>
                <w:sz w:val="2"/>
                <w:szCs w:val="2"/>
                <w:color w:val="auto"/>
              </w:rPr>
            </w:pPr>
          </w:p>
        </w:tc>
        <w:tc>
          <w:tcPr>
            <w:tcW w:w="620" w:type="dxa"/>
            <w:vAlign w:val="bottom"/>
            <w:tcBorders>
              <w:bottom w:val="single" w:sz="8" w:color="E8EAEB"/>
            </w:tcBorders>
          </w:tcPr>
          <w:p>
            <w:pPr>
              <w:spacing w:after="0"/>
              <w:rPr>
                <w:sz w:val="2"/>
                <w:szCs w:val="2"/>
                <w:color w:val="auto"/>
              </w:rPr>
            </w:pPr>
          </w:p>
        </w:tc>
        <w:tc>
          <w:tcPr>
            <w:tcW w:w="1000" w:type="dxa"/>
            <w:vAlign w:val="bottom"/>
            <w:tcBorders>
              <w:bottom w:val="single" w:sz="8" w:color="E8EAEB"/>
            </w:tcBorders>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62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202E39"/>
              </w:rPr>
              <w:t>84,879</w:t>
            </w:r>
          </w:p>
        </w:tc>
      </w:tr>
      <w:tr>
        <w:trPr>
          <w:trHeight w:val="25"/>
        </w:trPr>
        <w:tc>
          <w:tcPr>
            <w:tcW w:w="3900" w:type="dxa"/>
            <w:vAlign w:val="bottom"/>
            <w:tcBorders>
              <w:bottom w:val="single" w:sz="8" w:color="E8EAEB"/>
              <w:right w:val="single" w:sz="8" w:color="E8EAEB"/>
            </w:tcBorders>
          </w:tcPr>
          <w:p>
            <w:pPr>
              <w:spacing w:after="0"/>
              <w:rPr>
                <w:sz w:val="2"/>
                <w:szCs w:val="2"/>
                <w:color w:val="auto"/>
              </w:rPr>
            </w:pPr>
          </w:p>
        </w:tc>
        <w:tc>
          <w:tcPr>
            <w:tcW w:w="620" w:type="dxa"/>
            <w:vAlign w:val="bottom"/>
            <w:tcBorders>
              <w:bottom w:val="single" w:sz="8" w:color="E8EAEB"/>
            </w:tcBorders>
          </w:tcPr>
          <w:p>
            <w:pPr>
              <w:spacing w:after="0"/>
              <w:rPr>
                <w:sz w:val="2"/>
                <w:szCs w:val="2"/>
                <w:color w:val="auto"/>
              </w:rPr>
            </w:pPr>
          </w:p>
        </w:tc>
        <w:tc>
          <w:tcPr>
            <w:tcW w:w="1000" w:type="dxa"/>
            <w:vAlign w:val="bottom"/>
            <w:tcBorders>
              <w:bottom w:val="single" w:sz="8" w:color="E8EAEB"/>
            </w:tcBorders>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Acquisition related expenses</w:t>
            </w:r>
          </w:p>
        </w:tc>
        <w:tc>
          <w:tcPr>
            <w:tcW w:w="620" w:type="dxa"/>
            <w:vAlign w:val="bottom"/>
          </w:tcPr>
          <w:p>
            <w:pPr>
              <w:spacing w:after="0"/>
              <w:rPr>
                <w:sz w:val="18"/>
                <w:szCs w:val="18"/>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202E39"/>
              </w:rPr>
              <w:t>3,328</w:t>
            </w:r>
          </w:p>
        </w:tc>
      </w:tr>
      <w:tr>
        <w:trPr>
          <w:trHeight w:val="25"/>
        </w:trPr>
        <w:tc>
          <w:tcPr>
            <w:tcW w:w="3900" w:type="dxa"/>
            <w:vAlign w:val="bottom"/>
            <w:tcBorders>
              <w:bottom w:val="single" w:sz="8" w:color="009FE3"/>
              <w:right w:val="single" w:sz="8" w:color="E8EAEB"/>
            </w:tcBorders>
          </w:tcPr>
          <w:p>
            <w:pPr>
              <w:spacing w:after="0"/>
              <w:rPr>
                <w:sz w:val="2"/>
                <w:szCs w:val="2"/>
                <w:color w:val="auto"/>
              </w:rPr>
            </w:pPr>
          </w:p>
        </w:tc>
        <w:tc>
          <w:tcPr>
            <w:tcW w:w="1620" w:type="dxa"/>
            <w:vAlign w:val="bottom"/>
            <w:tcBorders>
              <w:bottom w:val="single" w:sz="8" w:color="009FE3"/>
            </w:tcBorders>
            <w:gridSpan w:val="2"/>
          </w:tcPr>
          <w:p>
            <w:pPr>
              <w:spacing w:after="0"/>
              <w:rPr>
                <w:sz w:val="2"/>
                <w:szCs w:val="2"/>
                <w:color w:val="auto"/>
              </w:rPr>
            </w:pPr>
          </w:p>
        </w:tc>
      </w:tr>
      <w:tr>
        <w:trPr>
          <w:trHeight w:val="211"/>
        </w:trPr>
        <w:tc>
          <w:tcPr>
            <w:tcW w:w="3900" w:type="dxa"/>
            <w:vAlign w:val="bottom"/>
            <w:tcBorders>
              <w:right w:val="single" w:sz="8" w:color="E8EAEB"/>
            </w:tcBorders>
          </w:tcPr>
          <w:p>
            <w:pPr>
              <w:ind w:left="80"/>
              <w:spacing w:after="0"/>
              <w:rPr>
                <w:sz w:val="20"/>
                <w:szCs w:val="20"/>
                <w:color w:val="auto"/>
              </w:rPr>
            </w:pPr>
            <w:r>
              <w:rPr>
                <w:rFonts w:ascii="Arial" w:cs="Arial" w:eastAsia="Arial" w:hAnsi="Arial"/>
                <w:sz w:val="14"/>
                <w:szCs w:val="14"/>
                <w:color w:val="202E39"/>
              </w:rPr>
              <w:t>Adjusted EBITDA</w:t>
            </w:r>
          </w:p>
        </w:tc>
        <w:tc>
          <w:tcPr>
            <w:tcW w:w="1620" w:type="dxa"/>
            <w:vAlign w:val="bottom"/>
            <w:gridSpan w:val="2"/>
          </w:tcPr>
          <w:p>
            <w:pPr>
              <w:jc w:val="right"/>
              <w:ind w:right="408"/>
              <w:spacing w:after="0"/>
              <w:rPr>
                <w:sz w:val="20"/>
                <w:szCs w:val="20"/>
                <w:color w:val="auto"/>
              </w:rPr>
            </w:pPr>
            <w:r>
              <w:rPr>
                <w:rFonts w:ascii="Arial" w:cs="Arial" w:eastAsia="Arial" w:hAnsi="Arial"/>
                <w:sz w:val="14"/>
                <w:szCs w:val="14"/>
                <w:color w:val="202E39"/>
              </w:rPr>
              <w:t>$530,688</w:t>
            </w:r>
          </w:p>
        </w:tc>
      </w:tr>
      <w:tr>
        <w:trPr>
          <w:trHeight w:val="25"/>
        </w:trPr>
        <w:tc>
          <w:tcPr>
            <w:tcW w:w="3900" w:type="dxa"/>
            <w:vAlign w:val="bottom"/>
            <w:tcBorders>
              <w:bottom w:val="single" w:sz="8" w:color="009FE3"/>
              <w:right w:val="single" w:sz="8" w:color="E8EAEB"/>
            </w:tcBorders>
          </w:tcPr>
          <w:p>
            <w:pPr>
              <w:spacing w:after="0"/>
              <w:rPr>
                <w:sz w:val="2"/>
                <w:szCs w:val="2"/>
                <w:color w:val="auto"/>
              </w:rPr>
            </w:pPr>
          </w:p>
        </w:tc>
        <w:tc>
          <w:tcPr>
            <w:tcW w:w="620" w:type="dxa"/>
            <w:vAlign w:val="bottom"/>
            <w:tcBorders>
              <w:bottom w:val="single" w:sz="8" w:color="009FE3"/>
            </w:tcBorders>
          </w:tcPr>
          <w:p>
            <w:pPr>
              <w:spacing w:after="0"/>
              <w:rPr>
                <w:sz w:val="2"/>
                <w:szCs w:val="2"/>
                <w:color w:val="auto"/>
              </w:rPr>
            </w:pPr>
          </w:p>
        </w:tc>
        <w:tc>
          <w:tcPr>
            <w:tcW w:w="1000" w:type="dxa"/>
            <w:vAlign w:val="bottom"/>
            <w:tcBorders>
              <w:bottom w:val="single" w:sz="8" w:color="009FE3"/>
            </w:tcBorders>
          </w:tcPr>
          <w:p>
            <w:pPr>
              <w:spacing w:after="0"/>
              <w:rPr>
                <w:sz w:val="2"/>
                <w:szCs w:val="2"/>
                <w:color w:val="auto"/>
              </w:rPr>
            </w:pPr>
          </w:p>
        </w:tc>
      </w:tr>
    </w:tbl>
    <w:p>
      <w:pPr>
        <w:spacing w:after="0" w:line="110" w:lineRule="exact"/>
        <w:rPr>
          <w:sz w:val="20"/>
          <w:szCs w:val="20"/>
          <w:color w:val="auto"/>
        </w:rPr>
      </w:pPr>
    </w:p>
    <w:p>
      <w:pPr>
        <w:ind w:left="120" w:right="540"/>
        <w:spacing w:after="0" w:line="260" w:lineRule="auto"/>
        <w:rPr>
          <w:sz w:val="20"/>
          <w:szCs w:val="20"/>
          <w:color w:val="auto"/>
        </w:rPr>
      </w:pPr>
      <w:r>
        <w:rPr>
          <w:rFonts w:ascii="Arial" w:cs="Arial" w:eastAsia="Arial" w:hAnsi="Arial"/>
          <w:sz w:val="16"/>
          <w:szCs w:val="16"/>
          <w:color w:val="202E39"/>
        </w:rPr>
        <w:t>Based on our fiscal year 2021 financial results, the Committee, acting under delegation of authority from the Board, determined that the company’s achievement relative to the pre-established financial objectives described above was approximately 124%.</w:t>
      </w:r>
    </w:p>
    <w:p>
      <w:pPr>
        <w:spacing w:after="0" w:line="71" w:lineRule="exact"/>
        <w:rPr>
          <w:sz w:val="20"/>
          <w:szCs w:val="20"/>
          <w:color w:val="auto"/>
        </w:rPr>
      </w:pPr>
    </w:p>
    <w:p>
      <w:pPr>
        <w:ind w:left="120" w:right="500"/>
        <w:spacing w:after="0" w:line="281" w:lineRule="auto"/>
        <w:rPr>
          <w:sz w:val="20"/>
          <w:szCs w:val="20"/>
          <w:color w:val="auto"/>
        </w:rPr>
      </w:pPr>
      <w:r>
        <w:rPr>
          <w:rFonts w:ascii="Arial" w:cs="Arial" w:eastAsia="Arial" w:hAnsi="Arial"/>
          <w:sz w:val="16"/>
          <w:szCs w:val="16"/>
          <w:i w:val="1"/>
          <w:iCs w:val="1"/>
          <w:color w:val="009FE3"/>
        </w:rPr>
        <w:t xml:space="preserve">Chief Executive Officer Annual Bonus Determination. </w:t>
      </w:r>
      <w:r>
        <w:rPr>
          <w:rFonts w:ascii="Arial" w:cs="Arial" w:eastAsia="Arial" w:hAnsi="Arial"/>
          <w:sz w:val="16"/>
          <w:szCs w:val="16"/>
          <w:color w:val="202E39"/>
        </w:rPr>
        <w:t>For purposes of determining our Chief Executive Officer’s performance achievement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leadership and strategic objectives in fiscal year 2021, the Committee relied on an assessment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69850</wp:posOffset>
            </wp:positionV>
            <wp:extent cx="43688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Chief Executive Officer’s performance completed by the Nomination, Evaluation and Corporate Governance Committee. The criteria used by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Nomination, Evaluation and Corporate Governance Committee included the following:</w:t>
      </w:r>
    </w:p>
    <w:p>
      <w:pPr>
        <w:spacing w:after="0" w:line="127" w:lineRule="exact"/>
        <w:rPr>
          <w:sz w:val="20"/>
          <w:szCs w:val="20"/>
          <w:color w:val="auto"/>
        </w:rPr>
      </w:pPr>
    </w:p>
    <w:p>
      <w:pPr>
        <w:ind w:left="660" w:hanging="220"/>
        <w:spacing w:after="0"/>
        <w:tabs>
          <w:tab w:leader="none" w:pos="660" w:val="left"/>
        </w:tabs>
        <w:numPr>
          <w:ilvl w:val="0"/>
          <w:numId w:val="37"/>
        </w:numPr>
        <w:rPr>
          <w:rFonts w:ascii="Arial" w:cs="Arial" w:eastAsia="Arial" w:hAnsi="Arial"/>
          <w:sz w:val="16"/>
          <w:szCs w:val="16"/>
          <w:color w:val="009FE3"/>
        </w:rPr>
      </w:pPr>
      <w:r>
        <w:rPr>
          <w:rFonts w:ascii="Arial" w:cs="Arial" w:eastAsia="Arial" w:hAnsi="Arial"/>
          <w:sz w:val="16"/>
          <w:szCs w:val="16"/>
          <w:color w:val="009FE3"/>
        </w:rPr>
        <w:t xml:space="preserve">Leadership.  </w:t>
      </w:r>
      <w:r>
        <w:rPr>
          <w:rFonts w:ascii="Arial" w:cs="Arial" w:eastAsia="Arial" w:hAnsi="Arial"/>
          <w:sz w:val="16"/>
          <w:szCs w:val="16"/>
          <w:color w:val="202E39"/>
        </w:rPr>
        <w:t>Defining, managing and attaining corporate goals, and exemplifying and promoting ethics and integrity throughout the company.</w:t>
      </w:r>
    </w:p>
    <w:p>
      <w:pPr>
        <w:spacing w:after="0" w:line="126" w:lineRule="exact"/>
        <w:rPr>
          <w:rFonts w:ascii="Arial" w:cs="Arial" w:eastAsia="Arial" w:hAnsi="Arial"/>
          <w:sz w:val="16"/>
          <w:szCs w:val="16"/>
          <w:color w:val="009FE3"/>
        </w:rPr>
      </w:pPr>
    </w:p>
    <w:p>
      <w:pPr>
        <w:ind w:left="660" w:right="180" w:hanging="220"/>
        <w:spacing w:after="0" w:line="260" w:lineRule="auto"/>
        <w:tabs>
          <w:tab w:leader="none" w:pos="660" w:val="left"/>
        </w:tabs>
        <w:numPr>
          <w:ilvl w:val="0"/>
          <w:numId w:val="37"/>
        </w:numPr>
        <w:rPr>
          <w:rFonts w:ascii="Arial" w:cs="Arial" w:eastAsia="Arial" w:hAnsi="Arial"/>
          <w:sz w:val="16"/>
          <w:szCs w:val="16"/>
          <w:color w:val="009FE3"/>
        </w:rPr>
      </w:pPr>
      <w:r>
        <w:rPr>
          <w:rFonts w:ascii="Arial" w:cs="Arial" w:eastAsia="Arial" w:hAnsi="Arial"/>
          <w:sz w:val="16"/>
          <w:szCs w:val="16"/>
          <w:color w:val="009FE3"/>
        </w:rPr>
        <w:t xml:space="preserve">Strategic. </w:t>
      </w:r>
      <w:r>
        <w:rPr>
          <w:rFonts w:ascii="Arial" w:cs="Arial" w:eastAsia="Arial" w:hAnsi="Arial"/>
          <w:sz w:val="16"/>
          <w:szCs w:val="16"/>
          <w:color w:val="202E39"/>
        </w:rPr>
        <w:t>Industry positioning, short-term and long-term strategies, measurable progress in key business areas and effective pursuit of growth</w:t>
      </w:r>
      <w:r>
        <w:rPr>
          <w:rFonts w:ascii="Arial" w:cs="Arial" w:eastAsia="Arial" w:hAnsi="Arial"/>
          <w:sz w:val="16"/>
          <w:szCs w:val="16"/>
          <w:color w:val="009FE3"/>
        </w:rPr>
        <w:t xml:space="preserve"> </w:t>
      </w:r>
      <w:r>
        <w:rPr>
          <w:rFonts w:ascii="Arial" w:cs="Arial" w:eastAsia="Arial" w:hAnsi="Arial"/>
          <w:sz w:val="16"/>
          <w:szCs w:val="16"/>
          <w:color w:val="202E39"/>
        </w:rPr>
        <w:t>strategies.</w:t>
      </w:r>
    </w:p>
    <w:p>
      <w:pPr>
        <w:spacing w:after="0" w:line="87"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202E39"/>
        </w:rPr>
        <w:t>The Nomination, Evaluation and Corporate Governance Committee evaluated our Chief Executive Officer’s leadership and strategic performance during fiscal year 2021 in the context of the company’s strong financial results relative to the pre-established, objective financial criteria described above, and noted, among other things,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2185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2185670"/>
                    </a:xfrm>
                    <a:prstGeom prst="rect">
                      <a:avLst/>
                    </a:prstGeom>
                    <a:noFill/>
                  </pic:spPr>
                </pic:pic>
              </a:graphicData>
            </a:graphic>
          </wp:anchor>
        </w:drawing>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20" w:type="dxa"/>
            <w:vAlign w:val="bottom"/>
            <w:shd w:val="clear" w:color="auto" w:fill="009FE3"/>
          </w:tcPr>
          <w:p>
            <w:pPr>
              <w:ind w:left="2080"/>
              <w:spacing w:after="0"/>
              <w:rPr>
                <w:sz w:val="20"/>
                <w:szCs w:val="20"/>
                <w:color w:val="auto"/>
              </w:rPr>
            </w:pPr>
            <w:r>
              <w:rPr>
                <w:rFonts w:ascii="Arial" w:cs="Arial" w:eastAsia="Arial" w:hAnsi="Arial"/>
                <w:sz w:val="14"/>
                <w:szCs w:val="14"/>
                <w:b w:val="1"/>
                <w:bCs w:val="1"/>
                <w:color w:val="FFFFFF"/>
              </w:rPr>
              <w:t>Leadership Performance</w:t>
            </w:r>
          </w:p>
        </w:tc>
        <w:tc>
          <w:tcPr>
            <w:tcW w:w="5400" w:type="dxa"/>
            <w:vAlign w:val="bottom"/>
            <w:shd w:val="clear" w:color="auto" w:fill="009FE3"/>
          </w:tcPr>
          <w:p>
            <w:pPr>
              <w:ind w:left="1980"/>
              <w:spacing w:after="0"/>
              <w:rPr>
                <w:sz w:val="20"/>
                <w:szCs w:val="20"/>
                <w:color w:val="auto"/>
              </w:rPr>
            </w:pPr>
            <w:r>
              <w:rPr>
                <w:rFonts w:ascii="Arial" w:cs="Arial" w:eastAsia="Arial" w:hAnsi="Arial"/>
                <w:sz w:val="14"/>
                <w:szCs w:val="14"/>
                <w:b w:val="1"/>
                <w:bCs w:val="1"/>
                <w:color w:val="FFFFFF"/>
              </w:rPr>
              <w:t>Strategic Performance</w:t>
            </w:r>
          </w:p>
        </w:tc>
      </w:tr>
      <w:tr>
        <w:trPr>
          <w:trHeight w:val="24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Recognized by Fast Company in 2020 World Changing Ideas Awards</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Significant progress on proprietary next-generation ViaSat-3 global</w:t>
            </w:r>
          </w:p>
        </w:tc>
      </w:tr>
      <w:tr>
        <w:trPr>
          <w:trHeight w:val="195"/>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satellite constellation</w:t>
            </w:r>
          </w:p>
        </w:tc>
      </w:tr>
      <w:tr>
        <w:trPr>
          <w:trHeight w:val="29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Maintained high employee engagement during COVID-19 pandemic as</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Selected by Delta Air Lines and KLM Royal Dutch Airlines to provide</w:t>
            </w:r>
          </w:p>
        </w:tc>
      </w:tr>
      <w:tr>
        <w:trPr>
          <w:trHeight w:val="195"/>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demonstrated by a 94% favorable employee engagement score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leading satellite IFC solution</w:t>
            </w:r>
          </w:p>
        </w:tc>
      </w:tr>
      <w:tr>
        <w:trPr>
          <w:trHeight w:val="29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Named among Best Internet Service Providers of 2020 by U.S. News &amp;</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Enhanced global capabilities through the signing of definitive agreements</w:t>
            </w:r>
          </w:p>
        </w:tc>
      </w:tr>
      <w:tr>
        <w:trPr>
          <w:trHeight w:val="18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World Report</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for the strategic acquisitions of RigNet and the remaining equity interests</w:t>
            </w:r>
          </w:p>
        </w:tc>
      </w:tr>
      <w:tr>
        <w:trPr>
          <w:trHeight w:val="195"/>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in EBI ahead of ViaSat-3 constellation</w:t>
            </w:r>
          </w:p>
        </w:tc>
      </w:tr>
      <w:tr>
        <w:trPr>
          <w:trHeight w:val="29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Led industry initiative around space safety and environmental compliance</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Grew average revenue per user (ARPU) in our U.S. fixed broadband</w:t>
            </w:r>
          </w:p>
        </w:tc>
      </w:tr>
      <w:tr>
        <w:trPr>
          <w:trHeight w:val="189"/>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business, expanded fixed broadband offerings in Brazil and Mexico, and</w:t>
            </w:r>
          </w:p>
        </w:tc>
      </w:tr>
      <w:tr>
        <w:trPr>
          <w:trHeight w:val="195"/>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successfully entered new markets</w:t>
            </w:r>
          </w:p>
        </w:tc>
      </w:tr>
      <w:tr>
        <w:trPr>
          <w:trHeight w:val="291"/>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Implemented company-wide organizational objective and key results (OKR)</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Awarded indefinite delivery / indefinite quantity (IDIQ) contracts by U.S.</w:t>
            </w:r>
          </w:p>
        </w:tc>
      </w:tr>
      <w:tr>
        <w:trPr>
          <w:trHeight w:val="189"/>
        </w:trPr>
        <w:tc>
          <w:tcPr>
            <w:tcW w:w="562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program to promote alignment and enhance execution</w:t>
            </w: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military with over $1 billion in potential value to supply multi-functional</w:t>
            </w:r>
          </w:p>
        </w:tc>
      </w:tr>
      <w:tr>
        <w:trPr>
          <w:trHeight w:val="189"/>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information distribution system (MIDS) joint tactical radio systems (JTRS)</w:t>
            </w:r>
          </w:p>
        </w:tc>
      </w:tr>
      <w:tr>
        <w:trPr>
          <w:trHeight w:val="195"/>
        </w:trPr>
        <w:tc>
          <w:tcPr>
            <w:tcW w:w="5620" w:type="dxa"/>
            <w:vAlign w:val="bottom"/>
            <w:shd w:val="clear" w:color="auto" w:fill="EDEEEF"/>
          </w:tcPr>
          <w:p>
            <w:pPr>
              <w:spacing w:after="0"/>
              <w:rPr>
                <w:sz w:val="16"/>
                <w:szCs w:val="16"/>
                <w:color w:val="auto"/>
              </w:rPr>
            </w:pPr>
          </w:p>
        </w:tc>
        <w:tc>
          <w:tcPr>
            <w:tcW w:w="540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terminals and Advanced Battle Management System (ABMS)</w:t>
            </w:r>
          </w:p>
        </w:tc>
      </w:tr>
      <w:tr>
        <w:trPr>
          <w:trHeight w:val="74"/>
        </w:trPr>
        <w:tc>
          <w:tcPr>
            <w:tcW w:w="5620" w:type="dxa"/>
            <w:vAlign w:val="bottom"/>
            <w:tcBorders>
              <w:bottom w:val="single" w:sz="8" w:color="009FE3"/>
            </w:tcBorders>
            <w:shd w:val="clear" w:color="auto" w:fill="EDEEEF"/>
          </w:tcPr>
          <w:p>
            <w:pPr>
              <w:spacing w:after="0"/>
              <w:rPr>
                <w:sz w:val="6"/>
                <w:szCs w:val="6"/>
                <w:color w:val="auto"/>
              </w:rPr>
            </w:pPr>
          </w:p>
        </w:tc>
        <w:tc>
          <w:tcPr>
            <w:tcW w:w="5400" w:type="dxa"/>
            <w:vAlign w:val="bottom"/>
            <w:tcBorders>
              <w:bottom w:val="single" w:sz="8" w:color="009FE3"/>
            </w:tcBorders>
            <w:shd w:val="clear" w:color="auto" w:fill="EDEEEF"/>
          </w:tcPr>
          <w:p>
            <w:pPr>
              <w:spacing w:after="0"/>
              <w:rPr>
                <w:sz w:val="6"/>
                <w:szCs w:val="6"/>
                <w:color w:val="auto"/>
              </w:rPr>
            </w:pPr>
          </w:p>
        </w:tc>
      </w:tr>
    </w:tbl>
    <w:p>
      <w:pPr>
        <w:spacing w:after="0" w:line="110" w:lineRule="exact"/>
        <w:rPr>
          <w:sz w:val="20"/>
          <w:szCs w:val="20"/>
          <w:color w:val="auto"/>
        </w:rPr>
      </w:pPr>
    </w:p>
    <w:p>
      <w:pPr>
        <w:ind w:left="120" w:right="160"/>
        <w:spacing w:after="0" w:line="253" w:lineRule="auto"/>
        <w:rPr>
          <w:sz w:val="20"/>
          <w:szCs w:val="20"/>
          <w:color w:val="auto"/>
        </w:rPr>
      </w:pPr>
      <w:r>
        <w:rPr>
          <w:rFonts w:ascii="Arial" w:cs="Arial" w:eastAsia="Arial" w:hAnsi="Arial"/>
          <w:sz w:val="16"/>
          <w:szCs w:val="16"/>
          <w:color w:val="202E39"/>
        </w:rPr>
        <w:t>Based on the accomplishments set forth above, as well as the achievement of other leadership and strategic objectives, the Nomination, Evaluation and Corporate Governance Committee awarded Mr. Baldridge 118% credit for the achievement of leadership and strategic performance objectives. The Committee relied on the foregoing evaluations in determining Mr. Baldridge’s final annual bonus award.</w:t>
      </w:r>
    </w:p>
    <w:p>
      <w:pPr>
        <w:spacing w:after="0" w:line="77"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i w:val="1"/>
          <w:iCs w:val="1"/>
          <w:color w:val="009FE3"/>
        </w:rPr>
        <w:t xml:space="preserve">Other Named Executive Officers Annual Bonus Results. </w:t>
      </w:r>
      <w:r>
        <w:rPr>
          <w:rFonts w:ascii="Arial" w:cs="Arial" w:eastAsia="Arial" w:hAnsi="Arial"/>
          <w:sz w:val="16"/>
          <w:szCs w:val="16"/>
          <w:color w:val="202E39"/>
        </w:rPr>
        <w:t>In making its overall determinations relative to the leadership and strategic components for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other Named Executive Officers’ bonuses, the Committee assigned the same weightings to the financial (50% of annual bonus determination), leadership (25%) and strategic (25%) performance criteria that it used for our Chief Executive Officer. The Committee placed special emphasis on the leadership provided by each executive officer in the achievement of financial, critical non-financial, operational and strategic business objectives during fiscal year 2021. In particular, the Committee considered each individual’s contributions during fiscal year 2021 to strong overall performance despite the COVID-19 pandemic, record new contract awards, improved net income and record Adjusted EBITDA, significant progress on our proprietary next-generation ViaSat-3 global satellite constellation, new IFC awards, and the achievement of enhanced global capabilities through the signing of definitive agreements for the strategic acquisitions of RigNet and the remaining equity interests in EBI (which closed subsequent to fiscal year end), in addition to the following:</w:t>
      </w:r>
    </w:p>
    <w:p>
      <w:pPr>
        <w:spacing w:after="0" w:line="110" w:lineRule="exact"/>
        <w:rPr>
          <w:sz w:val="20"/>
          <w:szCs w:val="20"/>
          <w:color w:val="auto"/>
        </w:rPr>
      </w:pPr>
    </w:p>
    <w:p>
      <w:pPr>
        <w:ind w:left="660" w:right="320" w:hanging="220"/>
        <w:spacing w:after="0" w:line="260" w:lineRule="auto"/>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009FE3"/>
        </w:rPr>
        <w:t xml:space="preserve">Mr. Dankberg: </w:t>
      </w:r>
      <w:r>
        <w:rPr>
          <w:rFonts w:ascii="Arial" w:cs="Arial" w:eastAsia="Arial" w:hAnsi="Arial"/>
          <w:sz w:val="16"/>
          <w:szCs w:val="16"/>
          <w:color w:val="202E39"/>
        </w:rPr>
        <w:t>Leadership over the successful transition to the Executive Chairman role and continued oversight of the company’s long-term</w:t>
      </w:r>
      <w:r>
        <w:rPr>
          <w:rFonts w:ascii="Arial" w:cs="Arial" w:eastAsia="Arial" w:hAnsi="Arial"/>
          <w:sz w:val="16"/>
          <w:szCs w:val="16"/>
          <w:color w:val="009FE3"/>
        </w:rPr>
        <w:t xml:space="preserve"> </w:t>
      </w:r>
      <w:r>
        <w:rPr>
          <w:rFonts w:ascii="Arial" w:cs="Arial" w:eastAsia="Arial" w:hAnsi="Arial"/>
          <w:sz w:val="16"/>
          <w:szCs w:val="16"/>
          <w:color w:val="202E39"/>
        </w:rPr>
        <w:t>technical vision and regulatory challenges. Mr. Dankberg led an industry initiative on space safety and environmental compliance.</w:t>
      </w:r>
    </w:p>
    <w:p>
      <w:pPr>
        <w:spacing w:after="0" w:line="46" w:lineRule="exact"/>
        <w:rPr>
          <w:rFonts w:ascii="Arial" w:cs="Arial" w:eastAsia="Arial" w:hAnsi="Arial"/>
          <w:sz w:val="16"/>
          <w:szCs w:val="16"/>
          <w:color w:val="009FE3"/>
        </w:rPr>
      </w:pPr>
    </w:p>
    <w:p>
      <w:pPr>
        <w:ind w:left="660" w:right="20" w:hanging="220"/>
        <w:spacing w:after="0" w:line="253" w:lineRule="auto"/>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009FE3"/>
        </w:rPr>
        <w:t>Ms. Duffy</w:t>
      </w:r>
      <w:r>
        <w:rPr>
          <w:rFonts w:ascii="Arial" w:cs="Arial" w:eastAsia="Arial" w:hAnsi="Arial"/>
          <w:sz w:val="16"/>
          <w:szCs w:val="16"/>
          <w:color w:val="202E39"/>
        </w:rPr>
        <w:t>: Leadership over our capital allocation strategy, particularly during the COVID-19 pandemic, which enabled us to continue progress on</w:t>
      </w:r>
      <w:r>
        <w:rPr>
          <w:rFonts w:ascii="Arial" w:cs="Arial" w:eastAsia="Arial" w:hAnsi="Arial"/>
          <w:sz w:val="16"/>
          <w:szCs w:val="16"/>
          <w:color w:val="009FE3"/>
        </w:rPr>
        <w:t xml:space="preserve"> </w:t>
      </w:r>
      <w:r>
        <w:rPr>
          <w:rFonts w:ascii="Arial" w:cs="Arial" w:eastAsia="Arial" w:hAnsi="Arial"/>
          <w:sz w:val="16"/>
          <w:szCs w:val="16"/>
          <w:color w:val="202E39"/>
        </w:rPr>
        <w:t>the ViaSat-3 program and continue investments in innovation, and ultimately resulted in improved net income and record Adjusted EBITDA performance.</w:t>
      </w:r>
    </w:p>
    <w:p>
      <w:pPr>
        <w:spacing w:after="0" w:line="52" w:lineRule="exact"/>
        <w:rPr>
          <w:rFonts w:ascii="Arial" w:cs="Arial" w:eastAsia="Arial" w:hAnsi="Arial"/>
          <w:sz w:val="16"/>
          <w:szCs w:val="16"/>
          <w:color w:val="009FE3"/>
        </w:rPr>
      </w:pPr>
    </w:p>
    <w:p>
      <w:pPr>
        <w:ind w:left="660" w:right="20" w:hanging="220"/>
        <w:spacing w:after="0" w:line="253" w:lineRule="auto"/>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009FE3"/>
        </w:rPr>
        <w:t xml:space="preserve">Mr. Dodd: </w:t>
      </w:r>
      <w:r>
        <w:rPr>
          <w:rFonts w:ascii="Arial" w:cs="Arial" w:eastAsia="Arial" w:hAnsi="Arial"/>
          <w:sz w:val="16"/>
          <w:szCs w:val="16"/>
          <w:color w:val="202E39"/>
        </w:rPr>
        <w:t>Leadership of our global and enterprise mobility business, including his perseverance through significant challenges resulting from the</w:t>
      </w:r>
      <w:r>
        <w:rPr>
          <w:rFonts w:ascii="Arial" w:cs="Arial" w:eastAsia="Arial" w:hAnsi="Arial"/>
          <w:sz w:val="16"/>
          <w:szCs w:val="16"/>
          <w:color w:val="009FE3"/>
        </w:rPr>
        <w:t xml:space="preserve"> </w:t>
      </w:r>
      <w:r>
        <w:rPr>
          <w:rFonts w:ascii="Arial" w:cs="Arial" w:eastAsia="Arial" w:hAnsi="Arial"/>
          <w:sz w:val="16"/>
          <w:szCs w:val="16"/>
          <w:color w:val="202E39"/>
        </w:rPr>
        <w:t>COVID-19 pandemic and the award of new IFC contracts with Delta Air Lines and KLM Royal Dutch Airlines. Additionally, Mr. Dodd led the strategic acquisition of RigNet, which closed shortly after fiscal year end and positions us to expand into new global enterprise vertical markets.</w:t>
      </w:r>
    </w:p>
    <w:p>
      <w:pPr>
        <w:spacing w:after="0" w:line="52" w:lineRule="exact"/>
        <w:rPr>
          <w:rFonts w:ascii="Arial" w:cs="Arial" w:eastAsia="Arial" w:hAnsi="Arial"/>
          <w:sz w:val="16"/>
          <w:szCs w:val="16"/>
          <w:color w:val="009FE3"/>
        </w:rPr>
      </w:pPr>
    </w:p>
    <w:p>
      <w:pPr>
        <w:ind w:left="660" w:hanging="220"/>
        <w:spacing w:after="0"/>
        <w:tabs>
          <w:tab w:leader="none" w:pos="660" w:val="left"/>
        </w:tabs>
        <w:numPr>
          <w:ilvl w:val="0"/>
          <w:numId w:val="38"/>
        </w:numPr>
        <w:rPr>
          <w:rFonts w:ascii="Arial" w:cs="Arial" w:eastAsia="Arial" w:hAnsi="Arial"/>
          <w:sz w:val="16"/>
          <w:szCs w:val="16"/>
          <w:color w:val="009FE3"/>
        </w:rPr>
      </w:pPr>
      <w:r>
        <w:rPr>
          <w:rFonts w:ascii="Arial" w:cs="Arial" w:eastAsia="Arial" w:hAnsi="Arial"/>
          <w:sz w:val="16"/>
          <w:szCs w:val="16"/>
          <w:color w:val="009FE3"/>
        </w:rPr>
        <w:t xml:space="preserve">Mr. Miller:  </w:t>
      </w:r>
      <w:r>
        <w:rPr>
          <w:rFonts w:ascii="Arial" w:cs="Arial" w:eastAsia="Arial" w:hAnsi="Arial"/>
          <w:sz w:val="16"/>
          <w:szCs w:val="16"/>
          <w:color w:val="202E39"/>
        </w:rPr>
        <w:t>Leadership over the technical design elements of the ViaSat-3 and ViaSat-4 satellite programs.</w:t>
      </w:r>
    </w:p>
    <w:p>
      <w:pPr>
        <w:spacing w:after="0" w:line="13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47</w:t>
            </w: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880"/>
        <w:spacing w:after="0" w:line="260" w:lineRule="auto"/>
        <w:rPr>
          <w:sz w:val="20"/>
          <w:szCs w:val="20"/>
          <w:color w:val="auto"/>
        </w:rPr>
      </w:pPr>
      <w:r>
        <w:rPr>
          <w:rFonts w:ascii="Arial" w:cs="Arial" w:eastAsia="Arial" w:hAnsi="Arial"/>
          <w:sz w:val="16"/>
          <w:szCs w:val="16"/>
          <w:color w:val="202E39"/>
        </w:rPr>
        <w:t>Additionally, the Committee assessed the total direct compensation positioning for each Named Executive Officer to ensure final decisions are appropriately market competitive relative to each executive officers’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217170</wp:posOffset>
            </wp:positionV>
            <wp:extent cx="5220335" cy="548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203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6"/>
          <w:szCs w:val="16"/>
          <w:color w:val="202E39"/>
        </w:rPr>
        <w:t>Based upon our financial results for fiscal year 2021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Fiscal Year 2021 Bonuses</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880" w:type="dxa"/>
            <w:vAlign w:val="bottom"/>
            <w:tcBorders>
              <w:top w:val="single" w:sz="8" w:color="E8EAEB"/>
              <w:right w:val="single" w:sz="8" w:color="E8EAEB"/>
            </w:tcBorders>
          </w:tcPr>
          <w:p>
            <w:pPr>
              <w:spacing w:after="0"/>
              <w:rPr>
                <w:sz w:val="17"/>
                <w:szCs w:val="17"/>
                <w:color w:val="auto"/>
              </w:rPr>
            </w:pPr>
          </w:p>
        </w:tc>
        <w:tc>
          <w:tcPr>
            <w:tcW w:w="180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Target Bonus</w:t>
            </w:r>
          </w:p>
        </w:tc>
        <w:tc>
          <w:tcPr>
            <w:tcW w:w="1460" w:type="dxa"/>
            <w:vAlign w:val="bottom"/>
            <w:tcBorders>
              <w:top w:val="single" w:sz="8" w:color="E8EAEB"/>
              <w:right w:val="single" w:sz="8" w:color="E8EAEB"/>
            </w:tcBorders>
          </w:tcPr>
          <w:p>
            <w:pPr>
              <w:spacing w:after="0"/>
              <w:rPr>
                <w:sz w:val="17"/>
                <w:szCs w:val="17"/>
                <w:color w:val="auto"/>
              </w:rPr>
            </w:pPr>
          </w:p>
        </w:tc>
        <w:tc>
          <w:tcPr>
            <w:tcW w:w="188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Actual Bonus</w:t>
            </w:r>
          </w:p>
        </w:tc>
      </w:tr>
      <w:tr>
        <w:trPr>
          <w:trHeight w:val="162"/>
        </w:trPr>
        <w:tc>
          <w:tcPr>
            <w:tcW w:w="5880" w:type="dxa"/>
            <w:vAlign w:val="bottom"/>
            <w:tcBorders>
              <w:right w:val="single" w:sz="8" w:color="E8EAEB"/>
            </w:tcBorders>
          </w:tcPr>
          <w:p>
            <w:pPr>
              <w:spacing w:after="0"/>
              <w:rPr>
                <w:sz w:val="14"/>
                <w:szCs w:val="14"/>
                <w:color w:val="auto"/>
              </w:rPr>
            </w:pPr>
          </w:p>
        </w:tc>
        <w:tc>
          <w:tcPr>
            <w:tcW w:w="18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Percentage of</w:t>
            </w:r>
          </w:p>
        </w:tc>
        <w:tc>
          <w:tcPr>
            <w:tcW w:w="1460" w:type="dxa"/>
            <w:vAlign w:val="bottom"/>
            <w:tcBorders>
              <w:right w:val="single" w:sz="8" w:color="E8EAEB"/>
            </w:tcBorders>
          </w:tcPr>
          <w:p>
            <w:pPr>
              <w:jc w:val="right"/>
              <w:ind w:right="201"/>
              <w:spacing w:after="0"/>
              <w:rPr>
                <w:sz w:val="20"/>
                <w:szCs w:val="20"/>
                <w:color w:val="auto"/>
              </w:rPr>
            </w:pPr>
            <w:r>
              <w:rPr>
                <w:rFonts w:ascii="Arial" w:cs="Arial" w:eastAsia="Arial" w:hAnsi="Arial"/>
                <w:sz w:val="14"/>
                <w:szCs w:val="14"/>
                <w:b w:val="1"/>
                <w:bCs w:val="1"/>
                <w:color w:val="009FE3"/>
              </w:rPr>
              <w:t>Actual Bonus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9FE3"/>
              </w:rPr>
              <w:t>As Percentage of</w:t>
            </w:r>
          </w:p>
        </w:tc>
      </w:tr>
      <w:tr>
        <w:trPr>
          <w:trHeight w:val="196"/>
        </w:trPr>
        <w:tc>
          <w:tcPr>
            <w:tcW w:w="58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8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Base Salary (%)</w:t>
            </w:r>
          </w:p>
        </w:tc>
        <w:tc>
          <w:tcPr>
            <w:tcW w:w="1460" w:type="dxa"/>
            <w:vAlign w:val="bottom"/>
            <w:tcBorders>
              <w:bottom w:val="single" w:sz="8" w:color="009FE3"/>
              <w:right w:val="single" w:sz="8" w:color="E8EAEB"/>
            </w:tcBorders>
          </w:tcPr>
          <w:p>
            <w:pPr>
              <w:jc w:val="right"/>
              <w:ind w:right="581"/>
              <w:spacing w:after="0"/>
              <w:rPr>
                <w:sz w:val="20"/>
                <w:szCs w:val="20"/>
                <w:color w:val="auto"/>
              </w:rPr>
            </w:pPr>
            <w:r>
              <w:rPr>
                <w:rFonts w:ascii="Arial" w:cs="Arial" w:eastAsia="Arial" w:hAnsi="Arial"/>
                <w:sz w:val="14"/>
                <w:szCs w:val="14"/>
                <w:b w:val="1"/>
                <w:bCs w:val="1"/>
                <w:color w:val="009FE3"/>
              </w:rPr>
              <w:t>($)</w:t>
            </w:r>
          </w:p>
        </w:tc>
        <w:tc>
          <w:tcPr>
            <w:tcW w:w="188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Base Salary (%) (1)</w:t>
            </w:r>
          </w:p>
        </w:tc>
      </w:tr>
      <w:tr>
        <w:trPr>
          <w:trHeight w:val="236"/>
        </w:trPr>
        <w:tc>
          <w:tcPr>
            <w:tcW w:w="58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800" w:type="dxa"/>
            <w:vAlign w:val="bottom"/>
            <w:tcBorders>
              <w:bottom w:val="single" w:sz="8" w:color="E8EAEB"/>
              <w:right w:val="single" w:sz="8" w:color="E8EAEB"/>
            </w:tcBorders>
          </w:tcPr>
          <w:p>
            <w:pPr>
              <w:jc w:val="right"/>
              <w:ind w:right="662"/>
              <w:spacing w:after="0"/>
              <w:rPr>
                <w:sz w:val="20"/>
                <w:szCs w:val="20"/>
                <w:color w:val="auto"/>
              </w:rPr>
            </w:pPr>
            <w:r>
              <w:rPr>
                <w:rFonts w:ascii="Arial" w:cs="Arial" w:eastAsia="Arial" w:hAnsi="Arial"/>
                <w:sz w:val="16"/>
                <w:szCs w:val="16"/>
                <w:color w:val="202E39"/>
              </w:rPr>
              <w:t>140</w:t>
            </w:r>
          </w:p>
        </w:tc>
        <w:tc>
          <w:tcPr>
            <w:tcW w:w="1460" w:type="dxa"/>
            <w:vAlign w:val="bottom"/>
            <w:tcBorders>
              <w:bottom w:val="single" w:sz="8" w:color="E8EAEB"/>
              <w:right w:val="single" w:sz="8" w:color="E8EAEB"/>
            </w:tcBorders>
          </w:tcPr>
          <w:p>
            <w:pPr>
              <w:jc w:val="right"/>
              <w:ind w:right="281"/>
              <w:spacing w:after="0"/>
              <w:rPr>
                <w:sz w:val="20"/>
                <w:szCs w:val="20"/>
                <w:color w:val="auto"/>
              </w:rPr>
            </w:pPr>
            <w:r>
              <w:rPr>
                <w:rFonts w:ascii="Arial" w:cs="Arial" w:eastAsia="Arial" w:hAnsi="Arial"/>
                <w:sz w:val="16"/>
                <w:szCs w:val="16"/>
                <w:color w:val="202E39"/>
              </w:rPr>
              <w:t>1,820,000</w:t>
            </w:r>
          </w:p>
        </w:tc>
        <w:tc>
          <w:tcPr>
            <w:tcW w:w="1880" w:type="dxa"/>
            <w:vAlign w:val="bottom"/>
            <w:tcBorders>
              <w:bottom w:val="single" w:sz="8" w:color="E8EAEB"/>
            </w:tcBorders>
          </w:tcPr>
          <w:p>
            <w:pPr>
              <w:jc w:val="right"/>
              <w:ind w:right="702"/>
              <w:spacing w:after="0"/>
              <w:rPr>
                <w:sz w:val="20"/>
                <w:szCs w:val="20"/>
                <w:color w:val="auto"/>
              </w:rPr>
            </w:pPr>
            <w:r>
              <w:rPr>
                <w:rFonts w:ascii="Arial" w:cs="Arial" w:eastAsia="Arial" w:hAnsi="Arial"/>
                <w:sz w:val="16"/>
                <w:szCs w:val="16"/>
                <w:color w:val="202E39"/>
              </w:rPr>
              <w:t>140</w:t>
            </w:r>
          </w:p>
        </w:tc>
      </w:tr>
      <w:tr>
        <w:trPr>
          <w:trHeight w:val="236"/>
        </w:trPr>
        <w:tc>
          <w:tcPr>
            <w:tcW w:w="58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800" w:type="dxa"/>
            <w:vAlign w:val="bottom"/>
            <w:tcBorders>
              <w:bottom w:val="single" w:sz="8" w:color="E8EAEB"/>
              <w:right w:val="single" w:sz="8" w:color="E8EAEB"/>
            </w:tcBorders>
          </w:tcPr>
          <w:p>
            <w:pPr>
              <w:jc w:val="right"/>
              <w:ind w:right="662"/>
              <w:spacing w:after="0"/>
              <w:rPr>
                <w:sz w:val="20"/>
                <w:szCs w:val="20"/>
                <w:color w:val="auto"/>
              </w:rPr>
            </w:pPr>
            <w:r>
              <w:rPr>
                <w:rFonts w:ascii="Arial" w:cs="Arial" w:eastAsia="Arial" w:hAnsi="Arial"/>
                <w:sz w:val="16"/>
                <w:szCs w:val="16"/>
                <w:color w:val="202E39"/>
              </w:rPr>
              <w:t>140</w:t>
            </w:r>
          </w:p>
        </w:tc>
        <w:tc>
          <w:tcPr>
            <w:tcW w:w="1460" w:type="dxa"/>
            <w:vAlign w:val="bottom"/>
            <w:tcBorders>
              <w:bottom w:val="single" w:sz="8" w:color="E8EAEB"/>
              <w:right w:val="single" w:sz="8" w:color="E8EAEB"/>
            </w:tcBorders>
          </w:tcPr>
          <w:p>
            <w:pPr>
              <w:jc w:val="right"/>
              <w:ind w:right="281"/>
              <w:spacing w:after="0"/>
              <w:rPr>
                <w:sz w:val="20"/>
                <w:szCs w:val="20"/>
                <w:color w:val="auto"/>
              </w:rPr>
            </w:pPr>
            <w:r>
              <w:rPr>
                <w:rFonts w:ascii="Arial" w:cs="Arial" w:eastAsia="Arial" w:hAnsi="Arial"/>
                <w:sz w:val="16"/>
                <w:szCs w:val="16"/>
                <w:color w:val="202E39"/>
              </w:rPr>
              <w:t>1,820,000</w:t>
            </w:r>
          </w:p>
        </w:tc>
        <w:tc>
          <w:tcPr>
            <w:tcW w:w="1880" w:type="dxa"/>
            <w:vAlign w:val="bottom"/>
            <w:tcBorders>
              <w:bottom w:val="single" w:sz="8" w:color="E8EAEB"/>
            </w:tcBorders>
          </w:tcPr>
          <w:p>
            <w:pPr>
              <w:jc w:val="right"/>
              <w:ind w:right="702"/>
              <w:spacing w:after="0"/>
              <w:rPr>
                <w:sz w:val="20"/>
                <w:szCs w:val="20"/>
                <w:color w:val="auto"/>
              </w:rPr>
            </w:pPr>
            <w:r>
              <w:rPr>
                <w:rFonts w:ascii="Arial" w:cs="Arial" w:eastAsia="Arial" w:hAnsi="Arial"/>
                <w:sz w:val="16"/>
                <w:szCs w:val="16"/>
                <w:color w:val="202E39"/>
              </w:rPr>
              <w:t>140</w:t>
            </w:r>
          </w:p>
        </w:tc>
      </w:tr>
      <w:tr>
        <w:trPr>
          <w:trHeight w:val="236"/>
        </w:trPr>
        <w:tc>
          <w:tcPr>
            <w:tcW w:w="58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800" w:type="dxa"/>
            <w:vAlign w:val="bottom"/>
            <w:tcBorders>
              <w:bottom w:val="single" w:sz="8" w:color="E8EAEB"/>
              <w:right w:val="single" w:sz="8" w:color="E8EAEB"/>
            </w:tcBorders>
          </w:tcPr>
          <w:p>
            <w:pPr>
              <w:jc w:val="right"/>
              <w:ind w:right="662"/>
              <w:spacing w:after="0"/>
              <w:rPr>
                <w:sz w:val="20"/>
                <w:szCs w:val="20"/>
                <w:color w:val="auto"/>
              </w:rPr>
            </w:pPr>
            <w:r>
              <w:rPr>
                <w:rFonts w:ascii="Arial" w:cs="Arial" w:eastAsia="Arial" w:hAnsi="Arial"/>
                <w:sz w:val="16"/>
                <w:szCs w:val="16"/>
                <w:color w:val="202E39"/>
              </w:rPr>
              <w:t>90</w:t>
            </w:r>
          </w:p>
        </w:tc>
        <w:tc>
          <w:tcPr>
            <w:tcW w:w="1460" w:type="dxa"/>
            <w:vAlign w:val="bottom"/>
            <w:tcBorders>
              <w:bottom w:val="single" w:sz="8" w:color="E8EAEB"/>
              <w:right w:val="single" w:sz="8" w:color="E8EAEB"/>
            </w:tcBorders>
          </w:tcPr>
          <w:p>
            <w:pPr>
              <w:jc w:val="right"/>
              <w:ind w:right="281"/>
              <w:spacing w:after="0"/>
              <w:rPr>
                <w:sz w:val="20"/>
                <w:szCs w:val="20"/>
                <w:color w:val="auto"/>
              </w:rPr>
            </w:pPr>
            <w:r>
              <w:rPr>
                <w:rFonts w:ascii="Arial" w:cs="Arial" w:eastAsia="Arial" w:hAnsi="Arial"/>
                <w:sz w:val="16"/>
                <w:szCs w:val="16"/>
                <w:color w:val="202E39"/>
              </w:rPr>
              <w:t>610,000</w:t>
            </w:r>
          </w:p>
        </w:tc>
        <w:tc>
          <w:tcPr>
            <w:tcW w:w="1880" w:type="dxa"/>
            <w:vAlign w:val="bottom"/>
            <w:tcBorders>
              <w:bottom w:val="single" w:sz="8" w:color="E8EAEB"/>
            </w:tcBorders>
          </w:tcPr>
          <w:p>
            <w:pPr>
              <w:jc w:val="right"/>
              <w:ind w:right="702"/>
              <w:spacing w:after="0"/>
              <w:rPr>
                <w:sz w:val="20"/>
                <w:szCs w:val="20"/>
                <w:color w:val="auto"/>
              </w:rPr>
            </w:pPr>
            <w:r>
              <w:rPr>
                <w:rFonts w:ascii="Arial" w:cs="Arial" w:eastAsia="Arial" w:hAnsi="Arial"/>
                <w:sz w:val="16"/>
                <w:szCs w:val="16"/>
                <w:color w:val="202E39"/>
              </w:rPr>
              <w:t>106</w:t>
            </w:r>
          </w:p>
        </w:tc>
      </w:tr>
      <w:tr>
        <w:trPr>
          <w:trHeight w:val="237"/>
        </w:trPr>
        <w:tc>
          <w:tcPr>
            <w:tcW w:w="58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1800" w:type="dxa"/>
            <w:vAlign w:val="bottom"/>
            <w:tcBorders>
              <w:bottom w:val="single" w:sz="8" w:color="E8EAEB"/>
              <w:right w:val="single" w:sz="8" w:color="E8EAEB"/>
            </w:tcBorders>
          </w:tcPr>
          <w:p>
            <w:pPr>
              <w:jc w:val="right"/>
              <w:ind w:right="662"/>
              <w:spacing w:after="0"/>
              <w:rPr>
                <w:sz w:val="20"/>
                <w:szCs w:val="20"/>
                <w:color w:val="auto"/>
              </w:rPr>
            </w:pPr>
            <w:r>
              <w:rPr>
                <w:rFonts w:ascii="Arial" w:cs="Arial" w:eastAsia="Arial" w:hAnsi="Arial"/>
                <w:sz w:val="16"/>
                <w:szCs w:val="16"/>
                <w:color w:val="202E39"/>
              </w:rPr>
              <w:t>75</w:t>
            </w:r>
          </w:p>
        </w:tc>
        <w:tc>
          <w:tcPr>
            <w:tcW w:w="1460" w:type="dxa"/>
            <w:vAlign w:val="bottom"/>
            <w:tcBorders>
              <w:bottom w:val="single" w:sz="8" w:color="E8EAEB"/>
              <w:right w:val="single" w:sz="8" w:color="E8EAEB"/>
            </w:tcBorders>
          </w:tcPr>
          <w:p>
            <w:pPr>
              <w:jc w:val="right"/>
              <w:ind w:right="281"/>
              <w:spacing w:after="0"/>
              <w:rPr>
                <w:sz w:val="20"/>
                <w:szCs w:val="20"/>
                <w:color w:val="auto"/>
              </w:rPr>
            </w:pPr>
            <w:r>
              <w:rPr>
                <w:rFonts w:ascii="Arial" w:cs="Arial" w:eastAsia="Arial" w:hAnsi="Arial"/>
                <w:sz w:val="16"/>
                <w:szCs w:val="16"/>
                <w:color w:val="202E39"/>
              </w:rPr>
              <w:t>425,000</w:t>
            </w:r>
          </w:p>
        </w:tc>
        <w:tc>
          <w:tcPr>
            <w:tcW w:w="1880" w:type="dxa"/>
            <w:vAlign w:val="bottom"/>
            <w:tcBorders>
              <w:bottom w:val="single" w:sz="8" w:color="E8EAEB"/>
            </w:tcBorders>
          </w:tcPr>
          <w:p>
            <w:pPr>
              <w:jc w:val="right"/>
              <w:ind w:right="702"/>
              <w:spacing w:after="0"/>
              <w:rPr>
                <w:sz w:val="20"/>
                <w:szCs w:val="20"/>
                <w:color w:val="auto"/>
              </w:rPr>
            </w:pPr>
            <w:r>
              <w:rPr>
                <w:rFonts w:ascii="Arial" w:cs="Arial" w:eastAsia="Arial" w:hAnsi="Arial"/>
                <w:sz w:val="16"/>
                <w:szCs w:val="16"/>
                <w:color w:val="202E39"/>
              </w:rPr>
              <w:t>71</w:t>
            </w:r>
          </w:p>
        </w:tc>
      </w:tr>
      <w:tr>
        <w:trPr>
          <w:trHeight w:val="237"/>
        </w:trPr>
        <w:tc>
          <w:tcPr>
            <w:tcW w:w="58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 (2)</w:t>
            </w:r>
          </w:p>
        </w:tc>
        <w:tc>
          <w:tcPr>
            <w:tcW w:w="1800" w:type="dxa"/>
            <w:vAlign w:val="bottom"/>
            <w:tcBorders>
              <w:bottom w:val="single" w:sz="8" w:color="E8EAEB"/>
              <w:right w:val="single" w:sz="8" w:color="E8EAEB"/>
            </w:tcBorders>
          </w:tcPr>
          <w:p>
            <w:pPr>
              <w:jc w:val="right"/>
              <w:ind w:right="662"/>
              <w:spacing w:after="0"/>
              <w:rPr>
                <w:sz w:val="20"/>
                <w:szCs w:val="20"/>
                <w:color w:val="auto"/>
              </w:rPr>
            </w:pPr>
            <w:r>
              <w:rPr>
                <w:rFonts w:ascii="Arial" w:cs="Arial" w:eastAsia="Arial" w:hAnsi="Arial"/>
                <w:sz w:val="16"/>
                <w:szCs w:val="16"/>
                <w:color w:val="202E39"/>
              </w:rPr>
              <w:t>90</w:t>
            </w:r>
          </w:p>
        </w:tc>
        <w:tc>
          <w:tcPr>
            <w:tcW w:w="1460" w:type="dxa"/>
            <w:vAlign w:val="bottom"/>
            <w:tcBorders>
              <w:bottom w:val="single" w:sz="8" w:color="E8EAEB"/>
              <w:right w:val="single" w:sz="8" w:color="E8EAEB"/>
            </w:tcBorders>
          </w:tcPr>
          <w:p>
            <w:pPr>
              <w:jc w:val="right"/>
              <w:ind w:right="361"/>
              <w:spacing w:after="0"/>
              <w:rPr>
                <w:sz w:val="20"/>
                <w:szCs w:val="20"/>
                <w:color w:val="auto"/>
              </w:rPr>
            </w:pPr>
            <w:r>
              <w:rPr>
                <w:rFonts w:ascii="Arial" w:cs="Arial" w:eastAsia="Arial" w:hAnsi="Arial"/>
                <w:sz w:val="16"/>
                <w:szCs w:val="16"/>
                <w:color w:val="202E39"/>
              </w:rPr>
              <w:t>—</w:t>
            </w:r>
          </w:p>
        </w:tc>
        <w:tc>
          <w:tcPr>
            <w:tcW w:w="188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9"/>
              </w:rPr>
              <w:t>—</w:t>
            </w:r>
          </w:p>
        </w:tc>
      </w:tr>
      <w:tr>
        <w:trPr>
          <w:trHeight w:val="237"/>
        </w:trPr>
        <w:tc>
          <w:tcPr>
            <w:tcW w:w="58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800" w:type="dxa"/>
            <w:vAlign w:val="bottom"/>
            <w:tcBorders>
              <w:bottom w:val="single" w:sz="8" w:color="009FE3"/>
              <w:right w:val="single" w:sz="8" w:color="E8EAEB"/>
            </w:tcBorders>
          </w:tcPr>
          <w:p>
            <w:pPr>
              <w:jc w:val="right"/>
              <w:ind w:right="662"/>
              <w:spacing w:after="0"/>
              <w:rPr>
                <w:sz w:val="20"/>
                <w:szCs w:val="20"/>
                <w:color w:val="auto"/>
              </w:rPr>
            </w:pPr>
            <w:r>
              <w:rPr>
                <w:rFonts w:ascii="Arial" w:cs="Arial" w:eastAsia="Arial" w:hAnsi="Arial"/>
                <w:sz w:val="16"/>
                <w:szCs w:val="16"/>
                <w:color w:val="202E39"/>
              </w:rPr>
              <w:t>100</w:t>
            </w:r>
          </w:p>
        </w:tc>
        <w:tc>
          <w:tcPr>
            <w:tcW w:w="1460" w:type="dxa"/>
            <w:vAlign w:val="bottom"/>
            <w:tcBorders>
              <w:bottom w:val="single" w:sz="8" w:color="009FE3"/>
              <w:right w:val="single" w:sz="8" w:color="E8EAEB"/>
            </w:tcBorders>
          </w:tcPr>
          <w:p>
            <w:pPr>
              <w:jc w:val="right"/>
              <w:ind w:right="281"/>
              <w:spacing w:after="0"/>
              <w:rPr>
                <w:sz w:val="20"/>
                <w:szCs w:val="20"/>
                <w:color w:val="auto"/>
              </w:rPr>
            </w:pPr>
            <w:r>
              <w:rPr>
                <w:rFonts w:ascii="Arial" w:cs="Arial" w:eastAsia="Arial" w:hAnsi="Arial"/>
                <w:sz w:val="16"/>
                <w:szCs w:val="16"/>
                <w:color w:val="202E39"/>
              </w:rPr>
              <w:t>600,000</w:t>
            </w:r>
          </w:p>
        </w:tc>
        <w:tc>
          <w:tcPr>
            <w:tcW w:w="1880" w:type="dxa"/>
            <w:vAlign w:val="bottom"/>
            <w:tcBorders>
              <w:bottom w:val="single" w:sz="8" w:color="009FE3"/>
            </w:tcBorders>
          </w:tcPr>
          <w:p>
            <w:pPr>
              <w:jc w:val="right"/>
              <w:ind w:right="702"/>
              <w:spacing w:after="0"/>
              <w:rPr>
                <w:sz w:val="20"/>
                <w:szCs w:val="20"/>
                <w:color w:val="auto"/>
              </w:rPr>
            </w:pPr>
            <w:r>
              <w:rPr>
                <w:rFonts w:ascii="Arial" w:cs="Arial" w:eastAsia="Arial" w:hAnsi="Arial"/>
                <w:sz w:val="16"/>
                <w:szCs w:val="16"/>
                <w:color w:val="202E39"/>
              </w:rPr>
              <w:t>109</w:t>
            </w:r>
          </w:p>
        </w:tc>
      </w:tr>
    </w:tbl>
    <w:p>
      <w:pPr>
        <w:spacing w:after="0" w:line="126"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4"/>
          <w:szCs w:val="14"/>
          <w:color w:val="202E39"/>
        </w:rPr>
      </w:pPr>
      <w:r>
        <w:rPr>
          <w:rFonts w:ascii="Arial" w:cs="Arial" w:eastAsia="Arial" w:hAnsi="Arial"/>
          <w:sz w:val="14"/>
          <w:szCs w:val="14"/>
          <w:color w:val="202E39"/>
        </w:rPr>
        <w:t>In response to stockholder feedback, the Committee established a maximum bonus payout of 250% of each executive officer’s target bonus opportunity.</w:t>
      </w:r>
    </w:p>
    <w:p>
      <w:pPr>
        <w:spacing w:after="0" w:line="68" w:lineRule="exact"/>
        <w:rPr>
          <w:rFonts w:ascii="Arial" w:cs="Arial" w:eastAsia="Arial" w:hAnsi="Arial"/>
          <w:sz w:val="14"/>
          <w:szCs w:val="14"/>
          <w:color w:val="202E39"/>
        </w:rPr>
      </w:pPr>
    </w:p>
    <w:p>
      <w:pPr>
        <w:ind w:left="540" w:right="500" w:hanging="424"/>
        <w:spacing w:after="0" w:line="249" w:lineRule="auto"/>
        <w:tabs>
          <w:tab w:leader="none" w:pos="540" w:val="left"/>
        </w:tabs>
        <w:numPr>
          <w:ilvl w:val="0"/>
          <w:numId w:val="39"/>
        </w:numPr>
        <w:rPr>
          <w:rFonts w:ascii="Arial" w:cs="Arial" w:eastAsia="Arial" w:hAnsi="Arial"/>
          <w:sz w:val="14"/>
          <w:szCs w:val="14"/>
          <w:color w:val="202E39"/>
        </w:rPr>
      </w:pPr>
      <w:r>
        <w:rPr>
          <w:rFonts w:ascii="Arial" w:cs="Arial" w:eastAsia="Arial" w:hAnsi="Arial"/>
          <w:sz w:val="14"/>
          <w:szCs w:val="14"/>
          <w:color w:val="202E39"/>
        </w:rPr>
        <w:t>Subsequent to fiscal year end, Mr. Peterman entered into an employment transition agreement, whereby he agreed to provide transition services to Viasat as a non-executive senior advisor through December 31, 2021. Mr. Peterman was not eligible for a fiscal year 2021 annual bonus under the terms of his transition agreement</w:t>
      </w:r>
      <w:r>
        <w:rPr>
          <w:rFonts w:ascii="Arial" w:cs="Arial" w:eastAsia="Arial" w:hAnsi="Arial"/>
          <w:sz w:val="14"/>
          <w:szCs w:val="14"/>
          <w:b w:val="1"/>
          <w:bCs w:val="1"/>
          <w:i w:val="1"/>
          <w:iCs w:val="1"/>
          <w:color w:val="202E39"/>
        </w:rPr>
        <w:t>.</w:t>
      </w:r>
    </w:p>
    <w:p>
      <w:pPr>
        <w:spacing w:after="0" w:line="90"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202E39"/>
        </w:rPr>
        <w:t>In light of the impact of the COVID-19 pandemic on the global business environment, our Executive Chairman and Chief Executive Officer and President requested that their fiscal year 2021 annual performance bonus awards be no more than their annual target bonus opportunity, regardless of actual company and individual achievements.</w:t>
      </w:r>
    </w:p>
    <w:p>
      <w:pPr>
        <w:spacing w:after="0" w:line="77"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i w:val="1"/>
          <w:iCs w:val="1"/>
          <w:color w:val="009FE3"/>
        </w:rPr>
        <w:t xml:space="preserve">Equity-Based Compensation. </w:t>
      </w:r>
      <w:r>
        <w:rPr>
          <w:rFonts w:ascii="Arial" w:cs="Arial" w:eastAsia="Arial" w:hAnsi="Arial"/>
          <w:sz w:val="16"/>
          <w:szCs w:val="16"/>
          <w:color w:val="202E39"/>
        </w:rPr>
        <w:t>Consistent with our belief that equity-based compensation is a key component of an effective executive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at growth-oriented technology companies, particularly one with non-linear growth, our Committee, acting under delegation of authority from the Board, approved long-term equity awards to our executive officers in fiscal year 2021. The Committee determined equity award levels for fiscal year 2021 in a manner consistent with the determination of base salary and annual bonuses. The Committee considered (1) the industry compensation data described above, (2) individual performance and contributions, (3) total executive compensation, (4) stockholder feedback on our executive compensation program, and (5) the availability and affordability of shares for equity awards in determining equity compensation for our executive officers. In determining the availability and affordability of shares for the fiscal year 2021 equity awards for our executive officers, the Committee also considered:</w:t>
      </w:r>
    </w:p>
    <w:p>
      <w:pPr>
        <w:spacing w:after="0" w:line="108" w:lineRule="exact"/>
        <w:rPr>
          <w:sz w:val="20"/>
          <w:szCs w:val="20"/>
          <w:color w:val="auto"/>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the peer group data and compensation survey data from Radford,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the number of shares available for issuance under our equity plan,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the number of shares budgeted for non-executive equity awards,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the expected future retention of both executive officers and non-executives,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annual dilution (burn) rate associated with the grant of equity awards,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Viasat’s equity overhang levels,</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the estimated accounting expense of potential equity awards,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0"/>
        </w:numPr>
        <w:rPr>
          <w:rFonts w:ascii="Arial" w:cs="Arial" w:eastAsia="Arial" w:hAnsi="Arial"/>
          <w:sz w:val="16"/>
          <w:szCs w:val="16"/>
          <w:color w:val="009FE3"/>
        </w:rPr>
      </w:pPr>
      <w:r>
        <w:rPr>
          <w:rFonts w:ascii="Arial" w:cs="Arial" w:eastAsia="Arial" w:hAnsi="Arial"/>
          <w:sz w:val="16"/>
          <w:szCs w:val="16"/>
          <w:color w:val="202E39"/>
        </w:rPr>
        <w:t>the tax consequences associated with the grant of equity awards.</w:t>
      </w:r>
    </w:p>
    <w:p>
      <w:pPr>
        <w:spacing w:after="0" w:line="113" w:lineRule="exact"/>
        <w:rPr>
          <w:sz w:val="20"/>
          <w:szCs w:val="20"/>
          <w:color w:val="auto"/>
        </w:rPr>
      </w:pPr>
    </w:p>
    <w:p>
      <w:pPr>
        <w:jc w:val="both"/>
        <w:ind w:left="120" w:right="100"/>
        <w:spacing w:after="0" w:line="251" w:lineRule="auto"/>
        <w:rPr>
          <w:sz w:val="20"/>
          <w:szCs w:val="20"/>
          <w:color w:val="auto"/>
        </w:rPr>
      </w:pPr>
      <w:r>
        <w:rPr>
          <w:rFonts w:ascii="Arial" w:cs="Arial" w:eastAsia="Arial" w:hAnsi="Arial"/>
          <w:sz w:val="16"/>
          <w:szCs w:val="16"/>
          <w:color w:val="202E39"/>
        </w:rPr>
        <w:t>Based on the factors discussed above, our Committee, acting under delegation of authority from the Board, approved equity awards in a combination of time-based restricted stock units and performance-based stock options for our Named Executive Officers in November 2020. Our Committee determined that this combination of equity awards balances executive retention and motivation while also further promoting the alignment of executive compensation with the creation of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84455</wp:posOffset>
            </wp:positionV>
            <wp:extent cx="43688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27"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i w:val="1"/>
          <w:iCs w:val="1"/>
          <w:color w:val="009FE3"/>
        </w:rPr>
        <w:t>Performance-Based Stock Options</w:t>
      </w:r>
      <w:r>
        <w:rPr>
          <w:rFonts w:ascii="Arial" w:cs="Arial" w:eastAsia="Arial" w:hAnsi="Arial"/>
          <w:sz w:val="16"/>
          <w:szCs w:val="16"/>
          <w:b w:val="1"/>
          <w:bCs w:val="1"/>
          <w:color w:val="202E39"/>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Our Committee believes that performance-based stock options promote stockholder value creation over a multi-year period by rewarding our executive officers for long-term stock price appreciation. Consistent with previous years, in fiscal year 2021 the Committee selected relative TSR over a four-year period as the sole performance metric as our Committee members believe TSR is the strongest indicator of long-term stockholder value creation. Delivering the award in the form of a performance-based stock option provides for further alignment with stockholders as any stock price gains realized by our executive officers would be in proportion to those realized by our stockholders. Furthermore, as these awards are stock options, if Viasat’s stock price falls below the exercise price, which is equal to the closing market price on the day of grant, any vested stock options would retain no value until the stock price increases above the exercise price.</w:t>
      </w:r>
    </w:p>
    <w:p>
      <w:pPr>
        <w:spacing w:after="0" w:line="77"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i w:val="1"/>
          <w:iCs w:val="1"/>
          <w:color w:val="202E39"/>
        </w:rPr>
        <w:t xml:space="preserve">Performance-Contingent Vesting Component. </w:t>
      </w:r>
      <w:r>
        <w:rPr>
          <w:rFonts w:ascii="Arial" w:cs="Arial" w:eastAsia="Arial" w:hAnsi="Arial"/>
          <w:sz w:val="16"/>
          <w:szCs w:val="16"/>
          <w:color w:val="202E39"/>
        </w:rPr>
        <w:t>The performance-based stock options will vest based on Viasat’s four-year TSR performance relative to</w:t>
      </w:r>
      <w:r>
        <w:rPr>
          <w:rFonts w:ascii="Arial" w:cs="Arial" w:eastAsia="Arial" w:hAnsi="Arial"/>
          <w:sz w:val="16"/>
          <w:szCs w:val="16"/>
          <w:i w:val="1"/>
          <w:iCs w:val="1"/>
          <w:color w:val="202E39"/>
        </w:rPr>
        <w:t xml:space="preserve"> </w:t>
      </w:r>
      <w:r>
        <w:rPr>
          <w:rFonts w:ascii="Arial" w:cs="Arial" w:eastAsia="Arial" w:hAnsi="Arial"/>
          <w:sz w:val="16"/>
          <w:szCs w:val="16"/>
          <w:color w:val="202E39"/>
        </w:rPr>
        <w:t>the S&amp;P MidCap 400 index according to the following chart:</w:t>
      </w:r>
    </w:p>
    <w:p>
      <w:pPr>
        <w:spacing w:after="0" w:line="66" w:lineRule="exact"/>
        <w:rPr>
          <w:sz w:val="20"/>
          <w:szCs w:val="20"/>
          <w:color w:val="auto"/>
        </w:rPr>
      </w:pPr>
    </w:p>
    <w:p>
      <w:pPr>
        <w:ind w:left="660" w:right="100" w:hanging="220"/>
        <w:spacing w:after="0" w:line="181" w:lineRule="auto"/>
        <w:tabs>
          <w:tab w:leader="none" w:pos="660" w:val="left"/>
        </w:tabs>
        <w:numPr>
          <w:ilvl w:val="0"/>
          <w:numId w:val="41"/>
        </w:numPr>
        <w:rPr>
          <w:rFonts w:ascii="Arial" w:cs="Arial" w:eastAsia="Arial" w:hAnsi="Arial"/>
          <w:sz w:val="16"/>
          <w:szCs w:val="16"/>
          <w:color w:val="009FE3"/>
        </w:rPr>
      </w:pPr>
      <w:r>
        <w:rPr>
          <w:rFonts w:ascii="Arial" w:cs="Arial" w:eastAsia="Arial" w:hAnsi="Arial"/>
          <w:sz w:val="16"/>
          <w:szCs w:val="16"/>
          <w:i w:val="1"/>
          <w:iCs w:val="1"/>
          <w:color w:val="202E39"/>
        </w:rPr>
        <w:t>Above the 25</w:t>
      </w:r>
      <w:r>
        <w:rPr>
          <w:rFonts w:ascii="Arial" w:cs="Arial" w:eastAsia="Arial" w:hAnsi="Arial"/>
          <w:sz w:val="26"/>
          <w:szCs w:val="26"/>
          <w:i w:val="1"/>
          <w:iCs w:val="1"/>
          <w:color w:val="202E39"/>
          <w:vertAlign w:val="superscript"/>
        </w:rPr>
        <w:t>th</w:t>
      </w:r>
      <w:r>
        <w:rPr>
          <w:rFonts w:ascii="Arial" w:cs="Arial" w:eastAsia="Arial" w:hAnsi="Arial"/>
          <w:sz w:val="16"/>
          <w:szCs w:val="16"/>
          <w:i w:val="1"/>
          <w:iCs w:val="1"/>
          <w:color w:val="202E39"/>
        </w:rPr>
        <w:t xml:space="preserve"> and below the 90</w:t>
      </w:r>
      <w:r>
        <w:rPr>
          <w:rFonts w:ascii="Arial" w:cs="Arial" w:eastAsia="Arial" w:hAnsi="Arial"/>
          <w:sz w:val="26"/>
          <w:szCs w:val="26"/>
          <w:i w:val="1"/>
          <w:iCs w:val="1"/>
          <w:color w:val="202E39"/>
          <w:vertAlign w:val="superscript"/>
        </w:rPr>
        <w:t>th</w:t>
      </w:r>
      <w:r>
        <w:rPr>
          <w:rFonts w:ascii="Arial" w:cs="Arial" w:eastAsia="Arial" w:hAnsi="Arial"/>
          <w:sz w:val="16"/>
          <w:szCs w:val="16"/>
          <w:i w:val="1"/>
          <w:iCs w:val="1"/>
          <w:color w:val="202E39"/>
        </w:rPr>
        <w:t xml:space="preserve"> percentiles: </w:t>
      </w:r>
      <w:r>
        <w:rPr>
          <w:rFonts w:ascii="Arial" w:cs="Arial" w:eastAsia="Arial" w:hAnsi="Arial"/>
          <w:sz w:val="16"/>
          <w:szCs w:val="16"/>
          <w:color w:val="202E39"/>
        </w:rPr>
        <w:t>Performance-based stock options will vest on a linear scale between a range of 50% and 175% of</w:t>
      </w:r>
      <w:r>
        <w:rPr>
          <w:rFonts w:ascii="Arial" w:cs="Arial" w:eastAsia="Arial" w:hAnsi="Arial"/>
          <w:sz w:val="16"/>
          <w:szCs w:val="16"/>
          <w:i w:val="1"/>
          <w:iCs w:val="1"/>
          <w:color w:val="202E39"/>
        </w:rPr>
        <w:t xml:space="preserve"> </w:t>
      </w:r>
      <w:r>
        <w:rPr>
          <w:rFonts w:ascii="Arial" w:cs="Arial" w:eastAsia="Arial" w:hAnsi="Arial"/>
          <w:sz w:val="16"/>
          <w:szCs w:val="16"/>
          <w:color w:val="202E39"/>
        </w:rPr>
        <w:t>the target number of options, where the target is achieved at the 50</w:t>
      </w:r>
      <w:r>
        <w:rPr>
          <w:rFonts w:ascii="Arial" w:cs="Arial" w:eastAsia="Arial" w:hAnsi="Arial"/>
          <w:sz w:val="26"/>
          <w:szCs w:val="26"/>
          <w:color w:val="202E39"/>
          <w:vertAlign w:val="superscript"/>
        </w:rPr>
        <w:t>th</w:t>
      </w:r>
      <w:r>
        <w:rPr>
          <w:rFonts w:ascii="Arial" w:cs="Arial" w:eastAsia="Arial" w:hAnsi="Arial"/>
          <w:sz w:val="16"/>
          <w:szCs w:val="16"/>
          <w:color w:val="202E39"/>
        </w:rPr>
        <w:t xml:space="preserve"> percentile (with the resulting number of stock options that ultimately vest at the end of the performance period referred to as the performance-adjusted options)</w:t>
      </w:r>
    </w:p>
    <w:p>
      <w:pPr>
        <w:spacing w:after="0" w:line="44" w:lineRule="exact"/>
        <w:rPr>
          <w:rFonts w:ascii="Arial" w:cs="Arial" w:eastAsia="Arial" w:hAnsi="Arial"/>
          <w:sz w:val="16"/>
          <w:szCs w:val="16"/>
          <w:color w:val="009FE3"/>
        </w:rPr>
      </w:pPr>
    </w:p>
    <w:p>
      <w:pPr>
        <w:ind w:left="660" w:hanging="220"/>
        <w:spacing w:after="0"/>
        <w:tabs>
          <w:tab w:leader="none" w:pos="660" w:val="left"/>
        </w:tabs>
        <w:numPr>
          <w:ilvl w:val="0"/>
          <w:numId w:val="41"/>
        </w:numPr>
        <w:rPr>
          <w:rFonts w:ascii="Arial" w:cs="Arial" w:eastAsia="Arial" w:hAnsi="Arial"/>
          <w:sz w:val="16"/>
          <w:szCs w:val="16"/>
          <w:color w:val="009FE3"/>
        </w:rPr>
      </w:pPr>
      <w:r>
        <w:rPr>
          <w:rFonts w:ascii="Arial" w:cs="Arial" w:eastAsia="Arial" w:hAnsi="Arial"/>
          <w:sz w:val="16"/>
          <w:szCs w:val="16"/>
          <w:i w:val="1"/>
          <w:iCs w:val="1"/>
          <w:color w:val="202E39"/>
        </w:rPr>
        <w:t>At or below 25</w:t>
      </w:r>
      <w:r>
        <w:rPr>
          <w:rFonts w:ascii="Arial" w:cs="Arial" w:eastAsia="Arial" w:hAnsi="Arial"/>
          <w:sz w:val="27"/>
          <w:szCs w:val="27"/>
          <w:i w:val="1"/>
          <w:iCs w:val="1"/>
          <w:color w:val="202E39"/>
          <w:vertAlign w:val="superscript"/>
        </w:rPr>
        <w:t>th</w:t>
      </w:r>
      <w:r>
        <w:rPr>
          <w:rFonts w:ascii="Arial" w:cs="Arial" w:eastAsia="Arial" w:hAnsi="Arial"/>
          <w:sz w:val="16"/>
          <w:szCs w:val="16"/>
          <w:i w:val="1"/>
          <w:iCs w:val="1"/>
          <w:color w:val="202E39"/>
        </w:rPr>
        <w:t xml:space="preserve"> percentile: </w:t>
      </w:r>
      <w:r>
        <w:rPr>
          <w:rFonts w:ascii="Arial" w:cs="Arial" w:eastAsia="Arial" w:hAnsi="Arial"/>
          <w:sz w:val="16"/>
          <w:szCs w:val="16"/>
          <w:color w:val="202E39"/>
        </w:rPr>
        <w:t>No performance-based stock options will vest and they will be forfeited by the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10795</wp:posOffset>
            </wp:positionV>
            <wp:extent cx="2880360" cy="685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803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i w:val="1"/>
          <w:iCs w:val="1"/>
          <w:color w:val="202E39"/>
        </w:rPr>
        <w:t xml:space="preserve">Time-Based Vesting Component. </w:t>
      </w:r>
      <w:r>
        <w:rPr>
          <w:rFonts w:ascii="Arial" w:cs="Arial" w:eastAsia="Arial" w:hAnsi="Arial"/>
          <w:sz w:val="16"/>
          <w:szCs w:val="16"/>
          <w:color w:val="202E39"/>
        </w:rPr>
        <w:t>The performance-based stock options are also subject to a time-based vesting component. A Named Executive</w:t>
      </w:r>
      <w:r>
        <w:rPr>
          <w:rFonts w:ascii="Arial" w:cs="Arial" w:eastAsia="Arial" w:hAnsi="Arial"/>
          <w:sz w:val="16"/>
          <w:szCs w:val="16"/>
          <w:i w:val="1"/>
          <w:iCs w:val="1"/>
          <w:color w:val="202E39"/>
        </w:rPr>
        <w:t xml:space="preserve"> </w:t>
      </w:r>
      <w:r>
        <w:rPr>
          <w:rFonts w:ascii="Arial" w:cs="Arial" w:eastAsia="Arial" w:hAnsi="Arial"/>
          <w:sz w:val="16"/>
          <w:szCs w:val="16"/>
          <w:color w:val="202E39"/>
        </w:rPr>
        <w:t>Officer will become eligible to vest in 25% of the performance-adjusted options at the end of the performance period on each of the first four anniversaries of the grant date, subject to continued employment through each such date.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described above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 The performance-based stock options must be vested under both the time-based vesting schedule and the performance-based vesting conditions to become exercisable by a Named Executive Officer.</w:t>
      </w:r>
    </w:p>
    <w:p>
      <w:pPr>
        <w:spacing w:after="0" w:line="84" w:lineRule="exact"/>
        <w:rPr>
          <w:sz w:val="20"/>
          <w:szCs w:val="20"/>
          <w:color w:val="auto"/>
        </w:rPr>
      </w:pPr>
    </w:p>
    <w:p>
      <w:pPr>
        <w:ind w:left="120" w:right="20"/>
        <w:spacing w:after="0" w:line="223" w:lineRule="auto"/>
        <w:rPr>
          <w:sz w:val="20"/>
          <w:szCs w:val="20"/>
          <w:color w:val="auto"/>
        </w:rPr>
      </w:pPr>
      <w:r>
        <w:rPr>
          <w:rFonts w:ascii="Arial" w:cs="Arial" w:eastAsia="Arial" w:hAnsi="Arial"/>
          <w:sz w:val="16"/>
          <w:szCs w:val="16"/>
          <w:i w:val="1"/>
          <w:iCs w:val="1"/>
          <w:color w:val="202E39"/>
        </w:rPr>
        <w:t xml:space="preserve">Relationship Between Pay and Performance. </w:t>
      </w:r>
      <w:r>
        <w:rPr>
          <w:rFonts w:ascii="Arial" w:cs="Arial" w:eastAsia="Arial" w:hAnsi="Arial"/>
          <w:sz w:val="16"/>
          <w:szCs w:val="16"/>
          <w:color w:val="202E39"/>
        </w:rPr>
        <w:t>The performance-based stock options awarded to our executive officers are designed to further align</w:t>
      </w:r>
      <w:r>
        <w:rPr>
          <w:rFonts w:ascii="Arial" w:cs="Arial" w:eastAsia="Arial" w:hAnsi="Arial"/>
          <w:sz w:val="16"/>
          <w:szCs w:val="16"/>
          <w:i w:val="1"/>
          <w:iCs w:val="1"/>
          <w:color w:val="202E39"/>
        </w:rPr>
        <w:t xml:space="preserve"> </w:t>
      </w:r>
      <w:r>
        <w:rPr>
          <w:rFonts w:ascii="Arial" w:cs="Arial" w:eastAsia="Arial" w:hAnsi="Arial"/>
          <w:sz w:val="16"/>
          <w:szCs w:val="16"/>
          <w:color w:val="202E39"/>
        </w:rPr>
        <w:t xml:space="preserve">executive pay with stockholder value creation by only delivering value when Viasat’s TSR during the applicable measurement period outperforms the TSR of at least 25% of companies in the S&amp;P MidCap 400 and Viasat’s stock price exceeds the exercise price of such performance-based stock options. Illustrating that a significant portion of our executive officers’ pay is at risk, Viasat’s TSR performance from the applicable grant date through July 1, 2021 was below the 25 </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percentile of companies in the S&amp;P MidCap 400 index for each of the performance-based stock option awards granted to our executive officers in fiscal years 2018, 2019 and 2020. While each of these awards remains outstanding, the actual performance through July 1, 2021 would have resulted in below threshold performance and all performance-based stock options would have been forfeited had the applicable measurement period ended on that date. Furthermore, our closing stock price of $49.94 on July 1, 2021 was below the exercise price for each performance-based stock option awards issued in fiscal years 2018, 2019 and 2020 and each retains no value until our stock price increases above each exercise price. For the performance-based stock options granted to our executive officers in fiscal year 2021, Viasat’s TSR performance through July 1, 2021 was at the 70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percentile of companies in the S&amp;P MidCap 400 index. While the fiscal year 2021 award remains outstanding, the actual performance through July 1, 2021 would have resulted in a payout multiple of 140.0% had the applicable measurement period ended on that date.</w:t>
      </w:r>
    </w:p>
    <w:p>
      <w:pPr>
        <w:spacing w:after="0" w:line="89" w:lineRule="exact"/>
        <w:rPr>
          <w:sz w:val="20"/>
          <w:szCs w:val="20"/>
          <w:color w:val="auto"/>
        </w:rPr>
      </w:pPr>
    </w:p>
    <w:p>
      <w:pPr>
        <w:ind w:left="120" w:right="140"/>
        <w:spacing w:after="0" w:line="252" w:lineRule="auto"/>
        <w:rPr>
          <w:sz w:val="20"/>
          <w:szCs w:val="20"/>
          <w:color w:val="auto"/>
        </w:rPr>
      </w:pPr>
      <w:r>
        <w:rPr>
          <w:rFonts w:ascii="Arial" w:cs="Arial" w:eastAsia="Arial" w:hAnsi="Arial"/>
          <w:sz w:val="16"/>
          <w:szCs w:val="16"/>
          <w:i w:val="1"/>
          <w:iCs w:val="1"/>
          <w:color w:val="202E39"/>
        </w:rPr>
        <w:t xml:space="preserve">Change in Control Vesting. </w:t>
      </w:r>
      <w:r>
        <w:rPr>
          <w:rFonts w:ascii="Arial" w:cs="Arial" w:eastAsia="Arial" w:hAnsi="Arial"/>
          <w:sz w:val="16"/>
          <w:szCs w:val="16"/>
          <w:color w:val="202E39"/>
        </w:rPr>
        <w:t>In the event of a change in control of the company prior to the end of the four-year performance period, the number of</w:t>
      </w:r>
      <w:r>
        <w:rPr>
          <w:rFonts w:ascii="Arial" w:cs="Arial" w:eastAsia="Arial" w:hAnsi="Arial"/>
          <w:sz w:val="16"/>
          <w:szCs w:val="16"/>
          <w:i w:val="1"/>
          <w:iCs w:val="1"/>
          <w:color w:val="202E39"/>
        </w:rPr>
        <w:t xml:space="preserve"> </w:t>
      </w:r>
      <w:r>
        <w:rPr>
          <w:rFonts w:ascii="Arial" w:cs="Arial" w:eastAsia="Arial" w:hAnsi="Arial"/>
          <w:sz w:val="16"/>
          <w:szCs w:val="16"/>
          <w:color w:val="202E39"/>
        </w:rPr>
        <w:t>performance-adjusted 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severance agreements, as described below.</w:t>
      </w:r>
    </w:p>
    <w:p>
      <w:pPr>
        <w:spacing w:after="0" w:line="120"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49</w:t>
            </w:r>
          </w:p>
        </w:tc>
      </w:tr>
    </w:tbl>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120" w:right="420"/>
        <w:spacing w:after="0" w:line="260" w:lineRule="auto"/>
        <w:rPr>
          <w:sz w:val="20"/>
          <w:szCs w:val="20"/>
          <w:color w:val="auto"/>
        </w:rPr>
      </w:pPr>
      <w:r>
        <w:rPr>
          <w:rFonts w:ascii="Arial" w:cs="Arial" w:eastAsia="Arial" w:hAnsi="Arial"/>
          <w:sz w:val="16"/>
          <w:szCs w:val="16"/>
          <w:color w:val="202E39"/>
        </w:rPr>
        <w:t>For more information on the restricted stock units and the performance-based stock options granted during fiscal year 2021, see the Grants of Plan-Based Awards in Fiscal Year 2021 table below.</w:t>
      </w:r>
    </w:p>
    <w:p>
      <w:pPr>
        <w:spacing w:after="0" w:line="71"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i w:val="1"/>
          <w:iCs w:val="1"/>
          <w:color w:val="009FE3"/>
        </w:rPr>
        <w:t xml:space="preserve">Equity Grant Process. </w:t>
      </w:r>
      <w:r>
        <w:rPr>
          <w:rFonts w:ascii="Arial" w:cs="Arial" w:eastAsia="Arial" w:hAnsi="Arial"/>
          <w:sz w:val="16"/>
          <w:szCs w:val="16"/>
          <w:color w:val="202E39"/>
        </w:rPr>
        <w:t>The company’s general practice is to grant equity awards in approximately 12-month cycles. Grant approval for executive officers</w:t>
      </w:r>
      <w:r>
        <w:rPr>
          <w:rFonts w:ascii="Arial" w:cs="Arial" w:eastAsia="Arial" w:hAnsi="Arial"/>
          <w:sz w:val="16"/>
          <w:szCs w:val="16"/>
          <w:i w:val="1"/>
          <w:iCs w:val="1"/>
          <w:color w:val="009FE3"/>
        </w:rPr>
        <w:t xml:space="preserve"> </w:t>
      </w:r>
      <w:r>
        <w:rPr>
          <w:rFonts w:ascii="Arial" w:cs="Arial" w:eastAsia="Arial" w:hAnsi="Arial"/>
          <w:sz w:val="16"/>
          <w:szCs w:val="16"/>
          <w:color w:val="202E39"/>
        </w:rPr>
        <w:t>occurs at meetings of the Committee. Because of the more extensive process for determining executive officer equity awards, these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9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In addition to grants made as part of our annual equity grant process for our current employees, grants may also be made during the year to newly-hired employees as part of the in-hire compensation package, as well as to existing employees for purposes of retention, as part of a special incentive program or in recognition of special achievements. In the event of newly-hired employees or retention and recognition awards to existing employees, those grants are generally made once per quarter. We do not grant “re-load” options, make loans to executive officers for any purpose, including to exercise stock options, nor do we grant stock options at a discount.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Other Benefits</w:t>
      </w:r>
    </w:p>
    <w:p>
      <w:pPr>
        <w:spacing w:after="0" w:line="133"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202E39"/>
        </w:rPr>
        <w:t>We currently provide for certain severance payments and benefits if an executive officer’s employment is involuntarily or constructively terminated within two months prior to or within 18 months following a change in control of the company. Benefits can be found under the Potential Payments Upon Termination section of this proxy statement.</w:t>
      </w:r>
    </w:p>
    <w:p>
      <w:pPr>
        <w:spacing w:after="0" w:line="93"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We also provide a comprehensive benefits package to all of our employees, including our executive officers, which includes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Perquisites and Other Personal Benefits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Certain executive officers also receive access to our sports and golf club memberships, and relocation expense reimbursement.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Additional Information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Stock Ownership Guidelines</w:t>
      </w:r>
    </w:p>
    <w:p>
      <w:pPr>
        <w:spacing w:after="0" w:line="133"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67310</wp:posOffset>
            </wp:positionV>
            <wp:extent cx="3497580" cy="539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97580" cy="539750"/>
                    </a:xfrm>
                    <a:prstGeom prst="rect">
                      <a:avLst/>
                    </a:prstGeom>
                    <a:noFill/>
                  </pic:spPr>
                </pic:pic>
              </a:graphicData>
            </a:graphic>
          </wp:anchor>
        </w:drawing>
      </w:r>
    </w:p>
    <w:p>
      <w:pPr>
        <w:spacing w:after="0" w:line="7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900" w:type="dxa"/>
            <w:vAlign w:val="bottom"/>
            <w:shd w:val="clear" w:color="auto" w:fill="009FE3"/>
          </w:tcPr>
          <w:p>
            <w:pPr>
              <w:spacing w:after="0"/>
              <w:rPr>
                <w:sz w:val="14"/>
                <w:szCs w:val="14"/>
                <w:color w:val="auto"/>
              </w:rPr>
            </w:pPr>
          </w:p>
        </w:tc>
        <w:tc>
          <w:tcPr>
            <w:tcW w:w="2620" w:type="dxa"/>
            <w:vAlign w:val="bottom"/>
            <w:shd w:val="clear" w:color="auto" w:fill="009FE3"/>
          </w:tcPr>
          <w:p>
            <w:pPr>
              <w:jc w:val="center"/>
              <w:ind w:left="24"/>
              <w:spacing w:after="0"/>
              <w:rPr>
                <w:sz w:val="20"/>
                <w:szCs w:val="20"/>
                <w:color w:val="auto"/>
              </w:rPr>
            </w:pPr>
            <w:r>
              <w:rPr>
                <w:rFonts w:ascii="Arial" w:cs="Arial" w:eastAsia="Arial" w:hAnsi="Arial"/>
                <w:sz w:val="14"/>
                <w:szCs w:val="14"/>
                <w:b w:val="1"/>
                <w:bCs w:val="1"/>
                <w:color w:val="FFFFFF"/>
              </w:rPr>
              <w:t>Stock Ownership Guideline</w:t>
            </w:r>
          </w:p>
        </w:tc>
      </w:tr>
      <w:tr>
        <w:trPr>
          <w:trHeight w:val="189"/>
        </w:trPr>
        <w:tc>
          <w:tcPr>
            <w:tcW w:w="2900" w:type="dxa"/>
            <w:vAlign w:val="bottom"/>
            <w:shd w:val="clear" w:color="auto" w:fill="009FE3"/>
          </w:tcPr>
          <w:p>
            <w:pPr>
              <w:ind w:left="980"/>
              <w:spacing w:after="0"/>
              <w:rPr>
                <w:sz w:val="20"/>
                <w:szCs w:val="20"/>
                <w:color w:val="auto"/>
              </w:rPr>
            </w:pPr>
            <w:r>
              <w:rPr>
                <w:rFonts w:ascii="Arial" w:cs="Arial" w:eastAsia="Arial" w:hAnsi="Arial"/>
                <w:sz w:val="14"/>
                <w:szCs w:val="14"/>
                <w:b w:val="1"/>
                <w:bCs w:val="1"/>
                <w:color w:val="FFFFFF"/>
              </w:rPr>
              <w:t>Executive Officer</w:t>
            </w:r>
          </w:p>
        </w:tc>
        <w:tc>
          <w:tcPr>
            <w:tcW w:w="2620" w:type="dxa"/>
            <w:vAlign w:val="bottom"/>
            <w:shd w:val="clear" w:color="auto" w:fill="009FE3"/>
          </w:tcPr>
          <w:p>
            <w:pPr>
              <w:jc w:val="center"/>
              <w:ind w:left="24"/>
              <w:spacing w:after="0"/>
              <w:rPr>
                <w:sz w:val="20"/>
                <w:szCs w:val="20"/>
                <w:color w:val="auto"/>
              </w:rPr>
            </w:pPr>
            <w:r>
              <w:rPr>
                <w:rFonts w:ascii="Arial" w:cs="Arial" w:eastAsia="Arial" w:hAnsi="Arial"/>
                <w:sz w:val="14"/>
                <w:szCs w:val="14"/>
                <w:b w:val="1"/>
                <w:bCs w:val="1"/>
                <w:color w:val="FFFFFF"/>
              </w:rPr>
              <w:t>(as a multiple of base salary)</w:t>
            </w:r>
          </w:p>
        </w:tc>
      </w:tr>
      <w:tr>
        <w:trPr>
          <w:trHeight w:val="224"/>
        </w:trPr>
        <w:tc>
          <w:tcPr>
            <w:tcW w:w="290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President and Chief Executive Officer</w:t>
            </w:r>
          </w:p>
        </w:tc>
        <w:tc>
          <w:tcPr>
            <w:tcW w:w="2620" w:type="dxa"/>
            <w:vAlign w:val="bottom"/>
            <w:shd w:val="clear" w:color="auto" w:fill="EDEEEF"/>
          </w:tcPr>
          <w:p>
            <w:pPr>
              <w:jc w:val="center"/>
              <w:ind w:left="44"/>
              <w:spacing w:after="0"/>
              <w:rPr>
                <w:sz w:val="20"/>
                <w:szCs w:val="20"/>
                <w:color w:val="auto"/>
              </w:rPr>
            </w:pPr>
            <w:r>
              <w:rPr>
                <w:rFonts w:ascii="Arial" w:cs="Arial" w:eastAsia="Arial" w:hAnsi="Arial"/>
                <w:sz w:val="16"/>
                <w:szCs w:val="16"/>
                <w:color w:val="202E39"/>
              </w:rPr>
              <w:t>Three times</w:t>
            </w:r>
          </w:p>
        </w:tc>
      </w:tr>
      <w:tr>
        <w:trPr>
          <w:trHeight w:val="269"/>
        </w:trPr>
        <w:tc>
          <w:tcPr>
            <w:tcW w:w="2900" w:type="dxa"/>
            <w:vAlign w:val="bottom"/>
            <w:tcBorders>
              <w:bottom w:val="single" w:sz="8" w:color="009FE3"/>
            </w:tcBorders>
            <w:shd w:val="clear" w:color="auto" w:fill="EDEEEF"/>
          </w:tcPr>
          <w:p>
            <w:pPr>
              <w:jc w:val="center"/>
              <w:spacing w:after="0"/>
              <w:rPr>
                <w:sz w:val="20"/>
                <w:szCs w:val="20"/>
                <w:color w:val="auto"/>
              </w:rPr>
            </w:pPr>
            <w:r>
              <w:rPr>
                <w:rFonts w:ascii="Arial" w:cs="Arial" w:eastAsia="Arial" w:hAnsi="Arial"/>
                <w:sz w:val="16"/>
                <w:szCs w:val="16"/>
                <w:color w:val="202E39"/>
              </w:rPr>
              <w:t>Other Executive Officers</w:t>
            </w:r>
          </w:p>
        </w:tc>
        <w:tc>
          <w:tcPr>
            <w:tcW w:w="2620" w:type="dxa"/>
            <w:vAlign w:val="bottom"/>
            <w:tcBorders>
              <w:bottom w:val="single" w:sz="8" w:color="009FE3"/>
            </w:tcBorders>
            <w:shd w:val="clear" w:color="auto" w:fill="EDEEEF"/>
          </w:tcPr>
          <w:p>
            <w:pPr>
              <w:jc w:val="center"/>
              <w:ind w:left="44"/>
              <w:spacing w:after="0"/>
              <w:rPr>
                <w:sz w:val="20"/>
                <w:szCs w:val="20"/>
                <w:color w:val="auto"/>
              </w:rPr>
            </w:pPr>
            <w:r>
              <w:rPr>
                <w:rFonts w:ascii="Arial" w:cs="Arial" w:eastAsia="Arial" w:hAnsi="Arial"/>
                <w:sz w:val="16"/>
                <w:szCs w:val="16"/>
                <w:color w:val="202E39"/>
              </w:rPr>
              <w:t>One time</w:t>
            </w:r>
          </w:p>
        </w:tc>
      </w:tr>
    </w:tbl>
    <w:p>
      <w:pPr>
        <w:spacing w:after="0" w:line="110"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202E39"/>
        </w:rPr>
        <w:t>As of the end of fiscal year 2021, all Named Executive Officers were in compliance with the applicable stock ownership guidelines, and all other executive officers were in compliance or subject to an applicable exemption based on personal circumstances.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Compensation Recovery (“Clawback”) Policy</w:t>
      </w:r>
    </w:p>
    <w:p>
      <w:pPr>
        <w:spacing w:after="0" w:line="133" w:lineRule="exact"/>
        <w:rPr>
          <w:sz w:val="20"/>
          <w:szCs w:val="20"/>
          <w:color w:val="auto"/>
        </w:rPr>
      </w:pPr>
    </w:p>
    <w:p>
      <w:pPr>
        <w:ind w:left="120" w:right="40"/>
        <w:spacing w:after="0" w:line="251" w:lineRule="auto"/>
        <w:rPr>
          <w:sz w:val="20"/>
          <w:szCs w:val="20"/>
          <w:color w:val="auto"/>
        </w:rPr>
      </w:pPr>
      <w:r>
        <w:rPr>
          <w:rFonts w:ascii="Arial" w:cs="Arial" w:eastAsia="Arial" w:hAnsi="Arial"/>
          <w:sz w:val="16"/>
          <w:szCs w:val="16"/>
          <w:color w:val="202E39"/>
        </w:rPr>
        <w:t>We have adopted a clawback policy that sets forth the circumstances under which the Committee has the authority to recover an executive officer’s cash and equity incentive compensation. In the event we are required to restate our financial statements as a result of an executive officer engaging in fraudulent, willful or grossly negligent misconduct, the Committee may cause the forfeiture of unpaid or unvested incentive compensation, or may seek to recover incentive compensation paid to such executive officer.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Anti-Hedging and Pledging Policy</w:t>
      </w:r>
    </w:p>
    <w:p>
      <w:pPr>
        <w:spacing w:after="0" w:line="133" w:lineRule="exact"/>
        <w:rPr>
          <w:sz w:val="20"/>
          <w:szCs w:val="20"/>
          <w:color w:val="auto"/>
        </w:rPr>
      </w:pPr>
    </w:p>
    <w:p>
      <w:pPr>
        <w:ind w:left="120" w:right="480"/>
        <w:spacing w:after="0" w:line="260" w:lineRule="auto"/>
        <w:rPr>
          <w:sz w:val="20"/>
          <w:szCs w:val="20"/>
          <w:color w:val="auto"/>
        </w:rPr>
      </w:pPr>
      <w:r>
        <w:rPr>
          <w:rFonts w:ascii="Arial" w:cs="Arial" w:eastAsia="Arial" w:hAnsi="Arial"/>
          <w:sz w:val="16"/>
          <w:szCs w:val="16"/>
          <w:color w:val="202E39"/>
        </w:rPr>
        <w:t>Our insider trading compliance policies and procedures prohibit all of our directors and executive officers from engaging in hedging or monetization transactions, such as zero-cost collars and forward sale contracts, that allow a director or officer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80010</wp:posOffset>
            </wp:positionV>
            <wp:extent cx="4368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50</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lock in much of the value of his or her stock holdings, in exchange for all or part of the potential upside appreciation in Viasat stock. These transactions allow the director or officer to continue to own the covered securities, but without the full risks and rewards of ownership. When that occurs, or when a director or officer trades in put or call options, or engages in short sales, such director or officer may no longer have the same objectives as Viasat’s other stockholders. Therefore, such transactions involving Viasat’s equity securities are prohibited. We also strongly discourage any pledges of Viasat equity securities that could have any adverse impact on the company. Our policies require all pledges of Viasat common stock by our directors and executive officers, including the establishment of a margin account containing Viasat securities, to be pre-cleared by our General Counsel.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202E39"/>
        </w:rPr>
        <w:t>Tax and Accounting Considerations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We select and implement the components of our executive compensation program primarily for their ability to help us achieve the company’s objectives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and not based on any unique or preferential financial tax or accounting treatment. In addition, Section 162(m) of the Code generally sets a limit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$1.0 million on the amount of annual compensation that we may deduct for federal income tax purposes for certain covered individuals. We have not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adopted a policy requiring that all compensation be deductible, although the Committee will continue to review the Section 162(m) deductibility of our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compensation arrangements in fiscal year 2021 and future fiscal years. The Committee retains the discretion to approve compensation that may not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qualify for the compensation deduction if, in light of all applicable circumstances, it would be in our best interest for such compensation to be paid without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regard to whether it may be tax deductible.</w:t>
      </w:r>
    </w:p>
    <w:p>
      <w:pPr>
        <w:spacing w:after="0" w:line="13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51</w:t>
            </w:r>
          </w:p>
        </w:tc>
      </w:tr>
    </w:tbl>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Committee Report</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Committee Report</w:t>
      </w:r>
    </w:p>
    <w:p>
      <w:pPr>
        <w:spacing w:after="0" w:line="145"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The Committee has reviewed and discussed the Compensation Discussion and Analysis with management and, based on such review and discussions, the Committee recommended to the Board of Directors that the Compensation Discussion and Analysis be included in this proxy statement.</w:t>
      </w:r>
    </w:p>
    <w:p>
      <w:pPr>
        <w:spacing w:after="0" w:line="71" w:lineRule="exact"/>
        <w:rPr>
          <w:sz w:val="20"/>
          <w:szCs w:val="20"/>
          <w:color w:val="auto"/>
        </w:rPr>
      </w:pPr>
    </w:p>
    <w:p>
      <w:pPr>
        <w:jc w:val="both"/>
        <w:ind w:left="120"/>
        <w:spacing w:after="0" w:line="258" w:lineRule="auto"/>
        <w:rPr>
          <w:sz w:val="20"/>
          <w:szCs w:val="20"/>
          <w:color w:val="auto"/>
        </w:rPr>
      </w:pPr>
      <w:r>
        <w:rPr>
          <w:rFonts w:ascii="Arial" w:cs="Arial" w:eastAsia="Arial" w:hAnsi="Arial"/>
          <w:sz w:val="16"/>
          <w:szCs w:val="16"/>
          <w:i w:val="1"/>
          <w:iCs w:val="1"/>
          <w:color w:val="202E39"/>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89"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Respectfully Submitted by the</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Compensation and Human Resources Committee</w:t>
      </w:r>
    </w:p>
    <w:p>
      <w:pPr>
        <w:spacing w:after="0" w:line="2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Varsha Rao (Chair)</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Sean Pak</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John Stenbit</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Theresa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368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9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Summary Compensation Table</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Summary Compensation Table</w:t>
      </w:r>
    </w:p>
    <w:p>
      <w:pPr>
        <w:spacing w:after="0" w:line="145"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202E39"/>
        </w:rPr>
        <w:t>The following table sets forth the compensation earned during the fiscal years ended March 31, 2021, March 31, 2020 and March 31, 2019 by each person who served as Chief Executive Officer and Chief Financial Officer during the fiscal year ended March 31, 2021, as well as our three other most highly compensated executive officers who were serving as executive officers at the end of fiscal year 2021 (collectively, the Named Executive Officers):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300" w:type="dxa"/>
            <w:vAlign w:val="bottom"/>
            <w:tcBorders>
              <w:top w:val="single" w:sz="8" w:color="E8EAEB"/>
              <w:right w:val="single" w:sz="8" w:color="E8EAEB"/>
            </w:tcBorders>
          </w:tcPr>
          <w:p>
            <w:pPr>
              <w:spacing w:after="0"/>
              <w:rPr>
                <w:sz w:val="15"/>
                <w:szCs w:val="15"/>
                <w:color w:val="auto"/>
              </w:rPr>
            </w:pPr>
          </w:p>
        </w:tc>
        <w:tc>
          <w:tcPr>
            <w:tcW w:w="720" w:type="dxa"/>
            <w:vAlign w:val="bottom"/>
            <w:tcBorders>
              <w:top w:val="single" w:sz="8" w:color="E8EAEB"/>
              <w:right w:val="single" w:sz="8" w:color="E8EAEB"/>
            </w:tcBorders>
          </w:tcPr>
          <w:p>
            <w:pPr>
              <w:spacing w:after="0"/>
              <w:rPr>
                <w:sz w:val="15"/>
                <w:szCs w:val="15"/>
                <w:color w:val="auto"/>
              </w:rPr>
            </w:pPr>
          </w:p>
        </w:tc>
        <w:tc>
          <w:tcPr>
            <w:tcW w:w="1060" w:type="dxa"/>
            <w:vAlign w:val="bottom"/>
            <w:tcBorders>
              <w:top w:val="single" w:sz="8" w:color="E8EAEB"/>
              <w:right w:val="single" w:sz="8" w:color="E8EAEB"/>
            </w:tcBorders>
          </w:tcPr>
          <w:p>
            <w:pPr>
              <w:spacing w:after="0"/>
              <w:rPr>
                <w:sz w:val="15"/>
                <w:szCs w:val="15"/>
                <w:color w:val="auto"/>
              </w:rPr>
            </w:pPr>
          </w:p>
        </w:tc>
        <w:tc>
          <w:tcPr>
            <w:tcW w:w="640" w:type="dxa"/>
            <w:vAlign w:val="bottom"/>
            <w:tcBorders>
              <w:top w:val="single" w:sz="8" w:color="E8EAEB"/>
              <w:right w:val="single" w:sz="8" w:color="E8EAEB"/>
            </w:tcBorders>
          </w:tcPr>
          <w:p>
            <w:pPr>
              <w:spacing w:after="0"/>
              <w:rPr>
                <w:sz w:val="15"/>
                <w:szCs w:val="15"/>
                <w:color w:val="auto"/>
              </w:rPr>
            </w:pPr>
          </w:p>
        </w:tc>
        <w:tc>
          <w:tcPr>
            <w:tcW w:w="1040" w:type="dxa"/>
            <w:vAlign w:val="bottom"/>
            <w:tcBorders>
              <w:top w:val="single" w:sz="8" w:color="E8EAEB"/>
              <w:right w:val="single" w:sz="8" w:color="E8EAEB"/>
            </w:tcBorders>
          </w:tcPr>
          <w:p>
            <w:pPr>
              <w:spacing w:after="0"/>
              <w:rPr>
                <w:sz w:val="15"/>
                <w:szCs w:val="15"/>
                <w:color w:val="auto"/>
              </w:rPr>
            </w:pPr>
          </w:p>
        </w:tc>
        <w:tc>
          <w:tcPr>
            <w:tcW w:w="1060" w:type="dxa"/>
            <w:vAlign w:val="bottom"/>
            <w:tcBorders>
              <w:top w:val="single" w:sz="8" w:color="E8EAEB"/>
              <w:right w:val="single" w:sz="8" w:color="E8EAEB"/>
            </w:tcBorders>
          </w:tcPr>
          <w:p>
            <w:pPr>
              <w:spacing w:after="0"/>
              <w:rPr>
                <w:sz w:val="15"/>
                <w:szCs w:val="15"/>
                <w:color w:val="auto"/>
              </w:rPr>
            </w:pP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top w:val="single" w:sz="8" w:color="E8EAEB"/>
              <w:right w:val="single" w:sz="8" w:color="E8EAEB"/>
            </w:tcBorders>
          </w:tcPr>
          <w:p>
            <w:pPr>
              <w:spacing w:after="0"/>
              <w:rPr>
                <w:sz w:val="15"/>
                <w:szCs w:val="15"/>
                <w:color w:val="auto"/>
              </w:rPr>
            </w:pPr>
          </w:p>
        </w:tc>
        <w:tc>
          <w:tcPr>
            <w:tcW w:w="1120" w:type="dxa"/>
            <w:vAlign w:val="bottom"/>
            <w:tcBorders>
              <w:top w:val="single" w:sz="8" w:color="E8EAEB"/>
            </w:tcBorders>
          </w:tcPr>
          <w:p>
            <w:pPr>
              <w:spacing w:after="0"/>
              <w:rPr>
                <w:sz w:val="15"/>
                <w:szCs w:val="15"/>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4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120" w:type="dxa"/>
            <w:vAlign w:val="bottom"/>
          </w:tcPr>
          <w:p>
            <w:pPr>
              <w:spacing w:after="0"/>
              <w:rPr>
                <w:sz w:val="14"/>
                <w:szCs w:val="14"/>
                <w:color w:val="auto"/>
              </w:rPr>
            </w:pPr>
          </w:p>
        </w:tc>
      </w:tr>
      <w:tr>
        <w:trPr>
          <w:trHeight w:val="162"/>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and</w:t>
            </w:r>
          </w:p>
        </w:tc>
        <w:tc>
          <w:tcPr>
            <w:tcW w:w="720" w:type="dxa"/>
            <w:vAlign w:val="bottom"/>
            <w:tcBorders>
              <w:right w:val="single" w:sz="8" w:color="E8EAEB"/>
            </w:tcBorders>
          </w:tcPr>
          <w:p>
            <w:pPr>
              <w:ind w:left="140"/>
              <w:spacing w:after="0"/>
              <w:rPr>
                <w:sz w:val="20"/>
                <w:szCs w:val="20"/>
                <w:color w:val="auto"/>
              </w:rPr>
            </w:pPr>
            <w:r>
              <w:rPr>
                <w:rFonts w:ascii="Arial" w:cs="Arial" w:eastAsia="Arial" w:hAnsi="Arial"/>
                <w:sz w:val="14"/>
                <w:szCs w:val="14"/>
                <w:b w:val="1"/>
                <w:bCs w:val="1"/>
                <w:color w:val="009FE3"/>
              </w:rPr>
              <w:t>Fiscal</w:t>
            </w:r>
          </w:p>
        </w:tc>
        <w:tc>
          <w:tcPr>
            <w:tcW w:w="1060" w:type="dxa"/>
            <w:vAlign w:val="bottom"/>
            <w:tcBorders>
              <w:right w:val="single" w:sz="8" w:color="E8EAEB"/>
            </w:tcBorders>
          </w:tcPr>
          <w:p>
            <w:pPr>
              <w:jc w:val="right"/>
              <w:ind w:right="248"/>
              <w:spacing w:after="0"/>
              <w:rPr>
                <w:sz w:val="20"/>
                <w:szCs w:val="20"/>
                <w:color w:val="auto"/>
              </w:rPr>
            </w:pPr>
            <w:r>
              <w:rPr>
                <w:rFonts w:ascii="Arial" w:cs="Arial" w:eastAsia="Arial" w:hAnsi="Arial"/>
                <w:sz w:val="14"/>
                <w:szCs w:val="14"/>
                <w:b w:val="1"/>
                <w:bCs w:val="1"/>
                <w:color w:val="009FE3"/>
              </w:rPr>
              <w:t>Salary</w:t>
            </w:r>
          </w:p>
        </w:tc>
        <w:tc>
          <w:tcPr>
            <w:tcW w:w="640" w:type="dxa"/>
            <w:vAlign w:val="bottom"/>
            <w:tcBorders>
              <w:right w:val="single" w:sz="8" w:color="E8EAEB"/>
            </w:tcBorders>
          </w:tcPr>
          <w:p>
            <w:pPr>
              <w:ind w:left="80"/>
              <w:spacing w:after="0"/>
              <w:rPr>
                <w:sz w:val="20"/>
                <w:szCs w:val="20"/>
                <w:color w:val="auto"/>
              </w:rPr>
            </w:pPr>
            <w:r>
              <w:rPr>
                <w:rFonts w:ascii="Arial" w:cs="Arial" w:eastAsia="Arial" w:hAnsi="Arial"/>
                <w:sz w:val="14"/>
                <w:szCs w:val="14"/>
                <w:b w:val="1"/>
                <w:bCs w:val="1"/>
                <w:color w:val="009FE3"/>
              </w:rPr>
              <w:t>Bonus</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009FE3"/>
              </w:rPr>
              <w:t>Total</w:t>
            </w:r>
          </w:p>
        </w:tc>
      </w:tr>
      <w:tr>
        <w:trPr>
          <w:trHeight w:val="210"/>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Principal Position</w:t>
            </w:r>
          </w:p>
        </w:tc>
        <w:tc>
          <w:tcPr>
            <w:tcW w:w="7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b w:val="1"/>
                <w:bCs w:val="1"/>
                <w:color w:val="009FE3"/>
              </w:rPr>
              <w:t>Year</w:t>
            </w:r>
          </w:p>
        </w:tc>
        <w:tc>
          <w:tcPr>
            <w:tcW w:w="1060" w:type="dxa"/>
            <w:vAlign w:val="bottom"/>
            <w:tcBorders>
              <w:bottom w:val="single" w:sz="8" w:color="009FE3"/>
              <w:right w:val="single" w:sz="8" w:color="E8EAEB"/>
            </w:tcBorders>
          </w:tcPr>
          <w:p>
            <w:pPr>
              <w:jc w:val="right"/>
              <w:ind w:right="388"/>
              <w:spacing w:after="0"/>
              <w:rPr>
                <w:sz w:val="20"/>
                <w:szCs w:val="20"/>
                <w:color w:val="auto"/>
              </w:rPr>
            </w:pPr>
            <w:r>
              <w:rPr>
                <w:rFonts w:ascii="Arial" w:cs="Arial" w:eastAsia="Arial" w:hAnsi="Arial"/>
                <w:sz w:val="14"/>
                <w:szCs w:val="14"/>
                <w:b w:val="1"/>
                <w:bCs w:val="1"/>
                <w:color w:val="009FE3"/>
              </w:rPr>
              <w:t>($)</w:t>
            </w:r>
          </w:p>
        </w:tc>
        <w:tc>
          <w:tcPr>
            <w:tcW w:w="640" w:type="dxa"/>
            <w:vAlign w:val="bottom"/>
            <w:tcBorders>
              <w:bottom w:val="single" w:sz="8" w:color="009FE3"/>
              <w:right w:val="single" w:sz="8" w:color="E8EAEB"/>
            </w:tcBorders>
          </w:tcPr>
          <w:p>
            <w:pPr>
              <w:ind w:left="220"/>
              <w:spacing w:after="0"/>
              <w:rPr>
                <w:sz w:val="20"/>
                <w:szCs w:val="20"/>
                <w:color w:val="auto"/>
              </w:rPr>
            </w:pPr>
            <w:r>
              <w:rPr>
                <w:rFonts w:ascii="Arial" w:cs="Arial" w:eastAsia="Arial" w:hAnsi="Arial"/>
                <w:sz w:val="14"/>
                <w:szCs w:val="14"/>
                <w:b w:val="1"/>
                <w:bCs w:val="1"/>
                <w:color w:val="009FE3"/>
              </w:rPr>
              <w:t>($)</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(2)</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120" w:type="dxa"/>
            <w:vAlign w:val="bottom"/>
            <w:tcBorders>
              <w:bottom w:val="single" w:sz="8" w:color="009FE3"/>
            </w:tcBorders>
          </w:tcPr>
          <w:p>
            <w:pPr>
              <w:jc w:val="right"/>
              <w:ind w:right="408"/>
              <w:spacing w:after="0"/>
              <w:rPr>
                <w:sz w:val="20"/>
                <w:szCs w:val="20"/>
                <w:color w:val="auto"/>
              </w:rPr>
            </w:pPr>
            <w:r>
              <w:rPr>
                <w:rFonts w:ascii="Arial" w:cs="Arial" w:eastAsia="Arial" w:hAnsi="Arial"/>
                <w:sz w:val="14"/>
                <w:szCs w:val="14"/>
                <w:b w:val="1"/>
                <w:bCs w:val="1"/>
                <w:color w:val="009FE3"/>
              </w:rPr>
              <w:t>($)</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2021</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1,180,000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2,860,217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3,356,526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1,820,000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10,346</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9,227,089</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President, Chief Executive Officer</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3,718,783</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3,719,295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9,937</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10,048,015</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and Board Director</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1,035,000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1,726,250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2,424,000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12,486</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6,697,736</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2021</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2,860,217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3,356,526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1,820,000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23,080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9,359,823</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Executive Chairman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4,375,022</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4,375,634</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17,790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11,768,446</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Former Chief Executive Officer</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1,215,000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3,222,356</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4,524,800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1,700,000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26,721</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10,688,877</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2021</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575,000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873,955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1,025,620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610,000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27,446</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3,112,021</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575,000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1,250,057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1,250,186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17,730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3,682,973</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Chief Financial Officer</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863,125</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500,000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18,250</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3,143,375</w:t>
            </w:r>
          </w:p>
        </w:tc>
      </w:tr>
      <w:tr>
        <w:trPr>
          <w:trHeight w:val="207"/>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3"/>
                <w:szCs w:val="13"/>
                <w:color w:val="202E39"/>
              </w:rPr>
              <w:t>James Dodd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2021</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600,000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1,889,328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745,918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425,000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14,750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3,674,996</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Senior Vice President and President, Global</w:t>
            </w: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4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Enterprise &amp; Mobility (4)</w:t>
            </w:r>
          </w:p>
        </w:tc>
        <w:tc>
          <w:tcPr>
            <w:tcW w:w="720" w:type="dxa"/>
            <w:vAlign w:val="bottom"/>
            <w:tcBorders>
              <w:bottom w:val="single" w:sz="8" w:color="E8EAEB"/>
              <w:right w:val="single" w:sz="8" w:color="E8EAEB"/>
            </w:tcBorders>
          </w:tcPr>
          <w:p>
            <w:pPr>
              <w:spacing w:after="0"/>
              <w:rPr>
                <w:sz w:val="15"/>
                <w:szCs w:val="15"/>
                <w:color w:val="auto"/>
              </w:rPr>
            </w:pPr>
          </w:p>
        </w:tc>
        <w:tc>
          <w:tcPr>
            <w:tcW w:w="1060" w:type="dxa"/>
            <w:vAlign w:val="bottom"/>
            <w:tcBorders>
              <w:bottom w:val="single" w:sz="8" w:color="E8EAEB"/>
              <w:right w:val="single" w:sz="8" w:color="E8EAEB"/>
            </w:tcBorders>
          </w:tcPr>
          <w:p>
            <w:pPr>
              <w:spacing w:after="0"/>
              <w:rPr>
                <w:sz w:val="15"/>
                <w:szCs w:val="15"/>
                <w:color w:val="auto"/>
              </w:rPr>
            </w:pPr>
          </w:p>
        </w:tc>
        <w:tc>
          <w:tcPr>
            <w:tcW w:w="640" w:type="dxa"/>
            <w:vAlign w:val="bottom"/>
            <w:tcBorders>
              <w:bottom w:val="single" w:sz="8" w:color="E8EAEB"/>
              <w:right w:val="single" w:sz="8" w:color="E8EAEB"/>
            </w:tcBorders>
          </w:tcPr>
          <w:p>
            <w:pPr>
              <w:spacing w:after="0"/>
              <w:rPr>
                <w:sz w:val="15"/>
                <w:szCs w:val="15"/>
                <w:color w:val="auto"/>
              </w:rPr>
            </w:pPr>
          </w:p>
        </w:tc>
        <w:tc>
          <w:tcPr>
            <w:tcW w:w="1040" w:type="dxa"/>
            <w:vAlign w:val="bottom"/>
            <w:tcBorders>
              <w:bottom w:val="single" w:sz="8" w:color="E8EAEB"/>
              <w:right w:val="single" w:sz="8" w:color="E8EAEB"/>
            </w:tcBorders>
          </w:tcPr>
          <w:p>
            <w:pPr>
              <w:spacing w:after="0"/>
              <w:rPr>
                <w:sz w:val="15"/>
                <w:szCs w:val="15"/>
                <w:color w:val="auto"/>
              </w:rPr>
            </w:pPr>
          </w:p>
        </w:tc>
        <w:tc>
          <w:tcPr>
            <w:tcW w:w="1060" w:type="dxa"/>
            <w:vAlign w:val="bottom"/>
            <w:tcBorders>
              <w:bottom w:val="single" w:sz="8" w:color="E8EAEB"/>
              <w:right w:val="single" w:sz="8" w:color="E8EAEB"/>
            </w:tcBorders>
          </w:tcPr>
          <w:p>
            <w:pPr>
              <w:spacing w:after="0"/>
              <w:rPr>
                <w:sz w:val="15"/>
                <w:szCs w:val="15"/>
                <w:color w:val="auto"/>
              </w:rPr>
            </w:pPr>
          </w:p>
        </w:tc>
        <w:tc>
          <w:tcPr>
            <w:tcW w:w="1060" w:type="dxa"/>
            <w:vAlign w:val="bottom"/>
            <w:tcBorders>
              <w:bottom w:val="single" w:sz="8" w:color="E8EAEB"/>
              <w:right w:val="single" w:sz="8" w:color="E8EAEB"/>
            </w:tcBorders>
          </w:tcPr>
          <w:p>
            <w:pPr>
              <w:spacing w:after="0"/>
              <w:rPr>
                <w:sz w:val="15"/>
                <w:szCs w:val="15"/>
                <w:color w:val="auto"/>
              </w:rPr>
            </w:pPr>
          </w:p>
        </w:tc>
        <w:tc>
          <w:tcPr>
            <w:tcW w:w="1020" w:type="dxa"/>
            <w:vAlign w:val="bottom"/>
            <w:tcBorders>
              <w:bottom w:val="single" w:sz="8" w:color="E8EAEB"/>
              <w:right w:val="single" w:sz="8" w:color="E8EAEB"/>
            </w:tcBorders>
          </w:tcPr>
          <w:p>
            <w:pPr>
              <w:spacing w:after="0"/>
              <w:rPr>
                <w:sz w:val="15"/>
                <w:szCs w:val="15"/>
                <w:color w:val="auto"/>
              </w:rPr>
            </w:pPr>
          </w:p>
        </w:tc>
        <w:tc>
          <w:tcPr>
            <w:tcW w:w="1120" w:type="dxa"/>
            <w:vAlign w:val="bottom"/>
            <w:tcBorders>
              <w:bottom w:val="single" w:sz="8" w:color="E8EAEB"/>
            </w:tcBorders>
          </w:tcPr>
          <w:p>
            <w:pPr>
              <w:spacing w:after="0"/>
              <w:rPr>
                <w:sz w:val="15"/>
                <w:szCs w:val="15"/>
                <w:color w:val="auto"/>
              </w:rPr>
            </w:pP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2021</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750,000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1,032,856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1,212,076</w:t>
            </w:r>
          </w:p>
        </w:tc>
        <w:tc>
          <w:tcPr>
            <w:tcW w:w="106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35,299</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3,030,231</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Former Senior Vice President and</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680,769</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1,500,026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1,500,217</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765,000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79,510</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4,525,522</w:t>
            </w:r>
          </w:p>
        </w:tc>
      </w:tr>
      <w:tr>
        <w:trPr>
          <w:trHeight w:val="178"/>
        </w:trPr>
        <w:tc>
          <w:tcPr>
            <w:tcW w:w="330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President, Government Systems</w:t>
            </w:r>
          </w:p>
        </w:tc>
        <w:tc>
          <w:tcPr>
            <w:tcW w:w="72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2019</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600,000</w:t>
            </w:r>
          </w:p>
        </w:tc>
        <w:tc>
          <w:tcPr>
            <w:tcW w:w="6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863,125</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700,000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35,783</w:t>
            </w:r>
          </w:p>
        </w:tc>
        <w:tc>
          <w:tcPr>
            <w:tcW w:w="11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3,410,908</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Miller</w:t>
            </w:r>
          </w:p>
        </w:tc>
        <w:tc>
          <w:tcPr>
            <w:tcW w:w="72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2021</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4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794,540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932,393</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10,933</w:t>
            </w:r>
          </w:p>
        </w:tc>
        <w:tc>
          <w:tcPr>
            <w:tcW w:w="1120" w:type="dxa"/>
            <w:vAlign w:val="bottom"/>
          </w:tcPr>
          <w:p>
            <w:pPr>
              <w:jc w:val="right"/>
              <w:ind w:right="108"/>
              <w:spacing w:after="0"/>
              <w:rPr>
                <w:sz w:val="20"/>
                <w:szCs w:val="20"/>
                <w:color w:val="auto"/>
              </w:rPr>
            </w:pPr>
            <w:r>
              <w:rPr>
                <w:rFonts w:ascii="Arial" w:cs="Arial" w:eastAsia="Arial" w:hAnsi="Arial"/>
                <w:sz w:val="14"/>
                <w:szCs w:val="14"/>
                <w:color w:val="202E39"/>
              </w:rPr>
              <w:t>2,887,866</w:t>
            </w:r>
          </w:p>
        </w:tc>
      </w:tr>
      <w:tr>
        <w:trPr>
          <w:trHeight w:val="162"/>
        </w:trPr>
        <w:tc>
          <w:tcPr>
            <w:tcW w:w="3300" w:type="dxa"/>
            <w:vAlign w:val="bottom"/>
            <w:tcBorders>
              <w:right w:val="single" w:sz="8" w:color="E8EAEB"/>
            </w:tcBorders>
          </w:tcPr>
          <w:p>
            <w:pPr>
              <w:ind w:left="220"/>
              <w:spacing w:after="0"/>
              <w:rPr>
                <w:sz w:val="20"/>
                <w:szCs w:val="20"/>
                <w:color w:val="auto"/>
              </w:rPr>
            </w:pPr>
            <w:r>
              <w:rPr>
                <w:rFonts w:ascii="Arial" w:cs="Arial" w:eastAsia="Arial" w:hAnsi="Arial"/>
                <w:sz w:val="14"/>
                <w:szCs w:val="14"/>
                <w:color w:val="202E39"/>
              </w:rPr>
              <w:t>Executive Vice President and</w:t>
            </w: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4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spacing w:after="0"/>
              <w:rPr>
                <w:sz w:val="14"/>
                <w:szCs w:val="14"/>
                <w:color w:val="auto"/>
              </w:rPr>
            </w:pPr>
          </w:p>
        </w:tc>
        <w:tc>
          <w:tcPr>
            <w:tcW w:w="1120" w:type="dxa"/>
            <w:vAlign w:val="bottom"/>
          </w:tcPr>
          <w:p>
            <w:pPr>
              <w:spacing w:after="0"/>
              <w:rPr>
                <w:sz w:val="14"/>
                <w:szCs w:val="14"/>
                <w:color w:val="auto"/>
              </w:rPr>
            </w:pPr>
          </w:p>
        </w:tc>
      </w:tr>
      <w:tr>
        <w:trPr>
          <w:trHeight w:val="178"/>
        </w:trPr>
        <w:tc>
          <w:tcPr>
            <w:tcW w:w="3300" w:type="dxa"/>
            <w:vAlign w:val="bottom"/>
            <w:tcBorders>
              <w:bottom w:val="single" w:sz="8" w:color="009FE3"/>
              <w:right w:val="single" w:sz="8" w:color="E8EAEB"/>
            </w:tcBorders>
          </w:tcPr>
          <w:p>
            <w:pPr>
              <w:ind w:left="220"/>
              <w:spacing w:after="0"/>
              <w:rPr>
                <w:sz w:val="20"/>
                <w:szCs w:val="20"/>
                <w:color w:val="auto"/>
              </w:rPr>
            </w:pPr>
            <w:r>
              <w:rPr>
                <w:rFonts w:ascii="Arial" w:cs="Arial" w:eastAsia="Arial" w:hAnsi="Arial"/>
                <w:sz w:val="14"/>
                <w:szCs w:val="14"/>
                <w:color w:val="202E39"/>
              </w:rPr>
              <w:t>Chief Technical Officer (4)</w:t>
            </w:r>
          </w:p>
        </w:tc>
        <w:tc>
          <w:tcPr>
            <w:tcW w:w="720" w:type="dxa"/>
            <w:vAlign w:val="bottom"/>
            <w:tcBorders>
              <w:bottom w:val="single" w:sz="8" w:color="009FE3"/>
              <w:right w:val="single" w:sz="8" w:color="E8EAEB"/>
            </w:tcBorders>
          </w:tcPr>
          <w:p>
            <w:pPr>
              <w:spacing w:after="0"/>
              <w:rPr>
                <w:sz w:val="15"/>
                <w:szCs w:val="15"/>
                <w:color w:val="auto"/>
              </w:rPr>
            </w:pPr>
          </w:p>
        </w:tc>
        <w:tc>
          <w:tcPr>
            <w:tcW w:w="1060" w:type="dxa"/>
            <w:vAlign w:val="bottom"/>
            <w:tcBorders>
              <w:bottom w:val="single" w:sz="8" w:color="009FE3"/>
              <w:right w:val="single" w:sz="8" w:color="E8EAEB"/>
            </w:tcBorders>
          </w:tcPr>
          <w:p>
            <w:pPr>
              <w:spacing w:after="0"/>
              <w:rPr>
                <w:sz w:val="15"/>
                <w:szCs w:val="15"/>
                <w:color w:val="auto"/>
              </w:rPr>
            </w:pPr>
          </w:p>
        </w:tc>
        <w:tc>
          <w:tcPr>
            <w:tcW w:w="640" w:type="dxa"/>
            <w:vAlign w:val="bottom"/>
            <w:tcBorders>
              <w:bottom w:val="single" w:sz="8" w:color="009FE3"/>
              <w:right w:val="single" w:sz="8" w:color="E8EAEB"/>
            </w:tcBorders>
          </w:tcPr>
          <w:p>
            <w:pPr>
              <w:spacing w:after="0"/>
              <w:rPr>
                <w:sz w:val="15"/>
                <w:szCs w:val="15"/>
                <w:color w:val="auto"/>
              </w:rPr>
            </w:pPr>
          </w:p>
        </w:tc>
        <w:tc>
          <w:tcPr>
            <w:tcW w:w="1040" w:type="dxa"/>
            <w:vAlign w:val="bottom"/>
            <w:tcBorders>
              <w:bottom w:val="single" w:sz="8" w:color="009FE3"/>
              <w:right w:val="single" w:sz="8" w:color="E8EAEB"/>
            </w:tcBorders>
          </w:tcPr>
          <w:p>
            <w:pPr>
              <w:spacing w:after="0"/>
              <w:rPr>
                <w:sz w:val="15"/>
                <w:szCs w:val="15"/>
                <w:color w:val="auto"/>
              </w:rPr>
            </w:pPr>
          </w:p>
        </w:tc>
        <w:tc>
          <w:tcPr>
            <w:tcW w:w="1060" w:type="dxa"/>
            <w:vAlign w:val="bottom"/>
            <w:tcBorders>
              <w:bottom w:val="single" w:sz="8" w:color="009FE3"/>
              <w:right w:val="single" w:sz="8" w:color="E8EAEB"/>
            </w:tcBorders>
          </w:tcPr>
          <w:p>
            <w:pPr>
              <w:spacing w:after="0"/>
              <w:rPr>
                <w:sz w:val="15"/>
                <w:szCs w:val="15"/>
                <w:color w:val="auto"/>
              </w:rPr>
            </w:pPr>
          </w:p>
        </w:tc>
        <w:tc>
          <w:tcPr>
            <w:tcW w:w="1060" w:type="dxa"/>
            <w:vAlign w:val="bottom"/>
            <w:tcBorders>
              <w:bottom w:val="single" w:sz="8" w:color="009FE3"/>
              <w:right w:val="single" w:sz="8" w:color="E8EAEB"/>
            </w:tcBorders>
          </w:tcPr>
          <w:p>
            <w:pPr>
              <w:spacing w:after="0"/>
              <w:rPr>
                <w:sz w:val="15"/>
                <w:szCs w:val="15"/>
                <w:color w:val="auto"/>
              </w:rPr>
            </w:pPr>
          </w:p>
        </w:tc>
        <w:tc>
          <w:tcPr>
            <w:tcW w:w="1020" w:type="dxa"/>
            <w:vAlign w:val="bottom"/>
            <w:tcBorders>
              <w:bottom w:val="single" w:sz="8" w:color="009FE3"/>
              <w:right w:val="single" w:sz="8" w:color="E8EAEB"/>
            </w:tcBorders>
          </w:tcPr>
          <w:p>
            <w:pPr>
              <w:spacing w:after="0"/>
              <w:rPr>
                <w:sz w:val="15"/>
                <w:szCs w:val="15"/>
                <w:color w:val="auto"/>
              </w:rPr>
            </w:pPr>
          </w:p>
        </w:tc>
        <w:tc>
          <w:tcPr>
            <w:tcW w:w="1120" w:type="dxa"/>
            <w:vAlign w:val="bottom"/>
            <w:tcBorders>
              <w:bottom w:val="single" w:sz="8" w:color="009FE3"/>
            </w:tcBorders>
          </w:tcPr>
          <w:p>
            <w:pPr>
              <w:spacing w:after="0"/>
              <w:rPr>
                <w:sz w:val="15"/>
                <w:szCs w:val="15"/>
                <w:color w:val="auto"/>
              </w:rPr>
            </w:pPr>
          </w:p>
        </w:tc>
      </w:tr>
    </w:tbl>
    <w:p>
      <w:pPr>
        <w:spacing w:after="0" w:line="126" w:lineRule="exact"/>
        <w:rPr>
          <w:sz w:val="20"/>
          <w:szCs w:val="20"/>
          <w:color w:val="auto"/>
        </w:rPr>
      </w:pPr>
    </w:p>
    <w:p>
      <w:pPr>
        <w:ind w:left="540" w:right="80" w:hanging="424"/>
        <w:spacing w:after="0" w:line="243" w:lineRule="auto"/>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These columns represent the aggregate grant date fair value, calculated in accordance with SEC rules, of performance-based stock options and restricted stock unit awards granted in fiscal years 2021, 2020 and 2019. These amounts generally reflect the amount that we expect to expense in our financial statements over the award’s vesting schedule, and do not correspond to the actual value that will be realized by the Named Executive Officers. In November 2018, 2019 and 2020, the Named Executive Officers were granted performance-based stock options which vest, in part, dependent upon continued service over a four year vesting schedule and, in part, dependent upon the achievement of the company’s TSR compared to its peer group during the four-year performance period ending October 31, 2022, 2023 and 2024, respectively. The grant date fair value of the performance-based stock options was calculated using a Monte Carlo simulation which considered the likelihood of achieving the vesting conditions. For additional information on the valuation assumptions used in the calculation of these amounts for the respective year end, refer to note 7 to the financial statements included in our annual report on Form 10-K for the fiscal year ended March 31, 2021, as filed with the SEC.</w:t>
      </w:r>
    </w:p>
    <w:p>
      <w:pPr>
        <w:spacing w:after="0" w:line="59" w:lineRule="exact"/>
        <w:rPr>
          <w:rFonts w:ascii="Arial" w:cs="Arial" w:eastAsia="Arial" w:hAnsi="Arial"/>
          <w:sz w:val="14"/>
          <w:szCs w:val="14"/>
          <w:color w:val="202E39"/>
        </w:rPr>
      </w:pPr>
    </w:p>
    <w:p>
      <w:pPr>
        <w:ind w:left="540" w:hanging="424"/>
        <w:spacing w:after="0"/>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Represents amounts earned under our annual bonus program described in the Compensation Discussion and Analysis section.</w:t>
      </w:r>
    </w:p>
    <w:p>
      <w:pPr>
        <w:spacing w:after="0" w:line="68" w:lineRule="exact"/>
        <w:rPr>
          <w:rFonts w:ascii="Arial" w:cs="Arial" w:eastAsia="Arial" w:hAnsi="Arial"/>
          <w:sz w:val="14"/>
          <w:szCs w:val="14"/>
          <w:color w:val="202E39"/>
        </w:rPr>
      </w:pPr>
    </w:p>
    <w:p>
      <w:pPr>
        <w:ind w:left="540" w:right="220" w:hanging="424"/>
        <w:spacing w:after="0" w:line="245" w:lineRule="auto"/>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The amounts for fiscal year 2021 include the following: reimbursement of club dues for Mr. Dankberg and Ms. Duffy in the amount of $8,580 and $17,859, respectively; relocation expense reimbursement for Mr. Peterman in the amount of $26,145 (which includes a gross up of $6,366 to satisfy tax obligations); patent awards for Mr. Dankberg and Mr. Miller in the amount of $1,000; COVID-19 reimbursements of $500 for each Named Executive Officer above; and company 401(k) matching contributions for Mr. Baldridge, Mr. Dankberg, Ms. Duffy, Mr. Dodd, Mr. Peterman, and Mr. Miller in the amounts of $9,846, $13,000, $9,087, $14,250, $8,654, and $9,433 respectively.</w:t>
      </w:r>
    </w:p>
    <w:p>
      <w:pPr>
        <w:spacing w:after="0" w:line="55" w:lineRule="exact"/>
        <w:rPr>
          <w:rFonts w:ascii="Arial" w:cs="Arial" w:eastAsia="Arial" w:hAnsi="Arial"/>
          <w:sz w:val="14"/>
          <w:szCs w:val="14"/>
          <w:color w:val="202E39"/>
        </w:rPr>
      </w:pPr>
    </w:p>
    <w:p>
      <w:pPr>
        <w:ind w:left="540" w:hanging="424"/>
        <w:spacing w:after="0"/>
        <w:tabs>
          <w:tab w:leader="none" w:pos="54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Mr. Dodd and Mr. Miller were not Named Executive Officers in fiscal years 2019 or 2020.</w:t>
      </w:r>
    </w:p>
    <w:p>
      <w:pPr>
        <w:spacing w:after="0" w:line="13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53</w:t>
            </w: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Grants of Plan-Based Awards in Fiscal Year 2021</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Grants of Plan-Based Awards in Fiscal Year 2021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sets forth information regarding grants of plan-based awards to each of the Named Executive Officers during fiscal year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240" w:type="dxa"/>
            <w:vAlign w:val="bottom"/>
            <w:tcBorders>
              <w:top w:val="single" w:sz="8" w:color="E8EAEB"/>
              <w:right w:val="single" w:sz="8" w:color="E8EAEB"/>
            </w:tcBorders>
          </w:tcPr>
          <w:p>
            <w:pPr>
              <w:spacing w:after="0"/>
              <w:rPr>
                <w:sz w:val="17"/>
                <w:szCs w:val="17"/>
                <w:color w:val="auto"/>
              </w:rPr>
            </w:pPr>
          </w:p>
        </w:tc>
        <w:tc>
          <w:tcPr>
            <w:tcW w:w="98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tcBorders>
          </w:tcPr>
          <w:p>
            <w:pPr>
              <w:spacing w:after="0"/>
              <w:rPr>
                <w:sz w:val="17"/>
                <w:szCs w:val="17"/>
                <w:color w:val="auto"/>
              </w:rPr>
            </w:pPr>
          </w:p>
        </w:tc>
        <w:tc>
          <w:tcPr>
            <w:tcW w:w="1040" w:type="dxa"/>
            <w:vAlign w:val="bottom"/>
            <w:tcBorders>
              <w:top w:val="single" w:sz="8" w:color="E8EAEB"/>
            </w:tcBorders>
          </w:tcPr>
          <w:p>
            <w:pPr>
              <w:spacing w:after="0"/>
              <w:rPr>
                <w:sz w:val="17"/>
                <w:szCs w:val="17"/>
                <w:color w:val="auto"/>
              </w:rPr>
            </w:pPr>
          </w:p>
        </w:tc>
        <w:tc>
          <w:tcPr>
            <w:tcW w:w="180" w:type="dxa"/>
            <w:vAlign w:val="bottom"/>
            <w:tcBorders>
              <w:top w:val="single" w:sz="8" w:color="E8EAEB"/>
            </w:tcBorders>
          </w:tcPr>
          <w:p>
            <w:pPr>
              <w:spacing w:after="0"/>
              <w:rPr>
                <w:sz w:val="17"/>
                <w:szCs w:val="17"/>
                <w:color w:val="auto"/>
              </w:rPr>
            </w:pPr>
          </w:p>
        </w:tc>
        <w:tc>
          <w:tcPr>
            <w:tcW w:w="880" w:type="dxa"/>
            <w:vAlign w:val="bottom"/>
            <w:tcBorders>
              <w:top w:val="single" w:sz="8" w:color="E8EAEB"/>
              <w:right w:val="single" w:sz="8" w:color="E8EAEB"/>
            </w:tcBorders>
          </w:tcPr>
          <w:p>
            <w:pPr>
              <w:spacing w:after="0"/>
              <w:rPr>
                <w:sz w:val="17"/>
                <w:szCs w:val="17"/>
                <w:color w:val="auto"/>
              </w:rPr>
            </w:pPr>
          </w:p>
        </w:tc>
        <w:tc>
          <w:tcPr>
            <w:tcW w:w="780" w:type="dxa"/>
            <w:vAlign w:val="bottom"/>
            <w:tcBorders>
              <w:top w:val="single" w:sz="8" w:color="E8EAEB"/>
            </w:tcBorders>
          </w:tcPr>
          <w:p>
            <w:pPr>
              <w:spacing w:after="0"/>
              <w:rPr>
                <w:sz w:val="17"/>
                <w:szCs w:val="17"/>
                <w:color w:val="auto"/>
              </w:rPr>
            </w:pPr>
          </w:p>
        </w:tc>
        <w:tc>
          <w:tcPr>
            <w:tcW w:w="60" w:type="dxa"/>
            <w:vAlign w:val="bottom"/>
            <w:tcBorders>
              <w:top w:val="single" w:sz="8" w:color="E8EAEB"/>
            </w:tcBorders>
          </w:tcPr>
          <w:p>
            <w:pPr>
              <w:spacing w:after="0"/>
              <w:rPr>
                <w:sz w:val="17"/>
                <w:szCs w:val="17"/>
                <w:color w:val="auto"/>
              </w:rPr>
            </w:pPr>
          </w:p>
        </w:tc>
        <w:tc>
          <w:tcPr>
            <w:tcW w:w="940" w:type="dxa"/>
            <w:vAlign w:val="bottom"/>
            <w:tcBorders>
              <w:top w:val="single" w:sz="8" w:color="E8EAEB"/>
            </w:tcBorders>
          </w:tcPr>
          <w:p>
            <w:pPr>
              <w:spacing w:after="0"/>
              <w:rPr>
                <w:sz w:val="17"/>
                <w:szCs w:val="17"/>
                <w:color w:val="auto"/>
              </w:rPr>
            </w:pPr>
          </w:p>
        </w:tc>
        <w:tc>
          <w:tcPr>
            <w:tcW w:w="100" w:type="dxa"/>
            <w:vAlign w:val="bottom"/>
            <w:tcBorders>
              <w:top w:val="single" w:sz="8" w:color="E8EAEB"/>
            </w:tcBorders>
          </w:tcPr>
          <w:p>
            <w:pPr>
              <w:spacing w:after="0"/>
              <w:rPr>
                <w:sz w:val="17"/>
                <w:szCs w:val="17"/>
                <w:color w:val="auto"/>
              </w:rPr>
            </w:pPr>
          </w:p>
        </w:tc>
        <w:tc>
          <w:tcPr>
            <w:tcW w:w="840" w:type="dxa"/>
            <w:vAlign w:val="bottom"/>
            <w:tcBorders>
              <w:top w:val="single" w:sz="8" w:color="E8EAEB"/>
              <w:right w:val="single" w:sz="8" w:color="E8EAEB"/>
            </w:tcBorders>
          </w:tcPr>
          <w:p>
            <w:pPr>
              <w:spacing w:after="0"/>
              <w:rPr>
                <w:sz w:val="17"/>
                <w:szCs w:val="17"/>
                <w:color w:val="auto"/>
              </w:rPr>
            </w:pPr>
          </w:p>
        </w:tc>
        <w:tc>
          <w:tcPr>
            <w:tcW w:w="160" w:type="dxa"/>
            <w:vAlign w:val="bottom"/>
            <w:tcBorders>
              <w:top w:val="single" w:sz="8" w:color="E8EAEB"/>
            </w:tcBorders>
          </w:tcPr>
          <w:p>
            <w:pPr>
              <w:spacing w:after="0"/>
              <w:rPr>
                <w:sz w:val="17"/>
                <w:szCs w:val="17"/>
                <w:color w:val="auto"/>
              </w:rPr>
            </w:pPr>
          </w:p>
        </w:tc>
        <w:tc>
          <w:tcPr>
            <w:tcW w:w="680" w:type="dxa"/>
            <w:vAlign w:val="bottom"/>
            <w:tcBorders>
              <w:top w:val="single" w:sz="8" w:color="E8EAEB"/>
              <w:right w:val="single" w:sz="8" w:color="E8EAEB"/>
            </w:tcBorders>
          </w:tcPr>
          <w:p>
            <w:pPr>
              <w:spacing w:after="0"/>
              <w:rPr>
                <w:sz w:val="17"/>
                <w:szCs w:val="17"/>
                <w:color w:val="auto"/>
              </w:rPr>
            </w:pPr>
          </w:p>
        </w:tc>
        <w:tc>
          <w:tcPr>
            <w:tcW w:w="7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78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rPr>
              <w:t>All Other</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780" w:type="dxa"/>
            <w:vAlign w:val="bottom"/>
            <w:tcBorders>
              <w:right w:val="single" w:sz="8" w:color="E8EAEB"/>
            </w:tcBorders>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2820" w:type="dxa"/>
            <w:vAlign w:val="bottom"/>
            <w:tcBorders>
              <w:right w:val="single" w:sz="8" w:color="E8EAEB"/>
            </w:tcBorders>
            <w:gridSpan w:val="4"/>
          </w:tcPr>
          <w:p>
            <w:pPr>
              <w:jc w:val="center"/>
              <w:spacing w:after="0"/>
              <w:rPr>
                <w:sz w:val="20"/>
                <w:szCs w:val="20"/>
                <w:color w:val="auto"/>
              </w:rPr>
            </w:pPr>
            <w:r>
              <w:rPr>
                <w:rFonts w:ascii="Arial" w:cs="Arial" w:eastAsia="Arial" w:hAnsi="Arial"/>
                <w:sz w:val="14"/>
                <w:szCs w:val="14"/>
                <w:b w:val="1"/>
                <w:bCs w:val="1"/>
                <w:color w:val="009FE3"/>
              </w:rPr>
              <w:t>Estimated Future Payouts</w:t>
            </w:r>
          </w:p>
        </w:tc>
        <w:tc>
          <w:tcPr>
            <w:tcW w:w="2720" w:type="dxa"/>
            <w:vAlign w:val="bottom"/>
            <w:tcBorders>
              <w:right w:val="single" w:sz="8" w:color="E8EAEB"/>
            </w:tcBorders>
            <w:gridSpan w:val="5"/>
          </w:tcPr>
          <w:p>
            <w:pPr>
              <w:ind w:left="460"/>
              <w:spacing w:after="0"/>
              <w:rPr>
                <w:sz w:val="20"/>
                <w:szCs w:val="20"/>
                <w:color w:val="auto"/>
              </w:rPr>
            </w:pPr>
            <w:r>
              <w:rPr>
                <w:rFonts w:ascii="Arial" w:cs="Arial" w:eastAsia="Arial" w:hAnsi="Arial"/>
                <w:sz w:val="14"/>
                <w:szCs w:val="14"/>
                <w:b w:val="1"/>
                <w:bCs w:val="1"/>
                <w:color w:val="009FE3"/>
              </w:rPr>
              <w:t>Estimated Future Payouts</w:t>
            </w:r>
          </w:p>
        </w:tc>
        <w:tc>
          <w:tcPr>
            <w:tcW w:w="160" w:type="dxa"/>
            <w:vAlign w:val="bottom"/>
          </w:tcPr>
          <w:p>
            <w:pPr>
              <w:spacing w:after="0"/>
              <w:rPr>
                <w:sz w:val="14"/>
                <w:szCs w:val="14"/>
                <w:color w:val="auto"/>
              </w:rPr>
            </w:pPr>
          </w:p>
        </w:tc>
        <w:tc>
          <w:tcPr>
            <w:tcW w:w="680" w:type="dxa"/>
            <w:vAlign w:val="bottom"/>
            <w:tcBorders>
              <w:right w:val="single" w:sz="8" w:color="E8EAEB"/>
            </w:tcBorders>
          </w:tcPr>
          <w:p>
            <w:pPr>
              <w:jc w:val="center"/>
              <w:ind w:right="128"/>
              <w:spacing w:after="0"/>
              <w:rPr>
                <w:sz w:val="20"/>
                <w:szCs w:val="20"/>
                <w:color w:val="auto"/>
              </w:rPr>
            </w:pPr>
            <w:r>
              <w:rPr>
                <w:rFonts w:ascii="Arial" w:cs="Arial" w:eastAsia="Arial" w:hAnsi="Arial"/>
                <w:sz w:val="14"/>
                <w:szCs w:val="14"/>
                <w:b w:val="1"/>
                <w:bCs w:val="1"/>
                <w:color w:val="009FE3"/>
              </w:rPr>
              <w:t>Stock</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780" w:type="dxa"/>
            <w:vAlign w:val="bottom"/>
            <w:tcBorders>
              <w:right w:val="single" w:sz="8" w:color="E8EAEB"/>
            </w:tcBorders>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Grant Date</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2820" w:type="dxa"/>
            <w:vAlign w:val="bottom"/>
            <w:tcBorders>
              <w:right w:val="single" w:sz="8" w:color="E8EAEB"/>
            </w:tcBorders>
            <w:gridSpan w:val="4"/>
          </w:tcPr>
          <w:p>
            <w:pPr>
              <w:jc w:val="center"/>
              <w:spacing w:after="0"/>
              <w:rPr>
                <w:sz w:val="20"/>
                <w:szCs w:val="20"/>
                <w:color w:val="auto"/>
              </w:rPr>
            </w:pPr>
            <w:r>
              <w:rPr>
                <w:rFonts w:ascii="Arial" w:cs="Arial" w:eastAsia="Arial" w:hAnsi="Arial"/>
                <w:sz w:val="14"/>
                <w:szCs w:val="14"/>
                <w:b w:val="1"/>
                <w:bCs w:val="1"/>
                <w:color w:val="009FE3"/>
              </w:rPr>
              <w:t>Under Non-Equity Incentive</w:t>
            </w:r>
          </w:p>
        </w:tc>
        <w:tc>
          <w:tcPr>
            <w:tcW w:w="2720" w:type="dxa"/>
            <w:vAlign w:val="bottom"/>
            <w:tcBorders>
              <w:right w:val="single" w:sz="8" w:color="E8EAEB"/>
            </w:tcBorders>
            <w:gridSpan w:val="5"/>
          </w:tcPr>
          <w:p>
            <w:pPr>
              <w:jc w:val="center"/>
              <w:spacing w:after="0"/>
              <w:rPr>
                <w:sz w:val="20"/>
                <w:szCs w:val="20"/>
                <w:color w:val="auto"/>
              </w:rPr>
            </w:pPr>
            <w:r>
              <w:rPr>
                <w:rFonts w:ascii="Arial" w:cs="Arial" w:eastAsia="Arial" w:hAnsi="Arial"/>
                <w:sz w:val="14"/>
                <w:szCs w:val="14"/>
                <w:b w:val="1"/>
                <w:bCs w:val="1"/>
                <w:color w:val="009FE3"/>
              </w:rPr>
              <w:t>Under Equity Incentive</w:t>
            </w:r>
          </w:p>
        </w:tc>
        <w:tc>
          <w:tcPr>
            <w:tcW w:w="840" w:type="dxa"/>
            <w:vAlign w:val="bottom"/>
            <w:tcBorders>
              <w:right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rPr>
              <w:t>Awards:</w:t>
            </w:r>
          </w:p>
        </w:tc>
        <w:tc>
          <w:tcPr>
            <w:tcW w:w="780" w:type="dxa"/>
            <w:vAlign w:val="bottom"/>
            <w:tcBorders>
              <w:right w:val="single" w:sz="8" w:color="E8EAEB"/>
            </w:tcBorders>
          </w:tcPr>
          <w:p>
            <w:pPr>
              <w:jc w:val="center"/>
              <w:ind w:right="8"/>
              <w:spacing w:after="0"/>
              <w:rPr>
                <w:sz w:val="20"/>
                <w:szCs w:val="20"/>
                <w:color w:val="auto"/>
              </w:rPr>
            </w:pPr>
            <w:r>
              <w:rPr>
                <w:rFonts w:ascii="Arial" w:cs="Arial" w:eastAsia="Arial" w:hAnsi="Arial"/>
                <w:sz w:val="14"/>
                <w:szCs w:val="14"/>
                <w:b w:val="1"/>
                <w:bCs w:val="1"/>
                <w:color w:val="009FE3"/>
              </w:rPr>
              <w:t>Number</w:t>
            </w:r>
          </w:p>
        </w:tc>
        <w:tc>
          <w:tcPr>
            <w:tcW w:w="780" w:type="dxa"/>
            <w:vAlign w:val="bottom"/>
            <w:tcBorders>
              <w:right w:val="single" w:sz="8" w:color="E8EAEB"/>
            </w:tcBorders>
            <w:vMerge w:val="restart"/>
          </w:tcPr>
          <w:p>
            <w:pPr>
              <w:jc w:val="center"/>
              <w:spacing w:after="0"/>
              <w:rPr>
                <w:sz w:val="20"/>
                <w:szCs w:val="20"/>
                <w:color w:val="auto"/>
              </w:rPr>
            </w:pPr>
            <w:r>
              <w:rPr>
                <w:rFonts w:ascii="Arial" w:cs="Arial" w:eastAsia="Arial" w:hAnsi="Arial"/>
                <w:sz w:val="14"/>
                <w:szCs w:val="14"/>
                <w:b w:val="1"/>
                <w:bCs w:val="1"/>
                <w:color w:val="009FE3"/>
              </w:rPr>
              <w:t>Exercise 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Fair Value</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009FE3"/>
              </w:rPr>
              <w:t>Plan Awards (1)</w:t>
            </w:r>
          </w:p>
        </w:tc>
        <w:tc>
          <w:tcPr>
            <w:tcW w:w="880" w:type="dxa"/>
            <w:vAlign w:val="bottom"/>
            <w:tcBorders>
              <w:right w:val="single" w:sz="8" w:color="E8EAEB"/>
            </w:tcBorders>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009FE3"/>
              </w:rPr>
              <w:t>Plan Awards (2)</w:t>
            </w:r>
          </w:p>
        </w:tc>
        <w:tc>
          <w:tcPr>
            <w:tcW w:w="84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rPr>
              <w:t>Number of</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w:t>
            </w:r>
          </w:p>
        </w:tc>
        <w:tc>
          <w:tcPr>
            <w:tcW w:w="780" w:type="dxa"/>
            <w:vAlign w:val="bottom"/>
            <w:tcBorders>
              <w:right w:val="single" w:sz="8" w:color="E8EAEB"/>
            </w:tcBorders>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of Stock</w:t>
            </w:r>
          </w:p>
        </w:tc>
        <w:tc>
          <w:tcPr>
            <w:tcW w:w="0" w:type="dxa"/>
            <w:vAlign w:val="bottom"/>
          </w:tcPr>
          <w:p>
            <w:pPr>
              <w:spacing w:after="0"/>
              <w:rPr>
                <w:sz w:val="1"/>
                <w:szCs w:val="1"/>
                <w:color w:val="auto"/>
              </w:rPr>
            </w:pPr>
          </w:p>
        </w:tc>
      </w:tr>
      <w:tr>
        <w:trPr>
          <w:trHeight w:val="54"/>
        </w:trPr>
        <w:tc>
          <w:tcPr>
            <w:tcW w:w="1240" w:type="dxa"/>
            <w:vAlign w:val="bottom"/>
            <w:tcBorders>
              <w:right w:val="single" w:sz="8" w:color="E8EAEB"/>
            </w:tcBorders>
          </w:tcPr>
          <w:p>
            <w:pPr>
              <w:spacing w:after="0"/>
              <w:rPr>
                <w:sz w:val="4"/>
                <w:szCs w:val="4"/>
                <w:color w:val="auto"/>
              </w:rPr>
            </w:pPr>
          </w:p>
        </w:tc>
        <w:tc>
          <w:tcPr>
            <w:tcW w:w="980" w:type="dxa"/>
            <w:vAlign w:val="bottom"/>
            <w:tcBorders>
              <w:right w:val="single" w:sz="8" w:color="E8EAEB"/>
            </w:tcBorders>
          </w:tcPr>
          <w:p>
            <w:pPr>
              <w:spacing w:after="0"/>
              <w:rPr>
                <w:sz w:val="4"/>
                <w:szCs w:val="4"/>
                <w:color w:val="auto"/>
              </w:rPr>
            </w:pPr>
          </w:p>
        </w:tc>
        <w:tc>
          <w:tcPr>
            <w:tcW w:w="720" w:type="dxa"/>
            <w:vAlign w:val="bottom"/>
            <w:tcBorders>
              <w:bottom w:val="single" w:sz="8" w:color="009FE3"/>
            </w:tcBorders>
          </w:tcPr>
          <w:p>
            <w:pPr>
              <w:spacing w:after="0"/>
              <w:rPr>
                <w:sz w:val="4"/>
                <w:szCs w:val="4"/>
                <w:color w:val="auto"/>
              </w:rPr>
            </w:pPr>
          </w:p>
        </w:tc>
        <w:tc>
          <w:tcPr>
            <w:tcW w:w="1040" w:type="dxa"/>
            <w:vAlign w:val="bottom"/>
            <w:tcBorders>
              <w:bottom w:val="single" w:sz="8" w:color="009FE3"/>
            </w:tcBorders>
          </w:tcPr>
          <w:p>
            <w:pPr>
              <w:spacing w:after="0"/>
              <w:rPr>
                <w:sz w:val="4"/>
                <w:szCs w:val="4"/>
                <w:color w:val="auto"/>
              </w:rPr>
            </w:pPr>
          </w:p>
        </w:tc>
        <w:tc>
          <w:tcPr>
            <w:tcW w:w="180" w:type="dxa"/>
            <w:vAlign w:val="bottom"/>
            <w:tcBorders>
              <w:bottom w:val="single" w:sz="8" w:color="009FE3"/>
            </w:tcBorders>
          </w:tcPr>
          <w:p>
            <w:pPr>
              <w:spacing w:after="0"/>
              <w:rPr>
                <w:sz w:val="4"/>
                <w:szCs w:val="4"/>
                <w:color w:val="auto"/>
              </w:rPr>
            </w:pPr>
          </w:p>
        </w:tc>
        <w:tc>
          <w:tcPr>
            <w:tcW w:w="880" w:type="dxa"/>
            <w:vAlign w:val="bottom"/>
            <w:tcBorders>
              <w:bottom w:val="single" w:sz="8" w:color="009FE3"/>
              <w:right w:val="single" w:sz="8" w:color="E8EAEB"/>
            </w:tcBorders>
          </w:tcPr>
          <w:p>
            <w:pPr>
              <w:spacing w:after="0"/>
              <w:rPr>
                <w:sz w:val="4"/>
                <w:szCs w:val="4"/>
                <w:color w:val="auto"/>
              </w:rPr>
            </w:pPr>
          </w:p>
        </w:tc>
        <w:tc>
          <w:tcPr>
            <w:tcW w:w="780" w:type="dxa"/>
            <w:vAlign w:val="bottom"/>
            <w:tcBorders>
              <w:bottom w:val="single" w:sz="8" w:color="009FE3"/>
            </w:tcBorders>
          </w:tcPr>
          <w:p>
            <w:pPr>
              <w:spacing w:after="0"/>
              <w:rPr>
                <w:sz w:val="4"/>
                <w:szCs w:val="4"/>
                <w:color w:val="auto"/>
              </w:rPr>
            </w:pPr>
          </w:p>
        </w:tc>
        <w:tc>
          <w:tcPr>
            <w:tcW w:w="60" w:type="dxa"/>
            <w:vAlign w:val="bottom"/>
            <w:tcBorders>
              <w:bottom w:val="single" w:sz="8" w:color="009FE3"/>
            </w:tcBorders>
          </w:tcPr>
          <w:p>
            <w:pPr>
              <w:spacing w:after="0"/>
              <w:rPr>
                <w:sz w:val="4"/>
                <w:szCs w:val="4"/>
                <w:color w:val="auto"/>
              </w:rPr>
            </w:pPr>
          </w:p>
        </w:tc>
        <w:tc>
          <w:tcPr>
            <w:tcW w:w="940" w:type="dxa"/>
            <w:vAlign w:val="bottom"/>
            <w:tcBorders>
              <w:bottom w:val="single" w:sz="8" w:color="009FE3"/>
            </w:tcBorders>
          </w:tcPr>
          <w:p>
            <w:pPr>
              <w:spacing w:after="0"/>
              <w:rPr>
                <w:sz w:val="4"/>
                <w:szCs w:val="4"/>
                <w:color w:val="auto"/>
              </w:rPr>
            </w:pPr>
          </w:p>
        </w:tc>
        <w:tc>
          <w:tcPr>
            <w:tcW w:w="100" w:type="dxa"/>
            <w:vAlign w:val="bottom"/>
            <w:tcBorders>
              <w:bottom w:val="single" w:sz="8" w:color="009FE3"/>
            </w:tcBorders>
          </w:tcPr>
          <w:p>
            <w:pPr>
              <w:spacing w:after="0"/>
              <w:rPr>
                <w:sz w:val="4"/>
                <w:szCs w:val="4"/>
                <w:color w:val="auto"/>
              </w:rPr>
            </w:pPr>
          </w:p>
        </w:tc>
        <w:tc>
          <w:tcPr>
            <w:tcW w:w="840" w:type="dxa"/>
            <w:vAlign w:val="bottom"/>
            <w:tcBorders>
              <w:bottom w:val="single" w:sz="8" w:color="009FE3"/>
              <w:right w:val="single" w:sz="8" w:color="E8EAEB"/>
            </w:tcBorders>
          </w:tcPr>
          <w:p>
            <w:pPr>
              <w:spacing w:after="0"/>
              <w:rPr>
                <w:sz w:val="4"/>
                <w:szCs w:val="4"/>
                <w:color w:val="auto"/>
              </w:rPr>
            </w:pPr>
          </w:p>
        </w:tc>
        <w:tc>
          <w:tcPr>
            <w:tcW w:w="840" w:type="dxa"/>
            <w:vAlign w:val="bottom"/>
            <w:tcBorders>
              <w:right w:val="single" w:sz="8" w:color="E8EAEB"/>
            </w:tcBorders>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009FE3"/>
              </w:rPr>
              <w:t>Shares of</w:t>
            </w:r>
          </w:p>
        </w:tc>
        <w:tc>
          <w:tcPr>
            <w:tcW w:w="780" w:type="dxa"/>
            <w:vAlign w:val="bottom"/>
            <w:tcBorders>
              <w:right w:val="single" w:sz="8" w:color="E8EAEB"/>
            </w:tcBorders>
            <w:vMerge w:val="restart"/>
          </w:tcPr>
          <w:p>
            <w:pPr>
              <w:jc w:val="center"/>
              <w:spacing w:after="0" w:line="149" w:lineRule="exact"/>
              <w:rPr>
                <w:sz w:val="20"/>
                <w:szCs w:val="20"/>
                <w:color w:val="auto"/>
              </w:rPr>
            </w:pPr>
            <w:r>
              <w:rPr>
                <w:rFonts w:ascii="Arial" w:cs="Arial" w:eastAsia="Arial" w:hAnsi="Arial"/>
                <w:sz w:val="14"/>
                <w:szCs w:val="14"/>
                <w:b w:val="1"/>
                <w:bCs w:val="1"/>
                <w:color w:val="009FE3"/>
              </w:rPr>
              <w:t>Securities</w:t>
            </w:r>
          </w:p>
        </w:tc>
        <w:tc>
          <w:tcPr>
            <w:tcW w:w="780" w:type="dxa"/>
            <w:vAlign w:val="bottom"/>
            <w:tcBorders>
              <w:right w:val="single" w:sz="8" w:color="E8EAEB"/>
            </w:tcBorders>
            <w:vMerge w:val="restart"/>
          </w:tcPr>
          <w:p>
            <w:pPr>
              <w:jc w:val="center"/>
              <w:spacing w:after="0" w:line="149" w:lineRule="exact"/>
              <w:rPr>
                <w:sz w:val="20"/>
                <w:szCs w:val="20"/>
                <w:color w:val="auto"/>
              </w:rPr>
            </w:pPr>
            <w:r>
              <w:rPr>
                <w:rFonts w:ascii="Arial" w:cs="Arial" w:eastAsia="Arial" w:hAnsi="Arial"/>
                <w:sz w:val="14"/>
                <w:szCs w:val="14"/>
                <w:b w:val="1"/>
                <w:bCs w:val="1"/>
                <w:color w:val="009FE3"/>
              </w:rPr>
              <w:t>Base Price</w:t>
            </w:r>
          </w:p>
        </w:tc>
        <w:tc>
          <w:tcPr>
            <w:tcW w:w="10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009FE3"/>
                <w:w w:val="96"/>
              </w:rPr>
              <w:t>and</w:t>
            </w:r>
          </w:p>
        </w:tc>
        <w:tc>
          <w:tcPr>
            <w:tcW w:w="0" w:type="dxa"/>
            <w:vAlign w:val="bottom"/>
          </w:tcPr>
          <w:p>
            <w:pPr>
              <w:spacing w:after="0"/>
              <w:rPr>
                <w:sz w:val="1"/>
                <w:szCs w:val="1"/>
                <w:color w:val="auto"/>
              </w:rPr>
            </w:pPr>
          </w:p>
        </w:tc>
      </w:tr>
      <w:tr>
        <w:trPr>
          <w:trHeight w:val="75"/>
        </w:trPr>
        <w:tc>
          <w:tcPr>
            <w:tcW w:w="1240" w:type="dxa"/>
            <w:vAlign w:val="bottom"/>
            <w:tcBorders>
              <w:right w:val="single" w:sz="8" w:color="E8EAEB"/>
            </w:tcBorders>
          </w:tcPr>
          <w:p>
            <w:pPr>
              <w:spacing w:after="0"/>
              <w:rPr>
                <w:sz w:val="6"/>
                <w:szCs w:val="6"/>
                <w:color w:val="auto"/>
              </w:rPr>
            </w:pPr>
          </w:p>
        </w:tc>
        <w:tc>
          <w:tcPr>
            <w:tcW w:w="980" w:type="dxa"/>
            <w:vAlign w:val="bottom"/>
            <w:tcBorders>
              <w:right w:val="single" w:sz="8" w:color="E8EAEB"/>
            </w:tcBorders>
          </w:tcPr>
          <w:p>
            <w:pPr>
              <w:spacing w:after="0"/>
              <w:rPr>
                <w:sz w:val="6"/>
                <w:szCs w:val="6"/>
                <w:color w:val="auto"/>
              </w:rPr>
            </w:pPr>
          </w:p>
        </w:tc>
        <w:tc>
          <w:tcPr>
            <w:tcW w:w="720" w:type="dxa"/>
            <w:vAlign w:val="bottom"/>
            <w:tcBorders>
              <w:right w:val="single" w:sz="8" w:color="E8EAEB"/>
            </w:tcBorders>
          </w:tcPr>
          <w:p>
            <w:pPr>
              <w:spacing w:after="0"/>
              <w:rPr>
                <w:sz w:val="6"/>
                <w:szCs w:val="6"/>
                <w:color w:val="auto"/>
              </w:rPr>
            </w:pPr>
          </w:p>
        </w:tc>
        <w:tc>
          <w:tcPr>
            <w:tcW w:w="1040" w:type="dxa"/>
            <w:vAlign w:val="bottom"/>
            <w:tcBorders>
              <w:right w:val="single" w:sz="8" w:color="E8EAEB"/>
            </w:tcBorders>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right w:val="single" w:sz="8" w:color="E8EAEB"/>
            </w:tcBorders>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right w:val="single" w:sz="8" w:color="E8EAEB"/>
            </w:tcBorders>
          </w:tcPr>
          <w:p>
            <w:pPr>
              <w:spacing w:after="0"/>
              <w:rPr>
                <w:sz w:val="6"/>
                <w:szCs w:val="6"/>
                <w:color w:val="auto"/>
              </w:rPr>
            </w:pPr>
          </w:p>
        </w:tc>
        <w:tc>
          <w:tcPr>
            <w:tcW w:w="940" w:type="dxa"/>
            <w:vAlign w:val="bottom"/>
            <w:tcBorders>
              <w:right w:val="single" w:sz="8" w:color="E8EAEB"/>
            </w:tcBorders>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Borders>
              <w:right w:val="single" w:sz="8" w:color="E8EAEB"/>
            </w:tcBorders>
          </w:tcPr>
          <w:p>
            <w:pPr>
              <w:spacing w:after="0"/>
              <w:rPr>
                <w:sz w:val="6"/>
                <w:szCs w:val="6"/>
                <w:color w:val="auto"/>
              </w:rPr>
            </w:pPr>
          </w:p>
        </w:tc>
        <w:tc>
          <w:tcPr>
            <w:tcW w:w="840" w:type="dxa"/>
            <w:vAlign w:val="bottom"/>
            <w:tcBorders>
              <w:right w:val="single" w:sz="8" w:color="E8EAEB"/>
            </w:tcBorders>
            <w:gridSpan w:val="2"/>
            <w:vMerge w:val="continue"/>
          </w:tcPr>
          <w:p>
            <w:pPr>
              <w:spacing w:after="0"/>
              <w:rPr>
                <w:sz w:val="6"/>
                <w:szCs w:val="6"/>
                <w:color w:val="auto"/>
              </w:rPr>
            </w:pPr>
          </w:p>
        </w:tc>
        <w:tc>
          <w:tcPr>
            <w:tcW w:w="780" w:type="dxa"/>
            <w:vAlign w:val="bottom"/>
            <w:tcBorders>
              <w:right w:val="single" w:sz="8" w:color="E8EAEB"/>
            </w:tcBorders>
            <w:vMerge w:val="continue"/>
          </w:tcPr>
          <w:p>
            <w:pPr>
              <w:spacing w:after="0"/>
              <w:rPr>
                <w:sz w:val="6"/>
                <w:szCs w:val="6"/>
                <w:color w:val="auto"/>
              </w:rPr>
            </w:pPr>
          </w:p>
        </w:tc>
        <w:tc>
          <w:tcPr>
            <w:tcW w:w="780" w:type="dxa"/>
            <w:vAlign w:val="bottom"/>
            <w:tcBorders>
              <w:right w:val="single" w:sz="8" w:color="E8EAEB"/>
            </w:tcBorders>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right w:val="single" w:sz="8" w:color="E8EAEB"/>
            </w:tcBorders>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rPr>
              <w:t>Stock or</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Underlying</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Option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9FE3"/>
              </w:rPr>
              <w:t>Option</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248"/>
              <w:spacing w:after="0"/>
              <w:rPr>
                <w:sz w:val="20"/>
                <w:szCs w:val="20"/>
                <w:color w:val="auto"/>
              </w:rPr>
            </w:pPr>
            <w:r>
              <w:rPr>
                <w:rFonts w:ascii="Arial" w:cs="Arial" w:eastAsia="Arial" w:hAnsi="Arial"/>
                <w:sz w:val="14"/>
                <w:szCs w:val="14"/>
                <w:b w:val="1"/>
                <w:bCs w:val="1"/>
                <w:color w:val="009FE3"/>
              </w:rPr>
              <w:t>Grant</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Threshold</w:t>
            </w:r>
          </w:p>
        </w:tc>
        <w:tc>
          <w:tcPr>
            <w:tcW w:w="1040" w:type="dxa"/>
            <w:vAlign w:val="bottom"/>
            <w:tcBorders>
              <w:right w:val="single" w:sz="8" w:color="E8EAEB"/>
            </w:tcBorders>
          </w:tcPr>
          <w:p>
            <w:pPr>
              <w:jc w:val="right"/>
              <w:ind w:right="248"/>
              <w:spacing w:after="0"/>
              <w:rPr>
                <w:sz w:val="20"/>
                <w:szCs w:val="20"/>
                <w:color w:val="auto"/>
              </w:rPr>
            </w:pPr>
            <w:r>
              <w:rPr>
                <w:rFonts w:ascii="Arial" w:cs="Arial" w:eastAsia="Arial" w:hAnsi="Arial"/>
                <w:sz w:val="14"/>
                <w:szCs w:val="14"/>
                <w:b w:val="1"/>
                <w:bCs w:val="1"/>
                <w:color w:val="009FE3"/>
              </w:rPr>
              <w:t>Target</w:t>
            </w:r>
          </w:p>
        </w:tc>
        <w:tc>
          <w:tcPr>
            <w:tcW w:w="180" w:type="dxa"/>
            <w:vAlign w:val="bottom"/>
          </w:tcPr>
          <w:p>
            <w:pPr>
              <w:spacing w:after="0"/>
              <w:rPr>
                <w:sz w:val="14"/>
                <w:szCs w:val="14"/>
                <w:color w:val="auto"/>
              </w:rPr>
            </w:pPr>
          </w:p>
        </w:tc>
        <w:tc>
          <w:tcPr>
            <w:tcW w:w="880" w:type="dxa"/>
            <w:vAlign w:val="bottom"/>
            <w:tcBorders>
              <w:right w:val="single" w:sz="8" w:color="E8EAEB"/>
            </w:tcBorders>
          </w:tcPr>
          <w:p>
            <w:pPr>
              <w:jc w:val="center"/>
              <w:ind w:right="128"/>
              <w:spacing w:after="0"/>
              <w:rPr>
                <w:sz w:val="20"/>
                <w:szCs w:val="20"/>
                <w:color w:val="auto"/>
              </w:rPr>
            </w:pPr>
            <w:r>
              <w:rPr>
                <w:rFonts w:ascii="Arial" w:cs="Arial" w:eastAsia="Arial" w:hAnsi="Arial"/>
                <w:sz w:val="14"/>
                <w:szCs w:val="14"/>
                <w:b w:val="1"/>
                <w:bCs w:val="1"/>
                <w:color w:val="009FE3"/>
              </w:rPr>
              <w:t>Maximum</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9FE3"/>
              </w:rPr>
              <w:t>Threshold</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188"/>
              <w:spacing w:after="0"/>
              <w:rPr>
                <w:sz w:val="20"/>
                <w:szCs w:val="20"/>
                <w:color w:val="auto"/>
              </w:rPr>
            </w:pPr>
            <w:r>
              <w:rPr>
                <w:rFonts w:ascii="Arial" w:cs="Arial" w:eastAsia="Arial" w:hAnsi="Arial"/>
                <w:sz w:val="14"/>
                <w:szCs w:val="14"/>
                <w:b w:val="1"/>
                <w:bCs w:val="1"/>
                <w:color w:val="009FE3"/>
              </w:rPr>
              <w:t>Target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b w:val="1"/>
                <w:bCs w:val="1"/>
                <w:color w:val="009FE3"/>
              </w:rPr>
              <w:t>Maximum</w:t>
            </w:r>
          </w:p>
        </w:tc>
        <w:tc>
          <w:tcPr>
            <w:tcW w:w="160" w:type="dxa"/>
            <w:vAlign w:val="bottom"/>
          </w:tcPr>
          <w:p>
            <w:pPr>
              <w:spacing w:after="0"/>
              <w:rPr>
                <w:sz w:val="14"/>
                <w:szCs w:val="14"/>
                <w:color w:val="auto"/>
              </w:rPr>
            </w:pPr>
          </w:p>
        </w:tc>
        <w:tc>
          <w:tcPr>
            <w:tcW w:w="680" w:type="dxa"/>
            <w:vAlign w:val="bottom"/>
            <w:tcBorders>
              <w:right w:val="single" w:sz="8" w:color="E8EAEB"/>
            </w:tcBorders>
          </w:tcPr>
          <w:p>
            <w:pPr>
              <w:jc w:val="center"/>
              <w:ind w:right="128"/>
              <w:spacing w:after="0"/>
              <w:rPr>
                <w:sz w:val="20"/>
                <w:szCs w:val="20"/>
                <w:color w:val="auto"/>
              </w:rPr>
            </w:pPr>
            <w:r>
              <w:rPr>
                <w:rFonts w:ascii="Arial" w:cs="Arial" w:eastAsia="Arial" w:hAnsi="Arial"/>
                <w:sz w:val="14"/>
                <w:szCs w:val="14"/>
                <w:b w:val="1"/>
                <w:bCs w:val="1"/>
                <w:color w:val="009FE3"/>
              </w:rPr>
              <w:t>Units</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7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009FE3"/>
              </w:rPr>
              <w:t>Awards</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980" w:type="dxa"/>
            <w:vAlign w:val="bottom"/>
            <w:tcBorders>
              <w:bottom w:val="single" w:sz="8" w:color="009FE3"/>
              <w:right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Date</w:t>
            </w:r>
          </w:p>
        </w:tc>
        <w:tc>
          <w:tcPr>
            <w:tcW w:w="7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040" w:type="dxa"/>
            <w:vAlign w:val="bottom"/>
            <w:tcBorders>
              <w:bottom w:val="single" w:sz="8" w:color="009FE3"/>
              <w:right w:val="single" w:sz="8" w:color="E8EAEB"/>
            </w:tcBorders>
          </w:tcPr>
          <w:p>
            <w:pPr>
              <w:jc w:val="right"/>
              <w:ind w:right="368"/>
              <w:spacing w:after="0"/>
              <w:rPr>
                <w:sz w:val="20"/>
                <w:szCs w:val="20"/>
                <w:color w:val="auto"/>
              </w:rPr>
            </w:pPr>
            <w:r>
              <w:rPr>
                <w:rFonts w:ascii="Arial" w:cs="Arial" w:eastAsia="Arial" w:hAnsi="Arial"/>
                <w:sz w:val="14"/>
                <w:szCs w:val="14"/>
                <w:b w:val="1"/>
                <w:bCs w:val="1"/>
                <w:color w:val="009FE3"/>
              </w:rPr>
              <w:t>($)</w:t>
            </w:r>
          </w:p>
        </w:tc>
        <w:tc>
          <w:tcPr>
            <w:tcW w:w="180" w:type="dxa"/>
            <w:vAlign w:val="bottom"/>
            <w:tcBorders>
              <w:bottom w:val="single" w:sz="8" w:color="009FE3"/>
            </w:tcBorders>
          </w:tcPr>
          <w:p>
            <w:pPr>
              <w:spacing w:after="0"/>
              <w:rPr>
                <w:sz w:val="19"/>
                <w:szCs w:val="19"/>
                <w:color w:val="auto"/>
              </w:rPr>
            </w:pPr>
          </w:p>
        </w:tc>
        <w:tc>
          <w:tcPr>
            <w:tcW w:w="880" w:type="dxa"/>
            <w:vAlign w:val="bottom"/>
            <w:tcBorders>
              <w:bottom w:val="single" w:sz="8" w:color="009FE3"/>
              <w:right w:val="single" w:sz="8" w:color="E8EAEB"/>
            </w:tcBorders>
          </w:tcPr>
          <w:p>
            <w:pPr>
              <w:jc w:val="center"/>
              <w:ind w:right="128"/>
              <w:spacing w:after="0"/>
              <w:rPr>
                <w:sz w:val="20"/>
                <w:szCs w:val="20"/>
                <w:color w:val="auto"/>
              </w:rPr>
            </w:pPr>
            <w:r>
              <w:rPr>
                <w:rFonts w:ascii="Arial" w:cs="Arial" w:eastAsia="Arial" w:hAnsi="Arial"/>
                <w:sz w:val="14"/>
                <w:szCs w:val="14"/>
                <w:b w:val="1"/>
                <w:bCs w:val="1"/>
                <w:color w:val="009FE3"/>
                <w:w w:val="93"/>
              </w:rPr>
              <w:t>($)</w:t>
            </w:r>
          </w:p>
        </w:tc>
        <w:tc>
          <w:tcPr>
            <w:tcW w:w="78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w:t>
            </w:r>
          </w:p>
        </w:tc>
        <w:tc>
          <w:tcPr>
            <w:tcW w:w="60" w:type="dxa"/>
            <w:vAlign w:val="bottom"/>
            <w:tcBorders>
              <w:bottom w:val="single" w:sz="8" w:color="009FE3"/>
              <w:right w:val="single" w:sz="8" w:color="E8EAEB"/>
            </w:tcBorders>
          </w:tcPr>
          <w:p>
            <w:pPr>
              <w:spacing w:after="0"/>
              <w:rPr>
                <w:sz w:val="19"/>
                <w:szCs w:val="19"/>
                <w:color w:val="auto"/>
              </w:rPr>
            </w:pPr>
          </w:p>
        </w:tc>
        <w:tc>
          <w:tcPr>
            <w:tcW w:w="940" w:type="dxa"/>
            <w:vAlign w:val="bottom"/>
            <w:tcBorders>
              <w:bottom w:val="single" w:sz="8" w:color="009FE3"/>
              <w:right w:val="single" w:sz="8" w:color="E8EAEB"/>
            </w:tcBorders>
          </w:tcPr>
          <w:p>
            <w:pPr>
              <w:jc w:val="right"/>
              <w:ind w:right="328"/>
              <w:spacing w:after="0"/>
              <w:rPr>
                <w:sz w:val="20"/>
                <w:szCs w:val="20"/>
                <w:color w:val="auto"/>
              </w:rPr>
            </w:pPr>
            <w:r>
              <w:rPr>
                <w:rFonts w:ascii="Arial" w:cs="Arial" w:eastAsia="Arial" w:hAnsi="Arial"/>
                <w:sz w:val="14"/>
                <w:szCs w:val="14"/>
                <w:b w:val="1"/>
                <w:bCs w:val="1"/>
                <w:color w:val="009FE3"/>
              </w:rPr>
              <w:t>(#)</w:t>
            </w:r>
          </w:p>
        </w:tc>
        <w:tc>
          <w:tcPr>
            <w:tcW w:w="100" w:type="dxa"/>
            <w:vAlign w:val="bottom"/>
            <w:tcBorders>
              <w:bottom w:val="single" w:sz="8" w:color="009FE3"/>
            </w:tcBorders>
          </w:tcPr>
          <w:p>
            <w:pPr>
              <w:spacing w:after="0"/>
              <w:rPr>
                <w:sz w:val="19"/>
                <w:szCs w:val="19"/>
                <w:color w:val="auto"/>
              </w:rPr>
            </w:pPr>
          </w:p>
        </w:tc>
        <w:tc>
          <w:tcPr>
            <w:tcW w:w="840" w:type="dxa"/>
            <w:vAlign w:val="bottom"/>
            <w:tcBorders>
              <w:bottom w:val="single" w:sz="8" w:color="009FE3"/>
              <w:right w:val="single" w:sz="8" w:color="E8EAEB"/>
            </w:tcBorders>
          </w:tcPr>
          <w:p>
            <w:pPr>
              <w:jc w:val="right"/>
              <w:ind w:right="328"/>
              <w:spacing w:after="0"/>
              <w:rPr>
                <w:sz w:val="20"/>
                <w:szCs w:val="20"/>
                <w:color w:val="auto"/>
              </w:rPr>
            </w:pPr>
            <w:r>
              <w:rPr>
                <w:rFonts w:ascii="Arial" w:cs="Arial" w:eastAsia="Arial" w:hAnsi="Arial"/>
                <w:sz w:val="14"/>
                <w:szCs w:val="14"/>
                <w:b w:val="1"/>
                <w:bCs w:val="1"/>
                <w:color w:val="009FE3"/>
              </w:rPr>
              <w:t>(#)</w:t>
            </w:r>
          </w:p>
        </w:tc>
        <w:tc>
          <w:tcPr>
            <w:tcW w:w="840" w:type="dxa"/>
            <w:vAlign w:val="bottom"/>
            <w:tcBorders>
              <w:bottom w:val="single" w:sz="8" w:color="009FE3"/>
              <w:right w:val="single" w:sz="8" w:color="E8EAEB"/>
            </w:tcBorders>
            <w:gridSpan w:val="2"/>
          </w:tcPr>
          <w:p>
            <w:pPr>
              <w:ind w:left="200"/>
              <w:spacing w:after="0"/>
              <w:rPr>
                <w:sz w:val="20"/>
                <w:szCs w:val="20"/>
                <w:color w:val="auto"/>
              </w:rPr>
            </w:pPr>
            <w:r>
              <w:rPr>
                <w:rFonts w:ascii="Arial" w:cs="Arial" w:eastAsia="Arial" w:hAnsi="Arial"/>
                <w:sz w:val="14"/>
                <w:szCs w:val="14"/>
                <w:b w:val="1"/>
                <w:bCs w:val="1"/>
                <w:color w:val="009FE3"/>
              </w:rPr>
              <w:t>(#) (3)</w:t>
            </w:r>
          </w:p>
        </w:tc>
        <w:tc>
          <w:tcPr>
            <w:tcW w:w="780" w:type="dxa"/>
            <w:vAlign w:val="bottom"/>
            <w:tcBorders>
              <w:bottom w:val="single" w:sz="8" w:color="009FE3"/>
              <w:right w:val="single" w:sz="8" w:color="E8EAEB"/>
            </w:tcBorders>
          </w:tcPr>
          <w:p>
            <w:pPr>
              <w:jc w:val="right"/>
              <w:ind w:right="248"/>
              <w:spacing w:after="0"/>
              <w:rPr>
                <w:sz w:val="20"/>
                <w:szCs w:val="20"/>
                <w:color w:val="auto"/>
              </w:rPr>
            </w:pPr>
            <w:r>
              <w:rPr>
                <w:rFonts w:ascii="Arial" w:cs="Arial" w:eastAsia="Arial" w:hAnsi="Arial"/>
                <w:sz w:val="14"/>
                <w:szCs w:val="14"/>
                <w:b w:val="1"/>
                <w:bCs w:val="1"/>
                <w:color w:val="009FE3"/>
              </w:rPr>
              <w:t>(#)</w:t>
            </w:r>
          </w:p>
        </w:tc>
        <w:tc>
          <w:tcPr>
            <w:tcW w:w="7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 (4)</w:t>
            </w:r>
          </w:p>
        </w:tc>
        <w:tc>
          <w:tcPr>
            <w:tcW w:w="10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(5)</w:t>
            </w:r>
          </w:p>
        </w:tc>
        <w:tc>
          <w:tcPr>
            <w:tcW w:w="0" w:type="dxa"/>
            <w:vAlign w:val="bottom"/>
          </w:tcPr>
          <w:p>
            <w:pPr>
              <w:spacing w:after="0"/>
              <w:rPr>
                <w:sz w:val="1"/>
                <w:szCs w:val="1"/>
                <w:color w:val="auto"/>
              </w:rPr>
            </w:pPr>
          </w:p>
        </w:tc>
      </w:tr>
      <w:tr>
        <w:trPr>
          <w:trHeight w:val="146"/>
        </w:trPr>
        <w:tc>
          <w:tcPr>
            <w:tcW w:w="1240" w:type="dxa"/>
            <w:vAlign w:val="bottom"/>
            <w:tcBorders>
              <w:right w:val="single" w:sz="8" w:color="E8EAEB"/>
            </w:tcBorders>
          </w:tcPr>
          <w:p>
            <w:pPr>
              <w:ind w:left="60"/>
              <w:spacing w:after="0" w:line="147" w:lineRule="exact"/>
              <w:rPr>
                <w:sz w:val="20"/>
                <w:szCs w:val="20"/>
                <w:color w:val="auto"/>
              </w:rPr>
            </w:pPr>
            <w:r>
              <w:rPr>
                <w:rFonts w:ascii="Arial" w:cs="Arial" w:eastAsia="Arial" w:hAnsi="Arial"/>
                <w:sz w:val="14"/>
                <w:szCs w:val="14"/>
                <w:color w:val="202E39"/>
              </w:rPr>
              <w:t>Richard Baldridge</w:t>
            </w:r>
          </w:p>
        </w:tc>
        <w:tc>
          <w:tcPr>
            <w:tcW w:w="980" w:type="dxa"/>
            <w:vAlign w:val="bottom"/>
            <w:tcBorders>
              <w:right w:val="single" w:sz="8" w:color="E8EAEB"/>
            </w:tcBorders>
          </w:tcPr>
          <w:p>
            <w:pPr>
              <w:jc w:val="right"/>
              <w:ind w:right="208"/>
              <w:spacing w:after="0" w:line="147" w:lineRule="exact"/>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center"/>
              <w:spacing w:after="0" w:line="147" w:lineRule="exact"/>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right"/>
              <w:ind w:right="128"/>
              <w:spacing w:after="0" w:line="147" w:lineRule="exact"/>
              <w:rPr>
                <w:sz w:val="20"/>
                <w:szCs w:val="20"/>
                <w:color w:val="auto"/>
              </w:rPr>
            </w:pPr>
            <w:r>
              <w:rPr>
                <w:rFonts w:ascii="Arial" w:cs="Arial" w:eastAsia="Arial" w:hAnsi="Arial"/>
                <w:sz w:val="14"/>
                <w:szCs w:val="14"/>
                <w:color w:val="202E39"/>
              </w:rPr>
              <w:t>1,820,000</w:t>
            </w:r>
          </w:p>
        </w:tc>
        <w:tc>
          <w:tcPr>
            <w:tcW w:w="180" w:type="dxa"/>
            <w:vAlign w:val="bottom"/>
          </w:tcPr>
          <w:p>
            <w:pPr>
              <w:spacing w:after="0"/>
              <w:rPr>
                <w:sz w:val="12"/>
                <w:szCs w:val="12"/>
                <w:color w:val="auto"/>
              </w:rPr>
            </w:pPr>
          </w:p>
        </w:tc>
        <w:tc>
          <w:tcPr>
            <w:tcW w:w="880" w:type="dxa"/>
            <w:vAlign w:val="bottom"/>
            <w:tcBorders>
              <w:right w:val="single" w:sz="8" w:color="E8EAEB"/>
            </w:tcBorders>
          </w:tcPr>
          <w:p>
            <w:pPr>
              <w:jc w:val="center"/>
              <w:ind w:right="88"/>
              <w:spacing w:after="0" w:line="147" w:lineRule="exact"/>
              <w:rPr>
                <w:sz w:val="20"/>
                <w:szCs w:val="20"/>
                <w:color w:val="auto"/>
              </w:rPr>
            </w:pPr>
            <w:r>
              <w:rPr>
                <w:rFonts w:ascii="Arial" w:cs="Arial" w:eastAsia="Arial" w:hAnsi="Arial"/>
                <w:sz w:val="14"/>
                <w:szCs w:val="14"/>
                <w:color w:val="202E39"/>
              </w:rPr>
              <w:t>4,550,000</w:t>
            </w:r>
          </w:p>
        </w:tc>
        <w:tc>
          <w:tcPr>
            <w:tcW w:w="780" w:type="dxa"/>
            <w:vAlign w:val="bottom"/>
          </w:tcPr>
          <w:p>
            <w:pPr>
              <w:ind w:left="420"/>
              <w:spacing w:after="0" w:line="147" w:lineRule="exact"/>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2"/>
                <w:szCs w:val="12"/>
                <w:color w:val="auto"/>
              </w:rPr>
            </w:pPr>
          </w:p>
        </w:tc>
        <w:tc>
          <w:tcPr>
            <w:tcW w:w="940" w:type="dxa"/>
            <w:vAlign w:val="bottom"/>
            <w:tcBorders>
              <w:right w:val="single" w:sz="8" w:color="E8EAEB"/>
            </w:tcBorders>
          </w:tcPr>
          <w:p>
            <w:pPr>
              <w:jc w:val="right"/>
              <w:ind w:right="208"/>
              <w:spacing w:after="0" w:line="147" w:lineRule="exact"/>
              <w:rPr>
                <w:sz w:val="20"/>
                <w:szCs w:val="20"/>
                <w:color w:val="auto"/>
              </w:rPr>
            </w:pPr>
            <w:r>
              <w:rPr>
                <w:rFonts w:ascii="Arial" w:cs="Arial" w:eastAsia="Arial" w:hAnsi="Arial"/>
                <w:sz w:val="14"/>
                <w:szCs w:val="14"/>
                <w:color w:val="202E39"/>
              </w:rPr>
              <w:t>—</w:t>
            </w:r>
          </w:p>
        </w:tc>
        <w:tc>
          <w:tcPr>
            <w:tcW w:w="100" w:type="dxa"/>
            <w:vAlign w:val="bottom"/>
          </w:tcPr>
          <w:p>
            <w:pPr>
              <w:spacing w:after="0"/>
              <w:rPr>
                <w:sz w:val="12"/>
                <w:szCs w:val="12"/>
                <w:color w:val="auto"/>
              </w:rPr>
            </w:pPr>
          </w:p>
        </w:tc>
        <w:tc>
          <w:tcPr>
            <w:tcW w:w="840" w:type="dxa"/>
            <w:vAlign w:val="bottom"/>
            <w:tcBorders>
              <w:right w:val="single" w:sz="8" w:color="E8EAEB"/>
            </w:tcBorders>
          </w:tcPr>
          <w:p>
            <w:pPr>
              <w:jc w:val="right"/>
              <w:ind w:right="208"/>
              <w:spacing w:after="0" w:line="147" w:lineRule="exact"/>
              <w:rPr>
                <w:sz w:val="20"/>
                <w:szCs w:val="20"/>
                <w:color w:val="auto"/>
              </w:rPr>
            </w:pPr>
            <w:r>
              <w:rPr>
                <w:rFonts w:ascii="Arial" w:cs="Arial" w:eastAsia="Arial" w:hAnsi="Arial"/>
                <w:sz w:val="14"/>
                <w:szCs w:val="14"/>
                <w:color w:val="202E39"/>
              </w:rPr>
              <w:t>—</w:t>
            </w:r>
          </w:p>
        </w:tc>
        <w:tc>
          <w:tcPr>
            <w:tcW w:w="160" w:type="dxa"/>
            <w:vAlign w:val="bottom"/>
          </w:tcPr>
          <w:p>
            <w:pPr>
              <w:spacing w:after="0"/>
              <w:rPr>
                <w:sz w:val="12"/>
                <w:szCs w:val="12"/>
                <w:color w:val="auto"/>
              </w:rPr>
            </w:pPr>
          </w:p>
        </w:tc>
        <w:tc>
          <w:tcPr>
            <w:tcW w:w="680" w:type="dxa"/>
            <w:vAlign w:val="bottom"/>
            <w:tcBorders>
              <w:right w:val="single" w:sz="8" w:color="E8EAEB"/>
            </w:tcBorders>
          </w:tcPr>
          <w:p>
            <w:pPr>
              <w:ind w:left="260"/>
              <w:spacing w:after="0" w:line="147" w:lineRule="exact"/>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right"/>
              <w:ind w:right="208"/>
              <w:spacing w:after="0" w:line="147" w:lineRule="exact"/>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line="147" w:lineRule="exact"/>
              <w:rPr>
                <w:sz w:val="20"/>
                <w:szCs w:val="20"/>
                <w:color w:val="auto"/>
              </w:rPr>
            </w:pPr>
            <w:r>
              <w:rPr>
                <w:rFonts w:ascii="Arial" w:cs="Arial" w:eastAsia="Arial" w:hAnsi="Arial"/>
                <w:sz w:val="14"/>
                <w:szCs w:val="14"/>
                <w:color w:val="202E39"/>
              </w:rPr>
              <w:t>—</w:t>
            </w:r>
          </w:p>
        </w:tc>
        <w:tc>
          <w:tcPr>
            <w:tcW w:w="1040" w:type="dxa"/>
            <w:vAlign w:val="bottom"/>
          </w:tcPr>
          <w:p>
            <w:pPr>
              <w:jc w:val="right"/>
              <w:ind w:right="188"/>
              <w:spacing w:after="0" w:line="147" w:lineRule="exact"/>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11/17/20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80,208</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2,860,217</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E8EAEB"/>
              <w:right w:val="single" w:sz="8" w:color="E8EAEB"/>
            </w:tcBorders>
          </w:tcPr>
          <w:p>
            <w:pPr>
              <w:spacing w:after="0"/>
              <w:rPr>
                <w:sz w:val="13"/>
                <w:szCs w:val="13"/>
                <w:color w:val="auto"/>
              </w:rPr>
            </w:pPr>
          </w:p>
        </w:tc>
        <w:tc>
          <w:tcPr>
            <w:tcW w:w="98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11/17/20</w:t>
            </w:r>
          </w:p>
        </w:tc>
        <w:tc>
          <w:tcPr>
            <w:tcW w:w="72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w w:val="99"/>
              </w:rPr>
              <w:t>—</w:t>
            </w:r>
          </w:p>
        </w:tc>
        <w:tc>
          <w:tcPr>
            <w:tcW w:w="1040" w:type="dxa"/>
            <w:vAlign w:val="bottom"/>
            <w:tcBorders>
              <w:bottom w:val="single" w:sz="8" w:color="E8EAEB"/>
              <w:right w:val="single" w:sz="8" w:color="E8EAEB"/>
            </w:tcBorders>
          </w:tcPr>
          <w:p>
            <w:pPr>
              <w:jc w:val="center"/>
              <w:ind w:left="268"/>
              <w:spacing w:after="0" w:line="157" w:lineRule="exact"/>
              <w:rPr>
                <w:sz w:val="20"/>
                <w:szCs w:val="20"/>
                <w:color w:val="auto"/>
              </w:rPr>
            </w:pPr>
            <w:r>
              <w:rPr>
                <w:rFonts w:ascii="Arial" w:cs="Arial" w:eastAsia="Arial" w:hAnsi="Arial"/>
                <w:sz w:val="14"/>
                <w:szCs w:val="14"/>
                <w:color w:val="202E39"/>
                <w:w w:val="99"/>
              </w:rPr>
              <w:t>—</w:t>
            </w:r>
          </w:p>
        </w:tc>
        <w:tc>
          <w:tcPr>
            <w:tcW w:w="180" w:type="dxa"/>
            <w:vAlign w:val="bottom"/>
            <w:tcBorders>
              <w:bottom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ind w:left="4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tcBorders>
          </w:tcPr>
          <w:p>
            <w:pPr>
              <w:jc w:val="center"/>
              <w:ind w:left="28"/>
              <w:spacing w:after="0" w:line="157" w:lineRule="exact"/>
              <w:rPr>
                <w:sz w:val="20"/>
                <w:szCs w:val="20"/>
                <w:color w:val="auto"/>
              </w:rPr>
            </w:pPr>
            <w:r>
              <w:rPr>
                <w:rFonts w:ascii="Arial" w:cs="Arial" w:eastAsia="Arial" w:hAnsi="Arial"/>
                <w:sz w:val="14"/>
                <w:szCs w:val="14"/>
                <w:color w:val="202E39"/>
              </w:rPr>
              <w:t>87,183</w:t>
            </w:r>
          </w:p>
        </w:tc>
        <w:tc>
          <w:tcPr>
            <w:tcW w:w="60" w:type="dxa"/>
            <w:vAlign w:val="bottom"/>
            <w:tcBorders>
              <w:bottom w:val="single" w:sz="8" w:color="E8EAEB"/>
              <w:right w:val="single" w:sz="8" w:color="E8EAEB"/>
            </w:tcBorders>
          </w:tcPr>
          <w:p>
            <w:pPr>
              <w:spacing w:after="0"/>
              <w:rPr>
                <w:sz w:val="13"/>
                <w:szCs w:val="13"/>
                <w:color w:val="auto"/>
              </w:rPr>
            </w:pPr>
          </w:p>
        </w:tc>
        <w:tc>
          <w:tcPr>
            <w:tcW w:w="9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174,365</w:t>
            </w:r>
          </w:p>
        </w:tc>
        <w:tc>
          <w:tcPr>
            <w:tcW w:w="100" w:type="dxa"/>
            <w:vAlign w:val="bottom"/>
            <w:tcBorders>
              <w:bottom w:val="single" w:sz="8" w:color="E8EAEB"/>
            </w:tcBorders>
          </w:tcPr>
          <w:p>
            <w:pPr>
              <w:spacing w:after="0"/>
              <w:rPr>
                <w:sz w:val="13"/>
                <w:szCs w:val="13"/>
                <w:color w:val="auto"/>
              </w:rPr>
            </w:pPr>
          </w:p>
        </w:tc>
        <w:tc>
          <w:tcPr>
            <w:tcW w:w="8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305,139</w:t>
            </w:r>
          </w:p>
        </w:tc>
        <w:tc>
          <w:tcPr>
            <w:tcW w:w="160" w:type="dxa"/>
            <w:vAlign w:val="bottom"/>
            <w:tcBorders>
              <w:bottom w:val="single" w:sz="8" w:color="E8EAEB"/>
            </w:tcBorders>
          </w:tcPr>
          <w:p>
            <w:pPr>
              <w:spacing w:after="0"/>
              <w:rPr>
                <w:sz w:val="13"/>
                <w:szCs w:val="13"/>
                <w:color w:val="auto"/>
              </w:rPr>
            </w:pPr>
          </w:p>
        </w:tc>
        <w:tc>
          <w:tcPr>
            <w:tcW w:w="680" w:type="dxa"/>
            <w:vAlign w:val="bottom"/>
            <w:tcBorders>
              <w:bottom w:val="single" w:sz="8" w:color="E8EAEB"/>
              <w:right w:val="single" w:sz="8" w:color="E8EAEB"/>
            </w:tcBorders>
          </w:tcPr>
          <w:p>
            <w:pPr>
              <w:ind w:left="2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right"/>
              <w:ind w:right="208"/>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rPr>
              <w:t>35.66</w:t>
            </w:r>
          </w:p>
        </w:tc>
        <w:tc>
          <w:tcPr>
            <w:tcW w:w="1040" w:type="dxa"/>
            <w:vAlign w:val="bottom"/>
            <w:tcBorders>
              <w:bottom w:val="single" w:sz="8" w:color="E8EAEB"/>
            </w:tcBorders>
          </w:tcPr>
          <w:p>
            <w:pPr>
              <w:jc w:val="right"/>
              <w:ind w:right="108"/>
              <w:spacing w:after="0" w:line="157" w:lineRule="exact"/>
              <w:rPr>
                <w:sz w:val="20"/>
                <w:szCs w:val="20"/>
                <w:color w:val="auto"/>
              </w:rPr>
            </w:pPr>
            <w:r>
              <w:rPr>
                <w:rFonts w:ascii="Arial" w:cs="Arial" w:eastAsia="Arial" w:hAnsi="Arial"/>
                <w:sz w:val="14"/>
                <w:szCs w:val="14"/>
                <w:color w:val="202E39"/>
              </w:rPr>
              <w:t>3,356,526</w:t>
            </w:r>
          </w:p>
        </w:tc>
        <w:tc>
          <w:tcPr>
            <w:tcW w:w="0" w:type="dxa"/>
            <w:vAlign w:val="bottom"/>
          </w:tcPr>
          <w:p>
            <w:pPr>
              <w:spacing w:after="0"/>
              <w:rPr>
                <w:sz w:val="1"/>
                <w:szCs w:val="1"/>
                <w:color w:val="auto"/>
              </w:rPr>
            </w:pPr>
          </w:p>
        </w:tc>
      </w:tr>
      <w:tr>
        <w:trPr>
          <w:trHeight w:val="160"/>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9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1,820,000</w:t>
            </w:r>
          </w:p>
        </w:tc>
        <w:tc>
          <w:tcPr>
            <w:tcW w:w="180" w:type="dxa"/>
            <w:vAlign w:val="bottom"/>
          </w:tcPr>
          <w:p>
            <w:pPr>
              <w:spacing w:after="0"/>
              <w:rPr>
                <w:sz w:val="13"/>
                <w:szCs w:val="13"/>
                <w:color w:val="auto"/>
              </w:rPr>
            </w:pPr>
          </w:p>
        </w:tc>
        <w:tc>
          <w:tcPr>
            <w:tcW w:w="880" w:type="dxa"/>
            <w:vAlign w:val="bottom"/>
            <w:tcBorders>
              <w:right w:val="single" w:sz="8" w:color="E8EAEB"/>
            </w:tcBorders>
          </w:tcPr>
          <w:p>
            <w:pPr>
              <w:jc w:val="center"/>
              <w:ind w:right="88"/>
              <w:spacing w:after="0"/>
              <w:rPr>
                <w:sz w:val="20"/>
                <w:szCs w:val="20"/>
                <w:color w:val="auto"/>
              </w:rPr>
            </w:pPr>
            <w:r>
              <w:rPr>
                <w:rFonts w:ascii="Arial" w:cs="Arial" w:eastAsia="Arial" w:hAnsi="Arial"/>
                <w:sz w:val="14"/>
                <w:szCs w:val="14"/>
                <w:color w:val="202E39"/>
              </w:rPr>
              <w:t>4,550,000</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3"/>
                <w:szCs w:val="13"/>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3"/>
                <w:szCs w:val="13"/>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60" w:type="dxa"/>
            <w:vAlign w:val="bottom"/>
          </w:tcPr>
          <w:p>
            <w:pPr>
              <w:spacing w:after="0"/>
              <w:rPr>
                <w:sz w:val="13"/>
                <w:szCs w:val="13"/>
                <w:color w:val="auto"/>
              </w:rPr>
            </w:pPr>
          </w:p>
        </w:tc>
        <w:tc>
          <w:tcPr>
            <w:tcW w:w="680" w:type="dxa"/>
            <w:vAlign w:val="bottom"/>
            <w:tcBorders>
              <w:right w:val="single" w:sz="8" w:color="E8EAEB"/>
            </w:tcBorders>
          </w:tcPr>
          <w:p>
            <w:pPr>
              <w:ind w:left="260"/>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11/17/20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80,208</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2,860,217</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E8EAEB"/>
              <w:right w:val="single" w:sz="8" w:color="E8EAEB"/>
            </w:tcBorders>
          </w:tcPr>
          <w:p>
            <w:pPr>
              <w:spacing w:after="0"/>
              <w:rPr>
                <w:sz w:val="13"/>
                <w:szCs w:val="13"/>
                <w:color w:val="auto"/>
              </w:rPr>
            </w:pPr>
          </w:p>
        </w:tc>
        <w:tc>
          <w:tcPr>
            <w:tcW w:w="98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11/17/20</w:t>
            </w:r>
          </w:p>
        </w:tc>
        <w:tc>
          <w:tcPr>
            <w:tcW w:w="72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w w:val="99"/>
              </w:rPr>
              <w:t>—</w:t>
            </w:r>
          </w:p>
        </w:tc>
        <w:tc>
          <w:tcPr>
            <w:tcW w:w="1040" w:type="dxa"/>
            <w:vAlign w:val="bottom"/>
            <w:tcBorders>
              <w:bottom w:val="single" w:sz="8" w:color="E8EAEB"/>
              <w:right w:val="single" w:sz="8" w:color="E8EAEB"/>
            </w:tcBorders>
          </w:tcPr>
          <w:p>
            <w:pPr>
              <w:jc w:val="center"/>
              <w:ind w:left="268"/>
              <w:spacing w:after="0" w:line="157" w:lineRule="exact"/>
              <w:rPr>
                <w:sz w:val="20"/>
                <w:szCs w:val="20"/>
                <w:color w:val="auto"/>
              </w:rPr>
            </w:pPr>
            <w:r>
              <w:rPr>
                <w:rFonts w:ascii="Arial" w:cs="Arial" w:eastAsia="Arial" w:hAnsi="Arial"/>
                <w:sz w:val="14"/>
                <w:szCs w:val="14"/>
                <w:color w:val="202E39"/>
                <w:w w:val="99"/>
              </w:rPr>
              <w:t>—</w:t>
            </w:r>
          </w:p>
        </w:tc>
        <w:tc>
          <w:tcPr>
            <w:tcW w:w="180" w:type="dxa"/>
            <w:vAlign w:val="bottom"/>
            <w:tcBorders>
              <w:bottom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ind w:left="4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tcBorders>
          </w:tcPr>
          <w:p>
            <w:pPr>
              <w:jc w:val="center"/>
              <w:ind w:left="28"/>
              <w:spacing w:after="0" w:line="157" w:lineRule="exact"/>
              <w:rPr>
                <w:sz w:val="20"/>
                <w:szCs w:val="20"/>
                <w:color w:val="auto"/>
              </w:rPr>
            </w:pPr>
            <w:r>
              <w:rPr>
                <w:rFonts w:ascii="Arial" w:cs="Arial" w:eastAsia="Arial" w:hAnsi="Arial"/>
                <w:sz w:val="14"/>
                <w:szCs w:val="14"/>
                <w:color w:val="202E39"/>
              </w:rPr>
              <w:t>87,183</w:t>
            </w:r>
          </w:p>
        </w:tc>
        <w:tc>
          <w:tcPr>
            <w:tcW w:w="60" w:type="dxa"/>
            <w:vAlign w:val="bottom"/>
            <w:tcBorders>
              <w:bottom w:val="single" w:sz="8" w:color="E8EAEB"/>
              <w:right w:val="single" w:sz="8" w:color="E8EAEB"/>
            </w:tcBorders>
          </w:tcPr>
          <w:p>
            <w:pPr>
              <w:spacing w:after="0"/>
              <w:rPr>
                <w:sz w:val="13"/>
                <w:szCs w:val="13"/>
                <w:color w:val="auto"/>
              </w:rPr>
            </w:pPr>
          </w:p>
        </w:tc>
        <w:tc>
          <w:tcPr>
            <w:tcW w:w="9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174,365</w:t>
            </w:r>
          </w:p>
        </w:tc>
        <w:tc>
          <w:tcPr>
            <w:tcW w:w="100" w:type="dxa"/>
            <w:vAlign w:val="bottom"/>
            <w:tcBorders>
              <w:bottom w:val="single" w:sz="8" w:color="E8EAEB"/>
            </w:tcBorders>
          </w:tcPr>
          <w:p>
            <w:pPr>
              <w:spacing w:after="0"/>
              <w:rPr>
                <w:sz w:val="13"/>
                <w:szCs w:val="13"/>
                <w:color w:val="auto"/>
              </w:rPr>
            </w:pPr>
          </w:p>
        </w:tc>
        <w:tc>
          <w:tcPr>
            <w:tcW w:w="8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305,139</w:t>
            </w:r>
          </w:p>
        </w:tc>
        <w:tc>
          <w:tcPr>
            <w:tcW w:w="160" w:type="dxa"/>
            <w:vAlign w:val="bottom"/>
            <w:tcBorders>
              <w:bottom w:val="single" w:sz="8" w:color="E8EAEB"/>
            </w:tcBorders>
          </w:tcPr>
          <w:p>
            <w:pPr>
              <w:spacing w:after="0"/>
              <w:rPr>
                <w:sz w:val="13"/>
                <w:szCs w:val="13"/>
                <w:color w:val="auto"/>
              </w:rPr>
            </w:pPr>
          </w:p>
        </w:tc>
        <w:tc>
          <w:tcPr>
            <w:tcW w:w="680" w:type="dxa"/>
            <w:vAlign w:val="bottom"/>
            <w:tcBorders>
              <w:bottom w:val="single" w:sz="8" w:color="E8EAEB"/>
              <w:right w:val="single" w:sz="8" w:color="E8EAEB"/>
            </w:tcBorders>
          </w:tcPr>
          <w:p>
            <w:pPr>
              <w:ind w:left="2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right"/>
              <w:ind w:right="208"/>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rPr>
              <w:t>35.66</w:t>
            </w:r>
          </w:p>
        </w:tc>
        <w:tc>
          <w:tcPr>
            <w:tcW w:w="1040" w:type="dxa"/>
            <w:vAlign w:val="bottom"/>
            <w:tcBorders>
              <w:bottom w:val="single" w:sz="8" w:color="E8EAEB"/>
            </w:tcBorders>
          </w:tcPr>
          <w:p>
            <w:pPr>
              <w:jc w:val="right"/>
              <w:ind w:right="108"/>
              <w:spacing w:after="0" w:line="157" w:lineRule="exact"/>
              <w:rPr>
                <w:sz w:val="20"/>
                <w:szCs w:val="20"/>
                <w:color w:val="auto"/>
              </w:rPr>
            </w:pPr>
            <w:r>
              <w:rPr>
                <w:rFonts w:ascii="Arial" w:cs="Arial" w:eastAsia="Arial" w:hAnsi="Arial"/>
                <w:sz w:val="14"/>
                <w:szCs w:val="14"/>
                <w:color w:val="202E39"/>
              </w:rPr>
              <w:t>3,356,526</w:t>
            </w:r>
          </w:p>
        </w:tc>
        <w:tc>
          <w:tcPr>
            <w:tcW w:w="0" w:type="dxa"/>
            <w:vAlign w:val="bottom"/>
          </w:tcPr>
          <w:p>
            <w:pPr>
              <w:spacing w:after="0"/>
              <w:rPr>
                <w:sz w:val="1"/>
                <w:szCs w:val="1"/>
                <w:color w:val="auto"/>
              </w:rPr>
            </w:pPr>
          </w:p>
        </w:tc>
      </w:tr>
      <w:tr>
        <w:trPr>
          <w:trHeight w:val="160"/>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9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610,000</w:t>
            </w:r>
          </w:p>
        </w:tc>
        <w:tc>
          <w:tcPr>
            <w:tcW w:w="180" w:type="dxa"/>
            <w:vAlign w:val="bottom"/>
          </w:tcPr>
          <w:p>
            <w:pPr>
              <w:spacing w:after="0"/>
              <w:rPr>
                <w:sz w:val="13"/>
                <w:szCs w:val="13"/>
                <w:color w:val="auto"/>
              </w:rPr>
            </w:pPr>
          </w:p>
        </w:tc>
        <w:tc>
          <w:tcPr>
            <w:tcW w:w="880" w:type="dxa"/>
            <w:vAlign w:val="bottom"/>
            <w:tcBorders>
              <w:right w:val="single" w:sz="8" w:color="E8EAEB"/>
            </w:tcBorders>
          </w:tcPr>
          <w:p>
            <w:pPr>
              <w:jc w:val="center"/>
              <w:ind w:right="88"/>
              <w:spacing w:after="0"/>
              <w:rPr>
                <w:sz w:val="20"/>
                <w:szCs w:val="20"/>
                <w:color w:val="auto"/>
              </w:rPr>
            </w:pPr>
            <w:r>
              <w:rPr>
                <w:rFonts w:ascii="Arial" w:cs="Arial" w:eastAsia="Arial" w:hAnsi="Arial"/>
                <w:sz w:val="14"/>
                <w:szCs w:val="14"/>
                <w:color w:val="202E39"/>
              </w:rPr>
              <w:t>1,525,000</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3"/>
                <w:szCs w:val="13"/>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3"/>
                <w:szCs w:val="13"/>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60" w:type="dxa"/>
            <w:vAlign w:val="bottom"/>
          </w:tcPr>
          <w:p>
            <w:pPr>
              <w:spacing w:after="0"/>
              <w:rPr>
                <w:sz w:val="13"/>
                <w:szCs w:val="13"/>
                <w:color w:val="auto"/>
              </w:rPr>
            </w:pPr>
          </w:p>
        </w:tc>
        <w:tc>
          <w:tcPr>
            <w:tcW w:w="680" w:type="dxa"/>
            <w:vAlign w:val="bottom"/>
            <w:tcBorders>
              <w:right w:val="single" w:sz="8" w:color="E8EAEB"/>
            </w:tcBorders>
          </w:tcPr>
          <w:p>
            <w:pPr>
              <w:ind w:left="260"/>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11/17/20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24,508</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873,955</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E8EAEB"/>
              <w:right w:val="single" w:sz="8" w:color="E8EAEB"/>
            </w:tcBorders>
          </w:tcPr>
          <w:p>
            <w:pPr>
              <w:spacing w:after="0"/>
              <w:rPr>
                <w:sz w:val="13"/>
                <w:szCs w:val="13"/>
                <w:color w:val="auto"/>
              </w:rPr>
            </w:pPr>
          </w:p>
        </w:tc>
        <w:tc>
          <w:tcPr>
            <w:tcW w:w="98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11/17/20</w:t>
            </w:r>
          </w:p>
        </w:tc>
        <w:tc>
          <w:tcPr>
            <w:tcW w:w="72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w w:val="99"/>
              </w:rPr>
              <w:t>—</w:t>
            </w:r>
          </w:p>
        </w:tc>
        <w:tc>
          <w:tcPr>
            <w:tcW w:w="1040" w:type="dxa"/>
            <w:vAlign w:val="bottom"/>
            <w:tcBorders>
              <w:bottom w:val="single" w:sz="8" w:color="E8EAEB"/>
              <w:right w:val="single" w:sz="8" w:color="E8EAEB"/>
            </w:tcBorders>
          </w:tcPr>
          <w:p>
            <w:pPr>
              <w:jc w:val="center"/>
              <w:ind w:left="268"/>
              <w:spacing w:after="0" w:line="157" w:lineRule="exact"/>
              <w:rPr>
                <w:sz w:val="20"/>
                <w:szCs w:val="20"/>
                <w:color w:val="auto"/>
              </w:rPr>
            </w:pPr>
            <w:r>
              <w:rPr>
                <w:rFonts w:ascii="Arial" w:cs="Arial" w:eastAsia="Arial" w:hAnsi="Arial"/>
                <w:sz w:val="14"/>
                <w:szCs w:val="14"/>
                <w:color w:val="202E39"/>
                <w:w w:val="99"/>
              </w:rPr>
              <w:t>—</w:t>
            </w:r>
          </w:p>
        </w:tc>
        <w:tc>
          <w:tcPr>
            <w:tcW w:w="180" w:type="dxa"/>
            <w:vAlign w:val="bottom"/>
            <w:tcBorders>
              <w:bottom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ind w:left="4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tcBorders>
          </w:tcPr>
          <w:p>
            <w:pPr>
              <w:jc w:val="center"/>
              <w:ind w:left="28"/>
              <w:spacing w:after="0" w:line="157" w:lineRule="exact"/>
              <w:rPr>
                <w:sz w:val="20"/>
                <w:szCs w:val="20"/>
                <w:color w:val="auto"/>
              </w:rPr>
            </w:pPr>
            <w:r>
              <w:rPr>
                <w:rFonts w:ascii="Arial" w:cs="Arial" w:eastAsia="Arial" w:hAnsi="Arial"/>
                <w:sz w:val="14"/>
                <w:szCs w:val="14"/>
                <w:color w:val="202E39"/>
              </w:rPr>
              <w:t>26,640</w:t>
            </w:r>
          </w:p>
        </w:tc>
        <w:tc>
          <w:tcPr>
            <w:tcW w:w="60" w:type="dxa"/>
            <w:vAlign w:val="bottom"/>
            <w:tcBorders>
              <w:bottom w:val="single" w:sz="8" w:color="E8EAEB"/>
              <w:right w:val="single" w:sz="8" w:color="E8EAEB"/>
            </w:tcBorders>
          </w:tcPr>
          <w:p>
            <w:pPr>
              <w:spacing w:after="0"/>
              <w:rPr>
                <w:sz w:val="13"/>
                <w:szCs w:val="13"/>
                <w:color w:val="auto"/>
              </w:rPr>
            </w:pPr>
          </w:p>
        </w:tc>
        <w:tc>
          <w:tcPr>
            <w:tcW w:w="9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53,279</w:t>
            </w:r>
          </w:p>
        </w:tc>
        <w:tc>
          <w:tcPr>
            <w:tcW w:w="100" w:type="dxa"/>
            <w:vAlign w:val="bottom"/>
            <w:tcBorders>
              <w:bottom w:val="single" w:sz="8" w:color="E8EAEB"/>
            </w:tcBorders>
          </w:tcPr>
          <w:p>
            <w:pPr>
              <w:spacing w:after="0"/>
              <w:rPr>
                <w:sz w:val="13"/>
                <w:szCs w:val="13"/>
                <w:color w:val="auto"/>
              </w:rPr>
            </w:pPr>
          </w:p>
        </w:tc>
        <w:tc>
          <w:tcPr>
            <w:tcW w:w="8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93,238</w:t>
            </w:r>
          </w:p>
        </w:tc>
        <w:tc>
          <w:tcPr>
            <w:tcW w:w="160" w:type="dxa"/>
            <w:vAlign w:val="bottom"/>
            <w:tcBorders>
              <w:bottom w:val="single" w:sz="8" w:color="E8EAEB"/>
            </w:tcBorders>
          </w:tcPr>
          <w:p>
            <w:pPr>
              <w:spacing w:after="0"/>
              <w:rPr>
                <w:sz w:val="13"/>
                <w:szCs w:val="13"/>
                <w:color w:val="auto"/>
              </w:rPr>
            </w:pPr>
          </w:p>
        </w:tc>
        <w:tc>
          <w:tcPr>
            <w:tcW w:w="680" w:type="dxa"/>
            <w:vAlign w:val="bottom"/>
            <w:tcBorders>
              <w:bottom w:val="single" w:sz="8" w:color="E8EAEB"/>
              <w:right w:val="single" w:sz="8" w:color="E8EAEB"/>
            </w:tcBorders>
          </w:tcPr>
          <w:p>
            <w:pPr>
              <w:ind w:left="2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right"/>
              <w:ind w:right="208"/>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rPr>
              <w:t>35.66</w:t>
            </w:r>
          </w:p>
        </w:tc>
        <w:tc>
          <w:tcPr>
            <w:tcW w:w="1040" w:type="dxa"/>
            <w:vAlign w:val="bottom"/>
            <w:tcBorders>
              <w:bottom w:val="single" w:sz="8" w:color="E8EAEB"/>
            </w:tcBorders>
          </w:tcPr>
          <w:p>
            <w:pPr>
              <w:jc w:val="right"/>
              <w:ind w:right="108"/>
              <w:spacing w:after="0" w:line="157" w:lineRule="exact"/>
              <w:rPr>
                <w:sz w:val="20"/>
                <w:szCs w:val="20"/>
                <w:color w:val="auto"/>
              </w:rPr>
            </w:pPr>
            <w:r>
              <w:rPr>
                <w:rFonts w:ascii="Arial" w:cs="Arial" w:eastAsia="Arial" w:hAnsi="Arial"/>
                <w:sz w:val="14"/>
                <w:szCs w:val="14"/>
                <w:color w:val="202E39"/>
              </w:rPr>
              <w:t>1,025,620</w:t>
            </w:r>
          </w:p>
        </w:tc>
        <w:tc>
          <w:tcPr>
            <w:tcW w:w="0" w:type="dxa"/>
            <w:vAlign w:val="bottom"/>
          </w:tcPr>
          <w:p>
            <w:pPr>
              <w:spacing w:after="0"/>
              <w:rPr>
                <w:sz w:val="1"/>
                <w:szCs w:val="1"/>
                <w:color w:val="auto"/>
              </w:rPr>
            </w:pPr>
          </w:p>
        </w:tc>
      </w:tr>
      <w:tr>
        <w:trPr>
          <w:trHeight w:val="160"/>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James Dodd</w:t>
            </w:r>
          </w:p>
        </w:tc>
        <w:tc>
          <w:tcPr>
            <w:tcW w:w="9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425,000</w:t>
            </w:r>
          </w:p>
        </w:tc>
        <w:tc>
          <w:tcPr>
            <w:tcW w:w="180" w:type="dxa"/>
            <w:vAlign w:val="bottom"/>
          </w:tcPr>
          <w:p>
            <w:pPr>
              <w:spacing w:after="0"/>
              <w:rPr>
                <w:sz w:val="13"/>
                <w:szCs w:val="13"/>
                <w:color w:val="auto"/>
              </w:rPr>
            </w:pPr>
          </w:p>
        </w:tc>
        <w:tc>
          <w:tcPr>
            <w:tcW w:w="880" w:type="dxa"/>
            <w:vAlign w:val="bottom"/>
            <w:tcBorders>
              <w:right w:val="single" w:sz="8" w:color="E8EAEB"/>
            </w:tcBorders>
          </w:tcPr>
          <w:p>
            <w:pPr>
              <w:jc w:val="center"/>
              <w:ind w:right="88"/>
              <w:spacing w:after="0"/>
              <w:rPr>
                <w:sz w:val="20"/>
                <w:szCs w:val="20"/>
                <w:color w:val="auto"/>
              </w:rPr>
            </w:pPr>
            <w:r>
              <w:rPr>
                <w:rFonts w:ascii="Arial" w:cs="Arial" w:eastAsia="Arial" w:hAnsi="Arial"/>
                <w:sz w:val="14"/>
                <w:szCs w:val="14"/>
                <w:color w:val="202E39"/>
              </w:rPr>
              <w:t>1,062,500</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3"/>
                <w:szCs w:val="13"/>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3"/>
                <w:szCs w:val="13"/>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60" w:type="dxa"/>
            <w:vAlign w:val="bottom"/>
          </w:tcPr>
          <w:p>
            <w:pPr>
              <w:spacing w:after="0"/>
              <w:rPr>
                <w:sz w:val="13"/>
                <w:szCs w:val="13"/>
                <w:color w:val="auto"/>
              </w:rPr>
            </w:pPr>
          </w:p>
        </w:tc>
        <w:tc>
          <w:tcPr>
            <w:tcW w:w="680" w:type="dxa"/>
            <w:vAlign w:val="bottom"/>
            <w:tcBorders>
              <w:right w:val="single" w:sz="8" w:color="E8EAEB"/>
            </w:tcBorders>
          </w:tcPr>
          <w:p>
            <w:pPr>
              <w:ind w:left="260"/>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26,438</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1,253,689</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11/17/20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17,825</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635,639</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E8EAEB"/>
              <w:right w:val="single" w:sz="8" w:color="E8EAEB"/>
            </w:tcBorders>
          </w:tcPr>
          <w:p>
            <w:pPr>
              <w:spacing w:after="0"/>
              <w:rPr>
                <w:sz w:val="13"/>
                <w:szCs w:val="13"/>
                <w:color w:val="auto"/>
              </w:rPr>
            </w:pPr>
          </w:p>
        </w:tc>
        <w:tc>
          <w:tcPr>
            <w:tcW w:w="98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11/17/20</w:t>
            </w:r>
          </w:p>
        </w:tc>
        <w:tc>
          <w:tcPr>
            <w:tcW w:w="72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w w:val="99"/>
              </w:rPr>
              <w:t>—</w:t>
            </w:r>
          </w:p>
        </w:tc>
        <w:tc>
          <w:tcPr>
            <w:tcW w:w="1040" w:type="dxa"/>
            <w:vAlign w:val="bottom"/>
            <w:tcBorders>
              <w:bottom w:val="single" w:sz="8" w:color="E8EAEB"/>
              <w:right w:val="single" w:sz="8" w:color="E8EAEB"/>
            </w:tcBorders>
          </w:tcPr>
          <w:p>
            <w:pPr>
              <w:jc w:val="center"/>
              <w:ind w:left="268"/>
              <w:spacing w:after="0" w:line="157" w:lineRule="exact"/>
              <w:rPr>
                <w:sz w:val="20"/>
                <w:szCs w:val="20"/>
                <w:color w:val="auto"/>
              </w:rPr>
            </w:pPr>
            <w:r>
              <w:rPr>
                <w:rFonts w:ascii="Arial" w:cs="Arial" w:eastAsia="Arial" w:hAnsi="Arial"/>
                <w:sz w:val="14"/>
                <w:szCs w:val="14"/>
                <w:color w:val="202E39"/>
                <w:w w:val="99"/>
              </w:rPr>
              <w:t>—</w:t>
            </w:r>
          </w:p>
        </w:tc>
        <w:tc>
          <w:tcPr>
            <w:tcW w:w="180" w:type="dxa"/>
            <w:vAlign w:val="bottom"/>
            <w:tcBorders>
              <w:bottom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ind w:left="4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tcBorders>
          </w:tcPr>
          <w:p>
            <w:pPr>
              <w:jc w:val="center"/>
              <w:ind w:left="28"/>
              <w:spacing w:after="0" w:line="157" w:lineRule="exact"/>
              <w:rPr>
                <w:sz w:val="20"/>
                <w:szCs w:val="20"/>
                <w:color w:val="auto"/>
              </w:rPr>
            </w:pPr>
            <w:r>
              <w:rPr>
                <w:rFonts w:ascii="Arial" w:cs="Arial" w:eastAsia="Arial" w:hAnsi="Arial"/>
                <w:sz w:val="14"/>
                <w:szCs w:val="14"/>
                <w:color w:val="202E39"/>
              </w:rPr>
              <w:t>19,375</w:t>
            </w:r>
          </w:p>
        </w:tc>
        <w:tc>
          <w:tcPr>
            <w:tcW w:w="60" w:type="dxa"/>
            <w:vAlign w:val="bottom"/>
            <w:tcBorders>
              <w:bottom w:val="single" w:sz="8" w:color="E8EAEB"/>
              <w:right w:val="single" w:sz="8" w:color="E8EAEB"/>
            </w:tcBorders>
          </w:tcPr>
          <w:p>
            <w:pPr>
              <w:spacing w:after="0"/>
              <w:rPr>
                <w:sz w:val="13"/>
                <w:szCs w:val="13"/>
                <w:color w:val="auto"/>
              </w:rPr>
            </w:pPr>
          </w:p>
        </w:tc>
        <w:tc>
          <w:tcPr>
            <w:tcW w:w="9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38,749</w:t>
            </w:r>
          </w:p>
        </w:tc>
        <w:tc>
          <w:tcPr>
            <w:tcW w:w="100" w:type="dxa"/>
            <w:vAlign w:val="bottom"/>
            <w:tcBorders>
              <w:bottom w:val="single" w:sz="8" w:color="E8EAEB"/>
            </w:tcBorders>
          </w:tcPr>
          <w:p>
            <w:pPr>
              <w:spacing w:after="0"/>
              <w:rPr>
                <w:sz w:val="13"/>
                <w:szCs w:val="13"/>
                <w:color w:val="auto"/>
              </w:rPr>
            </w:pPr>
          </w:p>
        </w:tc>
        <w:tc>
          <w:tcPr>
            <w:tcW w:w="8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67,811</w:t>
            </w:r>
          </w:p>
        </w:tc>
        <w:tc>
          <w:tcPr>
            <w:tcW w:w="160" w:type="dxa"/>
            <w:vAlign w:val="bottom"/>
            <w:tcBorders>
              <w:bottom w:val="single" w:sz="8" w:color="E8EAEB"/>
            </w:tcBorders>
          </w:tcPr>
          <w:p>
            <w:pPr>
              <w:spacing w:after="0"/>
              <w:rPr>
                <w:sz w:val="13"/>
                <w:szCs w:val="13"/>
                <w:color w:val="auto"/>
              </w:rPr>
            </w:pPr>
          </w:p>
        </w:tc>
        <w:tc>
          <w:tcPr>
            <w:tcW w:w="680" w:type="dxa"/>
            <w:vAlign w:val="bottom"/>
            <w:tcBorders>
              <w:bottom w:val="single" w:sz="8" w:color="E8EAEB"/>
              <w:right w:val="single" w:sz="8" w:color="E8EAEB"/>
            </w:tcBorders>
          </w:tcPr>
          <w:p>
            <w:pPr>
              <w:ind w:left="2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right"/>
              <w:ind w:right="208"/>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rPr>
              <w:t>35.66</w:t>
            </w:r>
          </w:p>
        </w:tc>
        <w:tc>
          <w:tcPr>
            <w:tcW w:w="1040" w:type="dxa"/>
            <w:vAlign w:val="bottom"/>
            <w:tcBorders>
              <w:bottom w:val="single" w:sz="8" w:color="E8EAEB"/>
            </w:tcBorders>
          </w:tcPr>
          <w:p>
            <w:pPr>
              <w:jc w:val="right"/>
              <w:ind w:right="108"/>
              <w:spacing w:after="0" w:line="157" w:lineRule="exact"/>
              <w:rPr>
                <w:sz w:val="20"/>
                <w:szCs w:val="20"/>
                <w:color w:val="auto"/>
              </w:rPr>
            </w:pPr>
            <w:r>
              <w:rPr>
                <w:rFonts w:ascii="Arial" w:cs="Arial" w:eastAsia="Arial" w:hAnsi="Arial"/>
                <w:sz w:val="14"/>
                <w:szCs w:val="14"/>
                <w:color w:val="202E39"/>
              </w:rPr>
              <w:t>745,918</w:t>
            </w:r>
          </w:p>
        </w:tc>
        <w:tc>
          <w:tcPr>
            <w:tcW w:w="0" w:type="dxa"/>
            <w:vAlign w:val="bottom"/>
          </w:tcPr>
          <w:p>
            <w:pPr>
              <w:spacing w:after="0"/>
              <w:rPr>
                <w:sz w:val="1"/>
                <w:szCs w:val="1"/>
                <w:color w:val="auto"/>
              </w:rPr>
            </w:pPr>
          </w:p>
        </w:tc>
      </w:tr>
      <w:tr>
        <w:trPr>
          <w:trHeight w:val="160"/>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9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3"/>
                <w:szCs w:val="13"/>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3"/>
                <w:szCs w:val="13"/>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3"/>
                <w:szCs w:val="13"/>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60" w:type="dxa"/>
            <w:vAlign w:val="bottom"/>
          </w:tcPr>
          <w:p>
            <w:pPr>
              <w:spacing w:after="0"/>
              <w:rPr>
                <w:sz w:val="13"/>
                <w:szCs w:val="13"/>
                <w:color w:val="auto"/>
              </w:rPr>
            </w:pPr>
          </w:p>
        </w:tc>
        <w:tc>
          <w:tcPr>
            <w:tcW w:w="680" w:type="dxa"/>
            <w:vAlign w:val="bottom"/>
            <w:tcBorders>
              <w:right w:val="single" w:sz="8" w:color="E8EAEB"/>
            </w:tcBorders>
          </w:tcPr>
          <w:p>
            <w:pPr>
              <w:ind w:left="260"/>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11/17/20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28,964</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1,032,856</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E8EAEB"/>
              <w:right w:val="single" w:sz="8" w:color="E8EAEB"/>
            </w:tcBorders>
          </w:tcPr>
          <w:p>
            <w:pPr>
              <w:spacing w:after="0"/>
              <w:rPr>
                <w:sz w:val="13"/>
                <w:szCs w:val="13"/>
                <w:color w:val="auto"/>
              </w:rPr>
            </w:pPr>
          </w:p>
        </w:tc>
        <w:tc>
          <w:tcPr>
            <w:tcW w:w="98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11/17/20</w:t>
            </w:r>
          </w:p>
        </w:tc>
        <w:tc>
          <w:tcPr>
            <w:tcW w:w="72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w w:val="99"/>
              </w:rPr>
              <w:t>—</w:t>
            </w:r>
          </w:p>
        </w:tc>
        <w:tc>
          <w:tcPr>
            <w:tcW w:w="1040" w:type="dxa"/>
            <w:vAlign w:val="bottom"/>
            <w:tcBorders>
              <w:bottom w:val="single" w:sz="8" w:color="E8EAEB"/>
              <w:right w:val="single" w:sz="8" w:color="E8EAEB"/>
            </w:tcBorders>
          </w:tcPr>
          <w:p>
            <w:pPr>
              <w:jc w:val="center"/>
              <w:ind w:left="268"/>
              <w:spacing w:after="0" w:line="157" w:lineRule="exact"/>
              <w:rPr>
                <w:sz w:val="20"/>
                <w:szCs w:val="20"/>
                <w:color w:val="auto"/>
              </w:rPr>
            </w:pPr>
            <w:r>
              <w:rPr>
                <w:rFonts w:ascii="Arial" w:cs="Arial" w:eastAsia="Arial" w:hAnsi="Arial"/>
                <w:sz w:val="14"/>
                <w:szCs w:val="14"/>
                <w:color w:val="202E39"/>
                <w:w w:val="99"/>
              </w:rPr>
              <w:t>—</w:t>
            </w:r>
          </w:p>
        </w:tc>
        <w:tc>
          <w:tcPr>
            <w:tcW w:w="180" w:type="dxa"/>
            <w:vAlign w:val="bottom"/>
            <w:tcBorders>
              <w:bottom w:val="single" w:sz="8" w:color="E8EAEB"/>
            </w:tcBorders>
          </w:tcPr>
          <w:p>
            <w:pPr>
              <w:spacing w:after="0"/>
              <w:rPr>
                <w:sz w:val="13"/>
                <w:szCs w:val="13"/>
                <w:color w:val="auto"/>
              </w:rPr>
            </w:pPr>
          </w:p>
        </w:tc>
        <w:tc>
          <w:tcPr>
            <w:tcW w:w="880" w:type="dxa"/>
            <w:vAlign w:val="bottom"/>
            <w:tcBorders>
              <w:bottom w:val="single" w:sz="8" w:color="E8EAEB"/>
              <w:right w:val="single" w:sz="8" w:color="E8EAEB"/>
            </w:tcBorders>
          </w:tcPr>
          <w:p>
            <w:pPr>
              <w:ind w:left="4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tcBorders>
          </w:tcPr>
          <w:p>
            <w:pPr>
              <w:jc w:val="center"/>
              <w:ind w:left="28"/>
              <w:spacing w:after="0" w:line="157" w:lineRule="exact"/>
              <w:rPr>
                <w:sz w:val="20"/>
                <w:szCs w:val="20"/>
                <w:color w:val="auto"/>
              </w:rPr>
            </w:pPr>
            <w:r>
              <w:rPr>
                <w:rFonts w:ascii="Arial" w:cs="Arial" w:eastAsia="Arial" w:hAnsi="Arial"/>
                <w:sz w:val="14"/>
                <w:szCs w:val="14"/>
                <w:color w:val="202E39"/>
              </w:rPr>
              <w:t>31,483</w:t>
            </w:r>
          </w:p>
        </w:tc>
        <w:tc>
          <w:tcPr>
            <w:tcW w:w="60" w:type="dxa"/>
            <w:vAlign w:val="bottom"/>
            <w:tcBorders>
              <w:bottom w:val="single" w:sz="8" w:color="E8EAEB"/>
              <w:right w:val="single" w:sz="8" w:color="E8EAEB"/>
            </w:tcBorders>
          </w:tcPr>
          <w:p>
            <w:pPr>
              <w:spacing w:after="0"/>
              <w:rPr>
                <w:sz w:val="13"/>
                <w:szCs w:val="13"/>
                <w:color w:val="auto"/>
              </w:rPr>
            </w:pPr>
          </w:p>
        </w:tc>
        <w:tc>
          <w:tcPr>
            <w:tcW w:w="9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62,965</w:t>
            </w:r>
          </w:p>
        </w:tc>
        <w:tc>
          <w:tcPr>
            <w:tcW w:w="100" w:type="dxa"/>
            <w:vAlign w:val="bottom"/>
            <w:tcBorders>
              <w:bottom w:val="single" w:sz="8" w:color="E8EAEB"/>
            </w:tcBorders>
          </w:tcPr>
          <w:p>
            <w:pPr>
              <w:spacing w:after="0"/>
              <w:rPr>
                <w:sz w:val="13"/>
                <w:szCs w:val="13"/>
                <w:color w:val="auto"/>
              </w:rPr>
            </w:pPr>
          </w:p>
        </w:tc>
        <w:tc>
          <w:tcPr>
            <w:tcW w:w="840" w:type="dxa"/>
            <w:vAlign w:val="bottom"/>
            <w:tcBorders>
              <w:bottom w:val="single" w:sz="8" w:color="E8EAEB"/>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110,189</w:t>
            </w:r>
          </w:p>
        </w:tc>
        <w:tc>
          <w:tcPr>
            <w:tcW w:w="160" w:type="dxa"/>
            <w:vAlign w:val="bottom"/>
            <w:tcBorders>
              <w:bottom w:val="single" w:sz="8" w:color="E8EAEB"/>
            </w:tcBorders>
          </w:tcPr>
          <w:p>
            <w:pPr>
              <w:spacing w:after="0"/>
              <w:rPr>
                <w:sz w:val="13"/>
                <w:szCs w:val="13"/>
                <w:color w:val="auto"/>
              </w:rPr>
            </w:pPr>
          </w:p>
        </w:tc>
        <w:tc>
          <w:tcPr>
            <w:tcW w:w="680" w:type="dxa"/>
            <w:vAlign w:val="bottom"/>
            <w:tcBorders>
              <w:bottom w:val="single" w:sz="8" w:color="E8EAEB"/>
              <w:right w:val="single" w:sz="8" w:color="E8EAEB"/>
            </w:tcBorders>
          </w:tcPr>
          <w:p>
            <w:pPr>
              <w:ind w:left="2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right"/>
              <w:ind w:right="208"/>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E8EAEB"/>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rPr>
              <w:t>35.66</w:t>
            </w:r>
          </w:p>
        </w:tc>
        <w:tc>
          <w:tcPr>
            <w:tcW w:w="1040" w:type="dxa"/>
            <w:vAlign w:val="bottom"/>
            <w:tcBorders>
              <w:bottom w:val="single" w:sz="8" w:color="E8EAEB"/>
            </w:tcBorders>
          </w:tcPr>
          <w:p>
            <w:pPr>
              <w:jc w:val="right"/>
              <w:ind w:right="108"/>
              <w:spacing w:after="0" w:line="157" w:lineRule="exact"/>
              <w:rPr>
                <w:sz w:val="20"/>
                <w:szCs w:val="20"/>
                <w:color w:val="auto"/>
              </w:rPr>
            </w:pPr>
            <w:r>
              <w:rPr>
                <w:rFonts w:ascii="Arial" w:cs="Arial" w:eastAsia="Arial" w:hAnsi="Arial"/>
                <w:sz w:val="14"/>
                <w:szCs w:val="14"/>
                <w:color w:val="202E39"/>
              </w:rPr>
              <w:t>1,212,076</w:t>
            </w:r>
          </w:p>
        </w:tc>
        <w:tc>
          <w:tcPr>
            <w:tcW w:w="0" w:type="dxa"/>
            <w:vAlign w:val="bottom"/>
          </w:tcPr>
          <w:p>
            <w:pPr>
              <w:spacing w:after="0"/>
              <w:rPr>
                <w:sz w:val="1"/>
                <w:szCs w:val="1"/>
                <w:color w:val="auto"/>
              </w:rPr>
            </w:pPr>
          </w:p>
        </w:tc>
      </w:tr>
      <w:tr>
        <w:trPr>
          <w:trHeight w:val="160"/>
        </w:trPr>
        <w:tc>
          <w:tcPr>
            <w:tcW w:w="12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Miller</w:t>
            </w:r>
          </w:p>
        </w:tc>
        <w:tc>
          <w:tcPr>
            <w:tcW w:w="9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600,000</w:t>
            </w:r>
          </w:p>
        </w:tc>
        <w:tc>
          <w:tcPr>
            <w:tcW w:w="180" w:type="dxa"/>
            <w:vAlign w:val="bottom"/>
          </w:tcPr>
          <w:p>
            <w:pPr>
              <w:spacing w:after="0"/>
              <w:rPr>
                <w:sz w:val="13"/>
                <w:szCs w:val="13"/>
                <w:color w:val="auto"/>
              </w:rPr>
            </w:pPr>
          </w:p>
        </w:tc>
        <w:tc>
          <w:tcPr>
            <w:tcW w:w="880" w:type="dxa"/>
            <w:vAlign w:val="bottom"/>
            <w:tcBorders>
              <w:right w:val="single" w:sz="8" w:color="E8EAEB"/>
            </w:tcBorders>
          </w:tcPr>
          <w:p>
            <w:pPr>
              <w:jc w:val="center"/>
              <w:ind w:right="88"/>
              <w:spacing w:after="0"/>
              <w:rPr>
                <w:sz w:val="20"/>
                <w:szCs w:val="20"/>
                <w:color w:val="auto"/>
              </w:rPr>
            </w:pPr>
            <w:r>
              <w:rPr>
                <w:rFonts w:ascii="Arial" w:cs="Arial" w:eastAsia="Arial" w:hAnsi="Arial"/>
                <w:sz w:val="14"/>
                <w:szCs w:val="14"/>
                <w:color w:val="202E39"/>
              </w:rPr>
              <w:t>1,500,000</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3"/>
                <w:szCs w:val="13"/>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3"/>
                <w:szCs w:val="13"/>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60" w:type="dxa"/>
            <w:vAlign w:val="bottom"/>
          </w:tcPr>
          <w:p>
            <w:pPr>
              <w:spacing w:after="0"/>
              <w:rPr>
                <w:sz w:val="13"/>
                <w:szCs w:val="13"/>
                <w:color w:val="auto"/>
              </w:rPr>
            </w:pPr>
          </w:p>
        </w:tc>
        <w:tc>
          <w:tcPr>
            <w:tcW w:w="680" w:type="dxa"/>
            <w:vAlign w:val="bottom"/>
            <w:tcBorders>
              <w:right w:val="single" w:sz="8" w:color="E8EAEB"/>
            </w:tcBorders>
          </w:tcPr>
          <w:p>
            <w:pPr>
              <w:ind w:left="260"/>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24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11/17/20</w:t>
            </w:r>
          </w:p>
        </w:tc>
        <w:tc>
          <w:tcPr>
            <w:tcW w:w="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w w:val="99"/>
              </w:rPr>
              <w:t>—</w:t>
            </w:r>
          </w:p>
        </w:tc>
        <w:tc>
          <w:tcPr>
            <w:tcW w:w="1040" w:type="dxa"/>
            <w:vAlign w:val="bottom"/>
            <w:tcBorders>
              <w:right w:val="single" w:sz="8" w:color="E8EAEB"/>
            </w:tcBorders>
          </w:tcPr>
          <w:p>
            <w:pPr>
              <w:jc w:val="center"/>
              <w:ind w:left="268"/>
              <w:spacing w:after="0"/>
              <w:rPr>
                <w:sz w:val="20"/>
                <w:szCs w:val="20"/>
                <w:color w:val="auto"/>
              </w:rPr>
            </w:pPr>
            <w:r>
              <w:rPr>
                <w:rFonts w:ascii="Arial" w:cs="Arial" w:eastAsia="Arial" w:hAnsi="Arial"/>
                <w:sz w:val="14"/>
                <w:szCs w:val="14"/>
                <w:color w:val="202E39"/>
                <w:w w:val="99"/>
              </w:rPr>
              <w:t>—</w:t>
            </w:r>
          </w:p>
        </w:tc>
        <w:tc>
          <w:tcPr>
            <w:tcW w:w="180" w:type="dxa"/>
            <w:vAlign w:val="bottom"/>
          </w:tcPr>
          <w:p>
            <w:pPr>
              <w:spacing w:after="0"/>
              <w:rPr>
                <w:sz w:val="14"/>
                <w:szCs w:val="14"/>
                <w:color w:val="auto"/>
              </w:rPr>
            </w:pPr>
          </w:p>
        </w:tc>
        <w:tc>
          <w:tcPr>
            <w:tcW w:w="880" w:type="dxa"/>
            <w:vAlign w:val="bottom"/>
            <w:tcBorders>
              <w:right w:val="single" w:sz="8" w:color="E8EAEB"/>
            </w:tcBorders>
          </w:tcPr>
          <w:p>
            <w:pPr>
              <w:ind w:left="460"/>
              <w:spacing w:after="0"/>
              <w:rPr>
                <w:sz w:val="20"/>
                <w:szCs w:val="20"/>
                <w:color w:val="auto"/>
              </w:rPr>
            </w:pPr>
            <w:r>
              <w:rPr>
                <w:rFonts w:ascii="Arial" w:cs="Arial" w:eastAsia="Arial" w:hAnsi="Arial"/>
                <w:sz w:val="14"/>
                <w:szCs w:val="14"/>
                <w:color w:val="202E39"/>
              </w:rPr>
              <w:t>—</w:t>
            </w:r>
          </w:p>
        </w:tc>
        <w:tc>
          <w:tcPr>
            <w:tcW w:w="780" w:type="dxa"/>
            <w:vAlign w:val="bottom"/>
          </w:tcPr>
          <w:p>
            <w:pPr>
              <w:ind w:left="420"/>
              <w:spacing w:after="0"/>
              <w:rPr>
                <w:sz w:val="20"/>
                <w:szCs w:val="20"/>
                <w:color w:val="auto"/>
              </w:rPr>
            </w:pPr>
            <w:r>
              <w:rPr>
                <w:rFonts w:ascii="Arial" w:cs="Arial" w:eastAsia="Arial" w:hAnsi="Arial"/>
                <w:sz w:val="14"/>
                <w:szCs w:val="14"/>
                <w:color w:val="202E39"/>
              </w:rPr>
              <w:t>—</w:t>
            </w:r>
          </w:p>
        </w:tc>
        <w:tc>
          <w:tcPr>
            <w:tcW w:w="6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00" w:type="dxa"/>
            <w:vAlign w:val="bottom"/>
          </w:tcPr>
          <w:p>
            <w:pPr>
              <w:spacing w:after="0"/>
              <w:rPr>
                <w:sz w:val="14"/>
                <w:szCs w:val="14"/>
                <w:color w:val="auto"/>
              </w:rPr>
            </w:pPr>
          </w:p>
        </w:tc>
        <w:tc>
          <w:tcPr>
            <w:tcW w:w="84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gridSpan w:val="2"/>
          </w:tcPr>
          <w:p>
            <w:pPr>
              <w:ind w:left="200"/>
              <w:spacing w:after="0"/>
              <w:rPr>
                <w:sz w:val="20"/>
                <w:szCs w:val="20"/>
                <w:color w:val="auto"/>
              </w:rPr>
            </w:pPr>
            <w:r>
              <w:rPr>
                <w:rFonts w:ascii="Arial" w:cs="Arial" w:eastAsia="Arial" w:hAnsi="Arial"/>
                <w:sz w:val="14"/>
                <w:szCs w:val="14"/>
                <w:color w:val="202E39"/>
              </w:rPr>
              <w:t>22,281</w:t>
            </w:r>
          </w:p>
        </w:tc>
        <w:tc>
          <w:tcPr>
            <w:tcW w:w="78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780" w:type="dxa"/>
            <w:vAlign w:val="bottom"/>
            <w:tcBorders>
              <w:right w:val="single" w:sz="8" w:color="E8EAEB"/>
            </w:tcBorders>
          </w:tcPr>
          <w:p>
            <w:pPr>
              <w:jc w:val="center"/>
              <w:ind w:left="28"/>
              <w:spacing w:after="0"/>
              <w:rPr>
                <w:sz w:val="20"/>
                <w:szCs w:val="20"/>
                <w:color w:val="auto"/>
              </w:rPr>
            </w:pPr>
            <w:r>
              <w:rPr>
                <w:rFonts w:ascii="Arial" w:cs="Arial" w:eastAsia="Arial" w:hAnsi="Arial"/>
                <w:sz w:val="14"/>
                <w:szCs w:val="14"/>
                <w:color w:val="202E39"/>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202E39"/>
              </w:rPr>
              <w:t>794,540</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009FE3"/>
              <w:right w:val="single" w:sz="8" w:color="E8EAEB"/>
            </w:tcBorders>
          </w:tcPr>
          <w:p>
            <w:pPr>
              <w:spacing w:after="0"/>
              <w:rPr>
                <w:sz w:val="13"/>
                <w:szCs w:val="13"/>
                <w:color w:val="auto"/>
              </w:rPr>
            </w:pPr>
          </w:p>
        </w:tc>
        <w:tc>
          <w:tcPr>
            <w:tcW w:w="980" w:type="dxa"/>
            <w:vAlign w:val="bottom"/>
            <w:tcBorders>
              <w:bottom w:val="single" w:sz="8" w:color="009FE3"/>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11/17/20</w:t>
            </w:r>
          </w:p>
        </w:tc>
        <w:tc>
          <w:tcPr>
            <w:tcW w:w="720" w:type="dxa"/>
            <w:vAlign w:val="bottom"/>
            <w:tcBorders>
              <w:bottom w:val="single" w:sz="8" w:color="009FE3"/>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w w:val="99"/>
              </w:rPr>
              <w:t>—</w:t>
            </w:r>
          </w:p>
        </w:tc>
        <w:tc>
          <w:tcPr>
            <w:tcW w:w="1040" w:type="dxa"/>
            <w:vAlign w:val="bottom"/>
            <w:tcBorders>
              <w:bottom w:val="single" w:sz="8" w:color="009FE3"/>
              <w:right w:val="single" w:sz="8" w:color="E8EAEB"/>
            </w:tcBorders>
          </w:tcPr>
          <w:p>
            <w:pPr>
              <w:jc w:val="center"/>
              <w:ind w:left="268"/>
              <w:spacing w:after="0" w:line="157" w:lineRule="exact"/>
              <w:rPr>
                <w:sz w:val="20"/>
                <w:szCs w:val="20"/>
                <w:color w:val="auto"/>
              </w:rPr>
            </w:pPr>
            <w:r>
              <w:rPr>
                <w:rFonts w:ascii="Arial" w:cs="Arial" w:eastAsia="Arial" w:hAnsi="Arial"/>
                <w:sz w:val="14"/>
                <w:szCs w:val="14"/>
                <w:color w:val="202E39"/>
                <w:w w:val="99"/>
              </w:rPr>
              <w:t>—</w:t>
            </w:r>
          </w:p>
        </w:tc>
        <w:tc>
          <w:tcPr>
            <w:tcW w:w="180" w:type="dxa"/>
            <w:vAlign w:val="bottom"/>
            <w:tcBorders>
              <w:bottom w:val="single" w:sz="8" w:color="009FE3"/>
            </w:tcBorders>
          </w:tcPr>
          <w:p>
            <w:pPr>
              <w:spacing w:after="0"/>
              <w:rPr>
                <w:sz w:val="13"/>
                <w:szCs w:val="13"/>
                <w:color w:val="auto"/>
              </w:rPr>
            </w:pPr>
          </w:p>
        </w:tc>
        <w:tc>
          <w:tcPr>
            <w:tcW w:w="880" w:type="dxa"/>
            <w:vAlign w:val="bottom"/>
            <w:tcBorders>
              <w:bottom w:val="single" w:sz="8" w:color="009FE3"/>
              <w:right w:val="single" w:sz="8" w:color="E8EAEB"/>
            </w:tcBorders>
          </w:tcPr>
          <w:p>
            <w:pPr>
              <w:ind w:left="4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009FE3"/>
            </w:tcBorders>
          </w:tcPr>
          <w:p>
            <w:pPr>
              <w:jc w:val="center"/>
              <w:ind w:left="28"/>
              <w:spacing w:after="0" w:line="157" w:lineRule="exact"/>
              <w:rPr>
                <w:sz w:val="20"/>
                <w:szCs w:val="20"/>
                <w:color w:val="auto"/>
              </w:rPr>
            </w:pPr>
            <w:r>
              <w:rPr>
                <w:rFonts w:ascii="Arial" w:cs="Arial" w:eastAsia="Arial" w:hAnsi="Arial"/>
                <w:sz w:val="14"/>
                <w:szCs w:val="14"/>
                <w:color w:val="202E39"/>
              </w:rPr>
              <w:t>24,218</w:t>
            </w:r>
          </w:p>
        </w:tc>
        <w:tc>
          <w:tcPr>
            <w:tcW w:w="60" w:type="dxa"/>
            <w:vAlign w:val="bottom"/>
            <w:tcBorders>
              <w:bottom w:val="single" w:sz="8" w:color="009FE3"/>
              <w:right w:val="single" w:sz="8" w:color="E8EAEB"/>
            </w:tcBorders>
          </w:tcPr>
          <w:p>
            <w:pPr>
              <w:spacing w:after="0"/>
              <w:rPr>
                <w:sz w:val="13"/>
                <w:szCs w:val="13"/>
                <w:color w:val="auto"/>
              </w:rPr>
            </w:pPr>
          </w:p>
        </w:tc>
        <w:tc>
          <w:tcPr>
            <w:tcW w:w="940" w:type="dxa"/>
            <w:vAlign w:val="bottom"/>
            <w:tcBorders>
              <w:bottom w:val="single" w:sz="8" w:color="009FE3"/>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48,436</w:t>
            </w:r>
          </w:p>
        </w:tc>
        <w:tc>
          <w:tcPr>
            <w:tcW w:w="100" w:type="dxa"/>
            <w:vAlign w:val="bottom"/>
            <w:tcBorders>
              <w:bottom w:val="single" w:sz="8" w:color="009FE3"/>
            </w:tcBorders>
          </w:tcPr>
          <w:p>
            <w:pPr>
              <w:spacing w:after="0"/>
              <w:rPr>
                <w:sz w:val="13"/>
                <w:szCs w:val="13"/>
                <w:color w:val="auto"/>
              </w:rPr>
            </w:pPr>
          </w:p>
        </w:tc>
        <w:tc>
          <w:tcPr>
            <w:tcW w:w="840" w:type="dxa"/>
            <w:vAlign w:val="bottom"/>
            <w:tcBorders>
              <w:bottom w:val="single" w:sz="8" w:color="009FE3"/>
              <w:right w:val="single" w:sz="8" w:color="E8EAEB"/>
            </w:tcBorders>
          </w:tcPr>
          <w:p>
            <w:pPr>
              <w:jc w:val="right"/>
              <w:ind w:right="128"/>
              <w:spacing w:after="0" w:line="157" w:lineRule="exact"/>
              <w:rPr>
                <w:sz w:val="20"/>
                <w:szCs w:val="20"/>
                <w:color w:val="auto"/>
              </w:rPr>
            </w:pPr>
            <w:r>
              <w:rPr>
                <w:rFonts w:ascii="Arial" w:cs="Arial" w:eastAsia="Arial" w:hAnsi="Arial"/>
                <w:sz w:val="14"/>
                <w:szCs w:val="14"/>
                <w:color w:val="202E39"/>
              </w:rPr>
              <w:t>84,763</w:t>
            </w:r>
          </w:p>
        </w:tc>
        <w:tc>
          <w:tcPr>
            <w:tcW w:w="160" w:type="dxa"/>
            <w:vAlign w:val="bottom"/>
            <w:tcBorders>
              <w:bottom w:val="single" w:sz="8" w:color="009FE3"/>
            </w:tcBorders>
          </w:tcPr>
          <w:p>
            <w:pPr>
              <w:spacing w:after="0"/>
              <w:rPr>
                <w:sz w:val="13"/>
                <w:szCs w:val="13"/>
                <w:color w:val="auto"/>
              </w:rPr>
            </w:pPr>
          </w:p>
        </w:tc>
        <w:tc>
          <w:tcPr>
            <w:tcW w:w="680" w:type="dxa"/>
            <w:vAlign w:val="bottom"/>
            <w:tcBorders>
              <w:bottom w:val="single" w:sz="8" w:color="009FE3"/>
              <w:right w:val="single" w:sz="8" w:color="E8EAEB"/>
            </w:tcBorders>
          </w:tcPr>
          <w:p>
            <w:pPr>
              <w:ind w:left="260"/>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009FE3"/>
              <w:right w:val="single" w:sz="8" w:color="E8EAEB"/>
            </w:tcBorders>
          </w:tcPr>
          <w:p>
            <w:pPr>
              <w:jc w:val="right"/>
              <w:ind w:right="208"/>
              <w:spacing w:after="0" w:line="157" w:lineRule="exact"/>
              <w:rPr>
                <w:sz w:val="20"/>
                <w:szCs w:val="20"/>
                <w:color w:val="auto"/>
              </w:rPr>
            </w:pPr>
            <w:r>
              <w:rPr>
                <w:rFonts w:ascii="Arial" w:cs="Arial" w:eastAsia="Arial" w:hAnsi="Arial"/>
                <w:sz w:val="14"/>
                <w:szCs w:val="14"/>
                <w:color w:val="202E39"/>
              </w:rPr>
              <w:t>—</w:t>
            </w:r>
          </w:p>
        </w:tc>
        <w:tc>
          <w:tcPr>
            <w:tcW w:w="780" w:type="dxa"/>
            <w:vAlign w:val="bottom"/>
            <w:tcBorders>
              <w:bottom w:val="single" w:sz="8" w:color="009FE3"/>
              <w:right w:val="single" w:sz="8" w:color="E8EAEB"/>
            </w:tcBorders>
          </w:tcPr>
          <w:p>
            <w:pPr>
              <w:jc w:val="center"/>
              <w:spacing w:after="0" w:line="157" w:lineRule="exact"/>
              <w:rPr>
                <w:sz w:val="20"/>
                <w:szCs w:val="20"/>
                <w:color w:val="auto"/>
              </w:rPr>
            </w:pPr>
            <w:r>
              <w:rPr>
                <w:rFonts w:ascii="Arial" w:cs="Arial" w:eastAsia="Arial" w:hAnsi="Arial"/>
                <w:sz w:val="14"/>
                <w:szCs w:val="14"/>
                <w:color w:val="202E39"/>
              </w:rPr>
              <w:t>35.66</w:t>
            </w:r>
          </w:p>
        </w:tc>
        <w:tc>
          <w:tcPr>
            <w:tcW w:w="1040" w:type="dxa"/>
            <w:vAlign w:val="bottom"/>
            <w:tcBorders>
              <w:bottom w:val="single" w:sz="8" w:color="009FE3"/>
            </w:tcBorders>
          </w:tcPr>
          <w:p>
            <w:pPr>
              <w:jc w:val="right"/>
              <w:ind w:right="108"/>
              <w:spacing w:after="0" w:line="157" w:lineRule="exact"/>
              <w:rPr>
                <w:sz w:val="20"/>
                <w:szCs w:val="20"/>
                <w:color w:val="auto"/>
              </w:rPr>
            </w:pPr>
            <w:r>
              <w:rPr>
                <w:rFonts w:ascii="Arial" w:cs="Arial" w:eastAsia="Arial" w:hAnsi="Arial"/>
                <w:sz w:val="14"/>
                <w:szCs w:val="14"/>
                <w:color w:val="202E39"/>
              </w:rPr>
              <w:t>932,393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620" w:hanging="424"/>
        <w:spacing w:after="0" w:line="249" w:lineRule="auto"/>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Represents target and maximum amounts payable under our annual bonus program for fiscal year 2021.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 of this proxy statement.</w:t>
      </w:r>
    </w:p>
    <w:p>
      <w:pPr>
        <w:spacing w:after="0" w:line="52" w:lineRule="exact"/>
        <w:rPr>
          <w:rFonts w:ascii="Arial" w:cs="Arial" w:eastAsia="Arial" w:hAnsi="Arial"/>
          <w:sz w:val="14"/>
          <w:szCs w:val="14"/>
          <w:color w:val="202E39"/>
        </w:rPr>
      </w:pPr>
    </w:p>
    <w:p>
      <w:pPr>
        <w:ind w:left="540" w:right="200" w:hanging="424"/>
        <w:spacing w:after="0" w:line="244" w:lineRule="auto"/>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2024 of our TSR to the TSR of the companies included in the S&amp;P Mid Cap 400 Index. The number of options that will ultimately become vested and exercisable at the end of the four year vesting schedule will range from 0% to 175% of the target number of options based on our relative TSR ranking for the four-year performance period ending October 31, 2024. The performance-based stock options must be vested under both the time-based vesting schedule and the performance-based vesting conditions to become exercisable by the Named Executive Officer.</w:t>
      </w:r>
    </w:p>
    <w:p>
      <w:pPr>
        <w:spacing w:after="0" w:line="219" w:lineRule="exact"/>
        <w:rPr>
          <w:rFonts w:ascii="Arial" w:cs="Arial" w:eastAsia="Arial" w:hAnsi="Arial"/>
          <w:sz w:val="14"/>
          <w:szCs w:val="14"/>
          <w:color w:val="202E39"/>
        </w:rPr>
      </w:pPr>
    </w:p>
    <w:p>
      <w:pPr>
        <w:ind w:left="540" w:hanging="424"/>
        <w:spacing w:after="0"/>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40" w:right="600" w:hanging="424"/>
        <w:spacing w:after="0" w:line="258" w:lineRule="auto"/>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The exercise price for option awards is the fair market value per share of Viasat common stock, which is defined under our 1996 Equity Participation Plan as the closing price per share on the grant date.</w:t>
      </w:r>
    </w:p>
    <w:p>
      <w:pPr>
        <w:spacing w:after="0" w:line="45" w:lineRule="exact"/>
        <w:rPr>
          <w:rFonts w:ascii="Arial" w:cs="Arial" w:eastAsia="Arial" w:hAnsi="Arial"/>
          <w:sz w:val="14"/>
          <w:szCs w:val="14"/>
          <w:color w:val="202E39"/>
        </w:rPr>
      </w:pPr>
    </w:p>
    <w:p>
      <w:pPr>
        <w:ind w:left="540" w:right="220" w:hanging="424"/>
        <w:spacing w:after="0" w:line="245" w:lineRule="auto"/>
        <w:tabs>
          <w:tab w:leader="none" w:pos="540" w:val="left"/>
        </w:tabs>
        <w:numPr>
          <w:ilvl w:val="0"/>
          <w:numId w:val="43"/>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performance-based stock options was calculated using a Monte Carlo simulation which considered the likelihood of achieving the vesting conditions. For additional information on the valuation assumptions used in the calculation of these amounts, refer to note 7 to the financial statements included in our annual report on Form 10-K for the fiscal year ended March 31, 2021,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83820</wp:posOffset>
            </wp:positionV>
            <wp:extent cx="43688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54</w:t>
      </w:r>
    </w:p>
    <w:p>
      <w:pPr>
        <w:sectPr>
          <w:pgSz w:w="11900" w:h="16838" w:orient="portrait"/>
          <w:cols w:equalWidth="0" w:num="1">
            <w:col w:w="11320"/>
          </w:cols>
          <w:pgMar w:left="32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Outstanding Equity Awards at 2021 Fiscal Year</w:t>
      </w:r>
    </w:p>
    <w:p>
      <w:pPr>
        <w:spacing w:after="0" w:line="1" w:lineRule="exact"/>
        <w:rPr>
          <w:sz w:val="20"/>
          <w:szCs w:val="20"/>
          <w:color w:val="auto"/>
        </w:rPr>
      </w:pPr>
    </w:p>
    <w:p>
      <w:pPr>
        <w:ind w:left="10880"/>
        <w:spacing w:after="0"/>
        <w:rPr>
          <w:sz w:val="20"/>
          <w:szCs w:val="20"/>
          <w:color w:val="auto"/>
        </w:rPr>
      </w:pPr>
      <w:r>
        <w:rPr>
          <w:rFonts w:ascii="Arial" w:cs="Arial" w:eastAsia="Arial" w:hAnsi="Arial"/>
          <w:sz w:val="14"/>
          <w:szCs w:val="14"/>
          <w:color w:val="202E39"/>
        </w:rPr>
        <w:t>End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Outstanding Equity Awards at 2021 Fiscal Year End</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lists all outstanding equity awards held by each of the Named Executive Officers as of March 31, 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860" w:type="dxa"/>
            <w:vAlign w:val="bottom"/>
            <w:tcBorders>
              <w:top w:val="single" w:sz="8" w:color="E8EAEB"/>
              <w:right w:val="single" w:sz="8" w:color="E8EAEB"/>
            </w:tcBorders>
          </w:tcPr>
          <w:p>
            <w:pPr>
              <w:spacing w:after="0"/>
              <w:rPr>
                <w:sz w:val="18"/>
                <w:szCs w:val="18"/>
                <w:color w:val="auto"/>
              </w:rPr>
            </w:pPr>
          </w:p>
        </w:tc>
        <w:tc>
          <w:tcPr>
            <w:tcW w:w="1040" w:type="dxa"/>
            <w:vAlign w:val="bottom"/>
            <w:tcBorders>
              <w:top w:val="single" w:sz="8" w:color="E8EAEB"/>
              <w:right w:val="single" w:sz="8" w:color="E8EAEB"/>
            </w:tcBorders>
          </w:tcPr>
          <w:p>
            <w:pPr>
              <w:spacing w:after="0"/>
              <w:rPr>
                <w:sz w:val="18"/>
                <w:szCs w:val="18"/>
                <w:color w:val="auto"/>
              </w:rPr>
            </w:pPr>
          </w:p>
        </w:tc>
        <w:tc>
          <w:tcPr>
            <w:tcW w:w="760" w:type="dxa"/>
            <w:vAlign w:val="bottom"/>
            <w:tcBorders>
              <w:top w:val="single" w:sz="8" w:color="E8EAEB"/>
              <w:bottom w:val="single" w:sz="8" w:color="009FE3"/>
            </w:tcBorders>
          </w:tcPr>
          <w:p>
            <w:pPr>
              <w:spacing w:after="0"/>
              <w:rPr>
                <w:sz w:val="18"/>
                <w:szCs w:val="18"/>
                <w:color w:val="auto"/>
              </w:rPr>
            </w:pPr>
          </w:p>
        </w:tc>
        <w:tc>
          <w:tcPr>
            <w:tcW w:w="100" w:type="dxa"/>
            <w:vAlign w:val="bottom"/>
            <w:tcBorders>
              <w:top w:val="single" w:sz="8" w:color="E8EAEB"/>
              <w:bottom w:val="single" w:sz="8" w:color="009FE3"/>
            </w:tcBorders>
          </w:tcPr>
          <w:p>
            <w:pPr>
              <w:spacing w:after="0"/>
              <w:rPr>
                <w:sz w:val="18"/>
                <w:szCs w:val="18"/>
                <w:color w:val="auto"/>
              </w:rPr>
            </w:pPr>
          </w:p>
        </w:tc>
        <w:tc>
          <w:tcPr>
            <w:tcW w:w="820" w:type="dxa"/>
            <w:vAlign w:val="bottom"/>
            <w:tcBorders>
              <w:top w:val="single" w:sz="8" w:color="E8EAEB"/>
              <w:bottom w:val="single" w:sz="8" w:color="009FE3"/>
            </w:tcBorders>
          </w:tcPr>
          <w:p>
            <w:pPr>
              <w:spacing w:after="0"/>
              <w:rPr>
                <w:sz w:val="18"/>
                <w:szCs w:val="18"/>
                <w:color w:val="auto"/>
              </w:rPr>
            </w:pPr>
          </w:p>
        </w:tc>
        <w:tc>
          <w:tcPr>
            <w:tcW w:w="920" w:type="dxa"/>
            <w:vAlign w:val="bottom"/>
            <w:tcBorders>
              <w:top w:val="single" w:sz="8" w:color="E8EAEB"/>
              <w:bottom w:val="single" w:sz="8" w:color="009FE3"/>
            </w:tcBorders>
            <w:gridSpan w:val="2"/>
          </w:tcPr>
          <w:p>
            <w:pPr>
              <w:ind w:left="60"/>
              <w:spacing w:after="0"/>
              <w:rPr>
                <w:sz w:val="20"/>
                <w:szCs w:val="20"/>
                <w:color w:val="auto"/>
              </w:rPr>
            </w:pPr>
            <w:r>
              <w:rPr>
                <w:rFonts w:ascii="Arial" w:cs="Arial" w:eastAsia="Arial" w:hAnsi="Arial"/>
                <w:sz w:val="12"/>
                <w:szCs w:val="12"/>
                <w:b w:val="1"/>
                <w:bCs w:val="1"/>
                <w:color w:val="009FE3"/>
                <w:w w:val="98"/>
              </w:rPr>
              <w:t>Option Awards</w:t>
            </w:r>
          </w:p>
        </w:tc>
        <w:tc>
          <w:tcPr>
            <w:tcW w:w="660" w:type="dxa"/>
            <w:vAlign w:val="bottom"/>
            <w:tcBorders>
              <w:top w:val="single" w:sz="8" w:color="E8EAEB"/>
              <w:bottom w:val="single" w:sz="8" w:color="009FE3"/>
            </w:tcBorders>
          </w:tcPr>
          <w:p>
            <w:pPr>
              <w:spacing w:after="0"/>
              <w:rPr>
                <w:sz w:val="18"/>
                <w:szCs w:val="18"/>
                <w:color w:val="auto"/>
              </w:rPr>
            </w:pPr>
          </w:p>
        </w:tc>
        <w:tc>
          <w:tcPr>
            <w:tcW w:w="1040" w:type="dxa"/>
            <w:vAlign w:val="bottom"/>
            <w:tcBorders>
              <w:top w:val="single" w:sz="8" w:color="E8EAEB"/>
              <w:bottom w:val="single" w:sz="8" w:color="009FE3"/>
              <w:right w:val="single" w:sz="8" w:color="E8EAEB"/>
            </w:tcBorders>
          </w:tcPr>
          <w:p>
            <w:pPr>
              <w:spacing w:after="0"/>
              <w:rPr>
                <w:sz w:val="18"/>
                <w:szCs w:val="18"/>
                <w:color w:val="auto"/>
              </w:rPr>
            </w:pPr>
          </w:p>
        </w:tc>
        <w:tc>
          <w:tcPr>
            <w:tcW w:w="60" w:type="dxa"/>
            <w:vAlign w:val="bottom"/>
            <w:tcBorders>
              <w:top w:val="single" w:sz="8" w:color="E8EAEB"/>
              <w:right w:val="single" w:sz="8" w:color="E8EAEB"/>
            </w:tcBorders>
          </w:tcPr>
          <w:p>
            <w:pPr>
              <w:spacing w:after="0"/>
              <w:rPr>
                <w:sz w:val="18"/>
                <w:szCs w:val="18"/>
                <w:color w:val="auto"/>
              </w:rPr>
            </w:pPr>
          </w:p>
        </w:tc>
        <w:tc>
          <w:tcPr>
            <w:tcW w:w="1580" w:type="dxa"/>
            <w:vAlign w:val="bottom"/>
            <w:tcBorders>
              <w:top w:val="single" w:sz="8" w:color="E8EAEB"/>
              <w:bottom w:val="single" w:sz="8" w:color="009FE3"/>
            </w:tcBorders>
            <w:gridSpan w:val="2"/>
          </w:tcPr>
          <w:p>
            <w:pPr>
              <w:jc w:val="right"/>
              <w:ind w:right="258"/>
              <w:spacing w:after="0"/>
              <w:rPr>
                <w:sz w:val="20"/>
                <w:szCs w:val="20"/>
                <w:color w:val="auto"/>
              </w:rPr>
            </w:pPr>
            <w:r>
              <w:rPr>
                <w:rFonts w:ascii="Arial" w:cs="Arial" w:eastAsia="Arial" w:hAnsi="Arial"/>
                <w:sz w:val="12"/>
                <w:szCs w:val="12"/>
                <w:b w:val="1"/>
                <w:bCs w:val="1"/>
                <w:color w:val="009FE3"/>
              </w:rPr>
              <w:t>Stock Awards</w:t>
            </w:r>
          </w:p>
        </w:tc>
        <w:tc>
          <w:tcPr>
            <w:tcW w:w="180" w:type="dxa"/>
            <w:vAlign w:val="bottom"/>
            <w:tcBorders>
              <w:top w:val="single" w:sz="8" w:color="E8EAEB"/>
              <w:bottom w:val="single" w:sz="8" w:color="009FE3"/>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680" w:type="dxa"/>
            <w:vAlign w:val="bottom"/>
            <w:tcBorders>
              <w:right w:val="single" w:sz="8" w:color="E8EAEB"/>
            </w:tcBorders>
            <w:gridSpan w:val="3"/>
          </w:tcPr>
          <w:p>
            <w:pPr>
              <w:jc w:val="right"/>
              <w:ind w:right="197"/>
              <w:spacing w:after="0"/>
              <w:rPr>
                <w:sz w:val="20"/>
                <w:szCs w:val="20"/>
                <w:color w:val="auto"/>
              </w:rPr>
            </w:pPr>
            <w:r>
              <w:rPr>
                <w:rFonts w:ascii="Arial" w:cs="Arial" w:eastAsia="Arial" w:hAnsi="Arial"/>
                <w:sz w:val="12"/>
                <w:szCs w:val="12"/>
                <w:b w:val="1"/>
                <w:bCs w:val="1"/>
                <w:color w:val="009FE3"/>
              </w:rPr>
              <w:t>Number of Securities</w:t>
            </w:r>
          </w:p>
        </w:tc>
        <w:tc>
          <w:tcPr>
            <w:tcW w:w="860" w:type="dxa"/>
            <w:vAlign w:val="bottom"/>
            <w:tcBorders>
              <w:right w:val="single" w:sz="8" w:color="E8EAEB"/>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800" w:type="dxa"/>
            <w:vAlign w:val="bottom"/>
            <w:tcBorders>
              <w:right w:val="single" w:sz="8" w:color="E8EAEB"/>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168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7"/>
              </w:rPr>
              <w:t>Underlying Unexercised</w:t>
            </w:r>
          </w:p>
        </w:tc>
        <w:tc>
          <w:tcPr>
            <w:tcW w:w="860" w:type="dxa"/>
            <w:vAlign w:val="bottom"/>
            <w:tcBorders>
              <w:right w:val="single" w:sz="8" w:color="E8EAEB"/>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168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860" w:type="dxa"/>
            <w:vAlign w:val="bottom"/>
            <w:tcBorders>
              <w:right w:val="single" w:sz="8" w:color="E8EAEB"/>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8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760" w:type="dxa"/>
            <w:vAlign w:val="bottom"/>
            <w:tcBorders>
              <w:bottom w:val="single" w:sz="8" w:color="009FE3"/>
            </w:tcBorders>
          </w:tcPr>
          <w:p>
            <w:pPr>
              <w:spacing w:after="0"/>
              <w:rPr>
                <w:sz w:val="14"/>
                <w:szCs w:val="14"/>
                <w:color w:val="auto"/>
              </w:rPr>
            </w:pPr>
          </w:p>
        </w:tc>
        <w:tc>
          <w:tcPr>
            <w:tcW w:w="920" w:type="dxa"/>
            <w:vAlign w:val="bottom"/>
            <w:tcBorders>
              <w:bottom w:val="single" w:sz="8" w:color="009FE3"/>
              <w:right w:val="single" w:sz="8" w:color="E8EAEB"/>
            </w:tcBorders>
            <w:gridSpan w:val="2"/>
          </w:tcPr>
          <w:p>
            <w:pPr>
              <w:jc w:val="center"/>
              <w:ind w:right="717"/>
              <w:spacing w:after="0"/>
              <w:rPr>
                <w:sz w:val="20"/>
                <w:szCs w:val="20"/>
                <w:color w:val="auto"/>
              </w:rPr>
            </w:pPr>
            <w:r>
              <w:rPr>
                <w:rFonts w:ascii="Arial" w:cs="Arial" w:eastAsia="Arial" w:hAnsi="Arial"/>
                <w:sz w:val="12"/>
                <w:szCs w:val="12"/>
                <w:b w:val="1"/>
                <w:bCs w:val="1"/>
                <w:color w:val="009FE3"/>
                <w:w w:val="95"/>
              </w:rPr>
              <w:t>(#)</w:t>
            </w:r>
          </w:p>
        </w:tc>
        <w:tc>
          <w:tcPr>
            <w:tcW w:w="860" w:type="dxa"/>
            <w:vAlign w:val="bottom"/>
            <w:tcBorders>
              <w:right w:val="single" w:sz="8" w:color="E8EAEB"/>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800" w:type="dxa"/>
            <w:vAlign w:val="bottom"/>
            <w:tcBorders>
              <w:right w:val="single" w:sz="8" w:color="E8EAEB"/>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E8EAEB"/>
            </w:tcBorders>
          </w:tcPr>
          <w:p>
            <w:pPr>
              <w:spacing w:after="0"/>
              <w:rPr>
                <w:sz w:val="14"/>
                <w:szCs w:val="14"/>
                <w:color w:val="auto"/>
              </w:rPr>
            </w:pPr>
          </w:p>
        </w:tc>
        <w:tc>
          <w:tcPr>
            <w:tcW w:w="82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jc w:val="right"/>
              <w:ind w:right="198"/>
              <w:spacing w:after="0"/>
              <w:rPr>
                <w:sz w:val="20"/>
                <w:szCs w:val="20"/>
                <w:color w:val="auto"/>
              </w:rPr>
            </w:pPr>
            <w:r>
              <w:rPr>
                <w:rFonts w:ascii="Arial" w:cs="Arial" w:eastAsia="Arial" w:hAnsi="Arial"/>
                <w:sz w:val="12"/>
                <w:szCs w:val="12"/>
                <w:b w:val="1"/>
                <w:bCs w:val="1"/>
                <w:color w:val="009FE3"/>
              </w:rPr>
              <w:t>Equity</w:t>
            </w:r>
          </w:p>
        </w:tc>
        <w:tc>
          <w:tcPr>
            <w:tcW w:w="60" w:type="dxa"/>
            <w:vAlign w:val="bottom"/>
          </w:tcPr>
          <w:p>
            <w:pPr>
              <w:spacing w:after="0"/>
              <w:rPr>
                <w:sz w:val="14"/>
                <w:szCs w:val="14"/>
                <w:color w:val="auto"/>
              </w:rPr>
            </w:pPr>
          </w:p>
        </w:tc>
        <w:tc>
          <w:tcPr>
            <w:tcW w:w="66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60" w:type="dxa"/>
            <w:vAlign w:val="bottom"/>
            <w:tcBorders>
              <w:right w:val="single" w:sz="8" w:color="E8EAEB"/>
            </w:tcBorders>
          </w:tcPr>
          <w:p>
            <w:pPr>
              <w:spacing w:after="0"/>
              <w:rPr>
                <w:sz w:val="14"/>
                <w:szCs w:val="14"/>
                <w:color w:val="auto"/>
              </w:rPr>
            </w:pPr>
          </w:p>
        </w:tc>
        <w:tc>
          <w:tcPr>
            <w:tcW w:w="800" w:type="dxa"/>
            <w:vAlign w:val="bottom"/>
            <w:tcBorders>
              <w:right w:val="single" w:sz="8" w:color="E8EAEB"/>
            </w:tcBorders>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Incentive</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780" w:type="dxa"/>
            <w:vAlign w:val="bottom"/>
            <w:vMerge w:val="restart"/>
          </w:tcPr>
          <w:p>
            <w:pPr>
              <w:jc w:val="center"/>
              <w:ind w:left="98"/>
              <w:spacing w:after="0"/>
              <w:rPr>
                <w:sz w:val="20"/>
                <w:szCs w:val="20"/>
                <w:color w:val="auto"/>
              </w:rPr>
            </w:pPr>
            <w:r>
              <w:rPr>
                <w:rFonts w:ascii="Arial" w:cs="Arial" w:eastAsia="Arial" w:hAnsi="Arial"/>
                <w:sz w:val="12"/>
                <w:szCs w:val="12"/>
                <w:b w:val="1"/>
                <w:bCs w:val="1"/>
                <w:color w:val="009FE3"/>
                <w:w w:val="98"/>
              </w:rPr>
              <w:t>Market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60" w:type="dxa"/>
            <w:vAlign w:val="bottom"/>
            <w:tcBorders>
              <w:right w:val="single" w:sz="8" w:color="E8EAEB"/>
            </w:tcBorders>
          </w:tcPr>
          <w:p>
            <w:pPr>
              <w:spacing w:after="0"/>
              <w:rPr>
                <w:sz w:val="10"/>
                <w:szCs w:val="10"/>
                <w:color w:val="auto"/>
              </w:rPr>
            </w:pPr>
          </w:p>
        </w:tc>
        <w:tc>
          <w:tcPr>
            <w:tcW w:w="1040" w:type="dxa"/>
            <w:vAlign w:val="bottom"/>
            <w:tcBorders>
              <w:right w:val="single" w:sz="8" w:color="E8EAEB"/>
            </w:tcBorders>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E8EAEB"/>
            </w:tcBorders>
          </w:tcPr>
          <w:p>
            <w:pPr>
              <w:spacing w:after="0"/>
              <w:rPr>
                <w:sz w:val="10"/>
                <w:szCs w:val="10"/>
                <w:color w:val="auto"/>
              </w:rPr>
            </w:pPr>
          </w:p>
        </w:tc>
        <w:tc>
          <w:tcPr>
            <w:tcW w:w="820" w:type="dxa"/>
            <w:vAlign w:val="bottom"/>
            <w:tcBorders>
              <w:right w:val="single" w:sz="8" w:color="E8EAEB"/>
            </w:tcBorders>
          </w:tcPr>
          <w:p>
            <w:pPr>
              <w:spacing w:after="0"/>
              <w:rPr>
                <w:sz w:val="10"/>
                <w:szCs w:val="10"/>
                <w:color w:val="auto"/>
              </w:rPr>
            </w:pPr>
          </w:p>
        </w:tc>
        <w:tc>
          <w:tcPr>
            <w:tcW w:w="860" w:type="dxa"/>
            <w:vAlign w:val="bottom"/>
            <w:tcBorders>
              <w:right w:val="single" w:sz="8" w:color="E8EAEB"/>
            </w:tcBorders>
          </w:tcPr>
          <w:p>
            <w:pPr>
              <w:jc w:val="center"/>
              <w:spacing w:after="0" w:line="122" w:lineRule="exact"/>
              <w:rPr>
                <w:sz w:val="20"/>
                <w:szCs w:val="20"/>
                <w:color w:val="auto"/>
              </w:rPr>
            </w:pPr>
            <w:r>
              <w:rPr>
                <w:rFonts w:ascii="Arial" w:cs="Arial" w:eastAsia="Arial" w:hAnsi="Arial"/>
                <w:sz w:val="12"/>
                <w:szCs w:val="12"/>
                <w:b w:val="1"/>
                <w:bCs w:val="1"/>
                <w:color w:val="009FE3"/>
                <w:w w:val="94"/>
              </w:rPr>
              <w:t>Plan</w:t>
            </w:r>
          </w:p>
        </w:tc>
        <w:tc>
          <w:tcPr>
            <w:tcW w:w="60" w:type="dxa"/>
            <w:vAlign w:val="bottom"/>
          </w:tcPr>
          <w:p>
            <w:pPr>
              <w:spacing w:after="0"/>
              <w:rPr>
                <w:sz w:val="10"/>
                <w:szCs w:val="10"/>
                <w:color w:val="auto"/>
              </w:rPr>
            </w:pPr>
          </w:p>
        </w:tc>
        <w:tc>
          <w:tcPr>
            <w:tcW w:w="660" w:type="dxa"/>
            <w:vAlign w:val="bottom"/>
            <w:tcBorders>
              <w:right w:val="single" w:sz="8" w:color="E8EAEB"/>
            </w:tcBorders>
          </w:tcPr>
          <w:p>
            <w:pPr>
              <w:spacing w:after="0"/>
              <w:rPr>
                <w:sz w:val="10"/>
                <w:szCs w:val="10"/>
                <w:color w:val="auto"/>
              </w:rPr>
            </w:pPr>
          </w:p>
        </w:tc>
        <w:tc>
          <w:tcPr>
            <w:tcW w:w="1040" w:type="dxa"/>
            <w:vAlign w:val="bottom"/>
            <w:tcBorders>
              <w:right w:val="single" w:sz="8" w:color="E8EAEB"/>
            </w:tcBorders>
          </w:tcPr>
          <w:p>
            <w:pPr>
              <w:spacing w:after="0"/>
              <w:rPr>
                <w:sz w:val="10"/>
                <w:szCs w:val="10"/>
                <w:color w:val="auto"/>
              </w:rPr>
            </w:pPr>
          </w:p>
        </w:tc>
        <w:tc>
          <w:tcPr>
            <w:tcW w:w="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Awards:</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Number</w:t>
            </w:r>
          </w:p>
        </w:tc>
        <w:tc>
          <w:tcPr>
            <w:tcW w:w="780" w:type="dxa"/>
            <w:vAlign w:val="bottom"/>
          </w:tcPr>
          <w:p>
            <w:pPr>
              <w:jc w:val="center"/>
              <w:ind w:left="98"/>
              <w:spacing w:after="0" w:line="135" w:lineRule="exact"/>
              <w:rPr>
                <w:sz w:val="20"/>
                <w:szCs w:val="20"/>
                <w:color w:val="auto"/>
              </w:rPr>
            </w:pPr>
            <w:r>
              <w:rPr>
                <w:rFonts w:ascii="Arial" w:cs="Arial" w:eastAsia="Arial" w:hAnsi="Arial"/>
                <w:sz w:val="12"/>
                <w:szCs w:val="12"/>
                <w:b w:val="1"/>
                <w:bCs w:val="1"/>
                <w:color w:val="009FE3"/>
                <w:w w:val="98"/>
              </w:rPr>
              <w:t>Value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Number of</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of Shares</w:t>
            </w:r>
          </w:p>
        </w:tc>
        <w:tc>
          <w:tcPr>
            <w:tcW w:w="780" w:type="dxa"/>
            <w:vAlign w:val="bottom"/>
          </w:tcPr>
          <w:p>
            <w:pPr>
              <w:jc w:val="center"/>
              <w:ind w:left="98"/>
              <w:spacing w:after="0" w:line="135" w:lineRule="exact"/>
              <w:rPr>
                <w:sz w:val="20"/>
                <w:szCs w:val="20"/>
                <w:color w:val="auto"/>
              </w:rPr>
            </w:pPr>
            <w:r>
              <w:rPr>
                <w:rFonts w:ascii="Arial" w:cs="Arial" w:eastAsia="Arial" w:hAnsi="Arial"/>
                <w:sz w:val="12"/>
                <w:szCs w:val="12"/>
                <w:b w:val="1"/>
                <w:bCs w:val="1"/>
                <w:color w:val="009FE3"/>
                <w:w w:val="97"/>
              </w:rPr>
              <w:t>Shares or</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Securities</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or Units</w:t>
            </w:r>
          </w:p>
        </w:tc>
        <w:tc>
          <w:tcPr>
            <w:tcW w:w="780" w:type="dxa"/>
            <w:vAlign w:val="bottom"/>
          </w:tcPr>
          <w:p>
            <w:pPr>
              <w:jc w:val="center"/>
              <w:ind w:left="118"/>
              <w:spacing w:after="0" w:line="135" w:lineRule="exact"/>
              <w:rPr>
                <w:sz w:val="20"/>
                <w:szCs w:val="20"/>
                <w:color w:val="auto"/>
              </w:rPr>
            </w:pPr>
            <w:r>
              <w:rPr>
                <w:rFonts w:ascii="Arial" w:cs="Arial" w:eastAsia="Arial" w:hAnsi="Arial"/>
                <w:sz w:val="12"/>
                <w:szCs w:val="12"/>
                <w:b w:val="1"/>
                <w:bCs w:val="1"/>
                <w:color w:val="009FE3"/>
                <w:w w:val="98"/>
              </w:rPr>
              <w:t>Units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Underlying</w:t>
            </w:r>
          </w:p>
        </w:tc>
        <w:tc>
          <w:tcPr>
            <w:tcW w:w="60" w:type="dxa"/>
            <w:vAlign w:val="bottom"/>
          </w:tcPr>
          <w:p>
            <w:pPr>
              <w:spacing w:after="0"/>
              <w:rPr>
                <w:sz w:val="11"/>
                <w:szCs w:val="11"/>
                <w:color w:val="auto"/>
              </w:rPr>
            </w:pPr>
          </w:p>
        </w:tc>
        <w:tc>
          <w:tcPr>
            <w:tcW w:w="6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of Stock</w:t>
            </w:r>
          </w:p>
        </w:tc>
        <w:tc>
          <w:tcPr>
            <w:tcW w:w="780" w:type="dxa"/>
            <w:vAlign w:val="bottom"/>
          </w:tcPr>
          <w:p>
            <w:pPr>
              <w:jc w:val="center"/>
              <w:ind w:left="118"/>
              <w:spacing w:after="0" w:line="135" w:lineRule="exact"/>
              <w:rPr>
                <w:sz w:val="20"/>
                <w:szCs w:val="20"/>
                <w:color w:val="auto"/>
              </w:rPr>
            </w:pPr>
            <w:r>
              <w:rPr>
                <w:rFonts w:ascii="Arial" w:cs="Arial" w:eastAsia="Arial" w:hAnsi="Arial"/>
                <w:sz w:val="12"/>
                <w:szCs w:val="12"/>
                <w:b w:val="1"/>
                <w:bCs w:val="1"/>
                <w:color w:val="009FE3"/>
                <w:w w:val="97"/>
              </w:rPr>
              <w:t>Stock</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Unexercised</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ind w:right="17"/>
              <w:spacing w:after="0" w:line="135" w:lineRule="exact"/>
              <w:rPr>
                <w:sz w:val="20"/>
                <w:szCs w:val="20"/>
                <w:color w:val="auto"/>
              </w:rPr>
            </w:pPr>
            <w:r>
              <w:rPr>
                <w:rFonts w:ascii="Arial" w:cs="Arial" w:eastAsia="Arial" w:hAnsi="Arial"/>
                <w:sz w:val="12"/>
                <w:szCs w:val="12"/>
                <w:b w:val="1"/>
                <w:bCs w:val="1"/>
                <w:color w:val="009FE3"/>
                <w:w w:val="98"/>
              </w:rPr>
              <w:t>Option</w:t>
            </w:r>
          </w:p>
        </w:tc>
        <w:tc>
          <w:tcPr>
            <w:tcW w:w="1040" w:type="dxa"/>
            <w:vAlign w:val="bottom"/>
            <w:tcBorders>
              <w:right w:val="single" w:sz="8" w:color="E8EAEB"/>
            </w:tcBorders>
          </w:tcPr>
          <w:p>
            <w:pPr>
              <w:spacing w:after="0"/>
              <w:rPr>
                <w:sz w:val="11"/>
                <w:szCs w:val="11"/>
                <w:color w:val="auto"/>
              </w:rPr>
            </w:pP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That</w:t>
            </w:r>
          </w:p>
        </w:tc>
        <w:tc>
          <w:tcPr>
            <w:tcW w:w="780" w:type="dxa"/>
            <w:vAlign w:val="bottom"/>
          </w:tcPr>
          <w:p>
            <w:pPr>
              <w:jc w:val="center"/>
              <w:ind w:left="118"/>
              <w:spacing w:after="0" w:line="135" w:lineRule="exact"/>
              <w:rPr>
                <w:sz w:val="20"/>
                <w:szCs w:val="20"/>
                <w:color w:val="auto"/>
              </w:rPr>
            </w:pPr>
            <w:r>
              <w:rPr>
                <w:rFonts w:ascii="Arial" w:cs="Arial" w:eastAsia="Arial" w:hAnsi="Arial"/>
                <w:sz w:val="12"/>
                <w:szCs w:val="12"/>
                <w:b w:val="1"/>
                <w:bCs w:val="1"/>
                <w:color w:val="009FE3"/>
                <w:w w:val="97"/>
              </w:rPr>
              <w:t>That Have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Unearned</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Exercise</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Option</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Have Not</w:t>
            </w:r>
          </w:p>
        </w:tc>
        <w:tc>
          <w:tcPr>
            <w:tcW w:w="780" w:type="dxa"/>
            <w:vAlign w:val="bottom"/>
          </w:tcPr>
          <w:p>
            <w:pPr>
              <w:jc w:val="center"/>
              <w:ind w:left="118"/>
              <w:spacing w:after="0" w:line="135" w:lineRule="exact"/>
              <w:rPr>
                <w:sz w:val="20"/>
                <w:szCs w:val="20"/>
                <w:color w:val="auto"/>
              </w:rPr>
            </w:pPr>
            <w:r>
              <w:rPr>
                <w:rFonts w:ascii="Arial" w:cs="Arial" w:eastAsia="Arial" w:hAnsi="Arial"/>
                <w:sz w:val="12"/>
                <w:szCs w:val="12"/>
                <w:b w:val="1"/>
                <w:bCs w:val="1"/>
                <w:color w:val="009FE3"/>
                <w:w w:val="99"/>
              </w:rPr>
              <w:t>Not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3"/>
              </w:rPr>
              <w:t>Grant</w:t>
            </w:r>
          </w:p>
        </w:tc>
        <w:tc>
          <w:tcPr>
            <w:tcW w:w="760" w:type="dxa"/>
            <w:vAlign w:val="bottom"/>
          </w:tcPr>
          <w:p>
            <w:pPr>
              <w:spacing w:after="0"/>
              <w:rPr>
                <w:sz w:val="11"/>
                <w:szCs w:val="11"/>
                <w:color w:val="auto"/>
              </w:rPr>
            </w:pP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spacing w:after="0" w:line="135" w:lineRule="exact"/>
              <w:rPr>
                <w:sz w:val="20"/>
                <w:szCs w:val="20"/>
                <w:color w:val="auto"/>
              </w:rPr>
            </w:pPr>
            <w:r>
              <w:rPr>
                <w:rFonts w:ascii="Arial" w:cs="Arial" w:eastAsia="Arial" w:hAnsi="Arial"/>
                <w:sz w:val="12"/>
                <w:szCs w:val="12"/>
                <w:b w:val="1"/>
                <w:bCs w:val="1"/>
                <w:color w:val="009FE3"/>
                <w:w w:val="95"/>
              </w:rPr>
              <w:t>Unexercisable</w:t>
            </w: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ind w:right="17"/>
              <w:spacing w:after="0" w:line="135" w:lineRule="exact"/>
              <w:rPr>
                <w:sz w:val="20"/>
                <w:szCs w:val="20"/>
                <w:color w:val="auto"/>
              </w:rPr>
            </w:pPr>
            <w:r>
              <w:rPr>
                <w:rFonts w:ascii="Arial" w:cs="Arial" w:eastAsia="Arial" w:hAnsi="Arial"/>
                <w:sz w:val="12"/>
                <w:szCs w:val="12"/>
                <w:b w:val="1"/>
                <w:bCs w:val="1"/>
                <w:color w:val="009FE3"/>
              </w:rPr>
              <w:t>Price</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Expiration</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c>
          <w:tcPr>
            <w:tcW w:w="780" w:type="dxa"/>
            <w:vAlign w:val="bottom"/>
          </w:tcPr>
          <w:p>
            <w:pPr>
              <w:jc w:val="center"/>
              <w:ind w:left="98"/>
              <w:spacing w:after="0" w:line="135" w:lineRule="exact"/>
              <w:rPr>
                <w:sz w:val="20"/>
                <w:szCs w:val="20"/>
                <w:color w:val="auto"/>
              </w:rPr>
            </w:pPr>
            <w:r>
              <w:rPr>
                <w:rFonts w:ascii="Arial" w:cs="Arial" w:eastAsia="Arial" w:hAnsi="Arial"/>
                <w:sz w:val="12"/>
                <w:szCs w:val="12"/>
                <w:b w:val="1"/>
                <w:bCs w:val="1"/>
                <w:color w:val="009FE3"/>
                <w:w w:val="96"/>
              </w:rPr>
              <w:t>Vested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2"/>
                <w:szCs w:val="12"/>
                <w:b w:val="1"/>
                <w:bCs w:val="1"/>
                <w:color w:val="009FE3"/>
              </w:rPr>
              <w:t>Name</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9"/>
              </w:rPr>
              <w:t>Date</w:t>
            </w:r>
          </w:p>
        </w:tc>
        <w:tc>
          <w:tcPr>
            <w:tcW w:w="760" w:type="dxa"/>
            <w:vAlign w:val="bottom"/>
            <w:tcBorders>
              <w:bottom w:val="single" w:sz="8" w:color="009FE3"/>
            </w:tcBorders>
          </w:tcPr>
          <w:p>
            <w:pPr>
              <w:jc w:val="right"/>
              <w:spacing w:after="0"/>
              <w:rPr>
                <w:sz w:val="20"/>
                <w:szCs w:val="20"/>
                <w:color w:val="auto"/>
              </w:rPr>
            </w:pPr>
            <w:r>
              <w:rPr>
                <w:rFonts w:ascii="Arial" w:cs="Arial" w:eastAsia="Arial" w:hAnsi="Arial"/>
                <w:sz w:val="12"/>
                <w:szCs w:val="12"/>
                <w:b w:val="1"/>
                <w:bCs w:val="1"/>
                <w:color w:val="009FE3"/>
              </w:rPr>
              <w:t>Exercisable</w:t>
            </w:r>
          </w:p>
        </w:tc>
        <w:tc>
          <w:tcPr>
            <w:tcW w:w="100" w:type="dxa"/>
            <w:vAlign w:val="bottom"/>
            <w:tcBorders>
              <w:bottom w:val="single" w:sz="8" w:color="009FE3"/>
              <w:right w:val="single" w:sz="8" w:color="E8EAEB"/>
            </w:tcBorders>
          </w:tcPr>
          <w:p>
            <w:pPr>
              <w:spacing w:after="0"/>
              <w:rPr>
                <w:sz w:val="15"/>
                <w:szCs w:val="15"/>
                <w:color w:val="auto"/>
              </w:rPr>
            </w:pPr>
          </w:p>
        </w:tc>
        <w:tc>
          <w:tcPr>
            <w:tcW w:w="820" w:type="dxa"/>
            <w:vAlign w:val="bottom"/>
            <w:tcBorders>
              <w:bottom w:val="single" w:sz="8" w:color="009FE3"/>
              <w:right w:val="single" w:sz="8" w:color="E8EAEB"/>
            </w:tcBorders>
          </w:tcPr>
          <w:p>
            <w:pPr>
              <w:jc w:val="right"/>
              <w:ind w:right="277"/>
              <w:spacing w:after="0"/>
              <w:rPr>
                <w:sz w:val="20"/>
                <w:szCs w:val="20"/>
                <w:color w:val="auto"/>
              </w:rPr>
            </w:pPr>
            <w:r>
              <w:rPr>
                <w:rFonts w:ascii="Arial" w:cs="Arial" w:eastAsia="Arial" w:hAnsi="Arial"/>
                <w:sz w:val="12"/>
                <w:szCs w:val="12"/>
                <w:b w:val="1"/>
                <w:bCs w:val="1"/>
                <w:color w:val="009FE3"/>
              </w:rPr>
              <w:t>(1)</w:t>
            </w:r>
          </w:p>
        </w:tc>
        <w:tc>
          <w:tcPr>
            <w:tcW w:w="860" w:type="dxa"/>
            <w:vAlign w:val="bottom"/>
            <w:tcBorders>
              <w:bottom w:val="single" w:sz="8" w:color="009FE3"/>
              <w:right w:val="single" w:sz="8" w:color="E8EAEB"/>
            </w:tcBorders>
          </w:tcPr>
          <w:p>
            <w:pPr>
              <w:jc w:val="right"/>
              <w:ind w:right="218"/>
              <w:spacing w:after="0"/>
              <w:rPr>
                <w:sz w:val="20"/>
                <w:szCs w:val="20"/>
                <w:color w:val="auto"/>
              </w:rPr>
            </w:pPr>
            <w:r>
              <w:rPr>
                <w:rFonts w:ascii="Arial" w:cs="Arial" w:eastAsia="Arial" w:hAnsi="Arial"/>
                <w:sz w:val="12"/>
                <w:szCs w:val="12"/>
                <w:b w:val="1"/>
                <w:bCs w:val="1"/>
                <w:color w:val="009FE3"/>
              </w:rPr>
              <w:t>(#) (2)</w:t>
            </w:r>
          </w:p>
        </w:tc>
        <w:tc>
          <w:tcPr>
            <w:tcW w:w="60" w:type="dxa"/>
            <w:vAlign w:val="bottom"/>
            <w:tcBorders>
              <w:bottom w:val="single" w:sz="8" w:color="009FE3"/>
            </w:tcBorders>
          </w:tcPr>
          <w:p>
            <w:pPr>
              <w:spacing w:after="0"/>
              <w:rPr>
                <w:sz w:val="15"/>
                <w:szCs w:val="15"/>
                <w:color w:val="auto"/>
              </w:rPr>
            </w:pPr>
          </w:p>
        </w:tc>
        <w:tc>
          <w:tcPr>
            <w:tcW w:w="660" w:type="dxa"/>
            <w:vAlign w:val="bottom"/>
            <w:tcBorders>
              <w:bottom w:val="single" w:sz="8" w:color="009FE3"/>
              <w:right w:val="single" w:sz="8" w:color="E8EAEB"/>
            </w:tcBorders>
          </w:tcPr>
          <w:p>
            <w:pPr>
              <w:jc w:val="center"/>
              <w:ind w:right="17"/>
              <w:spacing w:after="0"/>
              <w:rPr>
                <w:sz w:val="20"/>
                <w:szCs w:val="20"/>
                <w:color w:val="auto"/>
              </w:rPr>
            </w:pPr>
            <w:r>
              <w:rPr>
                <w:rFonts w:ascii="Arial" w:cs="Arial" w:eastAsia="Arial" w:hAnsi="Arial"/>
                <w:sz w:val="12"/>
                <w:szCs w:val="12"/>
                <w:b w:val="1"/>
                <w:bCs w:val="1"/>
                <w:color w:val="009FE3"/>
                <w:w w:val="95"/>
              </w:rPr>
              <w:t>($)</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2"/>
                <w:szCs w:val="12"/>
                <w:b w:val="1"/>
                <w:bCs w:val="1"/>
                <w:color w:val="009FE3"/>
                <w:w w:val="92"/>
              </w:rPr>
              <w:t>Date</w:t>
            </w:r>
          </w:p>
        </w:tc>
        <w:tc>
          <w:tcPr>
            <w:tcW w:w="60" w:type="dxa"/>
            <w:vAlign w:val="bottom"/>
            <w:tcBorders>
              <w:bottom w:val="single" w:sz="8" w:color="009FE3"/>
              <w:right w:val="single" w:sz="8" w:color="E8EAEB"/>
            </w:tcBorders>
          </w:tcPr>
          <w:p>
            <w:pPr>
              <w:spacing w:after="0"/>
              <w:rPr>
                <w:sz w:val="15"/>
                <w:szCs w:val="15"/>
                <w:color w:val="auto"/>
              </w:rPr>
            </w:pPr>
          </w:p>
        </w:tc>
        <w:tc>
          <w:tcPr>
            <w:tcW w:w="800" w:type="dxa"/>
            <w:vAlign w:val="bottom"/>
            <w:tcBorders>
              <w:bottom w:val="single" w:sz="8" w:color="009FE3"/>
              <w:right w:val="single" w:sz="8" w:color="E8EAEB"/>
            </w:tcBorders>
          </w:tcPr>
          <w:p>
            <w:pPr>
              <w:jc w:val="right"/>
              <w:ind w:right="198"/>
              <w:spacing w:after="0"/>
              <w:rPr>
                <w:sz w:val="20"/>
                <w:szCs w:val="20"/>
                <w:color w:val="auto"/>
              </w:rPr>
            </w:pPr>
            <w:r>
              <w:rPr>
                <w:rFonts w:ascii="Arial" w:cs="Arial" w:eastAsia="Arial" w:hAnsi="Arial"/>
                <w:sz w:val="12"/>
                <w:szCs w:val="12"/>
                <w:b w:val="1"/>
                <w:bCs w:val="1"/>
                <w:color w:val="009FE3"/>
              </w:rPr>
              <w:t>(#) (3)</w:t>
            </w:r>
          </w:p>
        </w:tc>
        <w:tc>
          <w:tcPr>
            <w:tcW w:w="780" w:type="dxa"/>
            <w:vAlign w:val="bottom"/>
            <w:tcBorders>
              <w:bottom w:val="single" w:sz="8" w:color="009FE3"/>
            </w:tcBorders>
          </w:tcPr>
          <w:p>
            <w:pPr>
              <w:jc w:val="center"/>
              <w:ind w:left="118"/>
              <w:spacing w:after="0"/>
              <w:rPr>
                <w:sz w:val="20"/>
                <w:szCs w:val="20"/>
                <w:color w:val="auto"/>
              </w:rPr>
            </w:pPr>
            <w:r>
              <w:rPr>
                <w:rFonts w:ascii="Arial" w:cs="Arial" w:eastAsia="Arial" w:hAnsi="Arial"/>
                <w:sz w:val="12"/>
                <w:szCs w:val="12"/>
                <w:b w:val="1"/>
                <w:bCs w:val="1"/>
                <w:color w:val="009FE3"/>
                <w:w w:val="97"/>
              </w:rPr>
              <w:t>($) (4)</w:t>
            </w:r>
          </w:p>
        </w:tc>
        <w:tc>
          <w:tcPr>
            <w:tcW w:w="180" w:type="dxa"/>
            <w:vAlign w:val="bottom"/>
            <w:tcBorders>
              <w:bottom w:val="single" w:sz="8" w:color="009FE3"/>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860" w:type="dxa"/>
            <w:vAlign w:val="bottom"/>
            <w:tcBorders>
              <w:right w:val="single" w:sz="8" w:color="E8EAEB"/>
            </w:tcBorders>
          </w:tcPr>
          <w:p>
            <w:pPr>
              <w:ind w:left="60"/>
              <w:spacing w:after="0" w:line="143" w:lineRule="exact"/>
              <w:rPr>
                <w:sz w:val="20"/>
                <w:szCs w:val="20"/>
                <w:color w:val="auto"/>
              </w:rPr>
            </w:pPr>
            <w:r>
              <w:rPr>
                <w:rFonts w:ascii="Arial" w:cs="Arial" w:eastAsia="Arial" w:hAnsi="Arial"/>
                <w:sz w:val="13"/>
                <w:szCs w:val="13"/>
                <w:color w:val="202E39"/>
              </w:rPr>
              <w:t>Richard Baldridge</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5"/>
              </w:rPr>
              <w:t>11/17/2015</w:t>
            </w:r>
          </w:p>
        </w:tc>
        <w:tc>
          <w:tcPr>
            <w:tcW w:w="760" w:type="dxa"/>
            <w:vAlign w:val="bottom"/>
          </w:tcPr>
          <w:p>
            <w:pPr>
              <w:jc w:val="right"/>
              <w:ind w:right="17"/>
              <w:spacing w:after="0" w:line="143" w:lineRule="exact"/>
              <w:rPr>
                <w:sz w:val="20"/>
                <w:szCs w:val="20"/>
                <w:color w:val="auto"/>
              </w:rPr>
            </w:pPr>
            <w:r>
              <w:rPr>
                <w:rFonts w:ascii="Arial" w:cs="Arial" w:eastAsia="Arial" w:hAnsi="Arial"/>
                <w:sz w:val="13"/>
                <w:szCs w:val="13"/>
                <w:color w:val="202E39"/>
              </w:rPr>
              <w:t>95,000</w:t>
            </w:r>
          </w:p>
        </w:tc>
        <w:tc>
          <w:tcPr>
            <w:tcW w:w="100" w:type="dxa"/>
            <w:vAlign w:val="bottom"/>
            <w:tcBorders>
              <w:right w:val="single" w:sz="8" w:color="E8EAEB"/>
            </w:tcBorders>
          </w:tcPr>
          <w:p>
            <w:pPr>
              <w:spacing w:after="0"/>
              <w:rPr>
                <w:sz w:val="12"/>
                <w:szCs w:val="12"/>
                <w:color w:val="auto"/>
              </w:rPr>
            </w:pPr>
          </w:p>
        </w:tc>
        <w:tc>
          <w:tcPr>
            <w:tcW w:w="820" w:type="dxa"/>
            <w:vAlign w:val="bottom"/>
            <w:tcBorders>
              <w:right w:val="single" w:sz="8" w:color="E8EAEB"/>
            </w:tcBorders>
          </w:tcPr>
          <w:p>
            <w:pPr>
              <w:jc w:val="right"/>
              <w:ind w:right="197"/>
              <w:spacing w:after="0" w:line="14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2"/>
                <w:szCs w:val="12"/>
                <w:color w:val="auto"/>
              </w:rPr>
            </w:pPr>
          </w:p>
        </w:tc>
        <w:tc>
          <w:tcPr>
            <w:tcW w:w="66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11/17/2021</w:t>
            </w:r>
          </w:p>
        </w:tc>
        <w:tc>
          <w:tcPr>
            <w:tcW w:w="6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43"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112,500</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11/17/2022</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112,500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11/17/2023</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75,000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11/19/2024</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122,305</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11/15/2025</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305,139</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35.66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11/17/2026</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9,375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450,656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12,500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600,875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38,829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1,866,510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E8EAEB"/>
              <w:right w:val="single" w:sz="8" w:color="E8EAEB"/>
            </w:tcBorders>
          </w:tcPr>
          <w:p>
            <w:pPr>
              <w:spacing w:after="0"/>
              <w:rPr>
                <w:sz w:val="14"/>
                <w:szCs w:val="14"/>
                <w:color w:val="auto"/>
              </w:rPr>
            </w:pPr>
          </w:p>
        </w:tc>
        <w:tc>
          <w:tcPr>
            <w:tcW w:w="10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760" w:type="dxa"/>
            <w:vAlign w:val="bottom"/>
            <w:tcBorders>
              <w:bottom w:val="single" w:sz="8" w:color="E8EAEB"/>
            </w:tcBorders>
          </w:tcPr>
          <w:p>
            <w:pPr>
              <w:jc w:val="right"/>
              <w:ind w:right="97"/>
              <w:spacing w:after="0"/>
              <w:rPr>
                <w:sz w:val="20"/>
                <w:szCs w:val="20"/>
                <w:color w:val="auto"/>
              </w:rPr>
            </w:pPr>
            <w:r>
              <w:rPr>
                <w:rFonts w:ascii="Arial" w:cs="Arial" w:eastAsia="Arial" w:hAnsi="Arial"/>
                <w:sz w:val="13"/>
                <w:szCs w:val="13"/>
                <w:color w:val="202E39"/>
              </w:rPr>
              <w:t>—</w:t>
            </w:r>
          </w:p>
        </w:tc>
        <w:tc>
          <w:tcPr>
            <w:tcW w:w="100" w:type="dxa"/>
            <w:vAlign w:val="bottom"/>
            <w:tcBorders>
              <w:bottom w:val="single" w:sz="8" w:color="E8EAEB"/>
              <w:right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97"/>
              <w:spacing w:after="0"/>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4"/>
                <w:szCs w:val="14"/>
                <w:color w:val="auto"/>
              </w:rPr>
            </w:pPr>
          </w:p>
        </w:tc>
        <w:tc>
          <w:tcPr>
            <w:tcW w:w="6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1"/>
              </w:rPr>
              <w:t>—</w:t>
            </w:r>
          </w:p>
        </w:tc>
        <w:tc>
          <w:tcPr>
            <w:tcW w:w="1040" w:type="dxa"/>
            <w:vAlign w:val="bottom"/>
            <w:tcBorders>
              <w:bottom w:val="single" w:sz="8" w:color="E8EAEB"/>
              <w:right w:val="single" w:sz="8" w:color="E8EAEB"/>
            </w:tcBorders>
          </w:tcPr>
          <w:p>
            <w:pPr>
              <w:ind w:left="660"/>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4"/>
                <w:szCs w:val="14"/>
                <w:color w:val="auto"/>
              </w:rPr>
            </w:pPr>
          </w:p>
        </w:tc>
        <w:tc>
          <w:tcPr>
            <w:tcW w:w="80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80,208</w:t>
            </w:r>
          </w:p>
        </w:tc>
        <w:tc>
          <w:tcPr>
            <w:tcW w:w="780" w:type="dxa"/>
            <w:vAlign w:val="bottom"/>
            <w:tcBorders>
              <w:bottom w:val="single" w:sz="8" w:color="E8EAEB"/>
            </w:tcBorders>
          </w:tcPr>
          <w:p>
            <w:pPr>
              <w:jc w:val="right"/>
              <w:spacing w:after="0"/>
              <w:rPr>
                <w:sz w:val="20"/>
                <w:szCs w:val="20"/>
                <w:color w:val="auto"/>
              </w:rPr>
            </w:pPr>
            <w:r>
              <w:rPr>
                <w:rFonts w:ascii="Arial" w:cs="Arial" w:eastAsia="Arial" w:hAnsi="Arial"/>
                <w:sz w:val="13"/>
                <w:szCs w:val="13"/>
                <w:color w:val="202E39"/>
              </w:rPr>
              <w:t>3,855,599</w:t>
            </w:r>
          </w:p>
        </w:tc>
        <w:tc>
          <w:tcPr>
            <w:tcW w:w="180" w:type="dxa"/>
            <w:vAlign w:val="bottom"/>
            <w:tcBorders>
              <w:bottom w:val="single" w:sz="8" w:color="E8EAEB"/>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60" w:type="dxa"/>
            <w:vAlign w:val="bottom"/>
            <w:tcBorders>
              <w:right w:val="single" w:sz="8" w:color="E8EAEB"/>
            </w:tcBorders>
          </w:tcPr>
          <w:p>
            <w:pPr>
              <w:ind w:left="60"/>
              <w:spacing w:after="0" w:line="143" w:lineRule="exact"/>
              <w:rPr>
                <w:sz w:val="20"/>
                <w:szCs w:val="20"/>
                <w:color w:val="auto"/>
              </w:rPr>
            </w:pPr>
            <w:r>
              <w:rPr>
                <w:rFonts w:ascii="Arial" w:cs="Arial" w:eastAsia="Arial" w:hAnsi="Arial"/>
                <w:sz w:val="13"/>
                <w:szCs w:val="13"/>
                <w:color w:val="202E39"/>
              </w:rPr>
              <w:t>Mark Dankberg</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5"/>
              </w:rPr>
              <w:t>11/17/2015</w:t>
            </w:r>
          </w:p>
        </w:tc>
        <w:tc>
          <w:tcPr>
            <w:tcW w:w="760" w:type="dxa"/>
            <w:vAlign w:val="bottom"/>
          </w:tcPr>
          <w:p>
            <w:pPr>
              <w:jc w:val="right"/>
              <w:ind w:right="17"/>
              <w:spacing w:after="0" w:line="143" w:lineRule="exact"/>
              <w:rPr>
                <w:sz w:val="20"/>
                <w:szCs w:val="20"/>
                <w:color w:val="auto"/>
              </w:rPr>
            </w:pPr>
            <w:r>
              <w:rPr>
                <w:rFonts w:ascii="Arial" w:cs="Arial" w:eastAsia="Arial" w:hAnsi="Arial"/>
                <w:sz w:val="13"/>
                <w:szCs w:val="13"/>
                <w:color w:val="202E39"/>
              </w:rPr>
              <w:t>125,000</w:t>
            </w:r>
          </w:p>
        </w:tc>
        <w:tc>
          <w:tcPr>
            <w:tcW w:w="100" w:type="dxa"/>
            <w:vAlign w:val="bottom"/>
            <w:tcBorders>
              <w:right w:val="single" w:sz="8" w:color="E8EAEB"/>
            </w:tcBorders>
          </w:tcPr>
          <w:p>
            <w:pPr>
              <w:spacing w:after="0"/>
              <w:rPr>
                <w:sz w:val="12"/>
                <w:szCs w:val="12"/>
                <w:color w:val="auto"/>
              </w:rPr>
            </w:pPr>
          </w:p>
        </w:tc>
        <w:tc>
          <w:tcPr>
            <w:tcW w:w="820" w:type="dxa"/>
            <w:vAlign w:val="bottom"/>
            <w:tcBorders>
              <w:right w:val="single" w:sz="8" w:color="E8EAEB"/>
            </w:tcBorders>
          </w:tcPr>
          <w:p>
            <w:pPr>
              <w:jc w:val="right"/>
              <w:ind w:right="197"/>
              <w:spacing w:after="0" w:line="14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2"/>
                <w:szCs w:val="12"/>
                <w:color w:val="auto"/>
              </w:rPr>
            </w:pPr>
          </w:p>
        </w:tc>
        <w:tc>
          <w:tcPr>
            <w:tcW w:w="66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11/17/2021</w:t>
            </w:r>
          </w:p>
        </w:tc>
        <w:tc>
          <w:tcPr>
            <w:tcW w:w="6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43"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140,000</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11/17/2022</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11/17/2023</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11/19/2024</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143,888</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11/15/2025</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305,139</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35.66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11/17/2026</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11,666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560,785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23,333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1,121,617</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45,681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2,195,886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6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5"/>
              </w:rPr>
              <w:t>11/17/2020</w:t>
            </w:r>
          </w:p>
        </w:tc>
        <w:tc>
          <w:tcPr>
            <w:tcW w:w="760" w:type="dxa"/>
            <w:vAlign w:val="bottom"/>
            <w:tcBorders>
              <w:bottom w:val="single" w:sz="8" w:color="E8EAEB"/>
            </w:tcBorders>
          </w:tcPr>
          <w:p>
            <w:pPr>
              <w:jc w:val="right"/>
              <w:ind w:right="97"/>
              <w:spacing w:after="0" w:line="141" w:lineRule="exact"/>
              <w:rPr>
                <w:sz w:val="20"/>
                <w:szCs w:val="20"/>
                <w:color w:val="auto"/>
              </w:rPr>
            </w:pPr>
            <w:r>
              <w:rPr>
                <w:rFonts w:ascii="Arial" w:cs="Arial" w:eastAsia="Arial" w:hAnsi="Arial"/>
                <w:sz w:val="13"/>
                <w:szCs w:val="13"/>
                <w:color w:val="202E39"/>
              </w:rPr>
              <w:t>—</w:t>
            </w:r>
          </w:p>
        </w:tc>
        <w:tc>
          <w:tcPr>
            <w:tcW w:w="100" w:type="dxa"/>
            <w:vAlign w:val="bottom"/>
            <w:tcBorders>
              <w:bottom w:val="single" w:sz="8" w:color="E8EAEB"/>
              <w:right w:val="single" w:sz="8" w:color="E8EAEB"/>
            </w:tcBorders>
          </w:tcPr>
          <w:p>
            <w:pPr>
              <w:spacing w:after="0"/>
              <w:rPr>
                <w:sz w:val="12"/>
                <w:szCs w:val="12"/>
                <w:color w:val="auto"/>
              </w:rPr>
            </w:pPr>
          </w:p>
        </w:tc>
        <w:tc>
          <w:tcPr>
            <w:tcW w:w="82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60" w:type="dxa"/>
            <w:vAlign w:val="bottom"/>
            <w:tcBorders>
              <w:bottom w:val="single" w:sz="8" w:color="E8EAEB"/>
              <w:right w:val="single" w:sz="8" w:color="E8EAEB"/>
            </w:tcBorders>
          </w:tcPr>
          <w:p>
            <w:pPr>
              <w:jc w:val="center"/>
              <w:spacing w:after="0" w:line="141" w:lineRule="exact"/>
              <w:rPr>
                <w:sz w:val="20"/>
                <w:szCs w:val="20"/>
                <w:color w:val="auto"/>
              </w:rPr>
            </w:pPr>
            <w:r>
              <w:rPr>
                <w:rFonts w:ascii="Arial" w:cs="Arial" w:eastAsia="Arial" w:hAnsi="Arial"/>
                <w:sz w:val="13"/>
                <w:szCs w:val="13"/>
                <w:color w:val="202E39"/>
                <w:w w:val="91"/>
              </w:rPr>
              <w:t>—</w:t>
            </w:r>
          </w:p>
        </w:tc>
        <w:tc>
          <w:tcPr>
            <w:tcW w:w="1040" w:type="dxa"/>
            <w:vAlign w:val="bottom"/>
            <w:tcBorders>
              <w:bottom w:val="single" w:sz="8" w:color="E8EAEB"/>
              <w:right w:val="single" w:sz="8" w:color="E8EAEB"/>
            </w:tcBorders>
          </w:tcPr>
          <w:p>
            <w:pPr>
              <w:ind w:left="660"/>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80,208</w:t>
            </w:r>
          </w:p>
        </w:tc>
        <w:tc>
          <w:tcPr>
            <w:tcW w:w="780" w:type="dxa"/>
            <w:vAlign w:val="bottom"/>
            <w:tcBorders>
              <w:bottom w:val="single" w:sz="8" w:color="E8EAEB"/>
            </w:tcBorders>
          </w:tcPr>
          <w:p>
            <w:pPr>
              <w:jc w:val="right"/>
              <w:spacing w:after="0" w:line="141" w:lineRule="exact"/>
              <w:rPr>
                <w:sz w:val="20"/>
                <w:szCs w:val="20"/>
                <w:color w:val="auto"/>
              </w:rPr>
            </w:pPr>
            <w:r>
              <w:rPr>
                <w:rFonts w:ascii="Arial" w:cs="Arial" w:eastAsia="Arial" w:hAnsi="Arial"/>
                <w:sz w:val="13"/>
                <w:szCs w:val="13"/>
                <w:color w:val="202E39"/>
              </w:rPr>
              <w:t>3,855,599</w:t>
            </w:r>
          </w:p>
        </w:tc>
        <w:tc>
          <w:tcPr>
            <w:tcW w:w="180" w:type="dxa"/>
            <w:vAlign w:val="bottom"/>
            <w:tcBorders>
              <w:bottom w:val="single" w:sz="8" w:color="E8EAEB"/>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60" w:type="dxa"/>
            <w:vAlign w:val="bottom"/>
            <w:tcBorders>
              <w:right w:val="single" w:sz="8" w:color="E8EAEB"/>
            </w:tcBorders>
          </w:tcPr>
          <w:p>
            <w:pPr>
              <w:ind w:left="60"/>
              <w:spacing w:after="0" w:line="136" w:lineRule="exact"/>
              <w:rPr>
                <w:sz w:val="20"/>
                <w:szCs w:val="20"/>
                <w:color w:val="auto"/>
              </w:rPr>
            </w:pPr>
            <w:r>
              <w:rPr>
                <w:rFonts w:ascii="Arial" w:cs="Arial" w:eastAsia="Arial" w:hAnsi="Arial"/>
                <w:sz w:val="13"/>
                <w:szCs w:val="13"/>
                <w:color w:val="202E39"/>
              </w:rPr>
              <w:t>Shawn Duffy</w:t>
            </w:r>
          </w:p>
        </w:tc>
        <w:tc>
          <w:tcPr>
            <w:tcW w:w="1040" w:type="dxa"/>
            <w:vAlign w:val="bottom"/>
            <w:tcBorders>
              <w:right w:val="single" w:sz="8" w:color="E8EAEB"/>
            </w:tcBorders>
          </w:tcPr>
          <w:p>
            <w:pPr>
              <w:jc w:val="center"/>
              <w:spacing w:after="0" w:line="136" w:lineRule="exact"/>
              <w:rPr>
                <w:sz w:val="20"/>
                <w:szCs w:val="20"/>
                <w:color w:val="auto"/>
              </w:rPr>
            </w:pPr>
            <w:r>
              <w:rPr>
                <w:rFonts w:ascii="Arial" w:cs="Arial" w:eastAsia="Arial" w:hAnsi="Arial"/>
                <w:sz w:val="13"/>
                <w:szCs w:val="13"/>
                <w:color w:val="202E39"/>
                <w:w w:val="95"/>
              </w:rPr>
              <w:t>11/17/2015</w:t>
            </w:r>
          </w:p>
        </w:tc>
        <w:tc>
          <w:tcPr>
            <w:tcW w:w="760" w:type="dxa"/>
            <w:vAlign w:val="bottom"/>
          </w:tcPr>
          <w:p>
            <w:pPr>
              <w:jc w:val="right"/>
              <w:ind w:right="17"/>
              <w:spacing w:after="0" w:line="136" w:lineRule="exact"/>
              <w:rPr>
                <w:sz w:val="20"/>
                <w:szCs w:val="20"/>
                <w:color w:val="auto"/>
              </w:rPr>
            </w:pPr>
            <w:r>
              <w:rPr>
                <w:rFonts w:ascii="Arial" w:cs="Arial" w:eastAsia="Arial" w:hAnsi="Arial"/>
                <w:sz w:val="13"/>
                <w:szCs w:val="13"/>
                <w:color w:val="202E39"/>
              </w:rPr>
              <w:t>27,500</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6"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6"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6"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36" w:lineRule="exact"/>
              <w:rPr>
                <w:sz w:val="20"/>
                <w:szCs w:val="20"/>
                <w:color w:val="auto"/>
              </w:rPr>
            </w:pPr>
            <w:r>
              <w:rPr>
                <w:rFonts w:ascii="Arial" w:cs="Arial" w:eastAsia="Arial" w:hAnsi="Arial"/>
                <w:sz w:val="13"/>
                <w:szCs w:val="13"/>
                <w:color w:val="202E39"/>
                <w:w w:val="98"/>
              </w:rPr>
              <w:t>11/17/2021</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6"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6"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27,500</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11/17/2022</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11/17/2023</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11/19/2024</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41,111</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11/15/2025</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93,238</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35.66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11/17/2026</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2,500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120,175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6,250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300,438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13,052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627,410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E8EAEB"/>
              <w:right w:val="single" w:sz="8" w:color="E8EAEB"/>
            </w:tcBorders>
          </w:tcPr>
          <w:p>
            <w:pPr>
              <w:spacing w:after="0"/>
              <w:rPr>
                <w:sz w:val="14"/>
                <w:szCs w:val="14"/>
                <w:color w:val="auto"/>
              </w:rPr>
            </w:pPr>
          </w:p>
        </w:tc>
        <w:tc>
          <w:tcPr>
            <w:tcW w:w="10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760" w:type="dxa"/>
            <w:vAlign w:val="bottom"/>
            <w:tcBorders>
              <w:bottom w:val="single" w:sz="8" w:color="E8EAEB"/>
            </w:tcBorders>
          </w:tcPr>
          <w:p>
            <w:pPr>
              <w:jc w:val="right"/>
              <w:ind w:right="97"/>
              <w:spacing w:after="0"/>
              <w:rPr>
                <w:sz w:val="20"/>
                <w:szCs w:val="20"/>
                <w:color w:val="auto"/>
              </w:rPr>
            </w:pPr>
            <w:r>
              <w:rPr>
                <w:rFonts w:ascii="Arial" w:cs="Arial" w:eastAsia="Arial" w:hAnsi="Arial"/>
                <w:sz w:val="13"/>
                <w:szCs w:val="13"/>
                <w:color w:val="202E39"/>
              </w:rPr>
              <w:t>—</w:t>
            </w:r>
          </w:p>
        </w:tc>
        <w:tc>
          <w:tcPr>
            <w:tcW w:w="100" w:type="dxa"/>
            <w:vAlign w:val="bottom"/>
            <w:tcBorders>
              <w:bottom w:val="single" w:sz="8" w:color="E8EAEB"/>
              <w:right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97"/>
              <w:spacing w:after="0"/>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4"/>
                <w:szCs w:val="14"/>
                <w:color w:val="auto"/>
              </w:rPr>
            </w:pPr>
          </w:p>
        </w:tc>
        <w:tc>
          <w:tcPr>
            <w:tcW w:w="6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1"/>
              </w:rPr>
              <w:t>—</w:t>
            </w:r>
          </w:p>
        </w:tc>
        <w:tc>
          <w:tcPr>
            <w:tcW w:w="1040" w:type="dxa"/>
            <w:vAlign w:val="bottom"/>
            <w:tcBorders>
              <w:bottom w:val="single" w:sz="8" w:color="E8EAEB"/>
              <w:right w:val="single" w:sz="8" w:color="E8EAEB"/>
            </w:tcBorders>
          </w:tcPr>
          <w:p>
            <w:pPr>
              <w:ind w:left="660"/>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4"/>
                <w:szCs w:val="14"/>
                <w:color w:val="auto"/>
              </w:rPr>
            </w:pPr>
          </w:p>
        </w:tc>
        <w:tc>
          <w:tcPr>
            <w:tcW w:w="80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24,508</w:t>
            </w:r>
          </w:p>
        </w:tc>
        <w:tc>
          <w:tcPr>
            <w:tcW w:w="780" w:type="dxa"/>
            <w:vAlign w:val="bottom"/>
            <w:tcBorders>
              <w:bottom w:val="single" w:sz="8" w:color="E8EAEB"/>
            </w:tcBorders>
          </w:tcPr>
          <w:p>
            <w:pPr>
              <w:jc w:val="right"/>
              <w:spacing w:after="0"/>
              <w:rPr>
                <w:sz w:val="20"/>
                <w:szCs w:val="20"/>
                <w:color w:val="auto"/>
              </w:rPr>
            </w:pPr>
            <w:r>
              <w:rPr>
                <w:rFonts w:ascii="Arial" w:cs="Arial" w:eastAsia="Arial" w:hAnsi="Arial"/>
                <w:sz w:val="13"/>
                <w:szCs w:val="13"/>
                <w:color w:val="202E39"/>
              </w:rPr>
              <w:t>1,178,100</w:t>
            </w:r>
          </w:p>
        </w:tc>
        <w:tc>
          <w:tcPr>
            <w:tcW w:w="180" w:type="dxa"/>
            <w:vAlign w:val="bottom"/>
            <w:tcBorders>
              <w:bottom w:val="single" w:sz="8" w:color="E8EAEB"/>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60" w:type="dxa"/>
            <w:vAlign w:val="bottom"/>
            <w:tcBorders>
              <w:right w:val="single" w:sz="8" w:color="E8EAEB"/>
            </w:tcBorders>
          </w:tcPr>
          <w:p>
            <w:pPr>
              <w:ind w:left="60"/>
              <w:spacing w:after="0" w:line="143" w:lineRule="exact"/>
              <w:rPr>
                <w:sz w:val="20"/>
                <w:szCs w:val="20"/>
                <w:color w:val="auto"/>
              </w:rPr>
            </w:pPr>
            <w:r>
              <w:rPr>
                <w:rFonts w:ascii="Arial" w:cs="Arial" w:eastAsia="Arial" w:hAnsi="Arial"/>
                <w:sz w:val="13"/>
                <w:szCs w:val="13"/>
                <w:color w:val="202E39"/>
              </w:rPr>
              <w:t>James Dodd</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5"/>
              </w:rPr>
              <w:t>11/17/2020</w:t>
            </w:r>
          </w:p>
        </w:tc>
        <w:tc>
          <w:tcPr>
            <w:tcW w:w="760" w:type="dxa"/>
            <w:vAlign w:val="bottom"/>
          </w:tcPr>
          <w:p>
            <w:pPr>
              <w:jc w:val="right"/>
              <w:ind w:right="97"/>
              <w:spacing w:after="0" w:line="143"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2"/>
                <w:szCs w:val="12"/>
                <w:color w:val="auto"/>
              </w:rPr>
            </w:pPr>
          </w:p>
        </w:tc>
        <w:tc>
          <w:tcPr>
            <w:tcW w:w="820" w:type="dxa"/>
            <w:vAlign w:val="bottom"/>
            <w:tcBorders>
              <w:right w:val="single" w:sz="8" w:color="E8EAEB"/>
            </w:tcBorders>
          </w:tcPr>
          <w:p>
            <w:pPr>
              <w:jc w:val="right"/>
              <w:ind w:right="197"/>
              <w:spacing w:after="0" w:line="14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43" w:lineRule="exact"/>
              <w:rPr>
                <w:sz w:val="20"/>
                <w:szCs w:val="20"/>
                <w:color w:val="auto"/>
              </w:rPr>
            </w:pPr>
            <w:r>
              <w:rPr>
                <w:rFonts w:ascii="Arial" w:cs="Arial" w:eastAsia="Arial" w:hAnsi="Arial"/>
                <w:sz w:val="13"/>
                <w:szCs w:val="13"/>
                <w:color w:val="202E39"/>
              </w:rPr>
              <w:t>67,811</w:t>
            </w:r>
          </w:p>
        </w:tc>
        <w:tc>
          <w:tcPr>
            <w:tcW w:w="60" w:type="dxa"/>
            <w:vAlign w:val="bottom"/>
          </w:tcPr>
          <w:p>
            <w:pPr>
              <w:spacing w:after="0"/>
              <w:rPr>
                <w:sz w:val="12"/>
                <w:szCs w:val="12"/>
                <w:color w:val="auto"/>
              </w:rPr>
            </w:pPr>
          </w:p>
        </w:tc>
        <w:tc>
          <w:tcPr>
            <w:tcW w:w="66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35.66</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11/17/2026</w:t>
            </w:r>
          </w:p>
        </w:tc>
        <w:tc>
          <w:tcPr>
            <w:tcW w:w="6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43"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06/07/2020</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26,438</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1,270,875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E8EAEB"/>
              <w:right w:val="single" w:sz="8" w:color="E8EAEB"/>
            </w:tcBorders>
          </w:tcPr>
          <w:p>
            <w:pPr>
              <w:spacing w:after="0"/>
              <w:rPr>
                <w:sz w:val="14"/>
                <w:szCs w:val="14"/>
                <w:color w:val="auto"/>
              </w:rPr>
            </w:pPr>
          </w:p>
        </w:tc>
        <w:tc>
          <w:tcPr>
            <w:tcW w:w="10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760" w:type="dxa"/>
            <w:vAlign w:val="bottom"/>
            <w:tcBorders>
              <w:bottom w:val="single" w:sz="8" w:color="E8EAEB"/>
            </w:tcBorders>
          </w:tcPr>
          <w:p>
            <w:pPr>
              <w:jc w:val="right"/>
              <w:ind w:right="97"/>
              <w:spacing w:after="0"/>
              <w:rPr>
                <w:sz w:val="20"/>
                <w:szCs w:val="20"/>
                <w:color w:val="auto"/>
              </w:rPr>
            </w:pPr>
            <w:r>
              <w:rPr>
                <w:rFonts w:ascii="Arial" w:cs="Arial" w:eastAsia="Arial" w:hAnsi="Arial"/>
                <w:sz w:val="13"/>
                <w:szCs w:val="13"/>
                <w:color w:val="202E39"/>
              </w:rPr>
              <w:t>—</w:t>
            </w:r>
          </w:p>
        </w:tc>
        <w:tc>
          <w:tcPr>
            <w:tcW w:w="100" w:type="dxa"/>
            <w:vAlign w:val="bottom"/>
            <w:tcBorders>
              <w:bottom w:val="single" w:sz="8" w:color="E8EAEB"/>
              <w:right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97"/>
              <w:spacing w:after="0"/>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4"/>
                <w:szCs w:val="14"/>
                <w:color w:val="auto"/>
              </w:rPr>
            </w:pPr>
          </w:p>
        </w:tc>
        <w:tc>
          <w:tcPr>
            <w:tcW w:w="6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1"/>
              </w:rPr>
              <w:t>—</w:t>
            </w:r>
          </w:p>
        </w:tc>
        <w:tc>
          <w:tcPr>
            <w:tcW w:w="1040" w:type="dxa"/>
            <w:vAlign w:val="bottom"/>
            <w:tcBorders>
              <w:bottom w:val="single" w:sz="8" w:color="E8EAEB"/>
              <w:right w:val="single" w:sz="8" w:color="E8EAEB"/>
            </w:tcBorders>
          </w:tcPr>
          <w:p>
            <w:pPr>
              <w:ind w:left="660"/>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4"/>
                <w:szCs w:val="14"/>
                <w:color w:val="auto"/>
              </w:rPr>
            </w:pPr>
          </w:p>
        </w:tc>
        <w:tc>
          <w:tcPr>
            <w:tcW w:w="80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17,825</w:t>
            </w:r>
          </w:p>
        </w:tc>
        <w:tc>
          <w:tcPr>
            <w:tcW w:w="780" w:type="dxa"/>
            <w:vAlign w:val="bottom"/>
            <w:tcBorders>
              <w:bottom w:val="single" w:sz="8" w:color="E8EAEB"/>
            </w:tcBorders>
          </w:tcPr>
          <w:p>
            <w:pPr>
              <w:jc w:val="right"/>
              <w:spacing w:after="0"/>
              <w:rPr>
                <w:sz w:val="20"/>
                <w:szCs w:val="20"/>
                <w:color w:val="auto"/>
              </w:rPr>
            </w:pPr>
            <w:r>
              <w:rPr>
                <w:rFonts w:ascii="Arial" w:cs="Arial" w:eastAsia="Arial" w:hAnsi="Arial"/>
                <w:sz w:val="13"/>
                <w:szCs w:val="13"/>
                <w:color w:val="202E39"/>
              </w:rPr>
              <w:t>856,848</w:t>
            </w:r>
          </w:p>
        </w:tc>
        <w:tc>
          <w:tcPr>
            <w:tcW w:w="180" w:type="dxa"/>
            <w:vAlign w:val="bottom"/>
            <w:tcBorders>
              <w:bottom w:val="single" w:sz="8" w:color="E8EAEB"/>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60" w:type="dxa"/>
            <w:vAlign w:val="bottom"/>
            <w:tcBorders>
              <w:right w:val="single" w:sz="8" w:color="E8EAEB"/>
            </w:tcBorders>
          </w:tcPr>
          <w:p>
            <w:pPr>
              <w:ind w:left="60"/>
              <w:spacing w:after="0" w:line="143" w:lineRule="exact"/>
              <w:rPr>
                <w:sz w:val="20"/>
                <w:szCs w:val="20"/>
                <w:color w:val="auto"/>
              </w:rPr>
            </w:pPr>
            <w:r>
              <w:rPr>
                <w:rFonts w:ascii="Arial" w:cs="Arial" w:eastAsia="Arial" w:hAnsi="Arial"/>
                <w:sz w:val="13"/>
                <w:szCs w:val="13"/>
                <w:color w:val="202E39"/>
              </w:rPr>
              <w:t>Ken Peterman</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5"/>
              </w:rPr>
              <w:t>11/17/2015</w:t>
            </w:r>
          </w:p>
        </w:tc>
        <w:tc>
          <w:tcPr>
            <w:tcW w:w="760" w:type="dxa"/>
            <w:vAlign w:val="bottom"/>
          </w:tcPr>
          <w:p>
            <w:pPr>
              <w:jc w:val="right"/>
              <w:ind w:right="17"/>
              <w:spacing w:after="0" w:line="143" w:lineRule="exact"/>
              <w:rPr>
                <w:sz w:val="20"/>
                <w:szCs w:val="20"/>
                <w:color w:val="auto"/>
              </w:rPr>
            </w:pPr>
            <w:r>
              <w:rPr>
                <w:rFonts w:ascii="Arial" w:cs="Arial" w:eastAsia="Arial" w:hAnsi="Arial"/>
                <w:sz w:val="13"/>
                <w:szCs w:val="13"/>
                <w:color w:val="202E39"/>
              </w:rPr>
              <w:t>5,625</w:t>
            </w:r>
          </w:p>
        </w:tc>
        <w:tc>
          <w:tcPr>
            <w:tcW w:w="100" w:type="dxa"/>
            <w:vAlign w:val="bottom"/>
            <w:tcBorders>
              <w:right w:val="single" w:sz="8" w:color="E8EAEB"/>
            </w:tcBorders>
          </w:tcPr>
          <w:p>
            <w:pPr>
              <w:spacing w:after="0"/>
              <w:rPr>
                <w:sz w:val="12"/>
                <w:szCs w:val="12"/>
                <w:color w:val="auto"/>
              </w:rPr>
            </w:pPr>
          </w:p>
        </w:tc>
        <w:tc>
          <w:tcPr>
            <w:tcW w:w="820" w:type="dxa"/>
            <w:vAlign w:val="bottom"/>
            <w:tcBorders>
              <w:right w:val="single" w:sz="8" w:color="E8EAEB"/>
            </w:tcBorders>
          </w:tcPr>
          <w:p>
            <w:pPr>
              <w:jc w:val="right"/>
              <w:ind w:right="197"/>
              <w:spacing w:after="0" w:line="14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2"/>
                <w:szCs w:val="12"/>
                <w:color w:val="auto"/>
              </w:rPr>
            </w:pPr>
          </w:p>
        </w:tc>
        <w:tc>
          <w:tcPr>
            <w:tcW w:w="66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61.26</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11/17/2021</w:t>
            </w:r>
          </w:p>
        </w:tc>
        <w:tc>
          <w:tcPr>
            <w:tcW w:w="6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43"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10,750</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11/17/2022</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11/17/2023</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11/19/2024</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49,333</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11/15/2025</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110,189</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35.66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11/17/2026</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2,500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120,175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6,250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300,438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15,662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752,872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E8EAEB"/>
              <w:right w:val="single" w:sz="8" w:color="E8EAEB"/>
            </w:tcBorders>
          </w:tcPr>
          <w:p>
            <w:pPr>
              <w:spacing w:after="0"/>
              <w:rPr>
                <w:sz w:val="14"/>
                <w:szCs w:val="14"/>
                <w:color w:val="auto"/>
              </w:rPr>
            </w:pPr>
          </w:p>
        </w:tc>
        <w:tc>
          <w:tcPr>
            <w:tcW w:w="10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760" w:type="dxa"/>
            <w:vAlign w:val="bottom"/>
            <w:tcBorders>
              <w:bottom w:val="single" w:sz="8" w:color="E8EAEB"/>
            </w:tcBorders>
          </w:tcPr>
          <w:p>
            <w:pPr>
              <w:jc w:val="right"/>
              <w:ind w:right="97"/>
              <w:spacing w:after="0"/>
              <w:rPr>
                <w:sz w:val="20"/>
                <w:szCs w:val="20"/>
                <w:color w:val="auto"/>
              </w:rPr>
            </w:pPr>
            <w:r>
              <w:rPr>
                <w:rFonts w:ascii="Arial" w:cs="Arial" w:eastAsia="Arial" w:hAnsi="Arial"/>
                <w:sz w:val="13"/>
                <w:szCs w:val="13"/>
                <w:color w:val="202E39"/>
              </w:rPr>
              <w:t>—</w:t>
            </w:r>
          </w:p>
        </w:tc>
        <w:tc>
          <w:tcPr>
            <w:tcW w:w="100" w:type="dxa"/>
            <w:vAlign w:val="bottom"/>
            <w:tcBorders>
              <w:bottom w:val="single" w:sz="8" w:color="E8EAEB"/>
              <w:right w:val="single" w:sz="8" w:color="E8EAEB"/>
            </w:tcBorders>
          </w:tcPr>
          <w:p>
            <w:pPr>
              <w:spacing w:after="0"/>
              <w:rPr>
                <w:sz w:val="14"/>
                <w:szCs w:val="14"/>
                <w:color w:val="auto"/>
              </w:rPr>
            </w:pPr>
          </w:p>
        </w:tc>
        <w:tc>
          <w:tcPr>
            <w:tcW w:w="820" w:type="dxa"/>
            <w:vAlign w:val="bottom"/>
            <w:tcBorders>
              <w:bottom w:val="single" w:sz="8" w:color="E8EAEB"/>
              <w:right w:val="single" w:sz="8" w:color="E8EAEB"/>
            </w:tcBorders>
          </w:tcPr>
          <w:p>
            <w:pPr>
              <w:jc w:val="right"/>
              <w:ind w:right="197"/>
              <w:spacing w:after="0"/>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4"/>
                <w:szCs w:val="14"/>
                <w:color w:val="auto"/>
              </w:rPr>
            </w:pPr>
          </w:p>
        </w:tc>
        <w:tc>
          <w:tcPr>
            <w:tcW w:w="6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3"/>
                <w:szCs w:val="13"/>
                <w:color w:val="202E39"/>
                <w:w w:val="91"/>
              </w:rPr>
              <w:t>—</w:t>
            </w:r>
          </w:p>
        </w:tc>
        <w:tc>
          <w:tcPr>
            <w:tcW w:w="1040" w:type="dxa"/>
            <w:vAlign w:val="bottom"/>
            <w:tcBorders>
              <w:bottom w:val="single" w:sz="8" w:color="E8EAEB"/>
              <w:right w:val="single" w:sz="8" w:color="E8EAEB"/>
            </w:tcBorders>
          </w:tcPr>
          <w:p>
            <w:pPr>
              <w:ind w:left="660"/>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E8EAEB"/>
              <w:right w:val="single" w:sz="8" w:color="E8EAEB"/>
            </w:tcBorders>
          </w:tcPr>
          <w:p>
            <w:pPr>
              <w:spacing w:after="0"/>
              <w:rPr>
                <w:sz w:val="14"/>
                <w:szCs w:val="14"/>
                <w:color w:val="auto"/>
              </w:rPr>
            </w:pPr>
          </w:p>
        </w:tc>
        <w:tc>
          <w:tcPr>
            <w:tcW w:w="800" w:type="dxa"/>
            <w:vAlign w:val="bottom"/>
            <w:tcBorders>
              <w:bottom w:val="single" w:sz="8" w:color="E8EAEB"/>
              <w:right w:val="single" w:sz="8" w:color="E8EAEB"/>
            </w:tcBorders>
          </w:tcPr>
          <w:p>
            <w:pPr>
              <w:jc w:val="right"/>
              <w:ind w:right="138"/>
              <w:spacing w:after="0"/>
              <w:rPr>
                <w:sz w:val="20"/>
                <w:szCs w:val="20"/>
                <w:color w:val="auto"/>
              </w:rPr>
            </w:pPr>
            <w:r>
              <w:rPr>
                <w:rFonts w:ascii="Arial" w:cs="Arial" w:eastAsia="Arial" w:hAnsi="Arial"/>
                <w:sz w:val="13"/>
                <w:szCs w:val="13"/>
                <w:color w:val="202E39"/>
              </w:rPr>
              <w:t>28,964</w:t>
            </w:r>
          </w:p>
        </w:tc>
        <w:tc>
          <w:tcPr>
            <w:tcW w:w="780" w:type="dxa"/>
            <w:vAlign w:val="bottom"/>
            <w:tcBorders>
              <w:bottom w:val="single" w:sz="8" w:color="E8EAEB"/>
            </w:tcBorders>
          </w:tcPr>
          <w:p>
            <w:pPr>
              <w:jc w:val="right"/>
              <w:spacing w:after="0"/>
              <w:rPr>
                <w:sz w:val="20"/>
                <w:szCs w:val="20"/>
                <w:color w:val="auto"/>
              </w:rPr>
            </w:pPr>
            <w:r>
              <w:rPr>
                <w:rFonts w:ascii="Arial" w:cs="Arial" w:eastAsia="Arial" w:hAnsi="Arial"/>
                <w:sz w:val="13"/>
                <w:szCs w:val="13"/>
                <w:color w:val="202E39"/>
              </w:rPr>
              <w:t>1,392,299</w:t>
            </w:r>
          </w:p>
        </w:tc>
        <w:tc>
          <w:tcPr>
            <w:tcW w:w="180" w:type="dxa"/>
            <w:vAlign w:val="bottom"/>
            <w:tcBorders>
              <w:bottom w:val="single" w:sz="8" w:color="E8EAEB"/>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60" w:type="dxa"/>
            <w:vAlign w:val="bottom"/>
            <w:tcBorders>
              <w:right w:val="single" w:sz="8" w:color="E8EAEB"/>
            </w:tcBorders>
          </w:tcPr>
          <w:p>
            <w:pPr>
              <w:ind w:left="60"/>
              <w:spacing w:after="0" w:line="143" w:lineRule="exact"/>
              <w:rPr>
                <w:sz w:val="20"/>
                <w:szCs w:val="20"/>
                <w:color w:val="auto"/>
              </w:rPr>
            </w:pPr>
            <w:r>
              <w:rPr>
                <w:rFonts w:ascii="Arial" w:cs="Arial" w:eastAsia="Arial" w:hAnsi="Arial"/>
                <w:sz w:val="13"/>
                <w:szCs w:val="13"/>
                <w:color w:val="202E39"/>
              </w:rPr>
              <w:t>Mark Miller</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5"/>
              </w:rPr>
              <w:t>11/17/2016</w:t>
            </w:r>
          </w:p>
        </w:tc>
        <w:tc>
          <w:tcPr>
            <w:tcW w:w="760" w:type="dxa"/>
            <w:vAlign w:val="bottom"/>
          </w:tcPr>
          <w:p>
            <w:pPr>
              <w:jc w:val="right"/>
              <w:ind w:right="17"/>
              <w:spacing w:after="0" w:line="143" w:lineRule="exact"/>
              <w:rPr>
                <w:sz w:val="20"/>
                <w:szCs w:val="20"/>
                <w:color w:val="auto"/>
              </w:rPr>
            </w:pPr>
            <w:r>
              <w:rPr>
                <w:rFonts w:ascii="Arial" w:cs="Arial" w:eastAsia="Arial" w:hAnsi="Arial"/>
                <w:sz w:val="13"/>
                <w:szCs w:val="13"/>
                <w:color w:val="202E39"/>
              </w:rPr>
              <w:t>10,000</w:t>
            </w:r>
          </w:p>
        </w:tc>
        <w:tc>
          <w:tcPr>
            <w:tcW w:w="100" w:type="dxa"/>
            <w:vAlign w:val="bottom"/>
            <w:tcBorders>
              <w:right w:val="single" w:sz="8" w:color="E8EAEB"/>
            </w:tcBorders>
          </w:tcPr>
          <w:p>
            <w:pPr>
              <w:spacing w:after="0"/>
              <w:rPr>
                <w:sz w:val="12"/>
                <w:szCs w:val="12"/>
                <w:color w:val="auto"/>
              </w:rPr>
            </w:pPr>
          </w:p>
        </w:tc>
        <w:tc>
          <w:tcPr>
            <w:tcW w:w="820" w:type="dxa"/>
            <w:vAlign w:val="bottom"/>
            <w:tcBorders>
              <w:right w:val="single" w:sz="8" w:color="E8EAEB"/>
            </w:tcBorders>
          </w:tcPr>
          <w:p>
            <w:pPr>
              <w:jc w:val="right"/>
              <w:ind w:right="197"/>
              <w:spacing w:after="0" w:line="14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2"/>
                <w:szCs w:val="12"/>
                <w:color w:val="auto"/>
              </w:rPr>
            </w:pPr>
          </w:p>
        </w:tc>
        <w:tc>
          <w:tcPr>
            <w:tcW w:w="66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69.74</w:t>
            </w:r>
          </w:p>
        </w:tc>
        <w:tc>
          <w:tcPr>
            <w:tcW w:w="1040" w:type="dxa"/>
            <w:vAlign w:val="bottom"/>
            <w:tcBorders>
              <w:right w:val="single" w:sz="8" w:color="E8EAEB"/>
            </w:tcBorders>
          </w:tcPr>
          <w:p>
            <w:pPr>
              <w:jc w:val="center"/>
              <w:spacing w:after="0" w:line="143" w:lineRule="exact"/>
              <w:rPr>
                <w:sz w:val="20"/>
                <w:szCs w:val="20"/>
                <w:color w:val="auto"/>
              </w:rPr>
            </w:pPr>
            <w:r>
              <w:rPr>
                <w:rFonts w:ascii="Arial" w:cs="Arial" w:eastAsia="Arial" w:hAnsi="Arial"/>
                <w:sz w:val="13"/>
                <w:szCs w:val="13"/>
                <w:color w:val="202E39"/>
                <w:w w:val="98"/>
              </w:rPr>
              <w:t>11/17/2022</w:t>
            </w:r>
          </w:p>
        </w:tc>
        <w:tc>
          <w:tcPr>
            <w:tcW w:w="6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jc w:val="right"/>
              <w:ind w:right="198"/>
              <w:spacing w:after="0" w:line="143"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43"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25,000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73.77</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11/17/2023</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25,000</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69.05</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11/19/2024</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32,889</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71.83</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11/15/2025</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11/17/2020</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84,763</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35.66</w:t>
            </w: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8"/>
              </w:rPr>
              <w:t>11/17/2026</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780" w:type="dxa"/>
            <w:vAlign w:val="bottom"/>
          </w:tcPr>
          <w:p>
            <w:pPr>
              <w:jc w:val="right"/>
              <w:ind w:right="18"/>
              <w:spacing w:after="0" w:line="135" w:lineRule="exact"/>
              <w:rPr>
                <w:sz w:val="20"/>
                <w:szCs w:val="20"/>
                <w:color w:val="auto"/>
              </w:rPr>
            </w:pPr>
            <w:r>
              <w:rPr>
                <w:rFonts w:ascii="Arial" w:cs="Arial" w:eastAsia="Arial" w:hAnsi="Arial"/>
                <w:sz w:val="13"/>
                <w:szCs w:val="13"/>
                <w:color w:val="202E39"/>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2,083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100,130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4,166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200,260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5"/>
              </w:rPr>
              <w:t>11/15/2019</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00" w:type="dxa"/>
            <w:vAlign w:val="bottom"/>
            <w:tcBorders>
              <w:right w:val="single" w:sz="8" w:color="E8EAEB"/>
            </w:tcBorders>
          </w:tcPr>
          <w:p>
            <w:pPr>
              <w:spacing w:after="0"/>
              <w:rPr>
                <w:sz w:val="11"/>
                <w:szCs w:val="11"/>
                <w:color w:val="auto"/>
              </w:rPr>
            </w:pPr>
          </w:p>
        </w:tc>
        <w:tc>
          <w:tcPr>
            <w:tcW w:w="82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3"/>
                <w:szCs w:val="13"/>
                <w:color w:val="202E39"/>
                <w:w w:val="91"/>
              </w:rPr>
              <w:t>—</w:t>
            </w:r>
          </w:p>
        </w:tc>
        <w:tc>
          <w:tcPr>
            <w:tcW w:w="1040" w:type="dxa"/>
            <w:vAlign w:val="bottom"/>
            <w:tcBorders>
              <w:right w:val="single" w:sz="8" w:color="E8EAEB"/>
            </w:tcBorders>
          </w:tcPr>
          <w:p>
            <w:pPr>
              <w:ind w:left="660"/>
              <w:spacing w:after="0" w:line="135" w:lineRule="exact"/>
              <w:rPr>
                <w:sz w:val="20"/>
                <w:szCs w:val="20"/>
                <w:color w:val="auto"/>
              </w:rPr>
            </w:pPr>
            <w:r>
              <w:rPr>
                <w:rFonts w:ascii="Arial" w:cs="Arial" w:eastAsia="Arial" w:hAnsi="Arial"/>
                <w:sz w:val="13"/>
                <w:szCs w:val="13"/>
                <w:color w:val="202E39"/>
              </w:rPr>
              <w:t>—</w:t>
            </w:r>
          </w:p>
        </w:tc>
        <w:tc>
          <w:tcPr>
            <w:tcW w:w="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10,441</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202E39"/>
              </w:rPr>
              <w:t>501,899</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009FE3"/>
              <w:right w:val="single" w:sz="8" w:color="E8EAEB"/>
            </w:tcBorders>
          </w:tcPr>
          <w:p>
            <w:pPr>
              <w:spacing w:after="0"/>
              <w:rPr>
                <w:sz w:val="14"/>
                <w:szCs w:val="14"/>
                <w:color w:val="auto"/>
              </w:rPr>
            </w:pP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3"/>
                <w:szCs w:val="13"/>
                <w:color w:val="202E39"/>
                <w:w w:val="95"/>
              </w:rPr>
              <w:t>11/17/2020</w:t>
            </w:r>
          </w:p>
        </w:tc>
        <w:tc>
          <w:tcPr>
            <w:tcW w:w="760" w:type="dxa"/>
            <w:vAlign w:val="bottom"/>
            <w:tcBorders>
              <w:bottom w:val="single" w:sz="8" w:color="009FE3"/>
            </w:tcBorders>
          </w:tcPr>
          <w:p>
            <w:pPr>
              <w:jc w:val="right"/>
              <w:ind w:right="97"/>
              <w:spacing w:after="0"/>
              <w:rPr>
                <w:sz w:val="20"/>
                <w:szCs w:val="20"/>
                <w:color w:val="auto"/>
              </w:rPr>
            </w:pPr>
            <w:r>
              <w:rPr>
                <w:rFonts w:ascii="Arial" w:cs="Arial" w:eastAsia="Arial" w:hAnsi="Arial"/>
                <w:sz w:val="13"/>
                <w:szCs w:val="13"/>
                <w:color w:val="202E39"/>
              </w:rPr>
              <w:t>—</w:t>
            </w:r>
          </w:p>
        </w:tc>
        <w:tc>
          <w:tcPr>
            <w:tcW w:w="100" w:type="dxa"/>
            <w:vAlign w:val="bottom"/>
            <w:tcBorders>
              <w:bottom w:val="single" w:sz="8" w:color="009FE3"/>
              <w:right w:val="single" w:sz="8" w:color="E8EAEB"/>
            </w:tcBorders>
          </w:tcPr>
          <w:p>
            <w:pPr>
              <w:spacing w:after="0"/>
              <w:rPr>
                <w:sz w:val="14"/>
                <w:szCs w:val="14"/>
                <w:color w:val="auto"/>
              </w:rPr>
            </w:pPr>
          </w:p>
        </w:tc>
        <w:tc>
          <w:tcPr>
            <w:tcW w:w="820" w:type="dxa"/>
            <w:vAlign w:val="bottom"/>
            <w:tcBorders>
              <w:bottom w:val="single" w:sz="8" w:color="009FE3"/>
              <w:right w:val="single" w:sz="8" w:color="E8EAEB"/>
            </w:tcBorders>
          </w:tcPr>
          <w:p>
            <w:pPr>
              <w:jc w:val="right"/>
              <w:ind w:right="197"/>
              <w:spacing w:after="0"/>
              <w:rPr>
                <w:sz w:val="20"/>
                <w:szCs w:val="20"/>
                <w:color w:val="auto"/>
              </w:rPr>
            </w:pPr>
            <w:r>
              <w:rPr>
                <w:rFonts w:ascii="Arial" w:cs="Arial" w:eastAsia="Arial" w:hAnsi="Arial"/>
                <w:sz w:val="13"/>
                <w:szCs w:val="13"/>
                <w:color w:val="202E39"/>
              </w:rPr>
              <w:t>—</w:t>
            </w:r>
          </w:p>
        </w:tc>
        <w:tc>
          <w:tcPr>
            <w:tcW w:w="860" w:type="dxa"/>
            <w:vAlign w:val="bottom"/>
            <w:tcBorders>
              <w:bottom w:val="single" w:sz="8" w:color="009FE3"/>
              <w:right w:val="single" w:sz="8" w:color="E8EAEB"/>
            </w:tcBorders>
          </w:tcPr>
          <w:p>
            <w:pPr>
              <w:jc w:val="right"/>
              <w:ind w:right="198"/>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009FE3"/>
            </w:tcBorders>
          </w:tcPr>
          <w:p>
            <w:pPr>
              <w:spacing w:after="0"/>
              <w:rPr>
                <w:sz w:val="14"/>
                <w:szCs w:val="14"/>
                <w:color w:val="auto"/>
              </w:rPr>
            </w:pPr>
          </w:p>
        </w:tc>
        <w:tc>
          <w:tcPr>
            <w:tcW w:w="6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3"/>
                <w:szCs w:val="13"/>
                <w:color w:val="202E39"/>
                <w:w w:val="91"/>
              </w:rPr>
              <w:t>—</w:t>
            </w:r>
          </w:p>
        </w:tc>
        <w:tc>
          <w:tcPr>
            <w:tcW w:w="1040" w:type="dxa"/>
            <w:vAlign w:val="bottom"/>
            <w:tcBorders>
              <w:bottom w:val="single" w:sz="8" w:color="009FE3"/>
              <w:right w:val="single" w:sz="8" w:color="E8EAEB"/>
            </w:tcBorders>
          </w:tcPr>
          <w:p>
            <w:pPr>
              <w:ind w:left="660"/>
              <w:spacing w:after="0"/>
              <w:rPr>
                <w:sz w:val="20"/>
                <w:szCs w:val="20"/>
                <w:color w:val="auto"/>
              </w:rPr>
            </w:pPr>
            <w:r>
              <w:rPr>
                <w:rFonts w:ascii="Arial" w:cs="Arial" w:eastAsia="Arial" w:hAnsi="Arial"/>
                <w:sz w:val="13"/>
                <w:szCs w:val="13"/>
                <w:color w:val="202E39"/>
              </w:rPr>
              <w:t>—</w:t>
            </w:r>
          </w:p>
        </w:tc>
        <w:tc>
          <w:tcPr>
            <w:tcW w:w="60" w:type="dxa"/>
            <w:vAlign w:val="bottom"/>
            <w:tcBorders>
              <w:bottom w:val="single" w:sz="8" w:color="009FE3"/>
              <w:right w:val="single" w:sz="8" w:color="E8EAEB"/>
            </w:tcBorders>
          </w:tcPr>
          <w:p>
            <w:pPr>
              <w:spacing w:after="0"/>
              <w:rPr>
                <w:sz w:val="14"/>
                <w:szCs w:val="14"/>
                <w:color w:val="auto"/>
              </w:rPr>
            </w:pPr>
          </w:p>
        </w:tc>
        <w:tc>
          <w:tcPr>
            <w:tcW w:w="800" w:type="dxa"/>
            <w:vAlign w:val="bottom"/>
            <w:tcBorders>
              <w:bottom w:val="single" w:sz="8" w:color="009FE3"/>
              <w:right w:val="single" w:sz="8" w:color="E8EAEB"/>
            </w:tcBorders>
          </w:tcPr>
          <w:p>
            <w:pPr>
              <w:jc w:val="right"/>
              <w:ind w:right="138"/>
              <w:spacing w:after="0"/>
              <w:rPr>
                <w:sz w:val="20"/>
                <w:szCs w:val="20"/>
                <w:color w:val="auto"/>
              </w:rPr>
            </w:pPr>
            <w:r>
              <w:rPr>
                <w:rFonts w:ascii="Arial" w:cs="Arial" w:eastAsia="Arial" w:hAnsi="Arial"/>
                <w:sz w:val="13"/>
                <w:szCs w:val="13"/>
                <w:color w:val="202E39"/>
              </w:rPr>
              <w:t>22,281</w:t>
            </w:r>
          </w:p>
        </w:tc>
        <w:tc>
          <w:tcPr>
            <w:tcW w:w="780" w:type="dxa"/>
            <w:vAlign w:val="bottom"/>
            <w:tcBorders>
              <w:bottom w:val="single" w:sz="8" w:color="009FE3"/>
            </w:tcBorders>
          </w:tcPr>
          <w:p>
            <w:pPr>
              <w:jc w:val="right"/>
              <w:spacing w:after="0"/>
              <w:rPr>
                <w:sz w:val="20"/>
                <w:szCs w:val="20"/>
                <w:color w:val="auto"/>
              </w:rPr>
            </w:pPr>
            <w:r>
              <w:rPr>
                <w:rFonts w:ascii="Arial" w:cs="Arial" w:eastAsia="Arial" w:hAnsi="Arial"/>
                <w:sz w:val="13"/>
                <w:szCs w:val="13"/>
                <w:color w:val="202E39"/>
              </w:rPr>
              <w:t>1,071,048</w:t>
            </w:r>
          </w:p>
        </w:tc>
        <w:tc>
          <w:tcPr>
            <w:tcW w:w="180" w:type="dxa"/>
            <w:vAlign w:val="bottom"/>
            <w:tcBorders>
              <w:bottom w:val="single" w:sz="8" w:color="009FE3"/>
            </w:tcBorders>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3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gridSpan w:val="4"/>
          </w:tcPr>
          <w:p>
            <w:pPr>
              <w:jc w:val="center"/>
              <w:ind w:left="197"/>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202E39"/>
              </w:rPr>
              <w:t>55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Outstanding Equity Awards at 2021 Fiscal Year End</w:t>
      </w:r>
    </w:p>
    <w:p>
      <w:pPr>
        <w:spacing w:after="0" w:line="150" w:lineRule="exact"/>
        <w:rPr>
          <w:sz w:val="20"/>
          <w:szCs w:val="20"/>
          <w:color w:val="auto"/>
        </w:rPr>
      </w:pPr>
    </w:p>
    <w:p>
      <w:pPr>
        <w:ind w:left="540" w:right="320" w:hanging="424"/>
        <w:spacing w:after="0" w:line="258" w:lineRule="auto"/>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Options vest and become exercisable in four equal annual installments over the course of four years measured from the grant date, subject to achievement of the relative TSR performance metric.</w:t>
      </w:r>
    </w:p>
    <w:p>
      <w:pPr>
        <w:spacing w:after="0" w:line="45" w:lineRule="exact"/>
        <w:rPr>
          <w:rFonts w:ascii="Arial" w:cs="Arial" w:eastAsia="Arial" w:hAnsi="Arial"/>
          <w:sz w:val="14"/>
          <w:szCs w:val="14"/>
          <w:color w:val="202E39"/>
        </w:rPr>
      </w:pPr>
    </w:p>
    <w:p>
      <w:pPr>
        <w:ind w:left="540" w:hanging="424"/>
        <w:spacing w:after="0" w:line="243" w:lineRule="auto"/>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 (b) in part dependent on a comparison over the four-year performance period ending October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The performance-based stock options must be vested under both the time-based vesting schedule and the performance-based vesting conditions to become exercisable by the Named Executive Officer. The performance-based stock options granted prior to fiscal year 2021 are reflected in the table above at “target” performance levels. The performance-based stock options granted during fiscal year 2021 are reflected in the table above at “maximum” performance levels, since our performance relative to the applicable performance metrics was projected to be above target as of the end of fiscal year 2021.</w:t>
      </w:r>
    </w:p>
    <w:p>
      <w:pPr>
        <w:spacing w:after="0" w:line="220" w:lineRule="exact"/>
        <w:rPr>
          <w:rFonts w:ascii="Arial" w:cs="Arial" w:eastAsia="Arial" w:hAnsi="Arial"/>
          <w:sz w:val="14"/>
          <w:szCs w:val="14"/>
          <w:color w:val="202E39"/>
        </w:rPr>
      </w:pPr>
    </w:p>
    <w:p>
      <w:pPr>
        <w:ind w:left="540" w:hanging="424"/>
        <w:spacing w:after="0"/>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44"/>
        </w:numPr>
        <w:rPr>
          <w:rFonts w:ascii="Arial" w:cs="Arial" w:eastAsia="Arial" w:hAnsi="Arial"/>
          <w:sz w:val="14"/>
          <w:szCs w:val="14"/>
          <w:color w:val="202E39"/>
        </w:rPr>
      </w:pPr>
      <w:r>
        <w:rPr>
          <w:rFonts w:ascii="Arial" w:cs="Arial" w:eastAsia="Arial" w:hAnsi="Arial"/>
          <w:sz w:val="14"/>
          <w:szCs w:val="14"/>
          <w:color w:val="202E39"/>
        </w:rPr>
        <w:t>Computed by multiplying the closing price of our common stock on March 31, 2021 ($48.07 per share) by the number of shares subject to such stock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92075</wp:posOffset>
            </wp:positionV>
            <wp:extent cx="43688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Option Exercises and Stock Vested in Fiscal Year 2021</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Option Exercises and Stock Vested in Fiscal Year 2021</w:t>
      </w:r>
    </w:p>
    <w:p>
      <w:pPr>
        <w:spacing w:after="0" w:line="145"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202E39"/>
        </w:rPr>
        <w:t>The following table provides information concerning exercises of stock options by and stock awards vested for each of the Named Executive Officers during fiscal year 2021:</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220" w:type="dxa"/>
            <w:vAlign w:val="bottom"/>
            <w:tcBorders>
              <w:top w:val="single" w:sz="8" w:color="E8EAEB"/>
              <w:right w:val="single" w:sz="8" w:color="E8EAEB"/>
            </w:tcBorders>
          </w:tcPr>
          <w:p>
            <w:pPr>
              <w:spacing w:after="0"/>
              <w:rPr>
                <w:sz w:val="17"/>
                <w:szCs w:val="17"/>
                <w:color w:val="auto"/>
              </w:rPr>
            </w:pPr>
          </w:p>
        </w:tc>
        <w:tc>
          <w:tcPr>
            <w:tcW w:w="2500" w:type="dxa"/>
            <w:vAlign w:val="bottom"/>
            <w:tcBorders>
              <w:top w:val="single" w:sz="8" w:color="E8EAEB"/>
              <w:right w:val="single" w:sz="8" w:color="E8EAEB"/>
            </w:tcBorders>
            <w:gridSpan w:val="2"/>
          </w:tcPr>
          <w:p>
            <w:pPr>
              <w:ind w:left="720"/>
              <w:spacing w:after="0"/>
              <w:rPr>
                <w:sz w:val="20"/>
                <w:szCs w:val="20"/>
                <w:color w:val="auto"/>
              </w:rPr>
            </w:pPr>
            <w:r>
              <w:rPr>
                <w:rFonts w:ascii="Arial" w:cs="Arial" w:eastAsia="Arial" w:hAnsi="Arial"/>
                <w:sz w:val="14"/>
                <w:szCs w:val="14"/>
                <w:b w:val="1"/>
                <w:bCs w:val="1"/>
                <w:color w:val="009FE3"/>
              </w:rPr>
              <w:t>Option Awards</w:t>
            </w:r>
          </w:p>
        </w:tc>
        <w:tc>
          <w:tcPr>
            <w:tcW w:w="560" w:type="dxa"/>
            <w:vAlign w:val="bottom"/>
            <w:tcBorders>
              <w:top w:val="single" w:sz="8" w:color="E8EAEB"/>
              <w:right w:val="single" w:sz="8" w:color="E8EAEB"/>
            </w:tcBorders>
          </w:tcPr>
          <w:p>
            <w:pPr>
              <w:spacing w:after="0"/>
              <w:rPr>
                <w:sz w:val="17"/>
                <w:szCs w:val="17"/>
                <w:color w:val="auto"/>
              </w:rPr>
            </w:pPr>
          </w:p>
        </w:tc>
        <w:tc>
          <w:tcPr>
            <w:tcW w:w="2740" w:type="dxa"/>
            <w:vAlign w:val="bottom"/>
            <w:tcBorders>
              <w:top w:val="single" w:sz="8" w:color="E8EAEB"/>
            </w:tcBorders>
            <w:gridSpan w:val="2"/>
          </w:tcPr>
          <w:p>
            <w:pPr>
              <w:jc w:val="right"/>
              <w:ind w:right="822"/>
              <w:spacing w:after="0"/>
              <w:rPr>
                <w:sz w:val="20"/>
                <w:szCs w:val="20"/>
                <w:color w:val="auto"/>
              </w:rPr>
            </w:pPr>
            <w:r>
              <w:rPr>
                <w:rFonts w:ascii="Arial" w:cs="Arial" w:eastAsia="Arial" w:hAnsi="Arial"/>
                <w:sz w:val="14"/>
                <w:szCs w:val="14"/>
                <w:b w:val="1"/>
                <w:bCs w:val="1"/>
                <w:color w:val="009FE3"/>
              </w:rPr>
              <w:t>Stock Awards</w:t>
            </w:r>
          </w:p>
        </w:tc>
      </w:tr>
      <w:tr>
        <w:trPr>
          <w:trHeight w:val="39"/>
        </w:trPr>
        <w:tc>
          <w:tcPr>
            <w:tcW w:w="5220" w:type="dxa"/>
            <w:vAlign w:val="bottom"/>
            <w:tcBorders>
              <w:right w:val="single" w:sz="8" w:color="E8EAEB"/>
            </w:tcBorders>
          </w:tcPr>
          <w:p>
            <w:pPr>
              <w:spacing w:after="0"/>
              <w:rPr>
                <w:sz w:val="3"/>
                <w:szCs w:val="3"/>
                <w:color w:val="auto"/>
              </w:rPr>
            </w:pPr>
          </w:p>
        </w:tc>
        <w:tc>
          <w:tcPr>
            <w:tcW w:w="1480" w:type="dxa"/>
            <w:vAlign w:val="bottom"/>
            <w:tcBorders>
              <w:bottom w:val="single" w:sz="8" w:color="009FE3"/>
            </w:tcBorders>
          </w:tcPr>
          <w:p>
            <w:pPr>
              <w:spacing w:after="0"/>
              <w:rPr>
                <w:sz w:val="3"/>
                <w:szCs w:val="3"/>
                <w:color w:val="auto"/>
              </w:rPr>
            </w:pPr>
          </w:p>
        </w:tc>
        <w:tc>
          <w:tcPr>
            <w:tcW w:w="1020" w:type="dxa"/>
            <w:vAlign w:val="bottom"/>
            <w:tcBorders>
              <w:bottom w:val="single" w:sz="8" w:color="009FE3"/>
              <w:right w:val="single" w:sz="8" w:color="E8EAEB"/>
            </w:tcBorders>
          </w:tcPr>
          <w:p>
            <w:pPr>
              <w:spacing w:after="0"/>
              <w:rPr>
                <w:sz w:val="3"/>
                <w:szCs w:val="3"/>
                <w:color w:val="auto"/>
              </w:rPr>
            </w:pPr>
          </w:p>
        </w:tc>
        <w:tc>
          <w:tcPr>
            <w:tcW w:w="560" w:type="dxa"/>
            <w:vAlign w:val="bottom"/>
            <w:tcBorders>
              <w:right w:val="single" w:sz="8" w:color="E8EAEB"/>
            </w:tcBorders>
          </w:tcPr>
          <w:p>
            <w:pPr>
              <w:spacing w:after="0"/>
              <w:rPr>
                <w:sz w:val="3"/>
                <w:szCs w:val="3"/>
                <w:color w:val="auto"/>
              </w:rPr>
            </w:pPr>
          </w:p>
        </w:tc>
        <w:tc>
          <w:tcPr>
            <w:tcW w:w="1420" w:type="dxa"/>
            <w:vAlign w:val="bottom"/>
            <w:tcBorders>
              <w:bottom w:val="single" w:sz="8" w:color="009FE3"/>
            </w:tcBorders>
          </w:tcPr>
          <w:p>
            <w:pPr>
              <w:spacing w:after="0"/>
              <w:rPr>
                <w:sz w:val="3"/>
                <w:szCs w:val="3"/>
                <w:color w:val="auto"/>
              </w:rPr>
            </w:pPr>
          </w:p>
        </w:tc>
        <w:tc>
          <w:tcPr>
            <w:tcW w:w="1320" w:type="dxa"/>
            <w:vAlign w:val="bottom"/>
            <w:tcBorders>
              <w:bottom w:val="single" w:sz="8" w:color="009FE3"/>
            </w:tcBorders>
          </w:tcPr>
          <w:p>
            <w:pPr>
              <w:spacing w:after="0"/>
              <w:rPr>
                <w:sz w:val="3"/>
                <w:szCs w:val="3"/>
                <w:color w:val="auto"/>
              </w:rPr>
            </w:pPr>
          </w:p>
        </w:tc>
      </w:tr>
      <w:tr>
        <w:trPr>
          <w:trHeight w:val="156"/>
        </w:trPr>
        <w:tc>
          <w:tcPr>
            <w:tcW w:w="5220" w:type="dxa"/>
            <w:vAlign w:val="bottom"/>
            <w:tcBorders>
              <w:right w:val="single" w:sz="8" w:color="E8EAEB"/>
            </w:tcBorders>
          </w:tcPr>
          <w:p>
            <w:pPr>
              <w:spacing w:after="0"/>
              <w:rPr>
                <w:sz w:val="13"/>
                <w:szCs w:val="13"/>
                <w:color w:val="auto"/>
              </w:rPr>
            </w:pPr>
          </w:p>
        </w:tc>
        <w:tc>
          <w:tcPr>
            <w:tcW w:w="1480" w:type="dxa"/>
            <w:vAlign w:val="bottom"/>
            <w:tcBorders>
              <w:right w:val="single" w:sz="8" w:color="E8EAEB"/>
            </w:tcBorders>
          </w:tcPr>
          <w:p>
            <w:pPr>
              <w:jc w:val="center"/>
              <w:spacing w:after="0" w:line="156" w:lineRule="exact"/>
              <w:rPr>
                <w:sz w:val="20"/>
                <w:szCs w:val="20"/>
                <w:color w:val="auto"/>
              </w:rPr>
            </w:pPr>
            <w:r>
              <w:rPr>
                <w:rFonts w:ascii="Arial" w:cs="Arial" w:eastAsia="Arial" w:hAnsi="Arial"/>
                <w:sz w:val="14"/>
                <w:szCs w:val="14"/>
                <w:b w:val="1"/>
                <w:bCs w:val="1"/>
                <w:color w:val="009FE3"/>
              </w:rPr>
              <w:t>Number of Shares</w:t>
            </w:r>
          </w:p>
        </w:tc>
        <w:tc>
          <w:tcPr>
            <w:tcW w:w="1020" w:type="dxa"/>
            <w:vAlign w:val="bottom"/>
            <w:tcBorders>
              <w:right w:val="single" w:sz="8" w:color="E8EAEB"/>
            </w:tcBorders>
          </w:tcPr>
          <w:p>
            <w:pPr>
              <w:jc w:val="center"/>
              <w:spacing w:after="0" w:line="156" w:lineRule="exact"/>
              <w:rPr>
                <w:sz w:val="20"/>
                <w:szCs w:val="20"/>
                <w:color w:val="auto"/>
              </w:rPr>
            </w:pPr>
            <w:r>
              <w:rPr>
                <w:rFonts w:ascii="Arial" w:cs="Arial" w:eastAsia="Arial" w:hAnsi="Arial"/>
                <w:sz w:val="14"/>
                <w:szCs w:val="14"/>
                <w:b w:val="1"/>
                <w:bCs w:val="1"/>
                <w:color w:val="009FE3"/>
              </w:rPr>
              <w:t>Value Realized</w:t>
            </w:r>
          </w:p>
        </w:tc>
        <w:tc>
          <w:tcPr>
            <w:tcW w:w="560" w:type="dxa"/>
            <w:vAlign w:val="bottom"/>
            <w:tcBorders>
              <w:right w:val="single" w:sz="8" w:color="E8EAEB"/>
            </w:tcBorders>
          </w:tcPr>
          <w:p>
            <w:pPr>
              <w:spacing w:after="0"/>
              <w:rPr>
                <w:sz w:val="13"/>
                <w:szCs w:val="13"/>
                <w:color w:val="auto"/>
              </w:rPr>
            </w:pPr>
          </w:p>
        </w:tc>
        <w:tc>
          <w:tcPr>
            <w:tcW w:w="1420" w:type="dxa"/>
            <w:vAlign w:val="bottom"/>
            <w:tcBorders>
              <w:right w:val="single" w:sz="8" w:color="E8EAEB"/>
            </w:tcBorders>
          </w:tcPr>
          <w:p>
            <w:pPr>
              <w:jc w:val="center"/>
              <w:spacing w:after="0" w:line="156" w:lineRule="exact"/>
              <w:rPr>
                <w:sz w:val="20"/>
                <w:szCs w:val="20"/>
                <w:color w:val="auto"/>
              </w:rPr>
            </w:pPr>
            <w:r>
              <w:rPr>
                <w:rFonts w:ascii="Arial" w:cs="Arial" w:eastAsia="Arial" w:hAnsi="Arial"/>
                <w:sz w:val="14"/>
                <w:szCs w:val="14"/>
                <w:b w:val="1"/>
                <w:bCs w:val="1"/>
                <w:color w:val="009FE3"/>
              </w:rPr>
              <w:t>Number of Shares</w:t>
            </w:r>
          </w:p>
        </w:tc>
        <w:tc>
          <w:tcPr>
            <w:tcW w:w="1320" w:type="dxa"/>
            <w:vAlign w:val="bottom"/>
          </w:tcPr>
          <w:p>
            <w:pPr>
              <w:jc w:val="center"/>
              <w:spacing w:after="0" w:line="156" w:lineRule="exact"/>
              <w:rPr>
                <w:sz w:val="20"/>
                <w:szCs w:val="20"/>
                <w:color w:val="auto"/>
              </w:rPr>
            </w:pPr>
            <w:r>
              <w:rPr>
                <w:rFonts w:ascii="Arial" w:cs="Arial" w:eastAsia="Arial" w:hAnsi="Arial"/>
                <w:sz w:val="14"/>
                <w:szCs w:val="14"/>
                <w:b w:val="1"/>
                <w:bCs w:val="1"/>
                <w:color w:val="009FE3"/>
              </w:rPr>
              <w:t>Value Realized on</w:t>
            </w:r>
          </w:p>
        </w:tc>
      </w:tr>
      <w:tr>
        <w:trPr>
          <w:trHeight w:val="162"/>
        </w:trPr>
        <w:tc>
          <w:tcPr>
            <w:tcW w:w="5220" w:type="dxa"/>
            <w:vAlign w:val="bottom"/>
            <w:tcBorders>
              <w:right w:val="single" w:sz="8" w:color="E8EAEB"/>
            </w:tcBorders>
          </w:tcPr>
          <w:p>
            <w:pPr>
              <w:spacing w:after="0"/>
              <w:rPr>
                <w:sz w:val="14"/>
                <w:szCs w:val="14"/>
                <w:color w:val="auto"/>
              </w:rPr>
            </w:pP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Exercise</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on Exercise</w:t>
            </w:r>
          </w:p>
        </w:tc>
        <w:tc>
          <w:tcPr>
            <w:tcW w:w="560" w:type="dxa"/>
            <w:vAlign w:val="bottom"/>
            <w:tcBorders>
              <w:right w:val="single" w:sz="8" w:color="E8EAEB"/>
            </w:tcBorders>
          </w:tcPr>
          <w:p>
            <w:pPr>
              <w:spacing w:after="0"/>
              <w:rPr>
                <w:sz w:val="14"/>
                <w:szCs w:val="14"/>
                <w:color w:val="auto"/>
              </w:rPr>
            </w:pP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Vesting</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9FE3"/>
                <w:w w:val="98"/>
              </w:rPr>
              <w:t>Vesting</w:t>
            </w:r>
          </w:p>
        </w:tc>
      </w:tr>
      <w:tr>
        <w:trPr>
          <w:trHeight w:val="204"/>
        </w:trPr>
        <w:tc>
          <w:tcPr>
            <w:tcW w:w="522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560" w:type="dxa"/>
            <w:vAlign w:val="bottom"/>
            <w:tcBorders>
              <w:right w:val="single" w:sz="8" w:color="E8EAEB"/>
            </w:tcBorders>
          </w:tcPr>
          <w:p>
            <w:pPr>
              <w:spacing w:after="0"/>
              <w:rPr>
                <w:sz w:val="17"/>
                <w:szCs w:val="17"/>
                <w:color w:val="auto"/>
              </w:rPr>
            </w:pPr>
          </w:p>
        </w:tc>
        <w:tc>
          <w:tcPr>
            <w:tcW w:w="14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9FE3"/>
                <w:w w:val="99"/>
              </w:rPr>
              <w:t>($) (1)</w:t>
            </w:r>
          </w:p>
        </w:tc>
      </w:tr>
      <w:tr>
        <w:trPr>
          <w:trHeight w:val="39"/>
        </w:trPr>
        <w:tc>
          <w:tcPr>
            <w:tcW w:w="522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right w:val="single" w:sz="8" w:color="E8EAEB"/>
            </w:tcBorders>
          </w:tcPr>
          <w:p>
            <w:pPr>
              <w:spacing w:after="0"/>
              <w:rPr>
                <w:sz w:val="3"/>
                <w:szCs w:val="3"/>
                <w:color w:val="auto"/>
              </w:rPr>
            </w:pPr>
          </w:p>
        </w:tc>
        <w:tc>
          <w:tcPr>
            <w:tcW w:w="1020" w:type="dxa"/>
            <w:vAlign w:val="bottom"/>
            <w:tcBorders>
              <w:bottom w:val="single" w:sz="8" w:color="009FE3"/>
              <w:right w:val="single" w:sz="8" w:color="E8EAEB"/>
            </w:tcBorders>
          </w:tcPr>
          <w:p>
            <w:pPr>
              <w:spacing w:after="0"/>
              <w:rPr>
                <w:sz w:val="3"/>
                <w:szCs w:val="3"/>
                <w:color w:val="auto"/>
              </w:rPr>
            </w:pPr>
          </w:p>
        </w:tc>
        <w:tc>
          <w:tcPr>
            <w:tcW w:w="560" w:type="dxa"/>
            <w:vAlign w:val="bottom"/>
            <w:tcBorders>
              <w:bottom w:val="single" w:sz="8" w:color="009FE3"/>
              <w:right w:val="single" w:sz="8" w:color="E8EAEB"/>
            </w:tcBorders>
          </w:tcPr>
          <w:p>
            <w:pPr>
              <w:spacing w:after="0"/>
              <w:rPr>
                <w:sz w:val="3"/>
                <w:szCs w:val="3"/>
                <w:color w:val="auto"/>
              </w:rPr>
            </w:pPr>
          </w:p>
        </w:tc>
        <w:tc>
          <w:tcPr>
            <w:tcW w:w="1420" w:type="dxa"/>
            <w:vAlign w:val="bottom"/>
            <w:tcBorders>
              <w:bottom w:val="single" w:sz="8" w:color="009FE3"/>
              <w:right w:val="single" w:sz="8" w:color="E8EAEB"/>
            </w:tcBorders>
          </w:tcPr>
          <w:p>
            <w:pPr>
              <w:spacing w:after="0"/>
              <w:rPr>
                <w:sz w:val="3"/>
                <w:szCs w:val="3"/>
                <w:color w:val="auto"/>
              </w:rPr>
            </w:pPr>
          </w:p>
        </w:tc>
        <w:tc>
          <w:tcPr>
            <w:tcW w:w="1320" w:type="dxa"/>
            <w:vAlign w:val="bottom"/>
            <w:tcBorders>
              <w:bottom w:val="single" w:sz="8" w:color="009FE3"/>
            </w:tcBorders>
          </w:tcPr>
          <w:p>
            <w:pPr>
              <w:spacing w:after="0"/>
              <w:rPr>
                <w:sz w:val="3"/>
                <w:szCs w:val="3"/>
                <w:color w:val="auto"/>
              </w:rPr>
            </w:pPr>
          </w:p>
        </w:tc>
      </w:tr>
      <w:tr>
        <w:trPr>
          <w:trHeight w:val="244"/>
        </w:trPr>
        <w:tc>
          <w:tcPr>
            <w:tcW w:w="5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8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w:t>
            </w:r>
          </w:p>
        </w:tc>
        <w:tc>
          <w:tcPr>
            <w:tcW w:w="1020" w:type="dxa"/>
            <w:vAlign w:val="bottom"/>
            <w:tcBorders>
              <w:bottom w:val="single" w:sz="8" w:color="E8EAEB"/>
              <w:right w:val="single" w:sz="8" w:color="E8EAEB"/>
            </w:tcBorders>
          </w:tcPr>
          <w:p>
            <w:pPr>
              <w:ind w:left="380"/>
              <w:spacing w:after="0"/>
              <w:rPr>
                <w:sz w:val="20"/>
                <w:szCs w:val="20"/>
                <w:color w:val="auto"/>
              </w:rPr>
            </w:pPr>
            <w:r>
              <w:rPr>
                <w:rFonts w:ascii="Arial" w:cs="Arial" w:eastAsia="Arial" w:hAnsi="Arial"/>
                <w:sz w:val="16"/>
                <w:szCs w:val="16"/>
                <w:color w:val="202E39"/>
              </w:rPr>
              <w:t>—</w:t>
            </w:r>
          </w:p>
        </w:tc>
        <w:tc>
          <w:tcPr>
            <w:tcW w:w="560" w:type="dxa"/>
            <w:vAlign w:val="bottom"/>
            <w:tcBorders>
              <w:bottom w:val="single" w:sz="8" w:color="E8EAEB"/>
              <w:right w:val="single" w:sz="8" w:color="E8EAEB"/>
            </w:tcBorders>
          </w:tcPr>
          <w:p>
            <w:pPr>
              <w:spacing w:after="0"/>
              <w:rPr>
                <w:sz w:val="21"/>
                <w:szCs w:val="21"/>
                <w:color w:val="auto"/>
              </w:rPr>
            </w:pPr>
          </w:p>
        </w:tc>
        <w:tc>
          <w:tcPr>
            <w:tcW w:w="14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37,943</w:t>
            </w:r>
          </w:p>
        </w:tc>
        <w:tc>
          <w:tcPr>
            <w:tcW w:w="1320" w:type="dxa"/>
            <w:vAlign w:val="bottom"/>
            <w:tcBorders>
              <w:bottom w:val="single" w:sz="8" w:color="E8EAEB"/>
            </w:tcBorders>
          </w:tcPr>
          <w:p>
            <w:pPr>
              <w:jc w:val="right"/>
              <w:ind w:right="202"/>
              <w:spacing w:after="0"/>
              <w:rPr>
                <w:sz w:val="20"/>
                <w:szCs w:val="20"/>
                <w:color w:val="auto"/>
              </w:rPr>
            </w:pPr>
            <w:r>
              <w:rPr>
                <w:rFonts w:ascii="Arial" w:cs="Arial" w:eastAsia="Arial" w:hAnsi="Arial"/>
                <w:sz w:val="16"/>
                <w:szCs w:val="16"/>
                <w:color w:val="202E39"/>
              </w:rPr>
              <w:t>1,302,006</w:t>
            </w:r>
          </w:p>
        </w:tc>
      </w:tr>
      <w:tr>
        <w:trPr>
          <w:trHeight w:val="250"/>
        </w:trPr>
        <w:tc>
          <w:tcPr>
            <w:tcW w:w="5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8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w:t>
            </w:r>
          </w:p>
        </w:tc>
        <w:tc>
          <w:tcPr>
            <w:tcW w:w="1020" w:type="dxa"/>
            <w:vAlign w:val="bottom"/>
            <w:tcBorders>
              <w:bottom w:val="single" w:sz="8" w:color="E8EAEB"/>
              <w:right w:val="single" w:sz="8" w:color="E8EAEB"/>
            </w:tcBorders>
          </w:tcPr>
          <w:p>
            <w:pPr>
              <w:ind w:left="380"/>
              <w:spacing w:after="0"/>
              <w:rPr>
                <w:sz w:val="20"/>
                <w:szCs w:val="20"/>
                <w:color w:val="auto"/>
              </w:rPr>
            </w:pPr>
            <w:r>
              <w:rPr>
                <w:rFonts w:ascii="Arial" w:cs="Arial" w:eastAsia="Arial" w:hAnsi="Arial"/>
                <w:sz w:val="16"/>
                <w:szCs w:val="16"/>
                <w:color w:val="202E39"/>
              </w:rPr>
              <w:t>—</w:t>
            </w:r>
          </w:p>
        </w:tc>
        <w:tc>
          <w:tcPr>
            <w:tcW w:w="560" w:type="dxa"/>
            <w:vAlign w:val="bottom"/>
            <w:tcBorders>
              <w:bottom w:val="single" w:sz="8" w:color="E8EAEB"/>
              <w:right w:val="single" w:sz="8" w:color="E8EAEB"/>
            </w:tcBorders>
          </w:tcPr>
          <w:p>
            <w:pPr>
              <w:spacing w:after="0"/>
              <w:rPr>
                <w:sz w:val="21"/>
                <w:szCs w:val="21"/>
                <w:color w:val="auto"/>
              </w:rPr>
            </w:pPr>
          </w:p>
        </w:tc>
        <w:tc>
          <w:tcPr>
            <w:tcW w:w="14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50,227</w:t>
            </w:r>
          </w:p>
        </w:tc>
        <w:tc>
          <w:tcPr>
            <w:tcW w:w="1320" w:type="dxa"/>
            <w:vAlign w:val="bottom"/>
            <w:tcBorders>
              <w:bottom w:val="single" w:sz="8" w:color="E8EAEB"/>
            </w:tcBorders>
          </w:tcPr>
          <w:p>
            <w:pPr>
              <w:jc w:val="right"/>
              <w:ind w:right="202"/>
              <w:spacing w:after="0"/>
              <w:rPr>
                <w:sz w:val="20"/>
                <w:szCs w:val="20"/>
                <w:color w:val="auto"/>
              </w:rPr>
            </w:pPr>
            <w:r>
              <w:rPr>
                <w:rFonts w:ascii="Arial" w:cs="Arial" w:eastAsia="Arial" w:hAnsi="Arial"/>
                <w:sz w:val="16"/>
                <w:szCs w:val="16"/>
                <w:color w:val="202E39"/>
              </w:rPr>
              <w:t>1,728,156</w:t>
            </w:r>
          </w:p>
        </w:tc>
      </w:tr>
      <w:tr>
        <w:trPr>
          <w:trHeight w:val="250"/>
        </w:trPr>
        <w:tc>
          <w:tcPr>
            <w:tcW w:w="5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8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w:t>
            </w:r>
          </w:p>
        </w:tc>
        <w:tc>
          <w:tcPr>
            <w:tcW w:w="1020" w:type="dxa"/>
            <w:vAlign w:val="bottom"/>
            <w:tcBorders>
              <w:bottom w:val="single" w:sz="8" w:color="E8EAEB"/>
              <w:right w:val="single" w:sz="8" w:color="E8EAEB"/>
            </w:tcBorders>
          </w:tcPr>
          <w:p>
            <w:pPr>
              <w:ind w:left="380"/>
              <w:spacing w:after="0"/>
              <w:rPr>
                <w:sz w:val="20"/>
                <w:szCs w:val="20"/>
                <w:color w:val="auto"/>
              </w:rPr>
            </w:pPr>
            <w:r>
              <w:rPr>
                <w:rFonts w:ascii="Arial" w:cs="Arial" w:eastAsia="Arial" w:hAnsi="Arial"/>
                <w:sz w:val="16"/>
                <w:szCs w:val="16"/>
                <w:color w:val="202E39"/>
              </w:rPr>
              <w:t>—</w:t>
            </w:r>
          </w:p>
        </w:tc>
        <w:tc>
          <w:tcPr>
            <w:tcW w:w="560" w:type="dxa"/>
            <w:vAlign w:val="bottom"/>
            <w:tcBorders>
              <w:bottom w:val="single" w:sz="8" w:color="E8EAEB"/>
              <w:right w:val="single" w:sz="8" w:color="E8EAEB"/>
            </w:tcBorders>
          </w:tcPr>
          <w:p>
            <w:pPr>
              <w:spacing w:after="0"/>
              <w:rPr>
                <w:sz w:val="21"/>
                <w:szCs w:val="21"/>
                <w:color w:val="auto"/>
              </w:rPr>
            </w:pPr>
          </w:p>
        </w:tc>
        <w:tc>
          <w:tcPr>
            <w:tcW w:w="14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12,267</w:t>
            </w:r>
          </w:p>
        </w:tc>
        <w:tc>
          <w:tcPr>
            <w:tcW w:w="1320" w:type="dxa"/>
            <w:vAlign w:val="bottom"/>
            <w:tcBorders>
              <w:bottom w:val="single" w:sz="8" w:color="E8EAEB"/>
            </w:tcBorders>
          </w:tcPr>
          <w:p>
            <w:pPr>
              <w:jc w:val="right"/>
              <w:ind w:right="202"/>
              <w:spacing w:after="0"/>
              <w:rPr>
                <w:sz w:val="20"/>
                <w:szCs w:val="20"/>
                <w:color w:val="auto"/>
              </w:rPr>
            </w:pPr>
            <w:r>
              <w:rPr>
                <w:rFonts w:ascii="Arial" w:cs="Arial" w:eastAsia="Arial" w:hAnsi="Arial"/>
                <w:sz w:val="16"/>
                <w:szCs w:val="16"/>
                <w:color w:val="202E39"/>
              </w:rPr>
              <w:t>419,597</w:t>
            </w:r>
          </w:p>
        </w:tc>
      </w:tr>
      <w:tr>
        <w:trPr>
          <w:trHeight w:val="250"/>
        </w:trPr>
        <w:tc>
          <w:tcPr>
            <w:tcW w:w="5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148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w:t>
            </w:r>
          </w:p>
        </w:tc>
        <w:tc>
          <w:tcPr>
            <w:tcW w:w="1020" w:type="dxa"/>
            <w:vAlign w:val="bottom"/>
            <w:tcBorders>
              <w:bottom w:val="single" w:sz="8" w:color="E8EAEB"/>
              <w:right w:val="single" w:sz="8" w:color="E8EAEB"/>
            </w:tcBorders>
          </w:tcPr>
          <w:p>
            <w:pPr>
              <w:ind w:left="380"/>
              <w:spacing w:after="0"/>
              <w:rPr>
                <w:sz w:val="20"/>
                <w:szCs w:val="20"/>
                <w:color w:val="auto"/>
              </w:rPr>
            </w:pPr>
            <w:r>
              <w:rPr>
                <w:rFonts w:ascii="Arial" w:cs="Arial" w:eastAsia="Arial" w:hAnsi="Arial"/>
                <w:sz w:val="16"/>
                <w:szCs w:val="16"/>
                <w:color w:val="202E39"/>
              </w:rPr>
              <w:t>—</w:t>
            </w:r>
          </w:p>
        </w:tc>
        <w:tc>
          <w:tcPr>
            <w:tcW w:w="560" w:type="dxa"/>
            <w:vAlign w:val="bottom"/>
            <w:tcBorders>
              <w:bottom w:val="single" w:sz="8" w:color="E8EAEB"/>
              <w:right w:val="single" w:sz="8" w:color="E8EAEB"/>
            </w:tcBorders>
          </w:tcPr>
          <w:p>
            <w:pPr>
              <w:spacing w:after="0"/>
              <w:rPr>
                <w:sz w:val="21"/>
                <w:szCs w:val="21"/>
                <w:color w:val="auto"/>
              </w:rPr>
            </w:pPr>
          </w:p>
        </w:tc>
        <w:tc>
          <w:tcPr>
            <w:tcW w:w="1420" w:type="dxa"/>
            <w:vAlign w:val="bottom"/>
            <w:tcBorders>
              <w:bottom w:val="single" w:sz="8" w:color="E8EAEB"/>
              <w:right w:val="single" w:sz="8" w:color="E8EAEB"/>
            </w:tcBorders>
          </w:tcPr>
          <w:p>
            <w:pPr>
              <w:ind w:left="70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E8EAEB"/>
            </w:tcBorders>
          </w:tcPr>
          <w:p>
            <w:pPr>
              <w:jc w:val="right"/>
              <w:ind w:right="282"/>
              <w:spacing w:after="0"/>
              <w:rPr>
                <w:sz w:val="20"/>
                <w:szCs w:val="20"/>
                <w:color w:val="auto"/>
              </w:rPr>
            </w:pPr>
            <w:r>
              <w:rPr>
                <w:rFonts w:ascii="Arial" w:cs="Arial" w:eastAsia="Arial" w:hAnsi="Arial"/>
                <w:sz w:val="16"/>
                <w:szCs w:val="16"/>
                <w:color w:val="202E39"/>
              </w:rPr>
              <w:t>—</w:t>
            </w:r>
          </w:p>
        </w:tc>
      </w:tr>
      <w:tr>
        <w:trPr>
          <w:trHeight w:val="290"/>
        </w:trPr>
        <w:tc>
          <w:tcPr>
            <w:tcW w:w="52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80" w:type="dxa"/>
            <w:vAlign w:val="bottom"/>
            <w:tcBorders>
              <w:bottom w:val="single" w:sz="8" w:color="E8EAEB"/>
              <w:right w:val="single" w:sz="8" w:color="E8EAEB"/>
            </w:tcBorders>
          </w:tcPr>
          <w:p>
            <w:pPr>
              <w:ind w:left="600"/>
              <w:spacing w:after="0"/>
              <w:rPr>
                <w:sz w:val="20"/>
                <w:szCs w:val="20"/>
                <w:color w:val="auto"/>
              </w:rPr>
            </w:pPr>
            <w:r>
              <w:rPr>
                <w:rFonts w:ascii="Arial" w:cs="Arial" w:eastAsia="Arial" w:hAnsi="Arial"/>
                <w:sz w:val="16"/>
                <w:szCs w:val="16"/>
                <w:color w:val="202E39"/>
              </w:rPr>
              <w:t>—</w:t>
            </w:r>
          </w:p>
        </w:tc>
        <w:tc>
          <w:tcPr>
            <w:tcW w:w="1020" w:type="dxa"/>
            <w:vAlign w:val="bottom"/>
            <w:tcBorders>
              <w:bottom w:val="single" w:sz="8" w:color="E8EAEB"/>
              <w:right w:val="single" w:sz="8" w:color="E8EAEB"/>
            </w:tcBorders>
          </w:tcPr>
          <w:p>
            <w:pPr>
              <w:ind w:left="380"/>
              <w:spacing w:after="0"/>
              <w:rPr>
                <w:sz w:val="20"/>
                <w:szCs w:val="20"/>
                <w:color w:val="auto"/>
              </w:rPr>
            </w:pPr>
            <w:r>
              <w:rPr>
                <w:rFonts w:ascii="Arial" w:cs="Arial" w:eastAsia="Arial" w:hAnsi="Arial"/>
                <w:sz w:val="16"/>
                <w:szCs w:val="16"/>
                <w:color w:val="202E39"/>
              </w:rPr>
              <w:t>—</w:t>
            </w:r>
          </w:p>
        </w:tc>
        <w:tc>
          <w:tcPr>
            <w:tcW w:w="560" w:type="dxa"/>
            <w:vAlign w:val="bottom"/>
            <w:tcBorders>
              <w:bottom w:val="single" w:sz="8" w:color="E8EAEB"/>
              <w:right w:val="single" w:sz="8" w:color="E8EAEB"/>
            </w:tcBorders>
          </w:tcPr>
          <w:p>
            <w:pPr>
              <w:spacing w:after="0"/>
              <w:rPr>
                <w:sz w:val="24"/>
                <w:szCs w:val="24"/>
                <w:color w:val="auto"/>
              </w:rPr>
            </w:pPr>
          </w:p>
        </w:tc>
        <w:tc>
          <w:tcPr>
            <w:tcW w:w="142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w w:val="98"/>
              </w:rPr>
              <w:t>12,637</w:t>
            </w:r>
          </w:p>
        </w:tc>
        <w:tc>
          <w:tcPr>
            <w:tcW w:w="1320" w:type="dxa"/>
            <w:vAlign w:val="bottom"/>
            <w:tcBorders>
              <w:bottom w:val="single" w:sz="8" w:color="E8EAEB"/>
            </w:tcBorders>
          </w:tcPr>
          <w:p>
            <w:pPr>
              <w:jc w:val="right"/>
              <w:ind w:right="202"/>
              <w:spacing w:after="0"/>
              <w:rPr>
                <w:sz w:val="20"/>
                <w:szCs w:val="20"/>
                <w:color w:val="auto"/>
              </w:rPr>
            </w:pPr>
            <w:r>
              <w:rPr>
                <w:rFonts w:ascii="Arial" w:cs="Arial" w:eastAsia="Arial" w:hAnsi="Arial"/>
                <w:sz w:val="16"/>
                <w:szCs w:val="16"/>
                <w:color w:val="202E39"/>
              </w:rPr>
              <w:t>429,642</w:t>
            </w:r>
          </w:p>
        </w:tc>
      </w:tr>
      <w:tr>
        <w:trPr>
          <w:trHeight w:val="210"/>
        </w:trPr>
        <w:tc>
          <w:tcPr>
            <w:tcW w:w="52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480" w:type="dxa"/>
            <w:vAlign w:val="bottom"/>
            <w:tcBorders>
              <w:bottom w:val="single" w:sz="8" w:color="009FE3"/>
              <w:right w:val="single" w:sz="8" w:color="E8EAEB"/>
            </w:tcBorders>
          </w:tcPr>
          <w:p>
            <w:pPr>
              <w:ind w:left="600"/>
              <w:spacing w:after="0"/>
              <w:rPr>
                <w:sz w:val="20"/>
                <w:szCs w:val="20"/>
                <w:color w:val="auto"/>
              </w:rPr>
            </w:pPr>
            <w:r>
              <w:rPr>
                <w:rFonts w:ascii="Arial" w:cs="Arial" w:eastAsia="Arial" w:hAnsi="Arial"/>
                <w:sz w:val="16"/>
                <w:szCs w:val="16"/>
                <w:color w:val="202E39"/>
              </w:rPr>
              <w:t>—</w:t>
            </w:r>
          </w:p>
        </w:tc>
        <w:tc>
          <w:tcPr>
            <w:tcW w:w="1020" w:type="dxa"/>
            <w:vAlign w:val="bottom"/>
            <w:tcBorders>
              <w:bottom w:val="single" w:sz="8" w:color="009FE3"/>
              <w:right w:val="single" w:sz="8" w:color="E8EAEB"/>
            </w:tcBorders>
          </w:tcPr>
          <w:p>
            <w:pPr>
              <w:ind w:left="380"/>
              <w:spacing w:after="0"/>
              <w:rPr>
                <w:sz w:val="20"/>
                <w:szCs w:val="20"/>
                <w:color w:val="auto"/>
              </w:rPr>
            </w:pPr>
            <w:r>
              <w:rPr>
                <w:rFonts w:ascii="Arial" w:cs="Arial" w:eastAsia="Arial" w:hAnsi="Arial"/>
                <w:sz w:val="16"/>
                <w:szCs w:val="16"/>
                <w:color w:val="202E39"/>
              </w:rPr>
              <w:t>—</w:t>
            </w:r>
          </w:p>
        </w:tc>
        <w:tc>
          <w:tcPr>
            <w:tcW w:w="560" w:type="dxa"/>
            <w:vAlign w:val="bottom"/>
            <w:tcBorders>
              <w:bottom w:val="single" w:sz="8" w:color="009FE3"/>
              <w:right w:val="single" w:sz="8" w:color="E8EAEB"/>
            </w:tcBorders>
          </w:tcPr>
          <w:p>
            <w:pPr>
              <w:spacing w:after="0"/>
              <w:rPr>
                <w:sz w:val="18"/>
                <w:szCs w:val="18"/>
                <w:color w:val="auto"/>
              </w:rPr>
            </w:pPr>
          </w:p>
        </w:tc>
        <w:tc>
          <w:tcPr>
            <w:tcW w:w="14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w w:val="98"/>
              </w:rPr>
              <w:t>10,980</w:t>
            </w:r>
          </w:p>
        </w:tc>
        <w:tc>
          <w:tcPr>
            <w:tcW w:w="1320" w:type="dxa"/>
            <w:vAlign w:val="bottom"/>
            <w:tcBorders>
              <w:bottom w:val="single" w:sz="8" w:color="009FE3"/>
            </w:tcBorders>
          </w:tcPr>
          <w:p>
            <w:pPr>
              <w:jc w:val="right"/>
              <w:ind w:right="202"/>
              <w:spacing w:after="0"/>
              <w:rPr>
                <w:sz w:val="20"/>
                <w:szCs w:val="20"/>
                <w:color w:val="auto"/>
              </w:rPr>
            </w:pPr>
            <w:r>
              <w:rPr>
                <w:rFonts w:ascii="Arial" w:cs="Arial" w:eastAsia="Arial" w:hAnsi="Arial"/>
                <w:sz w:val="16"/>
                <w:szCs w:val="16"/>
                <w:color w:val="202E39"/>
              </w:rPr>
              <w:t>377,550</w:t>
            </w:r>
          </w:p>
        </w:tc>
      </w:tr>
    </w:tbl>
    <w:p>
      <w:pPr>
        <w:spacing w:after="0" w:line="126" w:lineRule="exact"/>
        <w:rPr>
          <w:sz w:val="20"/>
          <w:szCs w:val="20"/>
          <w:color w:val="auto"/>
        </w:rPr>
      </w:pPr>
    </w:p>
    <w:p>
      <w:pPr>
        <w:ind w:left="540" w:right="100" w:hanging="424"/>
        <w:spacing w:after="0" w:line="249" w:lineRule="auto"/>
        <w:tabs>
          <w:tab w:leader="none" w:pos="54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With respect to stock option exercises, the value realized equals the difference between the market price of our common stock at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Pension Benefits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None of our Named Executive Officers participates in or has account balances in qualified or non-qualified defined benefit plans sponsored by us.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Non-Qualified Deferred Compensation</w:t>
      </w:r>
    </w:p>
    <w:p>
      <w:pPr>
        <w:spacing w:after="0" w:line="14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In accordance with Section 409A of the Code, we allow our executive officers to elect to defer the timing of receipt of the shares issuable pursuant to their restricted stock unit awards. The following table sets forth information for our Named Executive Officers with respect to restricted stock units that vested but for which the underlying shares had not yet been delivered to the executive due to deferral elections made by the executives: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720" w:type="dxa"/>
            <w:vAlign w:val="bottom"/>
            <w:tcBorders>
              <w:top w:val="single" w:sz="8" w:color="E8EAEB"/>
              <w:right w:val="single" w:sz="8" w:color="E8EAEB"/>
            </w:tcBorders>
          </w:tcPr>
          <w:p>
            <w:pPr>
              <w:spacing w:after="0"/>
              <w:rPr>
                <w:sz w:val="15"/>
                <w:szCs w:val="15"/>
                <w:color w:val="auto"/>
              </w:rPr>
            </w:pPr>
          </w:p>
        </w:tc>
        <w:tc>
          <w:tcPr>
            <w:tcW w:w="9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Executive</w:t>
            </w:r>
          </w:p>
        </w:tc>
        <w:tc>
          <w:tcPr>
            <w:tcW w:w="940" w:type="dxa"/>
            <w:vAlign w:val="bottom"/>
            <w:tcBorders>
              <w:top w:val="single" w:sz="8" w:color="E8EAEB"/>
              <w:right w:val="single" w:sz="8" w:color="E8EAEB"/>
            </w:tcBorders>
          </w:tcPr>
          <w:p>
            <w:pPr>
              <w:ind w:left="100"/>
              <w:spacing w:after="0"/>
              <w:rPr>
                <w:sz w:val="20"/>
                <w:szCs w:val="20"/>
                <w:color w:val="auto"/>
              </w:rPr>
            </w:pPr>
            <w:r>
              <w:rPr>
                <w:rFonts w:ascii="Arial" w:cs="Arial" w:eastAsia="Arial" w:hAnsi="Arial"/>
                <w:sz w:val="14"/>
                <w:szCs w:val="14"/>
                <w:b w:val="1"/>
                <w:bCs w:val="1"/>
                <w:color w:val="009FE3"/>
              </w:rPr>
              <w:t>Registrant</w:t>
            </w:r>
          </w:p>
        </w:tc>
        <w:tc>
          <w:tcPr>
            <w:tcW w:w="13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940" w:type="dxa"/>
            <w:vAlign w:val="bottom"/>
            <w:tcBorders>
              <w:top w:val="single" w:sz="8" w:color="E8EAEB"/>
              <w:right w:val="single" w:sz="8" w:color="E8EAEB"/>
            </w:tcBorders>
          </w:tcPr>
          <w:p>
            <w:pPr>
              <w:spacing w:after="0"/>
              <w:rPr>
                <w:sz w:val="15"/>
                <w:szCs w:val="15"/>
                <w:color w:val="auto"/>
              </w:rPr>
            </w:pPr>
          </w:p>
        </w:tc>
        <w:tc>
          <w:tcPr>
            <w:tcW w:w="114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0" w:type="dxa"/>
            <w:vAlign w:val="bottom"/>
          </w:tcPr>
          <w:p>
            <w:pPr>
              <w:spacing w:after="0"/>
              <w:rPr>
                <w:sz w:val="1"/>
                <w:szCs w:val="1"/>
                <w:color w:val="auto"/>
              </w:rPr>
            </w:pPr>
          </w:p>
        </w:tc>
      </w:tr>
      <w:tr>
        <w:trPr>
          <w:trHeight w:val="162"/>
        </w:trPr>
        <w:tc>
          <w:tcPr>
            <w:tcW w:w="5720" w:type="dxa"/>
            <w:vAlign w:val="bottom"/>
            <w:tcBorders>
              <w:right w:val="single" w:sz="8" w:color="E8EAEB"/>
            </w:tcBorders>
          </w:tcPr>
          <w:p>
            <w:pPr>
              <w:spacing w:after="0"/>
              <w:rPr>
                <w:sz w:val="14"/>
                <w:szCs w:val="14"/>
                <w:color w:val="auto"/>
              </w:rPr>
            </w:pP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Contributions</w:t>
            </w:r>
          </w:p>
        </w:tc>
        <w:tc>
          <w:tcPr>
            <w:tcW w:w="940" w:type="dxa"/>
            <w:vAlign w:val="bottom"/>
            <w:tcBorders>
              <w:right w:val="single" w:sz="8" w:color="E8EAEB"/>
            </w:tcBorders>
          </w:tcPr>
          <w:p>
            <w:pPr>
              <w:spacing w:after="0"/>
              <w:rPr>
                <w:sz w:val="20"/>
                <w:szCs w:val="20"/>
                <w:color w:val="auto"/>
              </w:rPr>
            </w:pPr>
            <w:r>
              <w:rPr>
                <w:rFonts w:ascii="Arial" w:cs="Arial" w:eastAsia="Arial" w:hAnsi="Arial"/>
                <w:sz w:val="14"/>
                <w:szCs w:val="14"/>
                <w:b w:val="1"/>
                <w:bCs w:val="1"/>
                <w:color w:val="009FE3"/>
                <w:w w:val="98"/>
              </w:rPr>
              <w:t>Contributions</w:t>
            </w:r>
          </w:p>
        </w:tc>
        <w:tc>
          <w:tcPr>
            <w:tcW w:w="13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Earnings (Losses)</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FE3"/>
              </w:rPr>
              <w:t>Balance at</w:t>
            </w:r>
          </w:p>
        </w:tc>
        <w:tc>
          <w:tcPr>
            <w:tcW w:w="0" w:type="dxa"/>
            <w:vAlign w:val="bottom"/>
          </w:tcPr>
          <w:p>
            <w:pPr>
              <w:spacing w:after="0"/>
              <w:rPr>
                <w:sz w:val="1"/>
                <w:szCs w:val="1"/>
                <w:color w:val="auto"/>
              </w:rPr>
            </w:pPr>
          </w:p>
        </w:tc>
      </w:tr>
      <w:tr>
        <w:trPr>
          <w:trHeight w:val="162"/>
        </w:trPr>
        <w:tc>
          <w:tcPr>
            <w:tcW w:w="5720" w:type="dxa"/>
            <w:vAlign w:val="bottom"/>
            <w:tcBorders>
              <w:right w:val="single" w:sz="8" w:color="E8EAEB"/>
            </w:tcBorders>
          </w:tcPr>
          <w:p>
            <w:pPr>
              <w:spacing w:after="0"/>
              <w:rPr>
                <w:sz w:val="14"/>
                <w:szCs w:val="14"/>
                <w:color w:val="auto"/>
              </w:rPr>
            </w:pPr>
          </w:p>
        </w:tc>
        <w:tc>
          <w:tcPr>
            <w:tcW w:w="9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 Fiscal Year</w:t>
            </w:r>
          </w:p>
        </w:tc>
        <w:tc>
          <w:tcPr>
            <w:tcW w:w="940" w:type="dxa"/>
            <w:vAlign w:val="bottom"/>
            <w:tcBorders>
              <w:right w:val="single" w:sz="8" w:color="E8EAEB"/>
            </w:tcBorders>
          </w:tcPr>
          <w:p>
            <w:pPr>
              <w:spacing w:after="0"/>
              <w:rPr>
                <w:sz w:val="20"/>
                <w:szCs w:val="20"/>
                <w:color w:val="auto"/>
              </w:rPr>
            </w:pPr>
            <w:r>
              <w:rPr>
                <w:rFonts w:ascii="Arial" w:cs="Arial" w:eastAsia="Arial" w:hAnsi="Arial"/>
                <w:sz w:val="14"/>
                <w:szCs w:val="14"/>
                <w:b w:val="1"/>
                <w:bCs w:val="1"/>
                <w:color w:val="009FE3"/>
                <w:w w:val="99"/>
              </w:rPr>
              <w:t>in Fiscal Year</w:t>
            </w:r>
          </w:p>
        </w:tc>
        <w:tc>
          <w:tcPr>
            <w:tcW w:w="13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 Fiscal Year</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Withdrawals /</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FE3"/>
              </w:rPr>
              <w:t>2021 Fiscal</w:t>
            </w:r>
          </w:p>
        </w:tc>
        <w:tc>
          <w:tcPr>
            <w:tcW w:w="0" w:type="dxa"/>
            <w:vAlign w:val="bottom"/>
          </w:tcPr>
          <w:p>
            <w:pPr>
              <w:spacing w:after="0"/>
              <w:rPr>
                <w:sz w:val="1"/>
                <w:szCs w:val="1"/>
                <w:color w:val="auto"/>
              </w:rPr>
            </w:pPr>
          </w:p>
        </w:tc>
      </w:tr>
      <w:tr>
        <w:trPr>
          <w:trHeight w:val="162"/>
        </w:trPr>
        <w:tc>
          <w:tcPr>
            <w:tcW w:w="572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Name</w:t>
            </w:r>
          </w:p>
        </w:tc>
        <w:tc>
          <w:tcPr>
            <w:tcW w:w="960" w:type="dxa"/>
            <w:vAlign w:val="bottom"/>
            <w:tcBorders>
              <w:right w:val="single" w:sz="8" w:color="E8EAEB"/>
            </w:tcBorders>
          </w:tcPr>
          <w:p>
            <w:pPr>
              <w:jc w:val="right"/>
              <w:ind w:right="263"/>
              <w:spacing w:after="0"/>
              <w:rPr>
                <w:sz w:val="20"/>
                <w:szCs w:val="20"/>
                <w:color w:val="auto"/>
              </w:rPr>
            </w:pPr>
            <w:r>
              <w:rPr>
                <w:rFonts w:ascii="Arial" w:cs="Arial" w:eastAsia="Arial" w:hAnsi="Arial"/>
                <w:sz w:val="14"/>
                <w:szCs w:val="14"/>
                <w:b w:val="1"/>
                <w:bCs w:val="1"/>
                <w:color w:val="009FE3"/>
              </w:rPr>
              <w:t>2021</w:t>
            </w:r>
          </w:p>
        </w:tc>
        <w:tc>
          <w:tcPr>
            <w:tcW w:w="940" w:type="dxa"/>
            <w:vAlign w:val="bottom"/>
            <w:tcBorders>
              <w:right w:val="single" w:sz="8" w:color="E8EAEB"/>
            </w:tcBorders>
          </w:tcPr>
          <w:p>
            <w:pPr>
              <w:jc w:val="right"/>
              <w:ind w:right="243"/>
              <w:spacing w:after="0"/>
              <w:rPr>
                <w:sz w:val="20"/>
                <w:szCs w:val="20"/>
                <w:color w:val="auto"/>
              </w:rPr>
            </w:pPr>
            <w:r>
              <w:rPr>
                <w:rFonts w:ascii="Arial" w:cs="Arial" w:eastAsia="Arial" w:hAnsi="Arial"/>
                <w:sz w:val="14"/>
                <w:szCs w:val="14"/>
                <w:b w:val="1"/>
                <w:bCs w:val="1"/>
                <w:color w:val="009FE3"/>
              </w:rPr>
              <w:t>2021</w:t>
            </w:r>
          </w:p>
        </w:tc>
        <w:tc>
          <w:tcPr>
            <w:tcW w:w="1320" w:type="dxa"/>
            <w:vAlign w:val="bottom"/>
            <w:tcBorders>
              <w:right w:val="single" w:sz="8" w:color="E8EAEB"/>
            </w:tcBorders>
          </w:tcPr>
          <w:p>
            <w:pPr>
              <w:jc w:val="right"/>
              <w:ind w:right="423"/>
              <w:spacing w:after="0"/>
              <w:rPr>
                <w:sz w:val="20"/>
                <w:szCs w:val="20"/>
                <w:color w:val="auto"/>
              </w:rPr>
            </w:pPr>
            <w:r>
              <w:rPr>
                <w:rFonts w:ascii="Arial" w:cs="Arial" w:eastAsia="Arial" w:hAnsi="Arial"/>
                <w:sz w:val="14"/>
                <w:szCs w:val="14"/>
                <w:b w:val="1"/>
                <w:bCs w:val="1"/>
                <w:color w:val="009FE3"/>
              </w:rPr>
              <w:t>2021</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Distributions</w:t>
            </w:r>
          </w:p>
        </w:tc>
        <w:tc>
          <w:tcPr>
            <w:tcW w:w="1140" w:type="dxa"/>
            <w:vAlign w:val="bottom"/>
          </w:tcPr>
          <w:p>
            <w:pPr>
              <w:jc w:val="right"/>
              <w:ind w:right="183"/>
              <w:spacing w:after="0"/>
              <w:rPr>
                <w:sz w:val="20"/>
                <w:szCs w:val="20"/>
                <w:color w:val="auto"/>
              </w:rPr>
            </w:pPr>
            <w:r>
              <w:rPr>
                <w:rFonts w:ascii="Arial" w:cs="Arial" w:eastAsia="Arial" w:hAnsi="Arial"/>
                <w:sz w:val="14"/>
                <w:szCs w:val="14"/>
                <w:b w:val="1"/>
                <w:bCs w:val="1"/>
                <w:color w:val="009FE3"/>
              </w:rPr>
              <w:t>Year End</w:t>
            </w:r>
          </w:p>
        </w:tc>
        <w:tc>
          <w:tcPr>
            <w:tcW w:w="0" w:type="dxa"/>
            <w:vAlign w:val="bottom"/>
          </w:tcPr>
          <w:p>
            <w:pPr>
              <w:spacing w:after="0"/>
              <w:rPr>
                <w:sz w:val="1"/>
                <w:szCs w:val="1"/>
                <w:color w:val="auto"/>
              </w:rPr>
            </w:pPr>
          </w:p>
        </w:tc>
      </w:tr>
      <w:tr>
        <w:trPr>
          <w:trHeight w:val="190"/>
        </w:trPr>
        <w:tc>
          <w:tcPr>
            <w:tcW w:w="5720" w:type="dxa"/>
            <w:vAlign w:val="bottom"/>
            <w:tcBorders>
              <w:right w:val="single" w:sz="8" w:color="E8EAEB"/>
            </w:tcBorders>
            <w:vMerge w:val="continue"/>
          </w:tcPr>
          <w:p>
            <w:pPr>
              <w:spacing w:after="0"/>
              <w:rPr>
                <w:sz w:val="16"/>
                <w:szCs w:val="16"/>
                <w:color w:val="auto"/>
              </w:rPr>
            </w:pPr>
          </w:p>
        </w:tc>
        <w:tc>
          <w:tcPr>
            <w:tcW w:w="960" w:type="dxa"/>
            <w:vAlign w:val="bottom"/>
            <w:tcBorders>
              <w:right w:val="single" w:sz="8" w:color="E8EAEB"/>
            </w:tcBorders>
          </w:tcPr>
          <w:p>
            <w:pPr>
              <w:jc w:val="right"/>
              <w:ind w:right="243"/>
              <w:spacing w:after="0"/>
              <w:rPr>
                <w:sz w:val="20"/>
                <w:szCs w:val="20"/>
                <w:color w:val="auto"/>
              </w:rPr>
            </w:pPr>
            <w:r>
              <w:rPr>
                <w:rFonts w:ascii="Arial" w:cs="Arial" w:eastAsia="Arial" w:hAnsi="Arial"/>
                <w:sz w:val="14"/>
                <w:szCs w:val="14"/>
                <w:b w:val="1"/>
                <w:bCs w:val="1"/>
                <w:color w:val="009FE3"/>
              </w:rPr>
              <w:t>($)(1)</w:t>
            </w:r>
          </w:p>
        </w:tc>
        <w:tc>
          <w:tcPr>
            <w:tcW w:w="940" w:type="dxa"/>
            <w:vAlign w:val="bottom"/>
            <w:tcBorders>
              <w:right w:val="single" w:sz="8" w:color="E8EAEB"/>
            </w:tcBorders>
          </w:tcPr>
          <w:p>
            <w:pPr>
              <w:jc w:val="right"/>
              <w:ind w:right="323"/>
              <w:spacing w:after="0"/>
              <w:rPr>
                <w:sz w:val="20"/>
                <w:szCs w:val="20"/>
                <w:color w:val="auto"/>
              </w:rPr>
            </w:pPr>
            <w:r>
              <w:rPr>
                <w:rFonts w:ascii="Arial" w:cs="Arial" w:eastAsia="Arial" w:hAnsi="Arial"/>
                <w:sz w:val="14"/>
                <w:szCs w:val="14"/>
                <w:b w:val="1"/>
                <w:bCs w:val="1"/>
                <w:color w:val="009FE3"/>
              </w:rPr>
              <w:t>($)</w:t>
            </w:r>
          </w:p>
        </w:tc>
        <w:tc>
          <w:tcPr>
            <w:tcW w:w="1320" w:type="dxa"/>
            <w:vAlign w:val="bottom"/>
            <w:tcBorders>
              <w:right w:val="single" w:sz="8" w:color="E8EAEB"/>
            </w:tcBorders>
          </w:tcPr>
          <w:p>
            <w:pPr>
              <w:jc w:val="right"/>
              <w:ind w:right="423"/>
              <w:spacing w:after="0"/>
              <w:rPr>
                <w:sz w:val="20"/>
                <w:szCs w:val="20"/>
                <w:color w:val="auto"/>
              </w:rPr>
            </w:pPr>
            <w:r>
              <w:rPr>
                <w:rFonts w:ascii="Arial" w:cs="Arial" w:eastAsia="Arial" w:hAnsi="Arial"/>
                <w:sz w:val="14"/>
                <w:szCs w:val="14"/>
                <w:b w:val="1"/>
                <w:bCs w:val="1"/>
                <w:color w:val="009FE3"/>
              </w:rPr>
              <w:t>($)(2)</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9FE3"/>
              </w:rPr>
              <w:t>($)(3)</w:t>
            </w:r>
          </w:p>
        </w:tc>
        <w:tc>
          <w:tcPr>
            <w:tcW w:w="0" w:type="dxa"/>
            <w:vAlign w:val="bottom"/>
          </w:tcPr>
          <w:p>
            <w:pPr>
              <w:spacing w:after="0"/>
              <w:rPr>
                <w:sz w:val="1"/>
                <w:szCs w:val="1"/>
                <w:color w:val="auto"/>
              </w:rPr>
            </w:pPr>
          </w:p>
        </w:tc>
      </w:tr>
      <w:tr>
        <w:trPr>
          <w:trHeight w:val="52"/>
        </w:trPr>
        <w:tc>
          <w:tcPr>
            <w:tcW w:w="5720" w:type="dxa"/>
            <w:vAlign w:val="bottom"/>
            <w:tcBorders>
              <w:bottom w:val="single" w:sz="8" w:color="009FE3"/>
              <w:right w:val="single" w:sz="8" w:color="E8EAEB"/>
            </w:tcBorders>
          </w:tcPr>
          <w:p>
            <w:pPr>
              <w:spacing w:after="0"/>
              <w:rPr>
                <w:sz w:val="4"/>
                <w:szCs w:val="4"/>
                <w:color w:val="auto"/>
              </w:rPr>
            </w:pPr>
          </w:p>
        </w:tc>
        <w:tc>
          <w:tcPr>
            <w:tcW w:w="960" w:type="dxa"/>
            <w:vAlign w:val="bottom"/>
            <w:tcBorders>
              <w:bottom w:val="single" w:sz="8" w:color="009FE3"/>
              <w:right w:val="single" w:sz="8" w:color="E8EAEB"/>
            </w:tcBorders>
          </w:tcPr>
          <w:p>
            <w:pPr>
              <w:spacing w:after="0"/>
              <w:rPr>
                <w:sz w:val="4"/>
                <w:szCs w:val="4"/>
                <w:color w:val="auto"/>
              </w:rPr>
            </w:pPr>
          </w:p>
        </w:tc>
        <w:tc>
          <w:tcPr>
            <w:tcW w:w="940" w:type="dxa"/>
            <w:vAlign w:val="bottom"/>
            <w:tcBorders>
              <w:bottom w:val="single" w:sz="8" w:color="009FE3"/>
              <w:right w:val="single" w:sz="8" w:color="E8EAEB"/>
            </w:tcBorders>
          </w:tcPr>
          <w:p>
            <w:pPr>
              <w:spacing w:after="0"/>
              <w:rPr>
                <w:sz w:val="4"/>
                <w:szCs w:val="4"/>
                <w:color w:val="auto"/>
              </w:rPr>
            </w:pPr>
          </w:p>
        </w:tc>
        <w:tc>
          <w:tcPr>
            <w:tcW w:w="1320" w:type="dxa"/>
            <w:vAlign w:val="bottom"/>
            <w:tcBorders>
              <w:bottom w:val="single" w:sz="8" w:color="009FE3"/>
              <w:right w:val="single" w:sz="8" w:color="E8EAEB"/>
            </w:tcBorders>
          </w:tcPr>
          <w:p>
            <w:pPr>
              <w:spacing w:after="0"/>
              <w:rPr>
                <w:sz w:val="4"/>
                <w:szCs w:val="4"/>
                <w:color w:val="auto"/>
              </w:rPr>
            </w:pPr>
          </w:p>
        </w:tc>
        <w:tc>
          <w:tcPr>
            <w:tcW w:w="940" w:type="dxa"/>
            <w:vAlign w:val="bottom"/>
            <w:tcBorders>
              <w:bottom w:val="single" w:sz="8" w:color="009FE3"/>
              <w:right w:val="single" w:sz="8" w:color="E8EAEB"/>
            </w:tcBorders>
          </w:tcPr>
          <w:p>
            <w:pPr>
              <w:spacing w:after="0"/>
              <w:rPr>
                <w:sz w:val="4"/>
                <w:szCs w:val="4"/>
                <w:color w:val="auto"/>
              </w:rPr>
            </w:pPr>
          </w:p>
        </w:tc>
        <w:tc>
          <w:tcPr>
            <w:tcW w:w="1140" w:type="dxa"/>
            <w:vAlign w:val="bottom"/>
            <w:tcBorders>
              <w:bottom w:val="single" w:sz="8" w:color="009FE3"/>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Richard Baldridge</w:t>
            </w:r>
          </w:p>
        </w:tc>
        <w:tc>
          <w:tcPr>
            <w:tcW w:w="9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tcBorders>
          </w:tcPr>
          <w:p>
            <w:pPr>
              <w:jc w:val="right"/>
              <w:ind w:right="203"/>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9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tcBorders>
          </w:tcPr>
          <w:p>
            <w:pPr>
              <w:jc w:val="right"/>
              <w:ind w:right="203"/>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9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tcBorders>
          </w:tcPr>
          <w:p>
            <w:pPr>
              <w:jc w:val="right"/>
              <w:ind w:right="203"/>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James Dodd</w:t>
            </w:r>
          </w:p>
        </w:tc>
        <w:tc>
          <w:tcPr>
            <w:tcW w:w="9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tcBorders>
          </w:tcPr>
          <w:p>
            <w:pPr>
              <w:jc w:val="right"/>
              <w:ind w:right="203"/>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Ken Peterman</w:t>
            </w:r>
          </w:p>
        </w:tc>
        <w:tc>
          <w:tcPr>
            <w:tcW w:w="96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E8EAEB"/>
              <w:right w:val="single" w:sz="8" w:color="E8EAEB"/>
            </w:tcBorders>
          </w:tcPr>
          <w:p>
            <w:pPr>
              <w:ind w:left="88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tcBorders>
          </w:tcPr>
          <w:p>
            <w:pPr>
              <w:jc w:val="right"/>
              <w:ind w:right="203"/>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Mark Miller (4)</w:t>
            </w:r>
          </w:p>
        </w:tc>
        <w:tc>
          <w:tcPr>
            <w:tcW w:w="960" w:type="dxa"/>
            <w:vAlign w:val="bottom"/>
            <w:tcBorders>
              <w:bottom w:val="single" w:sz="8" w:color="009FE3"/>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940" w:type="dxa"/>
            <w:vAlign w:val="bottom"/>
            <w:tcBorders>
              <w:bottom w:val="single" w:sz="8" w:color="009FE3"/>
              <w:right w:val="single" w:sz="8" w:color="E8EAEB"/>
            </w:tcBorders>
          </w:tcPr>
          <w:p>
            <w:pPr>
              <w:ind w:left="340"/>
              <w:spacing w:after="0"/>
              <w:rPr>
                <w:sz w:val="20"/>
                <w:szCs w:val="20"/>
                <w:color w:val="auto"/>
              </w:rPr>
            </w:pPr>
            <w:r>
              <w:rPr>
                <w:rFonts w:ascii="Arial" w:cs="Arial" w:eastAsia="Arial" w:hAnsi="Arial"/>
                <w:sz w:val="16"/>
                <w:szCs w:val="16"/>
                <w:color w:val="202E39"/>
              </w:rPr>
              <w:t>—</w:t>
            </w:r>
          </w:p>
        </w:tc>
        <w:tc>
          <w:tcPr>
            <w:tcW w:w="1320" w:type="dxa"/>
            <w:vAlign w:val="bottom"/>
            <w:tcBorders>
              <w:bottom w:val="single" w:sz="8" w:color="009FE3"/>
              <w:right w:val="single" w:sz="8" w:color="E8EAEB"/>
            </w:tcBorders>
          </w:tcPr>
          <w:p>
            <w:pPr>
              <w:ind w:left="340"/>
              <w:spacing w:after="0"/>
              <w:rPr>
                <w:sz w:val="20"/>
                <w:szCs w:val="20"/>
                <w:color w:val="auto"/>
              </w:rPr>
            </w:pPr>
            <w:r>
              <w:rPr>
                <w:rFonts w:ascii="Arial" w:cs="Arial" w:eastAsia="Arial" w:hAnsi="Arial"/>
                <w:sz w:val="16"/>
                <w:szCs w:val="16"/>
                <w:color w:val="202E39"/>
              </w:rPr>
              <w:t>(1,354,800)</w:t>
            </w:r>
          </w:p>
        </w:tc>
        <w:tc>
          <w:tcPr>
            <w:tcW w:w="940" w:type="dxa"/>
            <w:vAlign w:val="bottom"/>
            <w:tcBorders>
              <w:bottom w:val="single" w:sz="8" w:color="009FE3"/>
              <w:right w:val="single" w:sz="8" w:color="E8EAEB"/>
            </w:tcBorders>
          </w:tcPr>
          <w:p>
            <w:pPr>
              <w:ind w:left="50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009FE3"/>
            </w:tcBorders>
          </w:tcPr>
          <w:p>
            <w:pPr>
              <w:jc w:val="right"/>
              <w:ind w:right="103"/>
              <w:spacing w:after="0"/>
              <w:rPr>
                <w:sz w:val="20"/>
                <w:szCs w:val="20"/>
                <w:color w:val="auto"/>
              </w:rPr>
            </w:pPr>
            <w:r>
              <w:rPr>
                <w:rFonts w:ascii="Arial" w:cs="Arial" w:eastAsia="Arial" w:hAnsi="Arial"/>
                <w:sz w:val="16"/>
                <w:szCs w:val="16"/>
                <w:color w:val="202E39"/>
              </w:rPr>
              <w:t>4,290,199</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0" w:right="80" w:hanging="424"/>
        <w:spacing w:after="0" w:line="249"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The amount reported in this column represents the value of the shares underlying the deferred restricted stock units that vested during fiscal year 2021, calculated based on the market price on the applicable vesting date. The grant date fair value attributable to these restricted stock units was previously reported in the Summary Compensation Table for the fiscal year in which they were granted.</w:t>
      </w:r>
    </w:p>
    <w:p>
      <w:pPr>
        <w:spacing w:after="0" w:line="106" w:lineRule="exact"/>
        <w:rPr>
          <w:rFonts w:ascii="Arial" w:cs="Arial" w:eastAsia="Arial" w:hAnsi="Arial"/>
          <w:sz w:val="14"/>
          <w:szCs w:val="14"/>
          <w:color w:val="202E39"/>
        </w:rPr>
      </w:pPr>
    </w:p>
    <w:p>
      <w:pPr>
        <w:ind w:left="540" w:right="20" w:hanging="424"/>
        <w:spacing w:after="0" w:line="246"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Represents the change in market value of the shares of our common stock underlying the deferred restricted stock units held by the Named Executive Officer as of the last day of fiscal year 2021, calculated as the difference between (a) the closing price of our common stock on the applicable vesting date (for restricted stock units vesting during fiscal year 2021) or the first day of fiscal year 2021 (for restricted stock units that vested during prior fiscal years) and (b) the closing price on March 31, 2021, the last day of fiscal year 2021. No additional earnings (either in the form of accrued dividends or dividend equivalents) are paid on deferred restricted stock units.</w:t>
      </w:r>
    </w:p>
    <w:p>
      <w:pPr>
        <w:spacing w:after="0" w:line="271" w:lineRule="exact"/>
        <w:rPr>
          <w:rFonts w:ascii="Arial" w:cs="Arial" w:eastAsia="Arial" w:hAnsi="Arial"/>
          <w:sz w:val="14"/>
          <w:szCs w:val="14"/>
          <w:color w:val="202E39"/>
        </w:rPr>
      </w:pPr>
    </w:p>
    <w:p>
      <w:pPr>
        <w:ind w:left="540" w:right="120" w:hanging="424"/>
        <w:spacing w:after="0" w:line="258" w:lineRule="auto"/>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The amount represents the value of shares of our common stock underlying the deferred restricted stock units based on the closing price on March 31, 2021 ($48.07 per share), the last trading day of fiscal year 2021.</w:t>
      </w:r>
    </w:p>
    <w:p>
      <w:pPr>
        <w:spacing w:after="0" w:line="99" w:lineRule="exact"/>
        <w:rPr>
          <w:rFonts w:ascii="Arial" w:cs="Arial" w:eastAsia="Arial" w:hAnsi="Arial"/>
          <w:sz w:val="14"/>
          <w:szCs w:val="14"/>
          <w:color w:val="202E39"/>
        </w:rPr>
      </w:pPr>
    </w:p>
    <w:p>
      <w:pPr>
        <w:ind w:left="540" w:hanging="424"/>
        <w:spacing w:after="0"/>
        <w:tabs>
          <w:tab w:leader="none" w:pos="54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Mr. Miller’s deferred restricted stock units will be distributed to him upon his separation from the Company.</w:t>
      </w:r>
    </w:p>
    <w:p>
      <w:pPr>
        <w:spacing w:after="0" w:line="13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57</w:t>
            </w:r>
          </w:p>
        </w:tc>
      </w:tr>
    </w:tbl>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Potential Payments Upon Termination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Potential Payments Upon Termination</w:t>
      </w:r>
    </w:p>
    <w:p>
      <w:pPr>
        <w:spacing w:after="0" w:line="145" w:lineRule="exact"/>
        <w:rPr>
          <w:sz w:val="20"/>
          <w:szCs w:val="20"/>
          <w:color w:val="auto"/>
        </w:rPr>
      </w:pPr>
    </w:p>
    <w:p>
      <w:pPr>
        <w:ind w:left="120" w:right="180"/>
        <w:spacing w:after="0" w:line="251" w:lineRule="auto"/>
        <w:rPr>
          <w:sz w:val="20"/>
          <w:szCs w:val="20"/>
          <w:color w:val="auto"/>
        </w:rPr>
      </w:pPr>
      <w:r>
        <w:rPr>
          <w:rFonts w:ascii="Arial" w:cs="Arial" w:eastAsia="Arial" w:hAnsi="Arial"/>
          <w:sz w:val="16"/>
          <w:szCs w:val="16"/>
          <w:color w:val="202E39"/>
        </w:rPr>
        <w:t>Viasat provides for certain severance payments and benefits if an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key executive officers to their duties of employment without personal distraction or conflict of interest in circumstances which could arise from the occurrence of a change in control.</w:t>
      </w:r>
    </w:p>
    <w:p>
      <w:pPr>
        <w:spacing w:after="0" w:line="13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202E39"/>
        </w:rPr>
        <w:t>We have entered into change in control severance agreements, or Change in Control Agreements, with each of the Named Executive Officers. 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officer may otherwise be entitled under any severance plan or program:</w:t>
      </w:r>
    </w:p>
    <w:p>
      <w:pPr>
        <w:spacing w:after="0" w:line="108" w:lineRule="exact"/>
        <w:rPr>
          <w:sz w:val="20"/>
          <w:szCs w:val="20"/>
          <w:color w:val="auto"/>
        </w:rPr>
      </w:pPr>
    </w:p>
    <w:p>
      <w:pPr>
        <w:ind w:left="660" w:right="40" w:hanging="220"/>
        <w:spacing w:after="0" w:line="260" w:lineRule="auto"/>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the executive officer’s fully earned but unpaid base salary, when due, through the date of termination, plus all other benefits to which the executive officer may be entitled for such period,</w:t>
      </w:r>
    </w:p>
    <w:p>
      <w:pPr>
        <w:spacing w:after="0" w:line="46" w:lineRule="exact"/>
        <w:rPr>
          <w:rFonts w:ascii="Arial" w:cs="Arial" w:eastAsia="Arial" w:hAnsi="Arial"/>
          <w:sz w:val="16"/>
          <w:szCs w:val="16"/>
          <w:color w:val="009FE3"/>
        </w:rPr>
      </w:pPr>
    </w:p>
    <w:p>
      <w:pPr>
        <w:jc w:val="both"/>
        <w:ind w:left="660" w:right="40" w:hanging="220"/>
        <w:spacing w:after="0" w:line="253" w:lineRule="auto"/>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a lump sum cash payment based on a multiplier of the sum of the executive officer’s then current annual base salary and target annual bonus (the multiplier used is 3.0 for the positions of Executive Chairman and President &amp; Chief Executive Officer, and 2.0 for the remaining Named Executive Officers),</w:t>
      </w:r>
    </w:p>
    <w:p>
      <w:pPr>
        <w:spacing w:after="0" w:line="52" w:lineRule="exact"/>
        <w:rPr>
          <w:rFonts w:ascii="Arial" w:cs="Arial" w:eastAsia="Arial" w:hAnsi="Arial"/>
          <w:sz w:val="16"/>
          <w:szCs w:val="16"/>
          <w:color w:val="009FE3"/>
        </w:rPr>
      </w:pPr>
    </w:p>
    <w:p>
      <w:pPr>
        <w:ind w:left="660" w:hanging="220"/>
        <w:spacing w:after="0"/>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continuation of health and other benefits for a period of 18 months following the date of termination,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47"/>
        </w:numPr>
        <w:rPr>
          <w:rFonts w:ascii="Arial" w:cs="Arial" w:eastAsia="Arial" w:hAnsi="Arial"/>
          <w:sz w:val="16"/>
          <w:szCs w:val="16"/>
          <w:color w:val="009FE3"/>
        </w:rPr>
      </w:pPr>
      <w:r>
        <w:rPr>
          <w:rFonts w:ascii="Arial" w:cs="Arial" w:eastAsia="Arial" w:hAnsi="Arial"/>
          <w:sz w:val="16"/>
          <w:szCs w:val="16"/>
          <w:color w:val="202E39"/>
        </w:rPr>
        <w:t>full vesting of any outstanding equity awards.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As a condition to the executive officer’s receipt of any of the post-termination payments and benefits described above, the Named Executive Officer must</w:t>
      </w:r>
    </w:p>
    <w:p>
      <w:pPr>
        <w:spacing w:after="0" w:line="5" w:lineRule="exact"/>
        <w:rPr>
          <w:sz w:val="20"/>
          <w:szCs w:val="20"/>
          <w:color w:val="auto"/>
        </w:rPr>
      </w:pPr>
    </w:p>
    <w:p>
      <w:pPr>
        <w:ind w:left="120" w:right="300" w:hanging="4"/>
        <w:spacing w:after="0" w:line="251" w:lineRule="auto"/>
        <w:tabs>
          <w:tab w:leader="none" w:pos="363" w:val="left"/>
        </w:tabs>
        <w:numPr>
          <w:ilvl w:val="0"/>
          <w:numId w:val="48"/>
        </w:numPr>
        <w:rPr>
          <w:rFonts w:ascii="Arial" w:cs="Arial" w:eastAsia="Arial" w:hAnsi="Arial"/>
          <w:sz w:val="16"/>
          <w:szCs w:val="16"/>
          <w:color w:val="202E39"/>
        </w:rPr>
      </w:pPr>
      <w:r>
        <w:rPr>
          <w:rFonts w:ascii="Arial" w:cs="Arial" w:eastAsia="Arial" w:hAnsi="Arial"/>
          <w:sz w:val="16"/>
          <w:szCs w:val="16"/>
          <w:color w:val="202E39"/>
        </w:rPr>
        <w:t>execute a written general release of all claims in favor of the company, and (2) execute an employee proprietary information and inventions agreement. The severance payments and benefits payable under the Change in Control Agreements will be reduced by any severance payments and benefits payable by us to the Named Executive Officer under any other policy, plan, program, agreement or arrangement. The Change in Control Agreements continue for successive one-year terms unless Viasat or the Named Executive Officer provides notice of non-renewal.</w:t>
      </w:r>
    </w:p>
    <w:p>
      <w:pPr>
        <w:spacing w:after="0" w:line="12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For a discussion of the effect of a termination of employment and/or a change in control on the performance-based stock options granted to our Named Executive Officers during fiscal year 2021, see the discussion above in “Compensation Discussion and Analysis — Components of our Compensation Program — Equity-Based Compensation.” A Named Executive Officer’s time-based restricted stock units and time-based stock options will also vest upon his or her death or termination of employment due to disability.</w:t>
      </w:r>
    </w:p>
    <w:p>
      <w:pPr>
        <w:spacing w:after="0" w:line="13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202E39"/>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(or, with respect to equity awards held by our Named Executive Officers, in the event of their death or termination due to disability). The table assumes that the termination of employment hypothetically occurred on March 31, 2021, the last day of fiscal year 2021, and that the Change in Control Agreements were in effect as of such date.</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760" w:type="dxa"/>
            <w:vAlign w:val="bottom"/>
            <w:tcBorders>
              <w:top w:val="single" w:sz="8" w:color="E8EAEB"/>
              <w:right w:val="single" w:sz="8" w:color="E8EAEB"/>
            </w:tcBorders>
          </w:tcPr>
          <w:p>
            <w:pPr>
              <w:spacing w:after="0"/>
              <w:rPr>
                <w:sz w:val="15"/>
                <w:szCs w:val="15"/>
                <w:color w:val="auto"/>
              </w:rPr>
            </w:pPr>
          </w:p>
        </w:tc>
        <w:tc>
          <w:tcPr>
            <w:tcW w:w="1080" w:type="dxa"/>
            <w:vAlign w:val="bottom"/>
            <w:tcBorders>
              <w:top w:val="single" w:sz="8" w:color="E8EAEB"/>
              <w:right w:val="single" w:sz="8" w:color="E8EAEB"/>
            </w:tcBorders>
          </w:tcPr>
          <w:p>
            <w:pPr>
              <w:spacing w:after="0"/>
              <w:rPr>
                <w:sz w:val="15"/>
                <w:szCs w:val="15"/>
                <w:color w:val="auto"/>
              </w:rPr>
            </w:pPr>
          </w:p>
        </w:tc>
        <w:tc>
          <w:tcPr>
            <w:tcW w:w="1260" w:type="dxa"/>
            <w:vAlign w:val="bottom"/>
            <w:tcBorders>
              <w:top w:val="single" w:sz="8" w:color="E8EAEB"/>
              <w:right w:val="single" w:sz="8" w:color="E8EAEB"/>
            </w:tcBorders>
          </w:tcPr>
          <w:p>
            <w:pPr>
              <w:spacing w:after="0"/>
              <w:rPr>
                <w:sz w:val="15"/>
                <w:szCs w:val="15"/>
                <w:color w:val="auto"/>
              </w:rPr>
            </w:pPr>
          </w:p>
        </w:tc>
        <w:tc>
          <w:tcPr>
            <w:tcW w:w="980" w:type="dxa"/>
            <w:vAlign w:val="bottom"/>
            <w:tcBorders>
              <w:top w:val="single" w:sz="8" w:color="E8EAEB"/>
              <w:right w:val="single" w:sz="8" w:color="E8EAEB"/>
            </w:tcBorders>
          </w:tcPr>
          <w:p>
            <w:pPr>
              <w:spacing w:after="0"/>
              <w:rPr>
                <w:sz w:val="15"/>
                <w:szCs w:val="15"/>
                <w:color w:val="auto"/>
              </w:rPr>
            </w:pPr>
          </w:p>
        </w:tc>
        <w:tc>
          <w:tcPr>
            <w:tcW w:w="12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Intrinsic</w:t>
            </w:r>
          </w:p>
        </w:tc>
        <w:tc>
          <w:tcPr>
            <w:tcW w:w="1260" w:type="dxa"/>
            <w:vAlign w:val="bottom"/>
            <w:tcBorders>
              <w:top w:val="single" w:sz="8" w:color="E8EAEB"/>
              <w:right w:val="single" w:sz="8" w:color="E8EAEB"/>
            </w:tcBorders>
          </w:tcPr>
          <w:p>
            <w:pPr>
              <w:ind w:left="340"/>
              <w:spacing w:after="0"/>
              <w:rPr>
                <w:sz w:val="20"/>
                <w:szCs w:val="20"/>
                <w:color w:val="auto"/>
              </w:rPr>
            </w:pPr>
            <w:r>
              <w:rPr>
                <w:rFonts w:ascii="Arial" w:cs="Arial" w:eastAsia="Arial" w:hAnsi="Arial"/>
                <w:sz w:val="14"/>
                <w:szCs w:val="14"/>
                <w:b w:val="1"/>
                <w:bCs w:val="1"/>
                <w:color w:val="009FE3"/>
              </w:rPr>
              <w:t>Intrinsic</w:t>
            </w:r>
          </w:p>
        </w:tc>
        <w:tc>
          <w:tcPr>
            <w:tcW w:w="1400" w:type="dxa"/>
            <w:vAlign w:val="bottom"/>
            <w:tcBorders>
              <w:top w:val="single" w:sz="8" w:color="E8EAEB"/>
            </w:tcBorders>
          </w:tcPr>
          <w:p>
            <w:pPr>
              <w:spacing w:after="0"/>
              <w:rPr>
                <w:sz w:val="15"/>
                <w:szCs w:val="15"/>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26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Value of</w:t>
            </w:r>
          </w:p>
        </w:tc>
        <w:tc>
          <w:tcPr>
            <w:tcW w:w="1260" w:type="dxa"/>
            <w:vAlign w:val="bottom"/>
            <w:tcBorders>
              <w:right w:val="single" w:sz="8" w:color="E8EAEB"/>
            </w:tcBorders>
          </w:tcPr>
          <w:p>
            <w:pPr>
              <w:ind w:left="340"/>
              <w:spacing w:after="0"/>
              <w:rPr>
                <w:sz w:val="20"/>
                <w:szCs w:val="20"/>
                <w:color w:val="auto"/>
              </w:rPr>
            </w:pPr>
            <w:r>
              <w:rPr>
                <w:rFonts w:ascii="Arial" w:cs="Arial" w:eastAsia="Arial" w:hAnsi="Arial"/>
                <w:sz w:val="14"/>
                <w:szCs w:val="14"/>
                <w:b w:val="1"/>
                <w:bCs w:val="1"/>
                <w:color w:val="009FE3"/>
              </w:rPr>
              <w:t>Value of</w:t>
            </w:r>
          </w:p>
        </w:tc>
        <w:tc>
          <w:tcPr>
            <w:tcW w:w="1400" w:type="dxa"/>
            <w:vAlign w:val="bottom"/>
          </w:tcPr>
          <w:p>
            <w:pPr>
              <w:spacing w:after="0"/>
              <w:rPr>
                <w:sz w:val="14"/>
                <w:szCs w:val="14"/>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spacing w:after="0"/>
              <w:rPr>
                <w:sz w:val="14"/>
                <w:szCs w:val="14"/>
                <w:color w:val="auto"/>
              </w:rPr>
            </w:pPr>
          </w:p>
        </w:tc>
        <w:tc>
          <w:tcPr>
            <w:tcW w:w="1260" w:type="dxa"/>
            <w:vAlign w:val="bottom"/>
            <w:tcBorders>
              <w:right w:val="single" w:sz="8" w:color="E8EAEB"/>
            </w:tcBorders>
          </w:tcPr>
          <w:p>
            <w:pPr>
              <w:spacing w:after="0"/>
              <w:rPr>
                <w:sz w:val="14"/>
                <w:szCs w:val="14"/>
                <w:color w:val="auto"/>
              </w:rPr>
            </w:pPr>
          </w:p>
        </w:tc>
        <w:tc>
          <w:tcPr>
            <w:tcW w:w="980" w:type="dxa"/>
            <w:vAlign w:val="bottom"/>
            <w:tcBorders>
              <w:right w:val="single" w:sz="8" w:color="E8EAEB"/>
            </w:tcBorders>
          </w:tcPr>
          <w:p>
            <w:pPr>
              <w:spacing w:after="0"/>
              <w:rPr>
                <w:sz w:val="14"/>
                <w:szCs w:val="14"/>
                <w:color w:val="auto"/>
              </w:rPr>
            </w:pP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400" w:type="dxa"/>
            <w:vAlign w:val="bottom"/>
          </w:tcPr>
          <w:p>
            <w:pPr>
              <w:spacing w:after="0"/>
              <w:rPr>
                <w:sz w:val="14"/>
                <w:szCs w:val="14"/>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Accrued</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Severance</w:t>
            </w:r>
          </w:p>
        </w:tc>
        <w:tc>
          <w:tcPr>
            <w:tcW w:w="980" w:type="dxa"/>
            <w:vAlign w:val="bottom"/>
            <w:tcBorders>
              <w:right w:val="single" w:sz="8" w:color="E8EAEB"/>
            </w:tcBorders>
          </w:tcPr>
          <w:p>
            <w:pPr>
              <w:ind w:left="220"/>
              <w:spacing w:after="0"/>
              <w:rPr>
                <w:sz w:val="20"/>
                <w:szCs w:val="20"/>
                <w:color w:val="auto"/>
              </w:rPr>
            </w:pPr>
            <w:r>
              <w:rPr>
                <w:rFonts w:ascii="Arial" w:cs="Arial" w:eastAsia="Arial" w:hAnsi="Arial"/>
                <w:sz w:val="14"/>
                <w:szCs w:val="14"/>
                <w:b w:val="1"/>
                <w:bCs w:val="1"/>
                <w:color w:val="009FE3"/>
              </w:rPr>
              <w:t>COBRA</w:t>
            </w: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w:t>
            </w:r>
          </w:p>
        </w:tc>
        <w:tc>
          <w:tcPr>
            <w:tcW w:w="1400" w:type="dxa"/>
            <w:vAlign w:val="bottom"/>
          </w:tcPr>
          <w:p>
            <w:pPr>
              <w:spacing w:after="0"/>
              <w:rPr>
                <w:sz w:val="14"/>
                <w:szCs w:val="14"/>
                <w:color w:val="auto"/>
              </w:rPr>
            </w:pPr>
          </w:p>
        </w:tc>
      </w:tr>
      <w:tr>
        <w:trPr>
          <w:trHeight w:val="162"/>
        </w:trPr>
        <w:tc>
          <w:tcPr>
            <w:tcW w:w="3760" w:type="dxa"/>
            <w:vAlign w:val="bottom"/>
            <w:tcBorders>
              <w:right w:val="single" w:sz="8" w:color="E8EAEB"/>
            </w:tcBorders>
          </w:tcPr>
          <w:p>
            <w:pPr>
              <w:spacing w:after="0"/>
              <w:rPr>
                <w:sz w:val="14"/>
                <w:szCs w:val="14"/>
                <w:color w:val="auto"/>
              </w:rPr>
            </w:pPr>
          </w:p>
        </w:tc>
        <w:tc>
          <w:tcPr>
            <w:tcW w:w="10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Vacation</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Payment</w:t>
            </w:r>
          </w:p>
        </w:tc>
        <w:tc>
          <w:tcPr>
            <w:tcW w:w="980" w:type="dxa"/>
            <w:vAlign w:val="bottom"/>
            <w:tcBorders>
              <w:right w:val="single" w:sz="8" w:color="E8EAEB"/>
            </w:tcBorders>
          </w:tcPr>
          <w:p>
            <w:pPr>
              <w:ind w:left="140"/>
              <w:spacing w:after="0"/>
              <w:rPr>
                <w:sz w:val="20"/>
                <w:szCs w:val="20"/>
                <w:color w:val="auto"/>
              </w:rPr>
            </w:pPr>
            <w:r>
              <w:rPr>
                <w:rFonts w:ascii="Arial" w:cs="Arial" w:eastAsia="Arial" w:hAnsi="Arial"/>
                <w:sz w:val="14"/>
                <w:szCs w:val="14"/>
                <w:b w:val="1"/>
                <w:bCs w:val="1"/>
                <w:color w:val="009FE3"/>
              </w:rPr>
              <w:t>Payments</w:t>
            </w:r>
          </w:p>
        </w:tc>
        <w:tc>
          <w:tcPr>
            <w:tcW w:w="12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12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 Units</w:t>
            </w:r>
          </w:p>
        </w:tc>
        <w:tc>
          <w:tcPr>
            <w:tcW w:w="1400" w:type="dxa"/>
            <w:vAlign w:val="bottom"/>
          </w:tcPr>
          <w:p>
            <w:pPr>
              <w:jc w:val="right"/>
              <w:ind w:right="461"/>
              <w:spacing w:after="0"/>
              <w:rPr>
                <w:sz w:val="20"/>
                <w:szCs w:val="20"/>
                <w:color w:val="auto"/>
              </w:rPr>
            </w:pPr>
            <w:r>
              <w:rPr>
                <w:rFonts w:ascii="Arial" w:cs="Arial" w:eastAsia="Arial" w:hAnsi="Arial"/>
                <w:sz w:val="14"/>
                <w:szCs w:val="14"/>
                <w:b w:val="1"/>
                <w:bCs w:val="1"/>
                <w:color w:val="009FE3"/>
              </w:rPr>
              <w:t>Total</w:t>
            </w:r>
          </w:p>
        </w:tc>
      </w:tr>
      <w:tr>
        <w:trPr>
          <w:trHeight w:val="210"/>
        </w:trPr>
        <w:tc>
          <w:tcPr>
            <w:tcW w:w="37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0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980" w:type="dxa"/>
            <w:vAlign w:val="bottom"/>
            <w:tcBorders>
              <w:bottom w:val="single" w:sz="8" w:color="009FE3"/>
              <w:right w:val="single" w:sz="8" w:color="E8EAEB"/>
            </w:tcBorders>
          </w:tcPr>
          <w:p>
            <w:pPr>
              <w:ind w:left="280"/>
              <w:spacing w:after="0"/>
              <w:rPr>
                <w:sz w:val="20"/>
                <w:szCs w:val="20"/>
                <w:color w:val="auto"/>
              </w:rPr>
            </w:pPr>
            <w:r>
              <w:rPr>
                <w:rFonts w:ascii="Arial" w:cs="Arial" w:eastAsia="Arial" w:hAnsi="Arial"/>
                <w:sz w:val="14"/>
                <w:szCs w:val="14"/>
                <w:b w:val="1"/>
                <w:bCs w:val="1"/>
                <w:color w:val="009FE3"/>
              </w:rPr>
              <w:t>($) (2)</w:t>
            </w:r>
          </w:p>
        </w:tc>
        <w:tc>
          <w:tcPr>
            <w:tcW w:w="12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2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(4)</w:t>
            </w:r>
          </w:p>
        </w:tc>
        <w:tc>
          <w:tcPr>
            <w:tcW w:w="1400" w:type="dxa"/>
            <w:vAlign w:val="bottom"/>
            <w:tcBorders>
              <w:bottom w:val="single" w:sz="8" w:color="009FE3"/>
            </w:tcBorders>
          </w:tcPr>
          <w:p>
            <w:pPr>
              <w:jc w:val="right"/>
              <w:ind w:right="541"/>
              <w:spacing w:after="0"/>
              <w:rPr>
                <w:sz w:val="20"/>
                <w:szCs w:val="20"/>
                <w:color w:val="auto"/>
              </w:rPr>
            </w:pPr>
            <w:r>
              <w:rPr>
                <w:rFonts w:ascii="Arial" w:cs="Arial" w:eastAsia="Arial" w:hAnsi="Arial"/>
                <w:sz w:val="14"/>
                <w:szCs w:val="14"/>
                <w:b w:val="1"/>
                <w:bCs w:val="1"/>
                <w:color w:val="009FE3"/>
              </w:rPr>
              <w:t>($)</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191,794</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9,360,000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27,593</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3,544,418</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6,773,640</w:t>
            </w:r>
          </w:p>
        </w:tc>
        <w:tc>
          <w:tcPr>
            <w:tcW w:w="140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19,897,445</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250,000</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9,360,000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27,593</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3,544,418</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7,733,887</w:t>
            </w:r>
          </w:p>
        </w:tc>
        <w:tc>
          <w:tcPr>
            <w:tcW w:w="140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20,915,898</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110,577</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2,185,000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43,225</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1,083,033</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2,226,123</w:t>
            </w:r>
          </w:p>
        </w:tc>
        <w:tc>
          <w:tcPr>
            <w:tcW w:w="140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5,647,958</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James Dodd</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35,424</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2,100,000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13,097</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787,673</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2,127,723</w:t>
            </w:r>
          </w:p>
        </w:tc>
        <w:tc>
          <w:tcPr>
            <w:tcW w:w="140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5,063,917</w:t>
            </w:r>
          </w:p>
        </w:tc>
      </w:tr>
      <w:tr>
        <w:trPr>
          <w:trHeight w:val="223"/>
        </w:trPr>
        <w:tc>
          <w:tcPr>
            <w:tcW w:w="37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 (5)</w:t>
            </w:r>
          </w:p>
        </w:tc>
        <w:tc>
          <w:tcPr>
            <w:tcW w:w="1080" w:type="dxa"/>
            <w:vAlign w:val="bottom"/>
            <w:tcBorders>
              <w:bottom w:val="single" w:sz="8" w:color="E8EAEB"/>
              <w:right w:val="single" w:sz="8" w:color="E8EAEB"/>
            </w:tcBorders>
          </w:tcPr>
          <w:p>
            <w:pPr>
              <w:jc w:val="right"/>
              <w:ind w:right="102"/>
              <w:spacing w:after="0"/>
              <w:rPr>
                <w:sz w:val="20"/>
                <w:szCs w:val="20"/>
                <w:color w:val="auto"/>
              </w:rPr>
            </w:pPr>
            <w:r>
              <w:rPr>
                <w:rFonts w:ascii="Arial" w:cs="Arial" w:eastAsia="Arial" w:hAnsi="Arial"/>
                <w:sz w:val="16"/>
                <w:szCs w:val="16"/>
                <w:color w:val="202E39"/>
              </w:rPr>
              <w:t>104,479</w:t>
            </w:r>
          </w:p>
        </w:tc>
        <w:tc>
          <w:tcPr>
            <w:tcW w:w="126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2,850,000</w:t>
            </w:r>
          </w:p>
        </w:tc>
        <w:tc>
          <w:tcPr>
            <w:tcW w:w="980" w:type="dxa"/>
            <w:vAlign w:val="bottom"/>
            <w:tcBorders>
              <w:bottom w:val="single" w:sz="8" w:color="E8EAEB"/>
              <w:right w:val="single" w:sz="8" w:color="E8EAEB"/>
            </w:tcBorders>
          </w:tcPr>
          <w:p>
            <w:pPr>
              <w:ind w:left="300"/>
              <w:spacing w:after="0"/>
              <w:rPr>
                <w:sz w:val="20"/>
                <w:szCs w:val="20"/>
                <w:color w:val="auto"/>
              </w:rPr>
            </w:pPr>
            <w:r>
              <w:rPr>
                <w:rFonts w:ascii="Arial" w:cs="Arial" w:eastAsia="Arial" w:hAnsi="Arial"/>
                <w:sz w:val="16"/>
                <w:szCs w:val="16"/>
                <w:color w:val="202E39"/>
              </w:rPr>
              <w:t>43,225</w:t>
            </w:r>
          </w:p>
        </w:tc>
        <w:tc>
          <w:tcPr>
            <w:tcW w:w="128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1,279,926</w:t>
            </w:r>
          </w:p>
        </w:tc>
        <w:tc>
          <w:tcPr>
            <w:tcW w:w="1260" w:type="dxa"/>
            <w:vAlign w:val="bottom"/>
            <w:tcBorders>
              <w:bottom w:val="single" w:sz="8" w:color="E8EAEB"/>
              <w:right w:val="single" w:sz="8" w:color="E8EAEB"/>
            </w:tcBorders>
          </w:tcPr>
          <w:p>
            <w:pPr>
              <w:ind w:left="360"/>
              <w:spacing w:after="0"/>
              <w:rPr>
                <w:sz w:val="20"/>
                <w:szCs w:val="20"/>
                <w:color w:val="auto"/>
              </w:rPr>
            </w:pPr>
            <w:r>
              <w:rPr>
                <w:rFonts w:ascii="Arial" w:cs="Arial" w:eastAsia="Arial" w:hAnsi="Arial"/>
                <w:sz w:val="16"/>
                <w:szCs w:val="16"/>
                <w:color w:val="202E39"/>
              </w:rPr>
              <w:t>2,565,784</w:t>
            </w:r>
          </w:p>
        </w:tc>
        <w:tc>
          <w:tcPr>
            <w:tcW w:w="1400" w:type="dxa"/>
            <w:vAlign w:val="bottom"/>
            <w:tcBorders>
              <w:bottom w:val="single" w:sz="8" w:color="E8EAEB"/>
            </w:tcBorders>
          </w:tcPr>
          <w:p>
            <w:pPr>
              <w:jc w:val="right"/>
              <w:ind w:right="101"/>
              <w:spacing w:after="0"/>
              <w:rPr>
                <w:sz w:val="20"/>
                <w:szCs w:val="20"/>
                <w:color w:val="auto"/>
              </w:rPr>
            </w:pPr>
            <w:r>
              <w:rPr>
                <w:rFonts w:ascii="Arial" w:cs="Arial" w:eastAsia="Arial" w:hAnsi="Arial"/>
                <w:sz w:val="16"/>
                <w:szCs w:val="16"/>
                <w:color w:val="202E39"/>
              </w:rPr>
              <w:t>6,843,414</w:t>
            </w:r>
          </w:p>
        </w:tc>
      </w:tr>
      <w:tr>
        <w:trPr>
          <w:trHeight w:val="223"/>
        </w:trPr>
        <w:tc>
          <w:tcPr>
            <w:tcW w:w="37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Mark Miller</w:t>
            </w:r>
          </w:p>
        </w:tc>
        <w:tc>
          <w:tcPr>
            <w:tcW w:w="1080" w:type="dxa"/>
            <w:vAlign w:val="bottom"/>
            <w:tcBorders>
              <w:bottom w:val="single" w:sz="8" w:color="009FE3"/>
              <w:right w:val="single" w:sz="8" w:color="E8EAEB"/>
            </w:tcBorders>
          </w:tcPr>
          <w:p>
            <w:pPr>
              <w:jc w:val="right"/>
              <w:ind w:right="102"/>
              <w:spacing w:after="0"/>
              <w:rPr>
                <w:sz w:val="20"/>
                <w:szCs w:val="20"/>
                <w:color w:val="auto"/>
              </w:rPr>
            </w:pPr>
            <w:r>
              <w:rPr>
                <w:rFonts w:ascii="Arial" w:cs="Arial" w:eastAsia="Arial" w:hAnsi="Arial"/>
                <w:sz w:val="16"/>
                <w:szCs w:val="16"/>
                <w:color w:val="202E39"/>
              </w:rPr>
              <w:t>48,001</w:t>
            </w:r>
          </w:p>
        </w:tc>
        <w:tc>
          <w:tcPr>
            <w:tcW w:w="126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2,200,000</w:t>
            </w:r>
          </w:p>
        </w:tc>
        <w:tc>
          <w:tcPr>
            <w:tcW w:w="980" w:type="dxa"/>
            <w:vAlign w:val="bottom"/>
            <w:tcBorders>
              <w:bottom w:val="single" w:sz="8" w:color="009FE3"/>
              <w:right w:val="single" w:sz="8" w:color="E8EAEB"/>
            </w:tcBorders>
          </w:tcPr>
          <w:p>
            <w:pPr>
              <w:ind w:left="300"/>
              <w:spacing w:after="0"/>
              <w:rPr>
                <w:sz w:val="20"/>
                <w:szCs w:val="20"/>
                <w:color w:val="auto"/>
              </w:rPr>
            </w:pPr>
            <w:r>
              <w:rPr>
                <w:rFonts w:ascii="Arial" w:cs="Arial" w:eastAsia="Arial" w:hAnsi="Arial"/>
                <w:sz w:val="16"/>
                <w:szCs w:val="16"/>
                <w:color w:val="202E39"/>
              </w:rPr>
              <w:t>25,962</w:t>
            </w:r>
          </w:p>
        </w:tc>
        <w:tc>
          <w:tcPr>
            <w:tcW w:w="1280" w:type="dxa"/>
            <w:vAlign w:val="bottom"/>
            <w:tcBorders>
              <w:bottom w:val="single" w:sz="8" w:color="009FE3"/>
              <w:right w:val="single" w:sz="8" w:color="E8EAEB"/>
            </w:tcBorders>
          </w:tcPr>
          <w:p>
            <w:pPr>
              <w:jc w:val="right"/>
              <w:ind w:right="124"/>
              <w:spacing w:after="0"/>
              <w:rPr>
                <w:sz w:val="20"/>
                <w:szCs w:val="20"/>
                <w:color w:val="auto"/>
              </w:rPr>
            </w:pPr>
            <w:r>
              <w:rPr>
                <w:rFonts w:ascii="Arial" w:cs="Arial" w:eastAsia="Arial" w:hAnsi="Arial"/>
                <w:sz w:val="16"/>
                <w:szCs w:val="16"/>
                <w:color w:val="202E39"/>
              </w:rPr>
              <w:t>984,587</w:t>
            </w:r>
          </w:p>
        </w:tc>
        <w:tc>
          <w:tcPr>
            <w:tcW w:w="1260" w:type="dxa"/>
            <w:vAlign w:val="bottom"/>
            <w:tcBorders>
              <w:bottom w:val="single" w:sz="8" w:color="009FE3"/>
              <w:right w:val="single" w:sz="8" w:color="E8EAEB"/>
            </w:tcBorders>
          </w:tcPr>
          <w:p>
            <w:pPr>
              <w:ind w:left="360"/>
              <w:spacing w:after="0"/>
              <w:rPr>
                <w:sz w:val="20"/>
                <w:szCs w:val="20"/>
                <w:color w:val="auto"/>
              </w:rPr>
            </w:pPr>
            <w:r>
              <w:rPr>
                <w:rFonts w:ascii="Arial" w:cs="Arial" w:eastAsia="Arial" w:hAnsi="Arial"/>
                <w:sz w:val="16"/>
                <w:szCs w:val="16"/>
                <w:color w:val="202E39"/>
              </w:rPr>
              <w:t>1,873,337</w:t>
            </w:r>
          </w:p>
        </w:tc>
        <w:tc>
          <w:tcPr>
            <w:tcW w:w="1400" w:type="dxa"/>
            <w:vAlign w:val="bottom"/>
            <w:tcBorders>
              <w:bottom w:val="single" w:sz="8" w:color="009FE3"/>
            </w:tcBorders>
          </w:tcPr>
          <w:p>
            <w:pPr>
              <w:jc w:val="right"/>
              <w:ind w:right="101"/>
              <w:spacing w:after="0"/>
              <w:rPr>
                <w:sz w:val="20"/>
                <w:szCs w:val="20"/>
                <w:color w:val="auto"/>
              </w:rPr>
            </w:pPr>
            <w:r>
              <w:rPr>
                <w:rFonts w:ascii="Arial" w:cs="Arial" w:eastAsia="Arial" w:hAnsi="Arial"/>
                <w:sz w:val="16"/>
                <w:szCs w:val="16"/>
                <w:color w:val="202E39"/>
              </w:rPr>
              <w:t>5,131,887</w:t>
            </w:r>
          </w:p>
        </w:tc>
      </w:tr>
    </w:tbl>
    <w:p>
      <w:pPr>
        <w:spacing w:after="0" w:line="126"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Represents accrual for vacation that had not been taken as of March 31, 2021.</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49"/>
        </w:numPr>
        <w:rPr>
          <w:rFonts w:ascii="Arial" w:cs="Arial" w:eastAsia="Arial" w:hAnsi="Arial"/>
          <w:sz w:val="14"/>
          <w:szCs w:val="14"/>
          <w:color w:val="202E39"/>
        </w:rPr>
      </w:pPr>
      <w:r>
        <w:rPr>
          <w:rFonts w:ascii="Arial" w:cs="Arial" w:eastAsia="Arial" w:hAnsi="Arial"/>
          <w:sz w:val="14"/>
          <w:szCs w:val="14"/>
          <w:color w:val="202E39"/>
        </w:rPr>
        <w:t>Amounts shown equal an aggregate of 18 months of COBRA payments for the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92075</wp:posOffset>
            </wp:positionV>
            <wp:extent cx="43688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CEO Pay Ratio</w:t>
      </w:r>
    </w:p>
    <w:p>
      <w:pPr>
        <w:spacing w:after="0" w:line="150" w:lineRule="exact"/>
        <w:rPr>
          <w:sz w:val="20"/>
          <w:szCs w:val="20"/>
          <w:color w:val="auto"/>
        </w:rPr>
      </w:pPr>
    </w:p>
    <w:p>
      <w:pPr>
        <w:ind w:left="540" w:hanging="424"/>
        <w:spacing w:after="0" w:line="244" w:lineRule="auto"/>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The intrinsic value of accelerated stock options is based on the difference between the closing price of our common stock on March 31, 2021 ($48.07 per share) and the option exercise price, multiplied by the number of shares for which the option was accelerated. A Named Executive Officer will also vest in all his or her time-based stock options in the event of his or her death or termination of employment due to disability. In addition, in the event of a Named Executive Officer’s death or termination of employment due to disability prior to the completion of the applicable performance period for any outstanding performance-based stock options, he or she will remain eligible to vest in a pro-rated portion of those performance-based stock options that ultimately vest based on the portion of the performance period that has elapsed prior to the date of termination.</w:t>
      </w:r>
    </w:p>
    <w:p>
      <w:pPr>
        <w:spacing w:after="0" w:line="57" w:lineRule="exact"/>
        <w:rPr>
          <w:rFonts w:ascii="Arial" w:cs="Arial" w:eastAsia="Arial" w:hAnsi="Arial"/>
          <w:sz w:val="14"/>
          <w:szCs w:val="14"/>
          <w:color w:val="202E39"/>
        </w:rPr>
      </w:pPr>
    </w:p>
    <w:p>
      <w:pPr>
        <w:ind w:left="540" w:right="60" w:hanging="424"/>
        <w:spacing w:after="0" w:line="247" w:lineRule="auto"/>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The intrinsic value of accelerated restricted stock unit awards is computed by multiplying the closing price of our common stock on March 31, 2021 ($48.07 per share) by the number of shares that were accelerated. In addition, upon a Named Executive Officer’s death or termination due to disability, all of his or her restricted stock units will fully vest (and the value of the restricted stock units that would vest if such a termination occurred on March 31, 2021 is the same as the value disclosed in the table above).</w:t>
      </w:r>
    </w:p>
    <w:p>
      <w:pPr>
        <w:spacing w:after="0" w:line="52" w:lineRule="exact"/>
        <w:rPr>
          <w:rFonts w:ascii="Arial" w:cs="Arial" w:eastAsia="Arial" w:hAnsi="Arial"/>
          <w:sz w:val="14"/>
          <w:szCs w:val="14"/>
          <w:color w:val="202E39"/>
        </w:rPr>
      </w:pPr>
    </w:p>
    <w:p>
      <w:pPr>
        <w:ind w:left="540" w:right="80" w:hanging="424"/>
        <w:spacing w:after="0" w:line="243" w:lineRule="auto"/>
        <w:tabs>
          <w:tab w:leader="none" w:pos="540" w:val="left"/>
        </w:tabs>
        <w:numPr>
          <w:ilvl w:val="0"/>
          <w:numId w:val="50"/>
        </w:numPr>
        <w:rPr>
          <w:rFonts w:ascii="Arial" w:cs="Arial" w:eastAsia="Arial" w:hAnsi="Arial"/>
          <w:sz w:val="14"/>
          <w:szCs w:val="14"/>
          <w:color w:val="202E39"/>
        </w:rPr>
      </w:pPr>
      <w:r>
        <w:rPr>
          <w:rFonts w:ascii="Arial" w:cs="Arial" w:eastAsia="Arial" w:hAnsi="Arial"/>
          <w:sz w:val="14"/>
          <w:szCs w:val="14"/>
          <w:color w:val="202E39"/>
        </w:rPr>
        <w:t>In May 2021, Mr. Peterman and the Company entered into an employment transition agreement, whereby he agreed to provide transition services to the Company as a non-executive senior advisor until December 31, 2021 (or, if earlier, the date on which Mr. Peterman’s employment with the Company terminates). In such capacity, Mr. Peterman will provide advisory and transitional services to the Company and will report to the President and Chief Executive Officer. The transition agreement provides that, during the transition period, Mr. Peterman will continue to receive his current base salary of $750,000 per year and employee benefits pursuant to the Company’s benefit plans, and his Company equity awards will continue to vest according to their terms. In the event of the termination of the transition period (i) as a result of the expiration of the transition period on December 31, 2021, or (ii) as a result of any earlier termination of the transition period for any reason other than Mr. Peterman’s voluntary resignation or discharge by the Company for cause, subject to Mr. Peterman’s execution of a general release of claims in favor of the company and compliance with applicable restrictive covenants, the Company will provide Mr. Peterman with a lump sum cash payment equal to $1,439,500, less any base salary earned by Mr. Peterman during the transition period.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CEO Pay Ratio</w:t>
      </w:r>
    </w:p>
    <w:p>
      <w:pPr>
        <w:spacing w:after="0" w:line="145" w:lineRule="exact"/>
        <w:rPr>
          <w:sz w:val="20"/>
          <w:szCs w:val="20"/>
          <w:color w:val="auto"/>
        </w:rPr>
      </w:pPr>
    </w:p>
    <w:p>
      <w:pPr>
        <w:ind w:left="120" w:right="180"/>
        <w:spacing w:after="0" w:line="250" w:lineRule="auto"/>
        <w:rPr>
          <w:sz w:val="20"/>
          <w:szCs w:val="20"/>
          <w:color w:val="auto"/>
        </w:rPr>
      </w:pPr>
      <w:r>
        <w:rPr>
          <w:rFonts w:ascii="Arial" w:cs="Arial" w:eastAsia="Arial" w:hAnsi="Arial"/>
          <w:sz w:val="16"/>
          <w:szCs w:val="16"/>
          <w:color w:val="202E39"/>
        </w:rPr>
        <w:t>In accordance with SEC rules, we are providing the ratio of the annual total compensation received during fiscal year 2021 by our CEO to the median of the annual total compensation received by all our employees (other than our CEOs). As a result of our CEO transition during the fiscal year, our CEO annual total compensation is pro-rated based on the time Mr. Dankberg and Mr. Baldridge each served as CEO. Based upon this approach, our CEO annual total compensation was $9,354,625 for fiscal year 2021, and our ratio of CEO pay to the median of the annual total compensation of all our employees (other than our CEOs) pay for fiscal year 2021 was approximately 84 to 1.</w:t>
      </w:r>
    </w:p>
    <w:p>
      <w:pPr>
        <w:spacing w:after="0" w:line="135"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There have been no changes to our employee population or employee compensation arrangements during fiscal year 2021 that we reasonably believe would result in a significant change to our pay ratio disclosure, and as a result, the same median employee from fiscal year 2020 was used to calculate the CEO to median employee pay ratio for fiscal year 2021. However, there was previously a change in the circumstances of the median employee we identified as of March 31, 2019 that we reasonably believed would result in a significant change to our pay ratio disclosure. As a result, in accordance with SEC rules, we elected to substitute another employee as our median employee for fiscal year 2020 whose compensation was substantially similar to the compensation of the median employee identified in fiscal year 2019, based on the compensation measures used to select the median employee in fiscal year 2019, as permitted by SEC rules.</w:t>
      </w:r>
    </w:p>
    <w:p>
      <w:pPr>
        <w:spacing w:after="0" w:line="141"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202E39"/>
        </w:rPr>
        <w:t>To identify our original median employee in fiscal year 2019, we identified our total employee population (including all full-time, part-time, temporary and seasonal workers) as of March 31, 2019, and, in accordance with SEC rules, excluded employees from certain countries that in the aggregate represented less than 5% of our employee base. As of March 31, 2019, we had approximately 5,625 global employees. To determine our median employee, we excluded a total of 262 employees from the following countries (and all of our employees in each of the following countries were excluded from the calculation): Australia (40 employees), Brazil (3 employees), Canada (1 employee), China (2 employees), Germany (4 employees), Switzerland (58 employees), United Kingdom (74 employees), Ireland (70 employees), Israel (5 employees), Netherlands (2 employees) and Italy (3 employees). We then used base salary received during fiscal year 2019 for our employee population included in the calculation (other than the Chief Executive Officer) to determine our median employee, and, once identified, we calculated such employee’s annual total compensation in the same manner used to calculate annual total compensation in the Summary Compensation Table for fiscal year 2019. For all compensation paid in currencies other than the U.S. Dollar, all values were converted to the U.S. Dollar using foreign currency exchange rates on March 31, 2019.</w:t>
      </w:r>
    </w:p>
    <w:p>
      <w:pPr>
        <w:spacing w:after="0" w:line="122"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59</w:t>
            </w:r>
          </w:p>
        </w:tc>
      </w:tr>
    </w:tbl>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Committee Interlocks and Insider Participation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Director Compensation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following table sets forth the compensation earned during the fiscal year ended March 31, 2021 by each of our non-employee directors: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200" w:type="dxa"/>
            <w:vAlign w:val="bottom"/>
            <w:tcBorders>
              <w:top w:val="single" w:sz="8" w:color="E8EAEB"/>
              <w:right w:val="single" w:sz="8" w:color="E8EAEB"/>
            </w:tcBorders>
          </w:tcPr>
          <w:p>
            <w:pPr>
              <w:spacing w:after="0"/>
              <w:rPr>
                <w:sz w:val="15"/>
                <w:szCs w:val="15"/>
                <w:color w:val="auto"/>
              </w:rPr>
            </w:pPr>
          </w:p>
        </w:tc>
        <w:tc>
          <w:tcPr>
            <w:tcW w:w="1040" w:type="dxa"/>
            <w:vAlign w:val="bottom"/>
            <w:tcBorders>
              <w:top w:val="single" w:sz="8" w:color="E8EAEB"/>
              <w:right w:val="single" w:sz="8" w:color="E8EAEB"/>
            </w:tcBorders>
          </w:tcPr>
          <w:p>
            <w:pPr>
              <w:spacing w:after="0"/>
              <w:rPr>
                <w:sz w:val="15"/>
                <w:szCs w:val="15"/>
                <w:color w:val="auto"/>
              </w:rPr>
            </w:pPr>
          </w:p>
        </w:tc>
        <w:tc>
          <w:tcPr>
            <w:tcW w:w="10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Change in</w:t>
            </w:r>
          </w:p>
        </w:tc>
        <w:tc>
          <w:tcPr>
            <w:tcW w:w="1020" w:type="dxa"/>
            <w:vAlign w:val="bottom"/>
            <w:tcBorders>
              <w:top w:val="single" w:sz="8" w:color="E8EAEB"/>
              <w:right w:val="single" w:sz="8" w:color="E8EAEB"/>
            </w:tcBorders>
          </w:tcPr>
          <w:p>
            <w:pPr>
              <w:spacing w:after="0"/>
              <w:rPr>
                <w:sz w:val="15"/>
                <w:szCs w:val="15"/>
                <w:color w:val="auto"/>
              </w:rPr>
            </w:pPr>
          </w:p>
        </w:tc>
        <w:tc>
          <w:tcPr>
            <w:tcW w:w="1140" w:type="dxa"/>
            <w:vAlign w:val="bottom"/>
            <w:tcBorders>
              <w:top w:val="single" w:sz="8" w:color="E8EAEB"/>
            </w:tcBorders>
          </w:tcPr>
          <w:p>
            <w:pPr>
              <w:spacing w:after="0"/>
              <w:rPr>
                <w:sz w:val="15"/>
                <w:szCs w:val="15"/>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Pension</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Value</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and</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Fees</w:t>
            </w: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Non-Qualified</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Earned or</w:t>
            </w:r>
          </w:p>
        </w:tc>
        <w:tc>
          <w:tcPr>
            <w:tcW w:w="1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Deferred</w:t>
            </w:r>
          </w:p>
        </w:tc>
        <w:tc>
          <w:tcPr>
            <w:tcW w:w="1020" w:type="dxa"/>
            <w:vAlign w:val="bottom"/>
            <w:tcBorders>
              <w:right w:val="single" w:sz="8" w:color="E8EAEB"/>
            </w:tcBorders>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Paid in</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1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Cash</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Awards</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Earnings</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40" w:type="dxa"/>
            <w:vAlign w:val="bottom"/>
          </w:tcPr>
          <w:p>
            <w:pPr>
              <w:jc w:val="right"/>
              <w:ind w:right="328"/>
              <w:spacing w:after="0"/>
              <w:rPr>
                <w:sz w:val="20"/>
                <w:szCs w:val="20"/>
                <w:color w:val="auto"/>
              </w:rPr>
            </w:pPr>
            <w:r>
              <w:rPr>
                <w:rFonts w:ascii="Arial" w:cs="Arial" w:eastAsia="Arial" w:hAnsi="Arial"/>
                <w:sz w:val="14"/>
                <w:szCs w:val="14"/>
                <w:b w:val="1"/>
                <w:bCs w:val="1"/>
                <w:color w:val="009FE3"/>
              </w:rPr>
              <w:t>Total</w:t>
            </w:r>
          </w:p>
        </w:tc>
      </w:tr>
      <w:tr>
        <w:trPr>
          <w:trHeight w:val="20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($)(1)</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($)(2)</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($)(3)</w:t>
            </w: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140" w:type="dxa"/>
            <w:vAlign w:val="bottom"/>
          </w:tcPr>
          <w:p>
            <w:pPr>
              <w:jc w:val="right"/>
              <w:ind w:right="408"/>
              <w:spacing w:after="0"/>
              <w:rPr>
                <w:sz w:val="20"/>
                <w:szCs w:val="20"/>
                <w:color w:val="auto"/>
              </w:rPr>
            </w:pPr>
            <w:r>
              <w:rPr>
                <w:rFonts w:ascii="Arial" w:cs="Arial" w:eastAsia="Arial" w:hAnsi="Arial"/>
                <w:sz w:val="14"/>
                <w:szCs w:val="14"/>
                <w:b w:val="1"/>
                <w:bCs w:val="1"/>
                <w:color w:val="009FE3"/>
              </w:rPr>
              <w:t>($)</w:t>
            </w:r>
          </w:p>
        </w:tc>
      </w:tr>
      <w:tr>
        <w:trPr>
          <w:trHeight w:val="39"/>
        </w:trPr>
        <w:tc>
          <w:tcPr>
            <w:tcW w:w="3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040" w:type="dxa"/>
            <w:vAlign w:val="bottom"/>
            <w:tcBorders>
              <w:bottom w:val="single" w:sz="8" w:color="009FE3"/>
              <w:right w:val="single" w:sz="8" w:color="E8EAEB"/>
            </w:tcBorders>
          </w:tcPr>
          <w:p>
            <w:pPr>
              <w:spacing w:after="0"/>
              <w:rPr>
                <w:sz w:val="3"/>
                <w:szCs w:val="3"/>
                <w:color w:val="auto"/>
              </w:rPr>
            </w:pPr>
          </w:p>
        </w:tc>
        <w:tc>
          <w:tcPr>
            <w:tcW w:w="1020" w:type="dxa"/>
            <w:vAlign w:val="bottom"/>
            <w:tcBorders>
              <w:bottom w:val="single" w:sz="8" w:color="009FE3"/>
              <w:right w:val="single" w:sz="8" w:color="E8EAEB"/>
            </w:tcBorders>
          </w:tcPr>
          <w:p>
            <w:pPr>
              <w:spacing w:after="0"/>
              <w:rPr>
                <w:sz w:val="3"/>
                <w:szCs w:val="3"/>
                <w:color w:val="auto"/>
              </w:rPr>
            </w:pPr>
          </w:p>
        </w:tc>
        <w:tc>
          <w:tcPr>
            <w:tcW w:w="1020" w:type="dxa"/>
            <w:vAlign w:val="bottom"/>
            <w:tcBorders>
              <w:bottom w:val="single" w:sz="8" w:color="009FE3"/>
              <w:right w:val="single" w:sz="8" w:color="E8EAEB"/>
            </w:tcBorders>
          </w:tcPr>
          <w:p>
            <w:pPr>
              <w:spacing w:after="0"/>
              <w:rPr>
                <w:sz w:val="3"/>
                <w:szCs w:val="3"/>
                <w:color w:val="auto"/>
              </w:rPr>
            </w:pPr>
          </w:p>
        </w:tc>
        <w:tc>
          <w:tcPr>
            <w:tcW w:w="1140" w:type="dxa"/>
            <w:vAlign w:val="bottom"/>
            <w:tcBorders>
              <w:bottom w:val="single" w:sz="8" w:color="009FE3"/>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James Bridenstine</w:t>
            </w:r>
          </w:p>
        </w:tc>
        <w:tc>
          <w:tcPr>
            <w:tcW w:w="120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144,210</w:t>
            </w:r>
          </w:p>
        </w:tc>
        <w:tc>
          <w:tcPr>
            <w:tcW w:w="12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158,688</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302,898</w:t>
            </w:r>
          </w:p>
        </w:tc>
      </w:tr>
      <w:tr>
        <w:trPr>
          <w:trHeight w:val="39"/>
        </w:trPr>
        <w:tc>
          <w:tcPr>
            <w:tcW w:w="3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4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140" w:type="dxa"/>
            <w:vAlign w:val="bottom"/>
            <w:tcBorders>
              <w:bottom w:val="single" w:sz="8" w:color="E8EAEB"/>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Robert Johnson</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123,500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59,888</w:t>
            </w:r>
          </w:p>
        </w:tc>
        <w:tc>
          <w:tcPr>
            <w:tcW w:w="12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64,062</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247,450</w:t>
            </w:r>
          </w:p>
        </w:tc>
      </w:tr>
      <w:tr>
        <w:trPr>
          <w:trHeight w:val="39"/>
        </w:trPr>
        <w:tc>
          <w:tcPr>
            <w:tcW w:w="3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4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140" w:type="dxa"/>
            <w:vAlign w:val="bottom"/>
            <w:tcBorders>
              <w:bottom w:val="single" w:sz="8" w:color="E8EAEB"/>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Sean Pak</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145,500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59,888</w:t>
            </w:r>
          </w:p>
        </w:tc>
        <w:tc>
          <w:tcPr>
            <w:tcW w:w="12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64,062</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269,450</w:t>
            </w:r>
          </w:p>
        </w:tc>
      </w:tr>
      <w:tr>
        <w:trPr>
          <w:trHeight w:val="39"/>
        </w:trPr>
        <w:tc>
          <w:tcPr>
            <w:tcW w:w="3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4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140" w:type="dxa"/>
            <w:vAlign w:val="bottom"/>
            <w:tcBorders>
              <w:bottom w:val="single" w:sz="8" w:color="E8EAEB"/>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Varsha Rao</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130,500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59,888</w:t>
            </w:r>
          </w:p>
        </w:tc>
        <w:tc>
          <w:tcPr>
            <w:tcW w:w="12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64,062</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254,450</w:t>
            </w:r>
          </w:p>
        </w:tc>
      </w:tr>
      <w:tr>
        <w:trPr>
          <w:trHeight w:val="39"/>
        </w:trPr>
        <w:tc>
          <w:tcPr>
            <w:tcW w:w="3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4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140" w:type="dxa"/>
            <w:vAlign w:val="bottom"/>
            <w:tcBorders>
              <w:bottom w:val="single" w:sz="8" w:color="E8EAEB"/>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John Stenbit</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138,000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59,888</w:t>
            </w:r>
          </w:p>
        </w:tc>
        <w:tc>
          <w:tcPr>
            <w:tcW w:w="12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64,062</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261,950</w:t>
            </w:r>
          </w:p>
        </w:tc>
      </w:tr>
      <w:tr>
        <w:trPr>
          <w:trHeight w:val="39"/>
        </w:trPr>
        <w:tc>
          <w:tcPr>
            <w:tcW w:w="3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4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140" w:type="dxa"/>
            <w:vAlign w:val="bottom"/>
            <w:tcBorders>
              <w:bottom w:val="single" w:sz="8" w:color="E8EAEB"/>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Harvey White (4)</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15,000</w:t>
            </w:r>
          </w:p>
        </w:tc>
        <w:tc>
          <w:tcPr>
            <w:tcW w:w="1200" w:type="dxa"/>
            <w:vAlign w:val="bottom"/>
            <w:tcBorders>
              <w:right w:val="single" w:sz="8" w:color="E8EAEB"/>
            </w:tcBorders>
          </w:tcPr>
          <w:p>
            <w:pPr>
              <w:jc w:val="right"/>
              <w:ind w:right="208"/>
              <w:spacing w:after="0"/>
              <w:rPr>
                <w:sz w:val="20"/>
                <w:szCs w:val="20"/>
                <w:color w:val="auto"/>
              </w:rPr>
            </w:pPr>
            <w:r>
              <w:rPr>
                <w:rFonts w:ascii="Arial" w:cs="Arial" w:eastAsia="Arial" w:hAnsi="Arial"/>
                <w:sz w:val="14"/>
                <w:szCs w:val="14"/>
                <w:color w:val="202E39"/>
              </w:rPr>
              <w:t>—</w:t>
            </w:r>
          </w:p>
        </w:tc>
        <w:tc>
          <w:tcPr>
            <w:tcW w:w="1200" w:type="dxa"/>
            <w:vAlign w:val="bottom"/>
            <w:tcBorders>
              <w:right w:val="single" w:sz="8" w:color="E8EAEB"/>
            </w:tcBorders>
          </w:tcPr>
          <w:p>
            <w:pPr>
              <w:jc w:val="right"/>
              <w:ind w:right="188"/>
              <w:spacing w:after="0"/>
              <w:rPr>
                <w:sz w:val="20"/>
                <w:szCs w:val="20"/>
                <w:color w:val="auto"/>
              </w:rPr>
            </w:pPr>
            <w:r>
              <w:rPr>
                <w:rFonts w:ascii="Arial" w:cs="Arial" w:eastAsia="Arial" w:hAnsi="Arial"/>
                <w:sz w:val="14"/>
                <w:szCs w:val="14"/>
                <w:color w:val="202E39"/>
              </w:rPr>
              <w:t>—</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15,000</w:t>
            </w:r>
          </w:p>
        </w:tc>
      </w:tr>
      <w:tr>
        <w:trPr>
          <w:trHeight w:val="39"/>
        </w:trPr>
        <w:tc>
          <w:tcPr>
            <w:tcW w:w="3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200" w:type="dxa"/>
            <w:vAlign w:val="bottom"/>
            <w:tcBorders>
              <w:bottom w:val="single" w:sz="8" w:color="E8EAEB"/>
              <w:right w:val="single" w:sz="8" w:color="E8EAEB"/>
            </w:tcBorders>
          </w:tcPr>
          <w:p>
            <w:pPr>
              <w:spacing w:after="0"/>
              <w:rPr>
                <w:sz w:val="3"/>
                <w:szCs w:val="3"/>
                <w:color w:val="auto"/>
              </w:rPr>
            </w:pPr>
          </w:p>
        </w:tc>
        <w:tc>
          <w:tcPr>
            <w:tcW w:w="104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020" w:type="dxa"/>
            <w:vAlign w:val="bottom"/>
            <w:tcBorders>
              <w:bottom w:val="single" w:sz="8" w:color="E8EAEB"/>
              <w:right w:val="single" w:sz="8" w:color="E8EAEB"/>
            </w:tcBorders>
          </w:tcPr>
          <w:p>
            <w:pPr>
              <w:spacing w:after="0"/>
              <w:rPr>
                <w:sz w:val="3"/>
                <w:szCs w:val="3"/>
                <w:color w:val="auto"/>
              </w:rPr>
            </w:pPr>
          </w:p>
        </w:tc>
        <w:tc>
          <w:tcPr>
            <w:tcW w:w="1140" w:type="dxa"/>
            <w:vAlign w:val="bottom"/>
            <w:tcBorders>
              <w:bottom w:val="single" w:sz="8" w:color="E8EAEB"/>
            </w:tcBorders>
          </w:tcPr>
          <w:p>
            <w:pPr>
              <w:spacing w:after="0"/>
              <w:rPr>
                <w:sz w:val="3"/>
                <w:szCs w:val="3"/>
                <w:color w:val="auto"/>
              </w:rPr>
            </w:pPr>
          </w:p>
        </w:tc>
      </w:tr>
      <w:tr>
        <w:trPr>
          <w:trHeight w:val="184"/>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Theresa Wise</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170,000</w:t>
            </w:r>
          </w:p>
        </w:tc>
        <w:tc>
          <w:tcPr>
            <w:tcW w:w="12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59,888</w:t>
            </w:r>
          </w:p>
        </w:tc>
        <w:tc>
          <w:tcPr>
            <w:tcW w:w="120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64,062</w:t>
            </w:r>
          </w:p>
        </w:tc>
        <w:tc>
          <w:tcPr>
            <w:tcW w:w="1040" w:type="dxa"/>
            <w:vAlign w:val="bottom"/>
            <w:tcBorders>
              <w:right w:val="single" w:sz="8" w:color="E8EAEB"/>
            </w:tcBorders>
          </w:tcPr>
          <w:p>
            <w:pPr>
              <w:ind w:left="62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020" w:type="dxa"/>
            <w:vAlign w:val="bottom"/>
            <w:tcBorders>
              <w:right w:val="single" w:sz="8" w:color="E8EAEB"/>
            </w:tcBorders>
          </w:tcPr>
          <w:p>
            <w:pPr>
              <w:ind w:left="600"/>
              <w:spacing w:after="0"/>
              <w:rPr>
                <w:sz w:val="20"/>
                <w:szCs w:val="20"/>
                <w:color w:val="auto"/>
              </w:rPr>
            </w:pPr>
            <w:r>
              <w:rPr>
                <w:rFonts w:ascii="Arial" w:cs="Arial" w:eastAsia="Arial" w:hAnsi="Arial"/>
                <w:sz w:val="14"/>
                <w:szCs w:val="14"/>
                <w:color w:val="202E39"/>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202E39"/>
              </w:rPr>
              <w:t>293,950</w:t>
            </w:r>
          </w:p>
        </w:tc>
      </w:tr>
      <w:tr>
        <w:trPr>
          <w:trHeight w:val="39"/>
        </w:trPr>
        <w:tc>
          <w:tcPr>
            <w:tcW w:w="3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200" w:type="dxa"/>
            <w:vAlign w:val="bottom"/>
            <w:tcBorders>
              <w:bottom w:val="single" w:sz="8" w:color="009FE3"/>
              <w:right w:val="single" w:sz="8" w:color="E8EAEB"/>
            </w:tcBorders>
          </w:tcPr>
          <w:p>
            <w:pPr>
              <w:spacing w:after="0"/>
              <w:rPr>
                <w:sz w:val="3"/>
                <w:szCs w:val="3"/>
                <w:color w:val="auto"/>
              </w:rPr>
            </w:pPr>
          </w:p>
        </w:tc>
        <w:tc>
          <w:tcPr>
            <w:tcW w:w="1040" w:type="dxa"/>
            <w:vAlign w:val="bottom"/>
            <w:tcBorders>
              <w:bottom w:val="single" w:sz="8" w:color="009FE3"/>
              <w:right w:val="single" w:sz="8" w:color="E8EAEB"/>
            </w:tcBorders>
          </w:tcPr>
          <w:p>
            <w:pPr>
              <w:spacing w:after="0"/>
              <w:rPr>
                <w:sz w:val="3"/>
                <w:szCs w:val="3"/>
                <w:color w:val="auto"/>
              </w:rPr>
            </w:pPr>
          </w:p>
        </w:tc>
        <w:tc>
          <w:tcPr>
            <w:tcW w:w="1020" w:type="dxa"/>
            <w:vAlign w:val="bottom"/>
            <w:tcBorders>
              <w:bottom w:val="single" w:sz="8" w:color="009FE3"/>
              <w:right w:val="single" w:sz="8" w:color="E8EAEB"/>
            </w:tcBorders>
          </w:tcPr>
          <w:p>
            <w:pPr>
              <w:spacing w:after="0"/>
              <w:rPr>
                <w:sz w:val="3"/>
                <w:szCs w:val="3"/>
                <w:color w:val="auto"/>
              </w:rPr>
            </w:pPr>
          </w:p>
        </w:tc>
        <w:tc>
          <w:tcPr>
            <w:tcW w:w="1020" w:type="dxa"/>
            <w:vAlign w:val="bottom"/>
            <w:tcBorders>
              <w:bottom w:val="single" w:sz="8" w:color="009FE3"/>
              <w:right w:val="single" w:sz="8" w:color="E8EAEB"/>
            </w:tcBorders>
          </w:tcPr>
          <w:p>
            <w:pPr>
              <w:spacing w:after="0"/>
              <w:rPr>
                <w:sz w:val="3"/>
                <w:szCs w:val="3"/>
                <w:color w:val="auto"/>
              </w:rPr>
            </w:pPr>
          </w:p>
        </w:tc>
        <w:tc>
          <w:tcPr>
            <w:tcW w:w="1140" w:type="dxa"/>
            <w:vAlign w:val="bottom"/>
            <w:tcBorders>
              <w:bottom w:val="single" w:sz="8" w:color="009FE3"/>
            </w:tcBorders>
          </w:tcPr>
          <w:p>
            <w:pPr>
              <w:spacing w:after="0"/>
              <w:rPr>
                <w:sz w:val="3"/>
                <w:szCs w:val="3"/>
                <w:color w:val="auto"/>
              </w:rPr>
            </w:pPr>
          </w:p>
        </w:tc>
      </w:tr>
    </w:tbl>
    <w:p>
      <w:pPr>
        <w:spacing w:after="0" w:line="126" w:lineRule="exact"/>
        <w:rPr>
          <w:sz w:val="20"/>
          <w:szCs w:val="20"/>
          <w:color w:val="auto"/>
        </w:rPr>
      </w:pPr>
    </w:p>
    <w:p>
      <w:pPr>
        <w:ind w:left="540" w:right="240" w:hanging="424"/>
        <w:spacing w:after="0" w:line="258" w:lineRule="auto"/>
        <w:tabs>
          <w:tab w:leader="none" w:pos="54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In fiscal year 2021, the Company paid certain non-employee directors cash retainer fees greater than they were entitled to based on their service. As a result, cash payments to impacted directors in fiscal year 2022 will be reduced by the amounts of any overpayments in fiscal year 2021.</w:t>
      </w:r>
    </w:p>
    <w:p>
      <w:pPr>
        <w:spacing w:after="0" w:line="45" w:lineRule="exact"/>
        <w:rPr>
          <w:rFonts w:ascii="Arial" w:cs="Arial" w:eastAsia="Arial" w:hAnsi="Arial"/>
          <w:sz w:val="14"/>
          <w:szCs w:val="14"/>
          <w:color w:val="202E39"/>
        </w:rPr>
      </w:pPr>
    </w:p>
    <w:p>
      <w:pPr>
        <w:ind w:left="540" w:right="20" w:hanging="424"/>
        <w:spacing w:after="0" w:line="241" w:lineRule="auto"/>
        <w:tabs>
          <w:tab w:leader="none" w:pos="54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restricted stock unit awards granted in fiscal year 2021.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7 to the financial statements included in our annual report on Form 10-K for the fiscal year ended March 31, 2021, as filed with the SEC. The aggregate number of shares of our common stock subject to restricted stock unit awards outstanding at the end of fiscal year 2021 for each non-employee director was as follows:</w:t>
      </w:r>
    </w:p>
    <w:p>
      <w:pPr>
        <w:spacing w:after="0" w:line="1" w:lineRule="exact"/>
        <w:rPr>
          <w:rFonts w:ascii="Arial" w:cs="Arial" w:eastAsia="Arial" w:hAnsi="Arial"/>
          <w:sz w:val="14"/>
          <w:szCs w:val="14"/>
          <w:color w:val="202E39"/>
        </w:rPr>
      </w:pPr>
    </w:p>
    <w:p>
      <w:pPr>
        <w:ind w:left="540"/>
        <w:spacing w:after="0"/>
        <w:rPr>
          <w:rFonts w:ascii="Arial" w:cs="Arial" w:eastAsia="Arial" w:hAnsi="Arial"/>
          <w:sz w:val="14"/>
          <w:szCs w:val="14"/>
          <w:color w:val="202E39"/>
        </w:rPr>
      </w:pPr>
      <w:r>
        <w:rPr>
          <w:rFonts w:ascii="Arial" w:cs="Arial" w:eastAsia="Arial" w:hAnsi="Arial"/>
          <w:sz w:val="14"/>
          <w:szCs w:val="14"/>
          <w:color w:val="202E39"/>
        </w:rPr>
        <w:t>Mr. Bridenstine (3,000); Mr. Johnson (1,600); Dr. Wise (3,600); Mr. Pak (1,600); Ms. Rao (1,600); Mr. Stenbit (1,600); and Mr. White (0).</w:t>
      </w:r>
    </w:p>
    <w:p>
      <w:pPr>
        <w:spacing w:after="0" w:line="68" w:lineRule="exact"/>
        <w:rPr>
          <w:rFonts w:ascii="Arial" w:cs="Arial" w:eastAsia="Arial" w:hAnsi="Arial"/>
          <w:sz w:val="14"/>
          <w:szCs w:val="14"/>
          <w:color w:val="202E39"/>
        </w:rPr>
      </w:pPr>
    </w:p>
    <w:p>
      <w:pPr>
        <w:ind w:left="540" w:right="80" w:hanging="424"/>
        <w:spacing w:after="0" w:line="241" w:lineRule="auto"/>
        <w:tabs>
          <w:tab w:leader="none" w:pos="54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stock options granted in fiscal year 2021, excluding the effect of estimated forfeitures.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7 to the financial statements included in our annual report on Form 10-K for the fiscal year ended March 31, 2021, as filed with the SEC. The aggregate number of shares of our common stock subject to stock options outstanding at the end of fiscal year 2021 for each director was as follows:</w:t>
      </w:r>
    </w:p>
    <w:p>
      <w:pPr>
        <w:spacing w:after="0" w:line="1" w:lineRule="exact"/>
        <w:rPr>
          <w:rFonts w:ascii="Arial" w:cs="Arial" w:eastAsia="Arial" w:hAnsi="Arial"/>
          <w:sz w:val="14"/>
          <w:szCs w:val="14"/>
          <w:color w:val="202E39"/>
        </w:rPr>
      </w:pPr>
    </w:p>
    <w:p>
      <w:pPr>
        <w:ind w:left="540"/>
        <w:spacing w:after="0"/>
        <w:rPr>
          <w:rFonts w:ascii="Arial" w:cs="Arial" w:eastAsia="Arial" w:hAnsi="Arial"/>
          <w:sz w:val="14"/>
          <w:szCs w:val="14"/>
          <w:color w:val="202E39"/>
        </w:rPr>
      </w:pPr>
      <w:r>
        <w:rPr>
          <w:rFonts w:ascii="Arial" w:cs="Arial" w:eastAsia="Arial" w:hAnsi="Arial"/>
          <w:sz w:val="14"/>
          <w:szCs w:val="14"/>
          <w:color w:val="202E39"/>
        </w:rPr>
        <w:t>Mr. Bridenstine (9,000); Mr. Johnson (30,000); Dr. Wise (14,000); Mr. Pak (24,000); Ms. Rao (29,000); Mr. Stenbit (30,000); and Mr. White (0).</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51"/>
        </w:numPr>
        <w:rPr>
          <w:rFonts w:ascii="Arial" w:cs="Arial" w:eastAsia="Arial" w:hAnsi="Arial"/>
          <w:sz w:val="14"/>
          <w:szCs w:val="14"/>
          <w:color w:val="202E39"/>
        </w:rPr>
      </w:pPr>
      <w:r>
        <w:rPr>
          <w:rFonts w:ascii="Arial" w:cs="Arial" w:eastAsia="Arial" w:hAnsi="Arial"/>
          <w:sz w:val="14"/>
          <w:szCs w:val="14"/>
          <w:color w:val="202E39"/>
        </w:rPr>
        <w:t>Mr. White was a director whose term expired at the 2020 annual meeting of stockholders.</w:t>
      </w:r>
    </w:p>
    <w:p>
      <w:pPr>
        <w:spacing w:after="0" w:line="147"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Directors who are employees of the company, such as Mr. Dankberg and Mr. Baldridge, do not receive any additional compensation for their services as directors.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Compensation Arrangements for Non-Employee Directors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In fiscal year 2021, the Board of Directors, or the Board, discussed and received guidance from Compensia, the Compensation and Human Resources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Committee’s independent compensation consultant, on the cash compensation structure provided to non-employee directors. At a subsequent meeting 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fiscal year 2021, the Compensation and Human Resources Committee, through delegation of authority from the Board, approved to eliminate non-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employee director meeting fees and establish an annual cash retainer structure that would become effective at the annual meeting of stockholders 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September 2020. Under the new structure, all non-employee directors are entitled to receive an annual cash retainer for their service in the amount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$70,000 as a member of the Board, $25,000 for the Lead Independent Director, $20,000 for the chair of the Audit Committee, $15,000 for the chair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Compensation and Human Resources Committee, $10,000 for the chair of the Nomination, Evaluation and Corporate Governance Committee, $5,000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chair of the other Board committees, $15,000 as a non-chair member of the Audit Committee, $10,000 as a non-chair member of the Compensation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and Human Resources Committee, $5,000 as a non-chair member of the Nomination, Evaluation and Corporate Governance Committee, and $2,500 as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 non-chair member of the other Board committees. Under the previous cash compensation structure, non-employee directors were entitled to receive an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annual cash retainer for their service in the amount of $50,000 as a member of the Board, $12,000 for the chair of the Audit Committee, $8,000 for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chair of the Compensation and Human Resources Committee, $3,000 for the chair of the other Board committees, $6,000 as a non-chair member of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Audit Committee, $4,000 as a non-chair member of the Compensation and Human Resources Committee, and $2,000 as a non-chair member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96520</wp:posOffset>
            </wp:positionV>
            <wp:extent cx="43688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6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Equity Compensation Plan Information</w:t>
      </w:r>
    </w:p>
    <w:p>
      <w:pPr>
        <w:spacing w:after="0" w:line="160" w:lineRule="exact"/>
        <w:rPr>
          <w:sz w:val="20"/>
          <w:szCs w:val="20"/>
          <w:color w:val="auto"/>
        </w:rPr>
      </w:pPr>
    </w:p>
    <w:p>
      <w:pPr>
        <w:ind w:left="120" w:right="340"/>
        <w:spacing w:after="0" w:line="253" w:lineRule="auto"/>
        <w:rPr>
          <w:sz w:val="20"/>
          <w:szCs w:val="20"/>
          <w:color w:val="auto"/>
        </w:rPr>
      </w:pPr>
      <w:r>
        <w:rPr>
          <w:rFonts w:ascii="Arial" w:cs="Arial" w:eastAsia="Arial" w:hAnsi="Arial"/>
          <w:sz w:val="16"/>
          <w:szCs w:val="16"/>
          <w:color w:val="202E39"/>
        </w:rPr>
        <w:t>other Board committees. In addition, each non-employee director received a meeting fee of $2,000 for each Board meeting attended, $1,500 for each committee meeting attended as the chair of such committee, and $1,000 for each committee meeting attended as a non-chair member of such committee.</w:t>
      </w:r>
    </w:p>
    <w:p>
      <w:pPr>
        <w:spacing w:after="0" w:line="93" w:lineRule="exact"/>
        <w:rPr>
          <w:sz w:val="20"/>
          <w:szCs w:val="20"/>
          <w:color w:val="auto"/>
        </w:rPr>
      </w:pPr>
    </w:p>
    <w:p>
      <w:pPr>
        <w:ind w:left="120" w:right="120"/>
        <w:spacing w:after="0" w:line="248" w:lineRule="auto"/>
        <w:rPr>
          <w:sz w:val="20"/>
          <w:szCs w:val="20"/>
          <w:color w:val="auto"/>
        </w:rPr>
      </w:pPr>
      <w:r>
        <w:rPr>
          <w:rFonts w:ascii="Arial" w:cs="Arial" w:eastAsia="Arial" w:hAnsi="Arial"/>
          <w:sz w:val="16"/>
          <w:szCs w:val="16"/>
          <w:color w:val="202E39"/>
        </w:rPr>
        <w:t>At the time of initial election to the Board,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 the form of a restricted stock unit award that may be settled for 1,600 shares of our common stock and an option to purchase 5,000 shares of our common stock. Initial awards vest in three equal installments on each of the first three anniversaries of the date of grant. Annual awards vest on the first anniversary of the date of grant. Under the Restated Equity Plan, awards to our non-employee directors are subject to accelerated vesting in the event of a change in control or the director’s death or disability. Members of the Board are reimbursed for expenses incurred in attending Board and committee meetings, and in connection with Board related activities.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Stock Ownership Guidelines for Non-Employee Directors</w:t>
      </w:r>
    </w:p>
    <w:p>
      <w:pPr>
        <w:spacing w:after="0" w:line="124" w:lineRule="exact"/>
        <w:rPr>
          <w:sz w:val="20"/>
          <w:szCs w:val="20"/>
          <w:color w:val="auto"/>
        </w:rPr>
      </w:pPr>
    </w:p>
    <w:p>
      <w:pPr>
        <w:ind w:left="120" w:right="240"/>
        <w:spacing w:after="0" w:line="249" w:lineRule="auto"/>
        <w:rPr>
          <w:sz w:val="20"/>
          <w:szCs w:val="20"/>
          <w:color w:val="auto"/>
        </w:rPr>
      </w:pPr>
      <w:r>
        <w:rPr>
          <w:rFonts w:ascii="Arial" w:cs="Arial" w:eastAsia="Arial" w:hAnsi="Arial"/>
          <w:sz w:val="16"/>
          <w:szCs w:val="16"/>
          <w:color w:val="202E39"/>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2021, all directors were in compliance with the applicable stock ownership guidelines.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Compensation Committee Interlocks and Insider Participation</w:t>
      </w:r>
    </w:p>
    <w:p>
      <w:pPr>
        <w:spacing w:after="0" w:line="145"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202E39"/>
        </w:rPr>
        <w:t>The members of the Compensation and Human Resources Committee for fiscal year 2021 were Mr. Pak, Ms. Rao, Mr. Stenbit and Dr. Wise. None of the members of our Compensation and Human Resources Committee has ever been one of our officers or employees. During fiscal year 2021, none of our executive officers served on the board of directors or compensation committee of any entity whose officers served either on our Board of Directors or on our Compensation and Human Resources Committee.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Equity Compensation Plan Information</w:t>
      </w:r>
    </w:p>
    <w:p>
      <w:pPr>
        <w:spacing w:after="0" w:line="145"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The following table provides information as of March 31, 2021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6340" w:type="dxa"/>
            <w:vAlign w:val="bottom"/>
            <w:tcBorders>
              <w:top w:val="single" w:sz="8" w:color="E8EAEB"/>
              <w:right w:val="single" w:sz="8" w:color="E8EAEB"/>
            </w:tcBorders>
          </w:tcPr>
          <w:p>
            <w:pPr>
              <w:spacing w:after="0"/>
              <w:rPr>
                <w:sz w:val="21"/>
                <w:szCs w:val="21"/>
                <w:color w:val="auto"/>
              </w:rPr>
            </w:pPr>
          </w:p>
        </w:tc>
        <w:tc>
          <w:tcPr>
            <w:tcW w:w="17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t>
            </w:r>
          </w:p>
        </w:tc>
        <w:tc>
          <w:tcPr>
            <w:tcW w:w="14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w:t>
            </w:r>
          </w:p>
        </w:tc>
        <w:tc>
          <w:tcPr>
            <w:tcW w:w="148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(c)</w:t>
            </w:r>
          </w:p>
        </w:tc>
      </w:tr>
      <w:tr>
        <w:trPr>
          <w:trHeight w:val="39"/>
        </w:trPr>
        <w:tc>
          <w:tcPr>
            <w:tcW w:w="6340" w:type="dxa"/>
            <w:vAlign w:val="bottom"/>
            <w:tcBorders>
              <w:right w:val="single" w:sz="8" w:color="E8EAEB"/>
            </w:tcBorders>
          </w:tcPr>
          <w:p>
            <w:pPr>
              <w:spacing w:after="0"/>
              <w:rPr>
                <w:sz w:val="3"/>
                <w:szCs w:val="3"/>
                <w:color w:val="auto"/>
              </w:rPr>
            </w:pPr>
          </w:p>
        </w:tc>
        <w:tc>
          <w:tcPr>
            <w:tcW w:w="172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tcBorders>
          </w:tcPr>
          <w:p>
            <w:pPr>
              <w:spacing w:after="0"/>
              <w:rPr>
                <w:sz w:val="3"/>
                <w:szCs w:val="3"/>
                <w:color w:val="auto"/>
              </w:rPr>
            </w:pPr>
          </w:p>
        </w:tc>
      </w:tr>
      <w:tr>
        <w:trPr>
          <w:trHeight w:val="196"/>
        </w:trPr>
        <w:tc>
          <w:tcPr>
            <w:tcW w:w="6340" w:type="dxa"/>
            <w:vAlign w:val="bottom"/>
            <w:tcBorders>
              <w:right w:val="single" w:sz="8" w:color="E8EAEB"/>
            </w:tcBorders>
          </w:tcPr>
          <w:p>
            <w:pPr>
              <w:spacing w:after="0"/>
              <w:rPr>
                <w:sz w:val="17"/>
                <w:szCs w:val="17"/>
                <w:color w:val="auto"/>
              </w:rPr>
            </w:pPr>
          </w:p>
        </w:tc>
        <w:tc>
          <w:tcPr>
            <w:tcW w:w="1720" w:type="dxa"/>
            <w:vAlign w:val="bottom"/>
            <w:tcBorders>
              <w:right w:val="single" w:sz="8" w:color="E8EAEB"/>
            </w:tcBorders>
          </w:tcPr>
          <w:p>
            <w:pPr>
              <w:spacing w:after="0"/>
              <w:rPr>
                <w:sz w:val="17"/>
                <w:szCs w:val="17"/>
                <w:color w:val="auto"/>
              </w:rPr>
            </w:pPr>
          </w:p>
        </w:tc>
        <w:tc>
          <w:tcPr>
            <w:tcW w:w="1480" w:type="dxa"/>
            <w:vAlign w:val="bottom"/>
            <w:tcBorders>
              <w:right w:val="single" w:sz="8" w:color="E8EAEB"/>
            </w:tcBorders>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Number of Securities</w:t>
            </w:r>
          </w:p>
        </w:tc>
      </w:tr>
      <w:tr>
        <w:trPr>
          <w:trHeight w:val="162"/>
        </w:trPr>
        <w:tc>
          <w:tcPr>
            <w:tcW w:w="634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spacing w:after="0"/>
              <w:rPr>
                <w:sz w:val="14"/>
                <w:szCs w:val="14"/>
                <w:color w:val="auto"/>
              </w:rPr>
            </w:pPr>
          </w:p>
        </w:tc>
        <w:tc>
          <w:tcPr>
            <w:tcW w:w="1480" w:type="dxa"/>
            <w:vAlign w:val="bottom"/>
            <w:tcBorders>
              <w:right w:val="single" w:sz="8" w:color="E8EAEB"/>
            </w:tcBorders>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Remaining Available</w:t>
            </w:r>
          </w:p>
        </w:tc>
      </w:tr>
      <w:tr>
        <w:trPr>
          <w:trHeight w:val="162"/>
        </w:trPr>
        <w:tc>
          <w:tcPr>
            <w:tcW w:w="634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spacing w:after="0"/>
              <w:rPr>
                <w:sz w:val="14"/>
                <w:szCs w:val="14"/>
                <w:color w:val="auto"/>
              </w:rPr>
            </w:pPr>
          </w:p>
        </w:tc>
        <w:tc>
          <w:tcPr>
            <w:tcW w:w="1480" w:type="dxa"/>
            <w:vAlign w:val="bottom"/>
            <w:tcBorders>
              <w:right w:val="single" w:sz="8" w:color="E8EAEB"/>
            </w:tcBorders>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for Future Issuance</w:t>
            </w:r>
          </w:p>
        </w:tc>
      </w:tr>
      <w:tr>
        <w:trPr>
          <w:trHeight w:val="162"/>
        </w:trPr>
        <w:tc>
          <w:tcPr>
            <w:tcW w:w="634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Securities to</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Under Equity</w:t>
            </w:r>
          </w:p>
        </w:tc>
      </w:tr>
      <w:tr>
        <w:trPr>
          <w:trHeight w:val="162"/>
        </w:trPr>
        <w:tc>
          <w:tcPr>
            <w:tcW w:w="634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be Issued Upon Exercise</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Exercise Price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Compensation Plans</w:t>
            </w:r>
          </w:p>
        </w:tc>
      </w:tr>
      <w:tr>
        <w:trPr>
          <w:trHeight w:val="162"/>
        </w:trPr>
        <w:tc>
          <w:tcPr>
            <w:tcW w:w="634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Outstanding Options,</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Outstanding Options,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(Excluding Securities</w:t>
            </w:r>
          </w:p>
        </w:tc>
      </w:tr>
      <w:tr>
        <w:trPr>
          <w:trHeight w:val="162"/>
        </w:trPr>
        <w:tc>
          <w:tcPr>
            <w:tcW w:w="6340" w:type="dxa"/>
            <w:vAlign w:val="bottom"/>
            <w:tcBorders>
              <w:right w:val="single" w:sz="8" w:color="E8EAEB"/>
            </w:tcBorders>
          </w:tcPr>
          <w:p>
            <w:pPr>
              <w:spacing w:after="0"/>
              <w:rPr>
                <w:sz w:val="14"/>
                <w:szCs w:val="14"/>
                <w:color w:val="auto"/>
              </w:rPr>
            </w:pPr>
          </w:p>
        </w:tc>
        <w:tc>
          <w:tcPr>
            <w:tcW w:w="1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Warrants and Rights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Reflected in Column</w:t>
            </w:r>
          </w:p>
        </w:tc>
      </w:tr>
      <w:tr>
        <w:trPr>
          <w:trHeight w:val="190"/>
        </w:trPr>
        <w:tc>
          <w:tcPr>
            <w:tcW w:w="634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Plan Category</w:t>
            </w:r>
          </w:p>
        </w:tc>
        <w:tc>
          <w:tcPr>
            <w:tcW w:w="1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(#)(1)</w:t>
            </w:r>
          </w:p>
        </w:tc>
        <w:tc>
          <w:tcPr>
            <w:tcW w:w="14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($)(2)</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9FE3"/>
              </w:rPr>
              <w:t>(a))(#)</w:t>
            </w:r>
          </w:p>
        </w:tc>
      </w:tr>
      <w:tr>
        <w:trPr>
          <w:trHeight w:val="39"/>
        </w:trPr>
        <w:tc>
          <w:tcPr>
            <w:tcW w:w="6340" w:type="dxa"/>
            <w:vAlign w:val="bottom"/>
            <w:tcBorders>
              <w:bottom w:val="single" w:sz="8" w:color="009FE3"/>
              <w:right w:val="single" w:sz="8" w:color="E8EAEB"/>
            </w:tcBorders>
          </w:tcPr>
          <w:p>
            <w:pPr>
              <w:spacing w:after="0"/>
              <w:rPr>
                <w:sz w:val="3"/>
                <w:szCs w:val="3"/>
                <w:color w:val="auto"/>
              </w:rPr>
            </w:pPr>
          </w:p>
        </w:tc>
        <w:tc>
          <w:tcPr>
            <w:tcW w:w="172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right w:val="single" w:sz="8" w:color="E8EAEB"/>
            </w:tcBorders>
          </w:tcPr>
          <w:p>
            <w:pPr>
              <w:spacing w:after="0"/>
              <w:rPr>
                <w:sz w:val="3"/>
                <w:szCs w:val="3"/>
                <w:color w:val="auto"/>
              </w:rPr>
            </w:pPr>
          </w:p>
        </w:tc>
        <w:tc>
          <w:tcPr>
            <w:tcW w:w="1480" w:type="dxa"/>
            <w:vAlign w:val="bottom"/>
            <w:tcBorders>
              <w:bottom w:val="single" w:sz="8" w:color="009FE3"/>
            </w:tcBorders>
          </w:tcPr>
          <w:p>
            <w:pPr>
              <w:spacing w:after="0"/>
              <w:rPr>
                <w:sz w:val="3"/>
                <w:szCs w:val="3"/>
                <w:color w:val="auto"/>
              </w:rPr>
            </w:pPr>
          </w:p>
        </w:tc>
      </w:tr>
      <w:tr>
        <w:trPr>
          <w:trHeight w:val="244"/>
        </w:trPr>
        <w:tc>
          <w:tcPr>
            <w:tcW w:w="63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approved by security holders (3)</w:t>
            </w:r>
          </w:p>
        </w:tc>
        <w:tc>
          <w:tcPr>
            <w:tcW w:w="1720" w:type="dxa"/>
            <w:vAlign w:val="bottom"/>
            <w:tcBorders>
              <w:right w:val="single" w:sz="8" w:color="E8EAEB"/>
            </w:tcBorders>
          </w:tcPr>
          <w:p>
            <w:pPr>
              <w:jc w:val="right"/>
              <w:ind w:right="205"/>
              <w:spacing w:after="0"/>
              <w:rPr>
                <w:sz w:val="20"/>
                <w:szCs w:val="20"/>
                <w:color w:val="auto"/>
              </w:rPr>
            </w:pPr>
            <w:r>
              <w:rPr>
                <w:rFonts w:ascii="Arial" w:cs="Arial" w:eastAsia="Arial" w:hAnsi="Arial"/>
                <w:sz w:val="16"/>
                <w:szCs w:val="16"/>
                <w:color w:val="202E39"/>
              </w:rPr>
              <w:t>6,803,753</w:t>
            </w:r>
          </w:p>
        </w:tc>
        <w:tc>
          <w:tcPr>
            <w:tcW w:w="1480" w:type="dxa"/>
            <w:vAlign w:val="bottom"/>
            <w:tcBorders>
              <w:right w:val="single" w:sz="8" w:color="E8EAEB"/>
            </w:tcBorders>
          </w:tcPr>
          <w:p>
            <w:pPr>
              <w:jc w:val="right"/>
              <w:ind w:right="205"/>
              <w:spacing w:after="0"/>
              <w:rPr>
                <w:sz w:val="20"/>
                <w:szCs w:val="20"/>
                <w:color w:val="auto"/>
              </w:rPr>
            </w:pPr>
            <w:r>
              <w:rPr>
                <w:rFonts w:ascii="Arial" w:cs="Arial" w:eastAsia="Arial" w:hAnsi="Arial"/>
                <w:sz w:val="16"/>
                <w:szCs w:val="16"/>
                <w:color w:val="202E39"/>
              </w:rPr>
              <w:t>61.38</w:t>
            </w:r>
          </w:p>
        </w:tc>
        <w:tc>
          <w:tcPr>
            <w:tcW w:w="1480" w:type="dxa"/>
            <w:vAlign w:val="bottom"/>
          </w:tcPr>
          <w:p>
            <w:pPr>
              <w:ind w:left="480"/>
              <w:spacing w:after="0"/>
              <w:rPr>
                <w:sz w:val="20"/>
                <w:szCs w:val="20"/>
                <w:color w:val="auto"/>
              </w:rPr>
            </w:pPr>
            <w:r>
              <w:rPr>
                <w:rFonts w:ascii="Arial" w:cs="Arial" w:eastAsia="Arial" w:hAnsi="Arial"/>
                <w:sz w:val="16"/>
                <w:szCs w:val="16"/>
                <w:color w:val="202E39"/>
              </w:rPr>
              <w:t>2,782,208(4)</w:t>
            </w:r>
          </w:p>
        </w:tc>
      </w:tr>
      <w:tr>
        <w:trPr>
          <w:trHeight w:val="47"/>
        </w:trPr>
        <w:tc>
          <w:tcPr>
            <w:tcW w:w="6340" w:type="dxa"/>
            <w:vAlign w:val="bottom"/>
            <w:tcBorders>
              <w:bottom w:val="single" w:sz="8" w:color="E8EAEB"/>
              <w:right w:val="single" w:sz="8" w:color="E8EAEB"/>
            </w:tcBorders>
          </w:tcPr>
          <w:p>
            <w:pPr>
              <w:spacing w:after="0"/>
              <w:rPr>
                <w:sz w:val="4"/>
                <w:szCs w:val="4"/>
                <w:color w:val="auto"/>
              </w:rPr>
            </w:pPr>
          </w:p>
        </w:tc>
        <w:tc>
          <w:tcPr>
            <w:tcW w:w="1720" w:type="dxa"/>
            <w:vAlign w:val="bottom"/>
            <w:tcBorders>
              <w:bottom w:val="single" w:sz="8" w:color="E8EAEB"/>
              <w:right w:val="single" w:sz="8" w:color="E8EAEB"/>
            </w:tcBorders>
          </w:tcPr>
          <w:p>
            <w:pPr>
              <w:spacing w:after="0"/>
              <w:rPr>
                <w:sz w:val="4"/>
                <w:szCs w:val="4"/>
                <w:color w:val="auto"/>
              </w:rPr>
            </w:pPr>
          </w:p>
        </w:tc>
        <w:tc>
          <w:tcPr>
            <w:tcW w:w="1480" w:type="dxa"/>
            <w:vAlign w:val="bottom"/>
            <w:tcBorders>
              <w:bottom w:val="single" w:sz="8" w:color="E8EAEB"/>
              <w:right w:val="single" w:sz="8" w:color="E8EAEB"/>
            </w:tcBorders>
          </w:tcPr>
          <w:p>
            <w:pPr>
              <w:spacing w:after="0"/>
              <w:rPr>
                <w:sz w:val="4"/>
                <w:szCs w:val="4"/>
                <w:color w:val="auto"/>
              </w:rPr>
            </w:pPr>
          </w:p>
        </w:tc>
        <w:tc>
          <w:tcPr>
            <w:tcW w:w="1480" w:type="dxa"/>
            <w:vAlign w:val="bottom"/>
            <w:tcBorders>
              <w:bottom w:val="single" w:sz="8" w:color="E8EAEB"/>
            </w:tcBorders>
          </w:tcPr>
          <w:p>
            <w:pPr>
              <w:spacing w:after="0"/>
              <w:rPr>
                <w:sz w:val="4"/>
                <w:szCs w:val="4"/>
                <w:color w:val="auto"/>
              </w:rPr>
            </w:pPr>
          </w:p>
        </w:tc>
      </w:tr>
      <w:tr>
        <w:trPr>
          <w:trHeight w:val="244"/>
        </w:trPr>
        <w:tc>
          <w:tcPr>
            <w:tcW w:w="63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not approved by security holders</w:t>
            </w:r>
          </w:p>
        </w:tc>
        <w:tc>
          <w:tcPr>
            <w:tcW w:w="1720" w:type="dxa"/>
            <w:vAlign w:val="bottom"/>
            <w:tcBorders>
              <w:right w:val="single" w:sz="8" w:color="E8EAEB"/>
            </w:tcBorders>
          </w:tcPr>
          <w:p>
            <w:pPr>
              <w:jc w:val="right"/>
              <w:ind w:right="305"/>
              <w:spacing w:after="0"/>
              <w:rPr>
                <w:sz w:val="20"/>
                <w:szCs w:val="20"/>
                <w:color w:val="auto"/>
              </w:rPr>
            </w:pPr>
            <w:r>
              <w:rPr>
                <w:rFonts w:ascii="Arial" w:cs="Arial" w:eastAsia="Arial" w:hAnsi="Arial"/>
                <w:sz w:val="16"/>
                <w:szCs w:val="16"/>
                <w:color w:val="202E39"/>
              </w:rPr>
              <w:t>—</w:t>
            </w:r>
          </w:p>
        </w:tc>
        <w:tc>
          <w:tcPr>
            <w:tcW w:w="1480" w:type="dxa"/>
            <w:vAlign w:val="bottom"/>
            <w:tcBorders>
              <w:right w:val="single" w:sz="8" w:color="E8EAEB"/>
            </w:tcBorders>
          </w:tcPr>
          <w:p>
            <w:pPr>
              <w:jc w:val="right"/>
              <w:ind w:right="305"/>
              <w:spacing w:after="0"/>
              <w:rPr>
                <w:sz w:val="20"/>
                <w:szCs w:val="20"/>
                <w:color w:val="auto"/>
              </w:rPr>
            </w:pPr>
            <w:r>
              <w:rPr>
                <w:rFonts w:ascii="Arial" w:cs="Arial" w:eastAsia="Arial" w:hAnsi="Arial"/>
                <w:sz w:val="16"/>
                <w:szCs w:val="16"/>
                <w:color w:val="202E39"/>
              </w:rPr>
              <w:t>—</w:t>
            </w:r>
          </w:p>
        </w:tc>
        <w:tc>
          <w:tcPr>
            <w:tcW w:w="1480" w:type="dxa"/>
            <w:vAlign w:val="bottom"/>
          </w:tcPr>
          <w:p>
            <w:pPr>
              <w:ind w:left="960"/>
              <w:spacing w:after="0"/>
              <w:rPr>
                <w:sz w:val="20"/>
                <w:szCs w:val="20"/>
                <w:color w:val="auto"/>
              </w:rPr>
            </w:pPr>
            <w:r>
              <w:rPr>
                <w:rFonts w:ascii="Arial" w:cs="Arial" w:eastAsia="Arial" w:hAnsi="Arial"/>
                <w:sz w:val="16"/>
                <w:szCs w:val="16"/>
                <w:color w:val="202E39"/>
              </w:rPr>
              <w:t>—</w:t>
            </w:r>
          </w:p>
        </w:tc>
      </w:tr>
      <w:tr>
        <w:trPr>
          <w:trHeight w:val="47"/>
        </w:trPr>
        <w:tc>
          <w:tcPr>
            <w:tcW w:w="6340" w:type="dxa"/>
            <w:vAlign w:val="bottom"/>
            <w:tcBorders>
              <w:bottom w:val="single" w:sz="8" w:color="E8EAEB"/>
              <w:right w:val="single" w:sz="8" w:color="E8EAEB"/>
            </w:tcBorders>
          </w:tcPr>
          <w:p>
            <w:pPr>
              <w:spacing w:after="0"/>
              <w:rPr>
                <w:sz w:val="4"/>
                <w:szCs w:val="4"/>
                <w:color w:val="auto"/>
              </w:rPr>
            </w:pPr>
          </w:p>
        </w:tc>
        <w:tc>
          <w:tcPr>
            <w:tcW w:w="1720" w:type="dxa"/>
            <w:vAlign w:val="bottom"/>
            <w:tcBorders>
              <w:bottom w:val="single" w:sz="8" w:color="E8EAEB"/>
              <w:right w:val="single" w:sz="8" w:color="E8EAEB"/>
            </w:tcBorders>
          </w:tcPr>
          <w:p>
            <w:pPr>
              <w:spacing w:after="0"/>
              <w:rPr>
                <w:sz w:val="4"/>
                <w:szCs w:val="4"/>
                <w:color w:val="auto"/>
              </w:rPr>
            </w:pPr>
          </w:p>
        </w:tc>
        <w:tc>
          <w:tcPr>
            <w:tcW w:w="1480" w:type="dxa"/>
            <w:vAlign w:val="bottom"/>
            <w:tcBorders>
              <w:bottom w:val="single" w:sz="8" w:color="E8EAEB"/>
              <w:right w:val="single" w:sz="8" w:color="E8EAEB"/>
            </w:tcBorders>
          </w:tcPr>
          <w:p>
            <w:pPr>
              <w:spacing w:after="0"/>
              <w:rPr>
                <w:sz w:val="4"/>
                <w:szCs w:val="4"/>
                <w:color w:val="auto"/>
              </w:rPr>
            </w:pPr>
          </w:p>
        </w:tc>
        <w:tc>
          <w:tcPr>
            <w:tcW w:w="1480" w:type="dxa"/>
            <w:vAlign w:val="bottom"/>
            <w:tcBorders>
              <w:bottom w:val="single" w:sz="8" w:color="E8EAEB"/>
            </w:tcBorders>
          </w:tcPr>
          <w:p>
            <w:pPr>
              <w:spacing w:after="0"/>
              <w:rPr>
                <w:sz w:val="4"/>
                <w:szCs w:val="4"/>
                <w:color w:val="auto"/>
              </w:rPr>
            </w:pPr>
          </w:p>
        </w:tc>
      </w:tr>
      <w:tr>
        <w:trPr>
          <w:trHeight w:val="244"/>
        </w:trPr>
        <w:tc>
          <w:tcPr>
            <w:tcW w:w="63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Total</w:t>
            </w:r>
          </w:p>
        </w:tc>
        <w:tc>
          <w:tcPr>
            <w:tcW w:w="1720" w:type="dxa"/>
            <w:vAlign w:val="bottom"/>
            <w:tcBorders>
              <w:right w:val="single" w:sz="8" w:color="E8EAEB"/>
            </w:tcBorders>
          </w:tcPr>
          <w:p>
            <w:pPr>
              <w:jc w:val="right"/>
              <w:ind w:right="205"/>
              <w:spacing w:after="0"/>
              <w:rPr>
                <w:sz w:val="20"/>
                <w:szCs w:val="20"/>
                <w:color w:val="auto"/>
              </w:rPr>
            </w:pPr>
            <w:r>
              <w:rPr>
                <w:rFonts w:ascii="Arial" w:cs="Arial" w:eastAsia="Arial" w:hAnsi="Arial"/>
                <w:sz w:val="16"/>
                <w:szCs w:val="16"/>
                <w:color w:val="202E39"/>
              </w:rPr>
              <w:t>6,803,753</w:t>
            </w:r>
          </w:p>
        </w:tc>
        <w:tc>
          <w:tcPr>
            <w:tcW w:w="1480" w:type="dxa"/>
            <w:vAlign w:val="bottom"/>
            <w:tcBorders>
              <w:right w:val="single" w:sz="8" w:color="E8EAEB"/>
            </w:tcBorders>
          </w:tcPr>
          <w:p>
            <w:pPr>
              <w:jc w:val="right"/>
              <w:ind w:right="205"/>
              <w:spacing w:after="0"/>
              <w:rPr>
                <w:sz w:val="20"/>
                <w:szCs w:val="20"/>
                <w:color w:val="auto"/>
              </w:rPr>
            </w:pPr>
            <w:r>
              <w:rPr>
                <w:rFonts w:ascii="Arial" w:cs="Arial" w:eastAsia="Arial" w:hAnsi="Arial"/>
                <w:sz w:val="16"/>
                <w:szCs w:val="16"/>
                <w:color w:val="202E39"/>
              </w:rPr>
              <w:t>61.38</w:t>
            </w:r>
          </w:p>
        </w:tc>
        <w:tc>
          <w:tcPr>
            <w:tcW w:w="1480" w:type="dxa"/>
            <w:vAlign w:val="bottom"/>
          </w:tcPr>
          <w:p>
            <w:pPr>
              <w:ind w:left="480"/>
              <w:spacing w:after="0"/>
              <w:rPr>
                <w:sz w:val="20"/>
                <w:szCs w:val="20"/>
                <w:color w:val="auto"/>
              </w:rPr>
            </w:pPr>
            <w:r>
              <w:rPr>
                <w:rFonts w:ascii="Arial" w:cs="Arial" w:eastAsia="Arial" w:hAnsi="Arial"/>
                <w:sz w:val="16"/>
                <w:szCs w:val="16"/>
                <w:color w:val="202E39"/>
              </w:rPr>
              <w:t>2,782,208</w:t>
            </w:r>
          </w:p>
        </w:tc>
      </w:tr>
      <w:tr>
        <w:trPr>
          <w:trHeight w:val="47"/>
        </w:trPr>
        <w:tc>
          <w:tcPr>
            <w:tcW w:w="6340" w:type="dxa"/>
            <w:vAlign w:val="bottom"/>
            <w:tcBorders>
              <w:bottom w:val="single" w:sz="8" w:color="009FE3"/>
              <w:right w:val="single" w:sz="8" w:color="E8EAEB"/>
            </w:tcBorders>
          </w:tcPr>
          <w:p>
            <w:pPr>
              <w:spacing w:after="0"/>
              <w:rPr>
                <w:sz w:val="4"/>
                <w:szCs w:val="4"/>
                <w:color w:val="auto"/>
              </w:rPr>
            </w:pPr>
          </w:p>
        </w:tc>
        <w:tc>
          <w:tcPr>
            <w:tcW w:w="1720" w:type="dxa"/>
            <w:vAlign w:val="bottom"/>
            <w:tcBorders>
              <w:bottom w:val="single" w:sz="8" w:color="009FE3"/>
              <w:right w:val="single" w:sz="8" w:color="E8EAEB"/>
            </w:tcBorders>
          </w:tcPr>
          <w:p>
            <w:pPr>
              <w:spacing w:after="0"/>
              <w:rPr>
                <w:sz w:val="4"/>
                <w:szCs w:val="4"/>
                <w:color w:val="auto"/>
              </w:rPr>
            </w:pPr>
          </w:p>
        </w:tc>
        <w:tc>
          <w:tcPr>
            <w:tcW w:w="1480" w:type="dxa"/>
            <w:vAlign w:val="bottom"/>
            <w:tcBorders>
              <w:bottom w:val="single" w:sz="8" w:color="009FE3"/>
              <w:right w:val="single" w:sz="8" w:color="E8EAEB"/>
            </w:tcBorders>
          </w:tcPr>
          <w:p>
            <w:pPr>
              <w:spacing w:after="0"/>
              <w:rPr>
                <w:sz w:val="4"/>
                <w:szCs w:val="4"/>
                <w:color w:val="auto"/>
              </w:rPr>
            </w:pPr>
          </w:p>
        </w:tc>
        <w:tc>
          <w:tcPr>
            <w:tcW w:w="1480" w:type="dxa"/>
            <w:vAlign w:val="bottom"/>
            <w:tcBorders>
              <w:bottom w:val="single" w:sz="8" w:color="009FE3"/>
            </w:tcBorders>
          </w:tcPr>
          <w:p>
            <w:pPr>
              <w:spacing w:after="0"/>
              <w:rPr>
                <w:sz w:val="4"/>
                <w:szCs w:val="4"/>
                <w:color w:val="auto"/>
              </w:rPr>
            </w:pPr>
          </w:p>
        </w:tc>
      </w:tr>
    </w:tbl>
    <w:p>
      <w:pPr>
        <w:spacing w:after="0" w:line="126" w:lineRule="exact"/>
        <w:rPr>
          <w:sz w:val="20"/>
          <w:szCs w:val="20"/>
          <w:color w:val="auto"/>
        </w:rPr>
      </w:pPr>
    </w:p>
    <w:p>
      <w:pPr>
        <w:ind w:left="540" w:right="360" w:hanging="424"/>
        <w:spacing w:after="0" w:line="258" w:lineRule="auto"/>
        <w:tabs>
          <w:tab w:leader="none" w:pos="540" w:val="left"/>
        </w:tabs>
        <w:numPr>
          <w:ilvl w:val="0"/>
          <w:numId w:val="52"/>
        </w:numPr>
        <w:rPr>
          <w:rFonts w:ascii="Arial" w:cs="Arial" w:eastAsia="Arial" w:hAnsi="Arial"/>
          <w:sz w:val="14"/>
          <w:szCs w:val="14"/>
          <w:color w:val="202E39"/>
        </w:rPr>
      </w:pPr>
      <w:r>
        <w:rPr>
          <w:rFonts w:ascii="Arial" w:cs="Arial" w:eastAsia="Arial" w:hAnsi="Arial"/>
          <w:sz w:val="14"/>
          <w:szCs w:val="14"/>
          <w:color w:val="202E39"/>
        </w:rPr>
        <w:t>Includes outstanding restricted stock units and stock options. Performance-based stock options are included at “target” levels. Excludes purchase rights currently accruing under the Viasat, Inc. Employee Stock Purchase Plan.</w:t>
      </w:r>
    </w:p>
    <w:p>
      <w:pPr>
        <w:spacing w:after="0" w:line="45" w:lineRule="exact"/>
        <w:rPr>
          <w:rFonts w:ascii="Arial" w:cs="Arial" w:eastAsia="Arial" w:hAnsi="Arial"/>
          <w:sz w:val="14"/>
          <w:szCs w:val="14"/>
          <w:color w:val="202E39"/>
        </w:rPr>
      </w:pPr>
    </w:p>
    <w:p>
      <w:pPr>
        <w:ind w:left="540" w:hanging="424"/>
        <w:spacing w:after="0"/>
        <w:tabs>
          <w:tab w:leader="none" w:pos="540" w:val="left"/>
        </w:tabs>
        <w:numPr>
          <w:ilvl w:val="0"/>
          <w:numId w:val="52"/>
        </w:numPr>
        <w:rPr>
          <w:rFonts w:ascii="Arial" w:cs="Arial" w:eastAsia="Arial" w:hAnsi="Arial"/>
          <w:sz w:val="14"/>
          <w:szCs w:val="14"/>
          <w:color w:val="202E39"/>
        </w:rPr>
      </w:pPr>
      <w:r>
        <w:rPr>
          <w:rFonts w:ascii="Arial" w:cs="Arial" w:eastAsia="Arial" w:hAnsi="Arial"/>
          <w:sz w:val="14"/>
          <w:szCs w:val="14"/>
          <w:color w:val="202E39"/>
        </w:rPr>
        <w:t>The weighted average exercise price does not take into account the shares subject to outstanding restricted stock units, which have no exercise price.</w:t>
      </w:r>
    </w:p>
    <w:p>
      <w:pPr>
        <w:spacing w:after="0" w:line="68" w:lineRule="exact"/>
        <w:rPr>
          <w:rFonts w:ascii="Arial" w:cs="Arial" w:eastAsia="Arial" w:hAnsi="Arial"/>
          <w:sz w:val="14"/>
          <w:szCs w:val="14"/>
          <w:color w:val="202E39"/>
        </w:rPr>
      </w:pPr>
    </w:p>
    <w:p>
      <w:pPr>
        <w:ind w:left="540" w:hanging="424"/>
        <w:spacing w:after="0"/>
        <w:tabs>
          <w:tab w:leader="none" w:pos="540" w:val="left"/>
        </w:tabs>
        <w:numPr>
          <w:ilvl w:val="0"/>
          <w:numId w:val="52"/>
        </w:numPr>
        <w:rPr>
          <w:rFonts w:ascii="Arial" w:cs="Arial" w:eastAsia="Arial" w:hAnsi="Arial"/>
          <w:sz w:val="14"/>
          <w:szCs w:val="14"/>
          <w:color w:val="202E39"/>
        </w:rPr>
      </w:pPr>
      <w:r>
        <w:rPr>
          <w:rFonts w:ascii="Arial" w:cs="Arial" w:eastAsia="Arial" w:hAnsi="Arial"/>
          <w:sz w:val="14"/>
          <w:szCs w:val="14"/>
          <w:color w:val="202E39"/>
        </w:rPr>
        <w:t>Consists of two plans: (a) the 1996 Equity Participation Plan of Viasat, Inc., and (b) the Viasat, Inc. Employee Stock Purchase Plan.</w:t>
      </w:r>
    </w:p>
    <w:p>
      <w:pPr>
        <w:spacing w:after="0" w:line="68" w:lineRule="exact"/>
        <w:rPr>
          <w:rFonts w:ascii="Arial" w:cs="Arial" w:eastAsia="Arial" w:hAnsi="Arial"/>
          <w:sz w:val="14"/>
          <w:szCs w:val="14"/>
          <w:color w:val="202E39"/>
        </w:rPr>
      </w:pPr>
    </w:p>
    <w:p>
      <w:pPr>
        <w:ind w:left="540" w:right="320" w:hanging="424"/>
        <w:spacing w:after="0" w:line="247" w:lineRule="auto"/>
        <w:tabs>
          <w:tab w:leader="none" w:pos="540" w:val="left"/>
        </w:tabs>
        <w:numPr>
          <w:ilvl w:val="0"/>
          <w:numId w:val="52"/>
        </w:numPr>
        <w:rPr>
          <w:rFonts w:ascii="Arial" w:cs="Arial" w:eastAsia="Arial" w:hAnsi="Arial"/>
          <w:sz w:val="14"/>
          <w:szCs w:val="14"/>
          <w:color w:val="202E39"/>
        </w:rPr>
      </w:pPr>
      <w:r>
        <w:rPr>
          <w:rFonts w:ascii="Arial" w:cs="Arial" w:eastAsia="Arial" w:hAnsi="Arial"/>
          <w:sz w:val="14"/>
          <w:szCs w:val="14"/>
          <w:color w:val="202E39"/>
        </w:rPr>
        <w:t>Includes (a) 2,443,429 shares available for future issuance under the 1996 Equity Participation Plan of Viasat, Inc., and (b) 338,779 shares available for future issuance under the Viasat, Inc. Employee Stock Purchase Plan, all of which may be subject to purchase rights outstanding as of March 31, 2021. 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116"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61</w:t>
            </w: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CERTAIN RELATIONSHIPS AND RELATED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Review and Approval of Related Party Transactions</w:t>
      </w:r>
    </w:p>
    <w:p>
      <w:pPr>
        <w:spacing w:after="0" w:line="145"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During its review and approval or ratification of a disclosable related person transaction, the Audit Committee or the disinterested members of the Board may consider:</w:t>
      </w:r>
    </w:p>
    <w:p>
      <w:pPr>
        <w:spacing w:after="0" w:line="114" w:lineRule="exact"/>
        <w:rPr>
          <w:sz w:val="20"/>
          <w:szCs w:val="20"/>
          <w:color w:val="auto"/>
        </w:rPr>
      </w:pPr>
    </w:p>
    <w:p>
      <w:pPr>
        <w:ind w:left="660" w:hanging="220"/>
        <w:spacing w:after="0"/>
        <w:tabs>
          <w:tab w:leader="none" w:pos="660" w:val="left"/>
        </w:tabs>
        <w:numPr>
          <w:ilvl w:val="0"/>
          <w:numId w:val="53"/>
        </w:numPr>
        <w:rPr>
          <w:rFonts w:ascii="Arial" w:cs="Arial" w:eastAsia="Arial" w:hAnsi="Arial"/>
          <w:sz w:val="16"/>
          <w:szCs w:val="16"/>
          <w:color w:val="009FE3"/>
        </w:rPr>
      </w:pPr>
      <w:r>
        <w:rPr>
          <w:rFonts w:ascii="Arial" w:cs="Arial" w:eastAsia="Arial" w:hAnsi="Arial"/>
          <w:sz w:val="16"/>
          <w:szCs w:val="16"/>
          <w:color w:val="202E39"/>
        </w:rPr>
        <w:t>the nature of the related person’s interest in the transaction,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3"/>
        </w:numPr>
        <w:rPr>
          <w:rFonts w:ascii="Arial" w:cs="Arial" w:eastAsia="Arial" w:hAnsi="Arial"/>
          <w:sz w:val="16"/>
          <w:szCs w:val="16"/>
          <w:color w:val="009FE3"/>
        </w:rPr>
      </w:pPr>
      <w:r>
        <w:rPr>
          <w:rFonts w:ascii="Arial" w:cs="Arial" w:eastAsia="Arial" w:hAnsi="Arial"/>
          <w:sz w:val="16"/>
          <w:szCs w:val="16"/>
          <w:color w:val="202E39"/>
        </w:rPr>
        <w:t>the material terms of the transaction, including without limitation, the amount and type of transaction,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3"/>
        </w:numPr>
        <w:rPr>
          <w:rFonts w:ascii="Arial" w:cs="Arial" w:eastAsia="Arial" w:hAnsi="Arial"/>
          <w:sz w:val="16"/>
          <w:szCs w:val="16"/>
          <w:color w:val="009FE3"/>
        </w:rPr>
      </w:pPr>
      <w:r>
        <w:rPr>
          <w:rFonts w:ascii="Arial" w:cs="Arial" w:eastAsia="Arial" w:hAnsi="Arial"/>
          <w:sz w:val="16"/>
          <w:szCs w:val="16"/>
          <w:color w:val="202E39"/>
        </w:rPr>
        <w:t>the importance of the transaction to the related person,</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3"/>
        </w:numPr>
        <w:rPr>
          <w:rFonts w:ascii="Arial" w:cs="Arial" w:eastAsia="Arial" w:hAnsi="Arial"/>
          <w:sz w:val="16"/>
          <w:szCs w:val="16"/>
          <w:color w:val="009FE3"/>
        </w:rPr>
      </w:pPr>
      <w:r>
        <w:rPr>
          <w:rFonts w:ascii="Arial" w:cs="Arial" w:eastAsia="Arial" w:hAnsi="Arial"/>
          <w:sz w:val="16"/>
          <w:szCs w:val="16"/>
          <w:color w:val="202E39"/>
        </w:rPr>
        <w:t>the importance of the transaction to the company,</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3"/>
        </w:numPr>
        <w:rPr>
          <w:rFonts w:ascii="Arial" w:cs="Arial" w:eastAsia="Arial" w:hAnsi="Arial"/>
          <w:sz w:val="16"/>
          <w:szCs w:val="16"/>
          <w:color w:val="009FE3"/>
        </w:rPr>
      </w:pPr>
      <w:r>
        <w:rPr>
          <w:rFonts w:ascii="Arial" w:cs="Arial" w:eastAsia="Arial" w:hAnsi="Arial"/>
          <w:sz w:val="16"/>
          <w:szCs w:val="16"/>
          <w:color w:val="202E39"/>
        </w:rPr>
        <w:t>whether the transaction would impair the judgment of a director or executive officer to act in the best interest of the company, and</w:t>
      </w:r>
    </w:p>
    <w:p>
      <w:pPr>
        <w:spacing w:after="0" w:line="72" w:lineRule="exact"/>
        <w:rPr>
          <w:rFonts w:ascii="Arial" w:cs="Arial" w:eastAsia="Arial" w:hAnsi="Arial"/>
          <w:sz w:val="16"/>
          <w:szCs w:val="16"/>
          <w:color w:val="009FE3"/>
        </w:rPr>
      </w:pPr>
    </w:p>
    <w:p>
      <w:pPr>
        <w:ind w:left="660" w:hanging="220"/>
        <w:spacing w:after="0"/>
        <w:tabs>
          <w:tab w:leader="none" w:pos="660" w:val="left"/>
        </w:tabs>
        <w:numPr>
          <w:ilvl w:val="0"/>
          <w:numId w:val="53"/>
        </w:numPr>
        <w:rPr>
          <w:rFonts w:ascii="Arial" w:cs="Arial" w:eastAsia="Arial" w:hAnsi="Arial"/>
          <w:sz w:val="16"/>
          <w:szCs w:val="16"/>
          <w:color w:val="009FE3"/>
        </w:rPr>
      </w:pPr>
      <w:r>
        <w:rPr>
          <w:rFonts w:ascii="Arial" w:cs="Arial" w:eastAsia="Arial" w:hAnsi="Arial"/>
          <w:sz w:val="16"/>
          <w:szCs w:val="16"/>
          <w:color w:val="202E39"/>
        </w:rPr>
        <w:t>any other matters the Audit Committee or the Board deems appropriate.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Related Party Transactions</w:t>
      </w:r>
    </w:p>
    <w:p>
      <w:pPr>
        <w:spacing w:after="0" w:line="145"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A daughter-in-law of Mr. Baldridge is employed as an Attorney at Viasat. She earned an aggregate of approximately $144,100 in base salary, bonus and equity compensation during fiscal year 2021, and participates in our benefit programs.</w:t>
      </w:r>
    </w:p>
    <w:p>
      <w:pPr>
        <w:spacing w:after="0" w:line="87"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202E39"/>
        </w:rPr>
        <w:t>A brother of Mr. Dankberg is employed as a Director of Information Systems at Viasat. He earned approximately $166,500 in base salary during fiscal year 2021, and participates in our benefit programs. Mr. Dankberg’s son is a Media Operations Director at Viasat. He earned an aggregate of approximately $380,900 in base salary, bonus and equity compensation during fiscal year 2021, and participates in our benefit programs.</w:t>
      </w:r>
    </w:p>
    <w:p>
      <w:pPr>
        <w:spacing w:after="0" w:line="93"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202E39"/>
        </w:rPr>
        <w:t>A brother of Mark Miller is employed as a Systems Design Engineer at Viasat. He earned an aggregate of approximately $838,600 in base salary, bonus and equity compensation during fiscal year 2021, and participates in our benefit programs. Mr. Miller’s son is a Software Engineer at Viasat. He earned an aggregate of approximately $219,500 in base salary, bonus and equity compensation during fiscal year 2021, and participates in our benefit programs.</w:t>
      </w:r>
    </w:p>
    <w:p>
      <w:pPr>
        <w:spacing w:after="0" w:line="93"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A brother-in-law of Harvey White, a former director whose term expired at the 2020 annual meeting of stockholders, is employed as a Business Systems Analyst at Viasat. He earned an aggregate of approximately $168,000 in base salary, bonus and equity compensation during fiscal year 2021, and participates in our benefit programs.</w:t>
      </w:r>
    </w:p>
    <w:p>
      <w:pPr>
        <w:spacing w:after="0" w:line="93" w:lineRule="exact"/>
        <w:rPr>
          <w:sz w:val="20"/>
          <w:szCs w:val="20"/>
          <w:color w:val="auto"/>
        </w:rPr>
      </w:pPr>
    </w:p>
    <w:p>
      <w:pPr>
        <w:ind w:left="120" w:right="300"/>
        <w:spacing w:after="0" w:line="253" w:lineRule="auto"/>
        <w:rPr>
          <w:sz w:val="20"/>
          <w:szCs w:val="20"/>
          <w:color w:val="auto"/>
        </w:rPr>
      </w:pPr>
      <w:r>
        <w:rPr>
          <w:rFonts w:ascii="Arial" w:cs="Arial" w:eastAsia="Arial" w:hAnsi="Arial"/>
          <w:sz w:val="16"/>
          <w:szCs w:val="16"/>
          <w:color w:val="202E39"/>
        </w:rPr>
        <w:t>On July 23, 2020, we issued and sold an aggregate of 4,474,559 shares of our common stock at a purchase price of $39.11 per share to certain accredited investors, including entities controlled by The Baupost Group, L.L.C., in a private placement transaction exempt from registration under the Securities Act of 1933, as amended, resulting in net proceeds of approximately $174.7 million after deducting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83820</wp:posOffset>
            </wp:positionV>
            <wp:extent cx="43688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AUDIT COMMITTEE REPORT</w:t>
      </w:r>
    </w:p>
    <w:p>
      <w:pPr>
        <w:spacing w:after="0" w:line="224" w:lineRule="exact"/>
        <w:rPr>
          <w:sz w:val="20"/>
          <w:szCs w:val="20"/>
          <w:color w:val="auto"/>
        </w:rPr>
      </w:pPr>
    </w:p>
    <w:p>
      <w:pPr>
        <w:ind w:left="120" w:right="200"/>
        <w:spacing w:after="0" w:line="249" w:lineRule="auto"/>
        <w:rPr>
          <w:sz w:val="20"/>
          <w:szCs w:val="20"/>
          <w:color w:val="auto"/>
        </w:rPr>
      </w:pPr>
      <w:r>
        <w:rPr>
          <w:rFonts w:ascii="Arial" w:cs="Arial" w:eastAsia="Arial" w:hAnsi="Arial"/>
          <w:sz w:val="16"/>
          <w:szCs w:val="16"/>
          <w:color w:val="202E39"/>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97"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98"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202E39"/>
        </w:rPr>
        <w:t>The Audit Committee has reviewed and discussed the audited consolidated financial statements for fiscal year 2021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w:t>
      </w:r>
    </w:p>
    <w:p>
      <w:pPr>
        <w:spacing w:after="0" w:line="97"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93"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202E39"/>
        </w:rPr>
        <w:t>In reliance on these reviews and discussions, the Audit Committee has recommended to the Board of Directors that Viasat’s audited financial statements be included in Viasat’s annual report on Form 10-K for the fiscal year ended March 31, 2021 for filing with the SEC.</w:t>
      </w:r>
    </w:p>
    <w:p>
      <w:pPr>
        <w:spacing w:after="0" w:line="71" w:lineRule="exact"/>
        <w:rPr>
          <w:sz w:val="20"/>
          <w:szCs w:val="20"/>
          <w:color w:val="auto"/>
        </w:rPr>
      </w:pPr>
    </w:p>
    <w:p>
      <w:pPr>
        <w:ind w:left="120" w:right="20"/>
        <w:spacing w:after="0" w:line="258" w:lineRule="auto"/>
        <w:rPr>
          <w:sz w:val="20"/>
          <w:szCs w:val="20"/>
          <w:color w:val="auto"/>
        </w:rPr>
      </w:pPr>
      <w:r>
        <w:rPr>
          <w:rFonts w:ascii="Arial" w:cs="Arial" w:eastAsia="Arial" w:hAnsi="Arial"/>
          <w:sz w:val="16"/>
          <w:szCs w:val="16"/>
          <w:i w:val="1"/>
          <w:iCs w:val="1"/>
          <w:color w:val="202E39"/>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197"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Respectfully Submitted by the Audit Committee</w:t>
      </w:r>
    </w:p>
    <w:p>
      <w:pPr>
        <w:spacing w:after="0" w:line="221"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John Stenbit (Chair)</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Robert Johnson</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Varsha Rao</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6"/>
          <w:szCs w:val="16"/>
          <w:color w:val="202E39"/>
        </w:rPr>
        <w:t>Theresa Wise</w:t>
      </w:r>
    </w:p>
    <w:p>
      <w:pPr>
        <w:spacing w:after="0" w:line="138" w:lineRule="exact"/>
        <w:rPr>
          <w:sz w:val="20"/>
          <w:szCs w:val="20"/>
          <w:color w:val="auto"/>
        </w:rPr>
      </w:pPr>
    </w:p>
    <w:tbl>
      <w:tblPr>
        <w:tblLayout w:type="fixed"/>
        <w:tblInd w:w="90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63</w:t>
            </w:r>
          </w:p>
        </w:tc>
      </w:tr>
    </w:tbl>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OTHER MATTERS</w:t>
      </w:r>
    </w:p>
    <w:p>
      <w:pPr>
        <w:spacing w:after="0" w:line="208"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i w:val="1"/>
          <w:iCs w:val="1"/>
          <w:color w:val="009FE3"/>
        </w:rPr>
        <w:t xml:space="preserve">Stockholder Proposals for Inclusion in Viasat’s 2022 Proxy Statement. </w:t>
      </w:r>
      <w:r>
        <w:rPr>
          <w:rFonts w:ascii="Arial" w:cs="Arial" w:eastAsia="Arial" w:hAnsi="Arial"/>
          <w:sz w:val="16"/>
          <w:szCs w:val="16"/>
          <w:color w:val="202E39"/>
        </w:rPr>
        <w:t>Stockholders of Viasat may submit proposals on matters appropriate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action at meetings of our stockholders in accordance with Rule 14a-8 promulgated under the Securities Exchange Act of 1934. To be eligible for inclusion in our proxy statement relating to the 2022 annual meeting of stockholders, proposals must satisfy the conditions established by the SEC for stockholder proposals to be included in the proxy statement, and must otherwise be received by Viasat no later than March 24, 2022, unless the date of the 2022 annual meeting is changed by more than 30 days from the anniversary of our 2021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79" w:lineRule="exact"/>
        <w:rPr>
          <w:sz w:val="20"/>
          <w:szCs w:val="20"/>
          <w:color w:val="auto"/>
        </w:rPr>
      </w:pPr>
    </w:p>
    <w:p>
      <w:pPr>
        <w:ind w:left="120"/>
        <w:spacing w:after="0" w:line="212" w:lineRule="auto"/>
        <w:rPr>
          <w:sz w:val="20"/>
          <w:szCs w:val="20"/>
          <w:color w:val="auto"/>
        </w:rPr>
      </w:pPr>
      <w:r>
        <w:rPr>
          <w:rFonts w:ascii="Arial" w:cs="Arial" w:eastAsia="Arial" w:hAnsi="Arial"/>
          <w:sz w:val="16"/>
          <w:szCs w:val="16"/>
          <w:i w:val="1"/>
          <w:iCs w:val="1"/>
          <w:color w:val="009FE3"/>
        </w:rPr>
        <w:t xml:space="preserve">Stockholder Proposals for Presentation at the 2022 Annual Meeting. </w:t>
      </w:r>
      <w:r>
        <w:rPr>
          <w:rFonts w:ascii="Arial" w:cs="Arial" w:eastAsia="Arial" w:hAnsi="Arial"/>
          <w:sz w:val="16"/>
          <w:szCs w:val="16"/>
          <w:color w:val="202E39"/>
        </w:rPr>
        <w:t>If a stockholder wishes to present a proposal at our 2022 annual meeting of</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nor later than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anniversary of our 2021 annual meeting. As a result, proposals submitted pursuant to these provisions of our bylaws must be received no earlier than the close of business on May 5, 2022 and no later than the close of business on June 4, 2022. However, if the date of the 2022 annual meeting is advanced by more than 30 days or delayed by more than 60 days from the anniversary of the 2021 annual meeting, notice by the stockholder must be received no later than the later of (1)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2022 annual meeting or (2) the 10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following the day on which public disclosure of the date of the 2022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92075</wp:posOffset>
            </wp:positionV>
            <wp:extent cx="43688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APPENDIX 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1996 EQUITY PARTICIPATION PLAN OF VIASAT, INC.</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02E39"/>
        </w:rPr>
        <w:t>(AS AMENDED AND RESTATED EFFECTIVE SEPTEMBER 2, 2021)</w:t>
      </w:r>
    </w:p>
    <w:p>
      <w:pPr>
        <w:spacing w:after="0" w:line="132" w:lineRule="exact"/>
        <w:rPr>
          <w:sz w:val="20"/>
          <w:szCs w:val="20"/>
          <w:color w:val="auto"/>
        </w:rPr>
      </w:pPr>
    </w:p>
    <w:p>
      <w:pPr>
        <w:jc w:val="both"/>
        <w:ind w:left="120" w:right="40"/>
        <w:spacing w:after="0" w:line="250" w:lineRule="auto"/>
        <w:rPr>
          <w:sz w:val="20"/>
          <w:szCs w:val="20"/>
          <w:color w:val="auto"/>
        </w:rPr>
      </w:pPr>
      <w:r>
        <w:rPr>
          <w:rFonts w:ascii="Arial" w:cs="Arial" w:eastAsia="Arial" w:hAnsi="Arial"/>
          <w:sz w:val="16"/>
          <w:szCs w:val="16"/>
          <w:color w:val="202E39"/>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2, 2021 (the “Restatement Effective Date”), which is the date on which this amendment and restatement of the Plan was approved by the stockholders of the Company.</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purposes of this Plan are as follows:</w:t>
      </w:r>
    </w:p>
    <w:p>
      <w:pPr>
        <w:spacing w:after="0" w:line="113" w:lineRule="exact"/>
        <w:rPr>
          <w:sz w:val="20"/>
          <w:szCs w:val="20"/>
          <w:color w:val="auto"/>
        </w:rPr>
      </w:pPr>
    </w:p>
    <w:p>
      <w:pPr>
        <w:ind w:left="120" w:right="300" w:hanging="4"/>
        <w:spacing w:after="0" w:line="253" w:lineRule="auto"/>
        <w:tabs>
          <w:tab w:leader="none" w:pos="36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93" w:lineRule="exact"/>
        <w:rPr>
          <w:rFonts w:ascii="Arial" w:cs="Arial" w:eastAsia="Arial" w:hAnsi="Arial"/>
          <w:sz w:val="16"/>
          <w:szCs w:val="16"/>
          <w:color w:val="202E39"/>
        </w:rPr>
      </w:pPr>
    </w:p>
    <w:p>
      <w:pPr>
        <w:ind w:left="120" w:right="100" w:hanging="4"/>
        <w:spacing w:after="0" w:line="253" w:lineRule="auto"/>
        <w:tabs>
          <w:tab w:leader="none" w:pos="36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 DEFINITIONS</w:t>
      </w:r>
    </w:p>
    <w:p>
      <w:pPr>
        <w:spacing w:after="0" w:line="124" w:lineRule="exact"/>
        <w:rPr>
          <w:sz w:val="20"/>
          <w:szCs w:val="20"/>
          <w:color w:val="auto"/>
        </w:rPr>
      </w:pPr>
    </w:p>
    <w:p>
      <w:pPr>
        <w:ind w:left="120" w:right="600"/>
        <w:spacing w:after="0" w:line="260" w:lineRule="auto"/>
        <w:rPr>
          <w:sz w:val="20"/>
          <w:szCs w:val="20"/>
          <w:color w:val="auto"/>
        </w:rPr>
      </w:pPr>
      <w:r>
        <w:rPr>
          <w:rFonts w:ascii="Arial" w:cs="Arial" w:eastAsia="Arial" w:hAnsi="Arial"/>
          <w:sz w:val="16"/>
          <w:szCs w:val="16"/>
          <w:color w:val="202E39"/>
        </w:rPr>
        <w:t xml:space="preserve">1.1 </w:t>
      </w:r>
      <w:r>
        <w:rPr>
          <w:rFonts w:ascii="Arial" w:cs="Arial" w:eastAsia="Arial" w:hAnsi="Arial"/>
          <w:sz w:val="16"/>
          <w:szCs w:val="16"/>
          <w:u w:val="single" w:color="auto"/>
          <w:color w:val="202E39"/>
        </w:rPr>
        <w:t>General</w:t>
      </w:r>
      <w:r>
        <w:rPr>
          <w:rFonts w:ascii="Arial" w:cs="Arial" w:eastAsia="Arial" w:hAnsi="Arial"/>
          <w:sz w:val="16"/>
          <w:szCs w:val="16"/>
          <w:color w:val="202E39"/>
        </w:rPr>
        <w:t>. Wherever the following terms are used in this Plan they shall have the meanings specified below, unless the context clearly indicates otherwise.</w:t>
      </w:r>
    </w:p>
    <w:p>
      <w:pPr>
        <w:spacing w:after="0" w:line="87"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 xml:space="preserve">1.2 </w:t>
      </w:r>
      <w:r>
        <w:rPr>
          <w:rFonts w:ascii="Arial" w:cs="Arial" w:eastAsia="Arial" w:hAnsi="Arial"/>
          <w:sz w:val="16"/>
          <w:szCs w:val="16"/>
          <w:u w:val="single" w:color="auto"/>
          <w:color w:val="202E39"/>
        </w:rPr>
        <w:t>Award Limit</w:t>
      </w:r>
      <w:r>
        <w:rPr>
          <w:rFonts w:ascii="Arial" w:cs="Arial" w:eastAsia="Arial" w:hAnsi="Arial"/>
          <w:sz w:val="16"/>
          <w:szCs w:val="16"/>
          <w:color w:val="202E39"/>
        </w:rPr>
        <w:t xml:space="preserve">. “Award Limit” shall mean One Million (1,000,000) shares of Common Stock with respect to Options or Stock Appreciation Rights granted under the Plan and Three Hundred Thousand (300,000)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in connection with an individual’s initial service as an Employee, such limit will be Six Hundred Thousand (600,000)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$5,000,000.</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 </w:t>
      </w:r>
      <w:r>
        <w:rPr>
          <w:rFonts w:ascii="Arial" w:cs="Arial" w:eastAsia="Arial" w:hAnsi="Arial"/>
          <w:sz w:val="16"/>
          <w:szCs w:val="16"/>
          <w:u w:val="single" w:color="auto"/>
          <w:color w:val="202E39"/>
        </w:rPr>
        <w:t>Board</w:t>
      </w:r>
      <w:r>
        <w:rPr>
          <w:rFonts w:ascii="Arial" w:cs="Arial" w:eastAsia="Arial" w:hAnsi="Arial"/>
          <w:sz w:val="16"/>
          <w:szCs w:val="16"/>
          <w:color w:val="202E39"/>
        </w:rPr>
        <w:t>. “Board” shall mean the Board of Directors of the Company.</w:t>
      </w:r>
    </w:p>
    <w:p>
      <w:pPr>
        <w:spacing w:after="0" w:line="113" w:lineRule="exact"/>
        <w:rPr>
          <w:sz w:val="20"/>
          <w:szCs w:val="20"/>
          <w:color w:val="auto"/>
        </w:rPr>
      </w:pPr>
    </w:p>
    <w:p>
      <w:pPr>
        <w:ind w:left="120" w:right="760"/>
        <w:spacing w:after="0" w:line="260" w:lineRule="auto"/>
        <w:rPr>
          <w:sz w:val="20"/>
          <w:szCs w:val="20"/>
          <w:color w:val="auto"/>
        </w:rPr>
      </w:pPr>
      <w:r>
        <w:rPr>
          <w:rFonts w:ascii="Arial" w:cs="Arial" w:eastAsia="Arial" w:hAnsi="Arial"/>
          <w:sz w:val="16"/>
          <w:szCs w:val="16"/>
          <w:color w:val="202E39"/>
        </w:rPr>
        <w:t xml:space="preserve">1.4 </w:t>
      </w:r>
      <w:r>
        <w:rPr>
          <w:rFonts w:ascii="Arial" w:cs="Arial" w:eastAsia="Arial" w:hAnsi="Arial"/>
          <w:sz w:val="16"/>
          <w:szCs w:val="16"/>
          <w:u w:val="single" w:color="auto"/>
          <w:color w:val="202E39"/>
        </w:rPr>
        <w:t>Change in Control</w:t>
      </w:r>
      <w:r>
        <w:rPr>
          <w:rFonts w:ascii="Arial" w:cs="Arial" w:eastAsia="Arial" w:hAnsi="Arial"/>
          <w:sz w:val="16"/>
          <w:szCs w:val="16"/>
          <w:color w:val="202E39"/>
        </w:rPr>
        <w:t>. “Change in Control” shall mean a change in ownership or control of the Company effected through either of the following transactions:</w:t>
      </w:r>
    </w:p>
    <w:p>
      <w:pPr>
        <w:spacing w:after="0" w:line="87" w:lineRule="exact"/>
        <w:rPr>
          <w:sz w:val="20"/>
          <w:szCs w:val="20"/>
          <w:color w:val="auto"/>
        </w:rPr>
      </w:pPr>
    </w:p>
    <w:p>
      <w:pPr>
        <w:ind w:left="560" w:right="100" w:hanging="4"/>
        <w:spacing w:after="0" w:line="251" w:lineRule="auto"/>
        <w:tabs>
          <w:tab w:leader="none" w:pos="803"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94" w:lineRule="exact"/>
        <w:rPr>
          <w:rFonts w:ascii="Arial" w:cs="Arial" w:eastAsia="Arial" w:hAnsi="Arial"/>
          <w:sz w:val="16"/>
          <w:szCs w:val="16"/>
          <w:color w:val="202E39"/>
        </w:rPr>
      </w:pPr>
    </w:p>
    <w:p>
      <w:pPr>
        <w:ind w:left="560" w:right="180" w:hanging="4"/>
        <w:spacing w:after="0" w:line="250" w:lineRule="auto"/>
        <w:tabs>
          <w:tab w:leader="none" w:pos="803"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1.5 </w:t>
      </w:r>
      <w:r>
        <w:rPr>
          <w:rFonts w:ascii="Arial" w:cs="Arial" w:eastAsia="Arial" w:hAnsi="Arial"/>
          <w:sz w:val="16"/>
          <w:szCs w:val="16"/>
          <w:u w:val="single" w:color="auto"/>
          <w:color w:val="202E39"/>
        </w:rPr>
        <w:t>Code</w:t>
      </w:r>
      <w:r>
        <w:rPr>
          <w:rFonts w:ascii="Arial" w:cs="Arial" w:eastAsia="Arial" w:hAnsi="Arial"/>
          <w:sz w:val="16"/>
          <w:szCs w:val="16"/>
          <w:color w:val="202E39"/>
        </w:rPr>
        <w:t>. “Code” shall mean the U.S. Internal Revenue Code of 1986, as amended.</w:t>
      </w:r>
    </w:p>
    <w:p>
      <w:pPr>
        <w:spacing w:after="0" w:line="113"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202E39"/>
        </w:rPr>
        <w:t xml:space="preserve">1.6 </w:t>
      </w:r>
      <w:r>
        <w:rPr>
          <w:rFonts w:ascii="Arial" w:cs="Arial" w:eastAsia="Arial" w:hAnsi="Arial"/>
          <w:sz w:val="16"/>
          <w:szCs w:val="16"/>
          <w:u w:val="single" w:color="auto"/>
          <w:color w:val="202E39"/>
        </w:rPr>
        <w:t>Committee</w:t>
      </w:r>
      <w:r>
        <w:rPr>
          <w:rFonts w:ascii="Arial" w:cs="Arial" w:eastAsia="Arial" w:hAnsi="Arial"/>
          <w:sz w:val="16"/>
          <w:szCs w:val="16"/>
          <w:color w:val="202E39"/>
        </w:rPr>
        <w:t>. “Committee” shall mean the Compensation Committee of the Board, or another committee of the Board, appointed as provided in Section 9.1.</w:t>
      </w:r>
    </w:p>
    <w:p>
      <w:pPr>
        <w:spacing w:after="0" w:line="87" w:lineRule="exact"/>
        <w:rPr>
          <w:sz w:val="20"/>
          <w:szCs w:val="20"/>
          <w:color w:val="auto"/>
        </w:rPr>
      </w:pPr>
    </w:p>
    <w:p>
      <w:pPr>
        <w:jc w:val="both"/>
        <w:ind w:left="120" w:right="660"/>
        <w:spacing w:after="0" w:line="253" w:lineRule="auto"/>
        <w:rPr>
          <w:sz w:val="20"/>
          <w:szCs w:val="20"/>
          <w:color w:val="auto"/>
        </w:rPr>
      </w:pPr>
      <w:r>
        <w:rPr>
          <w:rFonts w:ascii="Arial" w:cs="Arial" w:eastAsia="Arial" w:hAnsi="Arial"/>
          <w:sz w:val="16"/>
          <w:szCs w:val="16"/>
          <w:color w:val="202E39"/>
        </w:rPr>
        <w:t xml:space="preserve">1.7 </w:t>
      </w:r>
      <w:r>
        <w:rPr>
          <w:rFonts w:ascii="Arial" w:cs="Arial" w:eastAsia="Arial" w:hAnsi="Arial"/>
          <w:sz w:val="16"/>
          <w:szCs w:val="16"/>
          <w:u w:val="single" w:color="auto"/>
          <w:color w:val="202E39"/>
        </w:rPr>
        <w:t>Common Stock</w:t>
      </w:r>
      <w:r>
        <w:rPr>
          <w:rFonts w:ascii="Arial" w:cs="Arial" w:eastAsia="Arial" w:hAnsi="Arial"/>
          <w:sz w:val="16"/>
          <w:szCs w:val="16"/>
          <w:color w:val="202E39"/>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19"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A-1</w:t>
            </w: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1.8 </w:t>
      </w:r>
      <w:r>
        <w:rPr>
          <w:rFonts w:ascii="Arial" w:cs="Arial" w:eastAsia="Arial" w:hAnsi="Arial"/>
          <w:sz w:val="16"/>
          <w:szCs w:val="16"/>
          <w:u w:val="single" w:color="auto"/>
          <w:color w:val="202E39"/>
        </w:rPr>
        <w:t>Company</w:t>
      </w:r>
      <w:r>
        <w:rPr>
          <w:rFonts w:ascii="Arial" w:cs="Arial" w:eastAsia="Arial" w:hAnsi="Arial"/>
          <w:sz w:val="16"/>
          <w:szCs w:val="16"/>
          <w:color w:val="202E39"/>
        </w:rPr>
        <w:t>. “Company” shall mean Viasat, Inc., a Delaware corporation.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1.9 </w:t>
      </w:r>
      <w:r>
        <w:rPr>
          <w:rFonts w:ascii="Arial" w:cs="Arial" w:eastAsia="Arial" w:hAnsi="Arial"/>
          <w:sz w:val="16"/>
          <w:szCs w:val="16"/>
          <w:u w:val="single" w:color="auto"/>
          <w:color w:val="202E39"/>
        </w:rPr>
        <w:t>Corporate Transaction</w:t>
      </w:r>
      <w:r>
        <w:rPr>
          <w:rFonts w:ascii="Arial" w:cs="Arial" w:eastAsia="Arial" w:hAnsi="Arial"/>
          <w:sz w:val="16"/>
          <w:szCs w:val="16"/>
          <w:color w:val="202E39"/>
        </w:rPr>
        <w:t>. “Corporate Transaction” shall mean any of the following stockholder-approved transactions to which the Company is a party:</w:t>
      </w:r>
    </w:p>
    <w:p>
      <w:pPr>
        <w:spacing w:after="0" w:line="113" w:lineRule="exact"/>
        <w:rPr>
          <w:sz w:val="20"/>
          <w:szCs w:val="20"/>
          <w:color w:val="auto"/>
        </w:rPr>
      </w:pPr>
    </w:p>
    <w:p>
      <w:pPr>
        <w:jc w:val="both"/>
        <w:ind w:left="560" w:right="180" w:hanging="4"/>
        <w:spacing w:after="0" w:line="253" w:lineRule="auto"/>
        <w:tabs>
          <w:tab w:leader="none" w:pos="80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93" w:lineRule="exact"/>
        <w:rPr>
          <w:rFonts w:ascii="Arial" w:cs="Arial" w:eastAsia="Arial" w:hAnsi="Arial"/>
          <w:sz w:val="16"/>
          <w:szCs w:val="16"/>
          <w:color w:val="202E39"/>
        </w:rPr>
      </w:pPr>
    </w:p>
    <w:p>
      <w:pPr>
        <w:ind w:left="560" w:right="200" w:hanging="4"/>
        <w:spacing w:after="0" w:line="260" w:lineRule="auto"/>
        <w:tabs>
          <w:tab w:leader="none" w:pos="803"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the sale, transfer, exchange or other disposition of all or substantially all of the assets of the Company, in complete liquidation or dissolution of the Company in a transaction not covered by the exceptions to clause (a) above; or</w:t>
      </w:r>
    </w:p>
    <w:p>
      <w:pPr>
        <w:spacing w:after="0" w:line="87" w:lineRule="exact"/>
        <w:rPr>
          <w:rFonts w:ascii="Arial" w:cs="Arial" w:eastAsia="Arial" w:hAnsi="Arial"/>
          <w:sz w:val="16"/>
          <w:szCs w:val="16"/>
          <w:color w:val="202E39"/>
        </w:rPr>
      </w:pPr>
    </w:p>
    <w:p>
      <w:pPr>
        <w:ind w:left="560" w:hanging="4"/>
        <w:spacing w:after="0" w:line="253" w:lineRule="auto"/>
        <w:tabs>
          <w:tab w:leader="none" w:pos="794" w:val="left"/>
        </w:tabs>
        <w:numPr>
          <w:ilvl w:val="0"/>
          <w:numId w:val="56"/>
        </w:numPr>
        <w:rPr>
          <w:rFonts w:ascii="Arial" w:cs="Arial" w:eastAsia="Arial" w:hAnsi="Arial"/>
          <w:sz w:val="16"/>
          <w:szCs w:val="16"/>
          <w:color w:val="202E39"/>
        </w:rPr>
      </w:pPr>
      <w:r>
        <w:rPr>
          <w:rFonts w:ascii="Arial" w:cs="Arial" w:eastAsia="Arial" w:hAnsi="Arial"/>
          <w:sz w:val="16"/>
          <w:szCs w:val="16"/>
          <w:color w:val="202E39"/>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1.10 </w:t>
      </w:r>
      <w:r>
        <w:rPr>
          <w:rFonts w:ascii="Arial" w:cs="Arial" w:eastAsia="Arial" w:hAnsi="Arial"/>
          <w:sz w:val="16"/>
          <w:szCs w:val="16"/>
          <w:u w:val="single" w:color="auto"/>
          <w:color w:val="202E39"/>
        </w:rPr>
        <w:t>Director</w:t>
      </w:r>
      <w:r>
        <w:rPr>
          <w:rFonts w:ascii="Arial" w:cs="Arial" w:eastAsia="Arial" w:hAnsi="Arial"/>
          <w:sz w:val="16"/>
          <w:szCs w:val="16"/>
          <w:color w:val="202E39"/>
        </w:rPr>
        <w:t>. “Director” shall mean a member of the Board.</w:t>
      </w:r>
    </w:p>
    <w:p>
      <w:pPr>
        <w:spacing w:after="0" w:line="113" w:lineRule="exact"/>
        <w:rPr>
          <w:sz w:val="20"/>
          <w:szCs w:val="20"/>
          <w:color w:val="auto"/>
        </w:rPr>
      </w:pPr>
    </w:p>
    <w:p>
      <w:pPr>
        <w:ind w:left="120" w:right="560"/>
        <w:spacing w:after="0" w:line="260" w:lineRule="auto"/>
        <w:rPr>
          <w:sz w:val="20"/>
          <w:szCs w:val="20"/>
          <w:color w:val="auto"/>
        </w:rPr>
      </w:pPr>
      <w:r>
        <w:rPr>
          <w:rFonts w:ascii="Arial" w:cs="Arial" w:eastAsia="Arial" w:hAnsi="Arial"/>
          <w:sz w:val="16"/>
          <w:szCs w:val="16"/>
          <w:color w:val="202E39"/>
        </w:rPr>
        <w:t xml:space="preserve">1.11 </w:t>
      </w:r>
      <w:r>
        <w:rPr>
          <w:rFonts w:ascii="Arial" w:cs="Arial" w:eastAsia="Arial" w:hAnsi="Arial"/>
          <w:sz w:val="16"/>
          <w:szCs w:val="16"/>
          <w:u w:val="single" w:color="auto"/>
          <w:color w:val="202E39"/>
        </w:rPr>
        <w:t>Dividend Equivalent</w:t>
      </w:r>
      <w:r>
        <w:rPr>
          <w:rFonts w:ascii="Arial" w:cs="Arial" w:eastAsia="Arial" w:hAnsi="Arial"/>
          <w:sz w:val="16"/>
          <w:szCs w:val="16"/>
          <w:color w:val="202E39"/>
        </w:rPr>
        <w:t>. “Dividend Equivalent” shall mean a right to receive the equivalent value (in cash or Common Stock) of dividends paid on Common Stock, awarded under Article VII of this Plan.</w:t>
      </w:r>
    </w:p>
    <w:p>
      <w:pPr>
        <w:spacing w:after="0" w:line="87"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202E39"/>
        </w:rPr>
        <w:t xml:space="preserve">1.12 </w:t>
      </w:r>
      <w:r>
        <w:rPr>
          <w:rFonts w:ascii="Arial" w:cs="Arial" w:eastAsia="Arial" w:hAnsi="Arial"/>
          <w:sz w:val="16"/>
          <w:szCs w:val="16"/>
          <w:u w:val="single" w:color="auto"/>
          <w:color w:val="202E39"/>
        </w:rPr>
        <w:t>Employee</w:t>
      </w:r>
      <w:r>
        <w:rPr>
          <w:rFonts w:ascii="Arial" w:cs="Arial" w:eastAsia="Arial" w:hAnsi="Arial"/>
          <w:sz w:val="16"/>
          <w:szCs w:val="16"/>
          <w:color w:val="202E39"/>
        </w:rPr>
        <w:t>. “Employee” shall mean any officer or other employee (as defined in accordance with Section 3401(c) of the Code) of the Company, or of any corporation which is a Subsidiary.</w:t>
      </w:r>
    </w:p>
    <w:p>
      <w:pPr>
        <w:spacing w:after="0" w:line="8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1.13 </w:t>
      </w:r>
      <w:r>
        <w:rPr>
          <w:rFonts w:ascii="Arial" w:cs="Arial" w:eastAsia="Arial" w:hAnsi="Arial"/>
          <w:sz w:val="16"/>
          <w:szCs w:val="16"/>
          <w:u w:val="single" w:color="auto"/>
          <w:color w:val="202E39"/>
        </w:rPr>
        <w:t>Equity Restructuring</w:t>
      </w:r>
      <w:r>
        <w:rPr>
          <w:rFonts w:ascii="Arial" w:cs="Arial" w:eastAsia="Arial" w:hAnsi="Arial"/>
          <w:sz w:val="16"/>
          <w:szCs w:val="16"/>
          <w:color w:val="202E39"/>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1.14 </w:t>
      </w:r>
      <w:r>
        <w:rPr>
          <w:rFonts w:ascii="Arial" w:cs="Arial" w:eastAsia="Arial" w:hAnsi="Arial"/>
          <w:sz w:val="16"/>
          <w:szCs w:val="16"/>
          <w:u w:val="single" w:color="auto"/>
          <w:color w:val="202E39"/>
        </w:rPr>
        <w:t>Exchange Act</w:t>
      </w:r>
      <w:r>
        <w:rPr>
          <w:rFonts w:ascii="Arial" w:cs="Arial" w:eastAsia="Arial" w:hAnsi="Arial"/>
          <w:sz w:val="16"/>
          <w:szCs w:val="16"/>
          <w:color w:val="202E39"/>
        </w:rPr>
        <w:t>. “Exchange Act” shall mean the U.S. Securities Exchange Act of 1934, as amended.</w:t>
      </w:r>
    </w:p>
    <w:p>
      <w:pPr>
        <w:spacing w:after="0" w:line="11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1.15 </w:t>
      </w:r>
      <w:r>
        <w:rPr>
          <w:rFonts w:ascii="Arial" w:cs="Arial" w:eastAsia="Arial" w:hAnsi="Arial"/>
          <w:sz w:val="16"/>
          <w:szCs w:val="16"/>
          <w:u w:val="single" w:color="auto"/>
          <w:color w:val="202E39"/>
        </w:rPr>
        <w:t>Fair Market Value</w:t>
      </w:r>
      <w:r>
        <w:rPr>
          <w:rFonts w:ascii="Arial" w:cs="Arial" w:eastAsia="Arial" w:hAnsi="Arial"/>
          <w:sz w:val="16"/>
          <w:szCs w:val="16"/>
          <w:color w:val="202E39"/>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99"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202E39"/>
        </w:rPr>
        <w:t xml:space="preserve">1.16 </w:t>
      </w:r>
      <w:r>
        <w:rPr>
          <w:rFonts w:ascii="Arial" w:cs="Arial" w:eastAsia="Arial" w:hAnsi="Arial"/>
          <w:sz w:val="16"/>
          <w:szCs w:val="16"/>
          <w:u w:val="single" w:color="auto"/>
          <w:color w:val="202E39"/>
        </w:rPr>
        <w:t>Full Value Award</w:t>
      </w:r>
      <w:r>
        <w:rPr>
          <w:rFonts w:ascii="Arial" w:cs="Arial" w:eastAsia="Arial" w:hAnsi="Arial"/>
          <w:sz w:val="16"/>
          <w:szCs w:val="16"/>
          <w:color w:val="202E39"/>
        </w:rPr>
        <w:t>. “Full Value Award” shall mean any award other than an Option or a Stock Appreciation Right with a per share purchase price lower than one hundred percent (100%) of Fair Market Value on the date of grant and that is settled by the issuance of shares of Common Stock.</w:t>
      </w:r>
    </w:p>
    <w:p>
      <w:pPr>
        <w:spacing w:after="0" w:line="87"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202E39"/>
        </w:rPr>
        <w:t xml:space="preserve">1.17 </w:t>
      </w:r>
      <w:r>
        <w:rPr>
          <w:rFonts w:ascii="Arial" w:cs="Arial" w:eastAsia="Arial" w:hAnsi="Arial"/>
          <w:sz w:val="16"/>
          <w:szCs w:val="16"/>
          <w:u w:val="single" w:color="auto"/>
          <w:color w:val="202E39"/>
        </w:rPr>
        <w:t>Grantee</w:t>
      </w:r>
      <w:r>
        <w:rPr>
          <w:rFonts w:ascii="Arial" w:cs="Arial" w:eastAsia="Arial" w:hAnsi="Arial"/>
          <w:sz w:val="16"/>
          <w:szCs w:val="16"/>
          <w:color w:val="202E39"/>
        </w:rPr>
        <w:t>. “Grantee” shall mean an Employee, Director or consultant granted a Performance Award, Dividend Equivalent, Stock Payment or Stock Appreciation Right, or an award of Restricted Stock Units, under this Plan.</w:t>
      </w:r>
    </w:p>
    <w:p>
      <w:pPr>
        <w:spacing w:after="0" w:line="87"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202E39"/>
        </w:rPr>
        <w:t xml:space="preserve">1.18 </w:t>
      </w:r>
      <w:r>
        <w:rPr>
          <w:rFonts w:ascii="Arial" w:cs="Arial" w:eastAsia="Arial" w:hAnsi="Arial"/>
          <w:sz w:val="16"/>
          <w:szCs w:val="16"/>
          <w:u w:val="single" w:color="auto"/>
          <w:color w:val="202E39"/>
        </w:rPr>
        <w:t>Incentive Stock Option</w:t>
      </w:r>
      <w:r>
        <w:rPr>
          <w:rFonts w:ascii="Arial" w:cs="Arial" w:eastAsia="Arial" w:hAnsi="Arial"/>
          <w:sz w:val="16"/>
          <w:szCs w:val="16"/>
          <w:color w:val="202E39"/>
        </w:rPr>
        <w:t>. “Incentive Stock Option” shall mean an option which conforms to the applicable provisions of Section 422 of the Code and which is designated as an Incentive Stock Option by the Committee.</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1.19 </w:t>
      </w:r>
      <w:r>
        <w:rPr>
          <w:rFonts w:ascii="Arial" w:cs="Arial" w:eastAsia="Arial" w:hAnsi="Arial"/>
          <w:sz w:val="16"/>
          <w:szCs w:val="16"/>
          <w:u w:val="single" w:color="auto"/>
          <w:color w:val="202E39"/>
        </w:rPr>
        <w:t>Independent Director</w:t>
      </w:r>
      <w:r>
        <w:rPr>
          <w:rFonts w:ascii="Arial" w:cs="Arial" w:eastAsia="Arial" w:hAnsi="Arial"/>
          <w:sz w:val="16"/>
          <w:szCs w:val="16"/>
          <w:color w:val="202E39"/>
        </w:rPr>
        <w:t>. “Independent Director” shall mean a member of the Board who is not an Employee of the Company.</w:t>
      </w:r>
    </w:p>
    <w:p>
      <w:pPr>
        <w:spacing w:after="0" w:line="113"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202E39"/>
        </w:rPr>
        <w:t xml:space="preserve">1.20 </w:t>
      </w:r>
      <w:r>
        <w:rPr>
          <w:rFonts w:ascii="Arial" w:cs="Arial" w:eastAsia="Arial" w:hAnsi="Arial"/>
          <w:sz w:val="16"/>
          <w:szCs w:val="16"/>
          <w:u w:val="single" w:color="auto"/>
          <w:color w:val="202E39"/>
        </w:rPr>
        <w:t>Non-Qualified Stock Option</w:t>
      </w:r>
      <w:r>
        <w:rPr>
          <w:rFonts w:ascii="Arial" w:cs="Arial" w:eastAsia="Arial" w:hAnsi="Arial"/>
          <w:sz w:val="16"/>
          <w:szCs w:val="16"/>
          <w:color w:val="202E39"/>
        </w:rPr>
        <w:t>. “Non-Qualified Stock Option” shall mean an Option which is not designated as an Incentive Stock Option by the Committee.</w:t>
      </w:r>
    </w:p>
    <w:p>
      <w:pPr>
        <w:spacing w:after="0" w:line="87"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202E39"/>
        </w:rPr>
        <w:t xml:space="preserve">1.21 </w:t>
      </w:r>
      <w:r>
        <w:rPr>
          <w:rFonts w:ascii="Arial" w:cs="Arial" w:eastAsia="Arial" w:hAnsi="Arial"/>
          <w:sz w:val="16"/>
          <w:szCs w:val="16"/>
          <w:u w:val="single" w:color="auto"/>
          <w:color w:val="202E39"/>
        </w:rPr>
        <w:t>Option</w:t>
      </w:r>
      <w:r>
        <w:rPr>
          <w:rFonts w:ascii="Arial" w:cs="Arial" w:eastAsia="Arial" w:hAnsi="Arial"/>
          <w:sz w:val="16"/>
          <w:szCs w:val="16"/>
          <w:color w:val="202E39"/>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Options granted to Independent Directors and consultants shall be Non-Qualified Stock Options.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1.22 </w:t>
      </w:r>
      <w:r>
        <w:rPr>
          <w:rFonts w:ascii="Arial" w:cs="Arial" w:eastAsia="Arial" w:hAnsi="Arial"/>
          <w:sz w:val="16"/>
          <w:szCs w:val="16"/>
          <w:u w:val="single" w:color="auto"/>
          <w:color w:val="202E39"/>
        </w:rPr>
        <w:t>Optionee</w:t>
      </w:r>
      <w:r>
        <w:rPr>
          <w:rFonts w:ascii="Arial" w:cs="Arial" w:eastAsia="Arial" w:hAnsi="Arial"/>
          <w:sz w:val="16"/>
          <w:szCs w:val="16"/>
          <w:color w:val="202E39"/>
        </w:rPr>
        <w:t>. “Optionee” shall mean an Employee, Director or consultant granted an Option under this Plan.</w:t>
      </w:r>
    </w:p>
    <w:p>
      <w:pPr>
        <w:spacing w:after="0" w:line="113" w:lineRule="exact"/>
        <w:rPr>
          <w:sz w:val="20"/>
          <w:szCs w:val="20"/>
          <w:color w:val="auto"/>
        </w:rPr>
      </w:pPr>
    </w:p>
    <w:p>
      <w:pPr>
        <w:ind w:left="120" w:right="460"/>
        <w:spacing w:after="0" w:line="260" w:lineRule="auto"/>
        <w:rPr>
          <w:sz w:val="20"/>
          <w:szCs w:val="20"/>
          <w:color w:val="auto"/>
        </w:rPr>
      </w:pPr>
      <w:r>
        <w:rPr>
          <w:rFonts w:ascii="Arial" w:cs="Arial" w:eastAsia="Arial" w:hAnsi="Arial"/>
          <w:sz w:val="16"/>
          <w:szCs w:val="16"/>
          <w:color w:val="202E39"/>
        </w:rPr>
        <w:t xml:space="preserve">1.23 </w:t>
      </w:r>
      <w:r>
        <w:rPr>
          <w:rFonts w:ascii="Arial" w:cs="Arial" w:eastAsia="Arial" w:hAnsi="Arial"/>
          <w:sz w:val="16"/>
          <w:szCs w:val="16"/>
          <w:u w:val="single" w:color="auto"/>
          <w:color w:val="202E39"/>
        </w:rPr>
        <w:t>Performance Award</w:t>
      </w:r>
      <w:r>
        <w:rPr>
          <w:rFonts w:ascii="Arial" w:cs="Arial" w:eastAsia="Arial" w:hAnsi="Arial"/>
          <w:sz w:val="16"/>
          <w:szCs w:val="16"/>
          <w:color w:val="202E39"/>
        </w:rPr>
        <w:t>. “Performance Award” shall mean a cash bonus, stock bonus or other performance or incentive award that is paid in cash, Common Stock or a combination of both, awarded under Article VII of this Plan.</w:t>
      </w:r>
    </w:p>
    <w:p>
      <w:pPr>
        <w:spacing w:after="0" w:line="87" w:lineRule="exact"/>
        <w:rPr>
          <w:sz w:val="20"/>
          <w:szCs w:val="20"/>
          <w:color w:val="auto"/>
        </w:rPr>
      </w:pPr>
    </w:p>
    <w:p>
      <w:pPr>
        <w:ind w:left="120" w:right="440"/>
        <w:spacing w:after="0" w:line="253" w:lineRule="auto"/>
        <w:rPr>
          <w:sz w:val="20"/>
          <w:szCs w:val="20"/>
          <w:color w:val="auto"/>
        </w:rPr>
      </w:pPr>
      <w:r>
        <w:rPr>
          <w:rFonts w:ascii="Arial" w:cs="Arial" w:eastAsia="Arial" w:hAnsi="Arial"/>
          <w:sz w:val="16"/>
          <w:szCs w:val="16"/>
          <w:color w:val="202E39"/>
        </w:rPr>
        <w:t>1.24 “</w:t>
      </w:r>
      <w:r>
        <w:rPr>
          <w:rFonts w:ascii="Arial" w:cs="Arial" w:eastAsia="Arial" w:hAnsi="Arial"/>
          <w:sz w:val="16"/>
          <w:szCs w:val="16"/>
          <w:u w:val="single" w:color="auto"/>
          <w:color w:val="202E39"/>
        </w:rPr>
        <w:t>Permanent Disability</w:t>
      </w:r>
      <w:r>
        <w:rPr>
          <w:rFonts w:ascii="Arial" w:cs="Arial" w:eastAsia="Arial" w:hAnsi="Arial"/>
          <w:sz w:val="16"/>
          <w:szCs w:val="16"/>
          <w:color w:val="202E39"/>
        </w:rPr>
        <w:t>”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83820</wp:posOffset>
            </wp:positionV>
            <wp:extent cx="43688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A-2</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1.25 </w:t>
      </w:r>
      <w:r>
        <w:rPr>
          <w:rFonts w:ascii="Arial" w:cs="Arial" w:eastAsia="Arial" w:hAnsi="Arial"/>
          <w:sz w:val="16"/>
          <w:szCs w:val="16"/>
          <w:u w:val="single" w:color="auto"/>
          <w:color w:val="202E39"/>
        </w:rPr>
        <w:t>Plan</w:t>
      </w:r>
      <w:r>
        <w:rPr>
          <w:rFonts w:ascii="Arial" w:cs="Arial" w:eastAsia="Arial" w:hAnsi="Arial"/>
          <w:sz w:val="16"/>
          <w:szCs w:val="16"/>
          <w:color w:val="202E39"/>
        </w:rPr>
        <w:t>. “Plan” shall mean The 1996 Equity Participation Plan of Viasat, Inc., as amended and restated.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1.26 </w:t>
      </w:r>
      <w:r>
        <w:rPr>
          <w:rFonts w:ascii="Arial" w:cs="Arial" w:eastAsia="Arial" w:hAnsi="Arial"/>
          <w:sz w:val="16"/>
          <w:szCs w:val="16"/>
          <w:u w:val="single" w:color="auto"/>
          <w:color w:val="202E39"/>
        </w:rPr>
        <w:t>QDRO</w:t>
      </w:r>
      <w:r>
        <w:rPr>
          <w:rFonts w:ascii="Arial" w:cs="Arial" w:eastAsia="Arial" w:hAnsi="Arial"/>
          <w:sz w:val="16"/>
          <w:szCs w:val="16"/>
          <w:color w:val="202E39"/>
        </w:rPr>
        <w:t>. “QDRO” shall mean a qualified domestic relations order as defined by the Code or Title I of the Employee Retirement Income Security Act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1974, as amended, or the rules thereunder.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1.27 </w:t>
      </w:r>
      <w:r>
        <w:rPr>
          <w:rFonts w:ascii="Arial" w:cs="Arial" w:eastAsia="Arial" w:hAnsi="Arial"/>
          <w:sz w:val="16"/>
          <w:szCs w:val="16"/>
          <w:u w:val="single" w:color="auto"/>
          <w:color w:val="202E39"/>
        </w:rPr>
        <w:t>Restricted Stock</w:t>
      </w:r>
      <w:r>
        <w:rPr>
          <w:rFonts w:ascii="Arial" w:cs="Arial" w:eastAsia="Arial" w:hAnsi="Arial"/>
          <w:sz w:val="16"/>
          <w:szCs w:val="16"/>
          <w:color w:val="202E39"/>
        </w:rPr>
        <w:t>. “Restricted Stock” shall mean Common Stock awarded under Article VI of this Plan.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1.28 </w:t>
      </w:r>
      <w:r>
        <w:rPr>
          <w:rFonts w:ascii="Arial" w:cs="Arial" w:eastAsia="Arial" w:hAnsi="Arial"/>
          <w:sz w:val="16"/>
          <w:szCs w:val="16"/>
          <w:u w:val="single" w:color="auto"/>
          <w:color w:val="202E39"/>
        </w:rPr>
        <w:t>Restricted Stock Unit</w:t>
      </w:r>
      <w:r>
        <w:rPr>
          <w:rFonts w:ascii="Arial" w:cs="Arial" w:eastAsia="Arial" w:hAnsi="Arial"/>
          <w:sz w:val="16"/>
          <w:szCs w:val="16"/>
          <w:color w:val="202E39"/>
        </w:rPr>
        <w:t>. “Restricted Stock Unit” shall mean a right to receive Common Stock awarded under Article VII of this Plan.</w:t>
      </w:r>
    </w:p>
    <w:p>
      <w:pPr>
        <w:spacing w:after="0" w:line="113"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202E39"/>
        </w:rPr>
        <w:t xml:space="preserve">1.29 </w:t>
      </w:r>
      <w:r>
        <w:rPr>
          <w:rFonts w:ascii="Arial" w:cs="Arial" w:eastAsia="Arial" w:hAnsi="Arial"/>
          <w:sz w:val="16"/>
          <w:szCs w:val="16"/>
          <w:u w:val="single" w:color="auto"/>
          <w:color w:val="202E39"/>
        </w:rPr>
        <w:t>Restricted Stockholder</w:t>
      </w:r>
      <w:r>
        <w:rPr>
          <w:rFonts w:ascii="Arial" w:cs="Arial" w:eastAsia="Arial" w:hAnsi="Arial"/>
          <w:sz w:val="16"/>
          <w:szCs w:val="16"/>
          <w:color w:val="202E39"/>
        </w:rPr>
        <w:t>. “Restricted Stockholder” shall mean an Employee, Director or consultant granted an award of Restricted Stock under Article VI of this Plan.</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1.30 </w:t>
      </w:r>
      <w:r>
        <w:rPr>
          <w:rFonts w:ascii="Arial" w:cs="Arial" w:eastAsia="Arial" w:hAnsi="Arial"/>
          <w:sz w:val="16"/>
          <w:szCs w:val="16"/>
          <w:u w:val="single" w:color="auto"/>
          <w:color w:val="202E39"/>
        </w:rPr>
        <w:t>Rule 16b-3</w:t>
      </w:r>
      <w:r>
        <w:rPr>
          <w:rFonts w:ascii="Arial" w:cs="Arial" w:eastAsia="Arial" w:hAnsi="Arial"/>
          <w:sz w:val="16"/>
          <w:szCs w:val="16"/>
          <w:color w:val="202E39"/>
        </w:rPr>
        <w:t>. “Rule 16b-3” shall mean that certain Rule 16b-3 under the Exchange Act, as such Rule may be amended from time to time.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1.31 </w:t>
      </w:r>
      <w:r>
        <w:rPr>
          <w:rFonts w:ascii="Arial" w:cs="Arial" w:eastAsia="Arial" w:hAnsi="Arial"/>
          <w:sz w:val="16"/>
          <w:szCs w:val="16"/>
          <w:u w:val="single" w:color="auto"/>
          <w:color w:val="202E39"/>
        </w:rPr>
        <w:t>Stock Appreciation Right</w:t>
      </w:r>
      <w:r>
        <w:rPr>
          <w:rFonts w:ascii="Arial" w:cs="Arial" w:eastAsia="Arial" w:hAnsi="Arial"/>
          <w:sz w:val="16"/>
          <w:szCs w:val="16"/>
          <w:color w:val="202E39"/>
        </w:rPr>
        <w:t>. “Stock Appreciation Right” shall mean a stock appreciation right granted under Article VIII of this Plan.</w:t>
      </w:r>
    </w:p>
    <w:p>
      <w:pPr>
        <w:spacing w:after="0" w:line="113" w:lineRule="exact"/>
        <w:rPr>
          <w:sz w:val="20"/>
          <w:szCs w:val="20"/>
          <w:color w:val="auto"/>
        </w:rPr>
      </w:pPr>
    </w:p>
    <w:p>
      <w:pPr>
        <w:ind w:left="120" w:right="340"/>
        <w:spacing w:after="0" w:line="251" w:lineRule="auto"/>
        <w:rPr>
          <w:sz w:val="20"/>
          <w:szCs w:val="20"/>
          <w:color w:val="auto"/>
        </w:rPr>
      </w:pPr>
      <w:r>
        <w:rPr>
          <w:rFonts w:ascii="Arial" w:cs="Arial" w:eastAsia="Arial" w:hAnsi="Arial"/>
          <w:sz w:val="16"/>
          <w:szCs w:val="16"/>
          <w:color w:val="202E39"/>
        </w:rPr>
        <w:t xml:space="preserve">1.32 </w:t>
      </w:r>
      <w:r>
        <w:rPr>
          <w:rFonts w:ascii="Arial" w:cs="Arial" w:eastAsia="Arial" w:hAnsi="Arial"/>
          <w:sz w:val="16"/>
          <w:szCs w:val="16"/>
          <w:u w:val="single" w:color="auto"/>
          <w:color w:val="202E39"/>
        </w:rPr>
        <w:t>Stock Payment</w:t>
      </w:r>
      <w:r>
        <w:rPr>
          <w:rFonts w:ascii="Arial" w:cs="Arial" w:eastAsia="Arial" w:hAnsi="Arial"/>
          <w:sz w:val="16"/>
          <w:szCs w:val="16"/>
          <w:color w:val="202E39"/>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94"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6"/>
          <w:szCs w:val="16"/>
          <w:color w:val="202E39"/>
        </w:rPr>
        <w:t xml:space="preserve">1.33 </w:t>
      </w:r>
      <w:r>
        <w:rPr>
          <w:rFonts w:ascii="Arial" w:cs="Arial" w:eastAsia="Arial" w:hAnsi="Arial"/>
          <w:sz w:val="16"/>
          <w:szCs w:val="16"/>
          <w:u w:val="single" w:color="auto"/>
          <w:color w:val="202E39"/>
        </w:rPr>
        <w:t>Subsidiary</w:t>
      </w:r>
      <w:r>
        <w:rPr>
          <w:rFonts w:ascii="Arial" w:cs="Arial" w:eastAsia="Arial" w:hAnsi="Arial"/>
          <w:sz w:val="16"/>
          <w:szCs w:val="16"/>
          <w:color w:val="202E39"/>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93" w:lineRule="exact"/>
        <w:rPr>
          <w:sz w:val="20"/>
          <w:szCs w:val="20"/>
          <w:color w:val="auto"/>
        </w:rPr>
      </w:pPr>
    </w:p>
    <w:p>
      <w:pPr>
        <w:jc w:val="both"/>
        <w:ind w:left="120" w:right="420"/>
        <w:spacing w:after="0" w:line="253" w:lineRule="auto"/>
        <w:rPr>
          <w:sz w:val="20"/>
          <w:szCs w:val="20"/>
          <w:color w:val="auto"/>
        </w:rPr>
      </w:pPr>
      <w:r>
        <w:rPr>
          <w:rFonts w:ascii="Arial" w:cs="Arial" w:eastAsia="Arial" w:hAnsi="Arial"/>
          <w:sz w:val="16"/>
          <w:szCs w:val="16"/>
          <w:color w:val="202E39"/>
        </w:rPr>
        <w:t xml:space="preserve">1.34 </w:t>
      </w:r>
      <w:r>
        <w:rPr>
          <w:rFonts w:ascii="Arial" w:cs="Arial" w:eastAsia="Arial" w:hAnsi="Arial"/>
          <w:sz w:val="16"/>
          <w:szCs w:val="16"/>
          <w:u w:val="single" w:color="auto"/>
          <w:color w:val="202E39"/>
        </w:rPr>
        <w:t>Substitute Awards</w:t>
      </w:r>
      <w:r>
        <w:rPr>
          <w:rFonts w:ascii="Arial" w:cs="Arial" w:eastAsia="Arial" w:hAnsi="Arial"/>
          <w:sz w:val="16"/>
          <w:szCs w:val="16"/>
          <w:color w:val="202E39"/>
        </w:rPr>
        <w:t>. “Substitute Awards” shall mean awards granted or shares of Common Stock issued by the Company in assumption of, or in substitution or exchange for, awards previously granted, or the right or obligation to make future awards, in each case by a company acquired by the Company or any of its Subsidiaries or with which the Company or any of its Subsidiaries combines.</w:t>
      </w:r>
    </w:p>
    <w:p>
      <w:pPr>
        <w:spacing w:after="0" w:line="93" w:lineRule="exact"/>
        <w:rPr>
          <w:sz w:val="20"/>
          <w:szCs w:val="20"/>
          <w:color w:val="auto"/>
        </w:rPr>
      </w:pPr>
    </w:p>
    <w:p>
      <w:pPr>
        <w:ind w:left="120" w:right="60"/>
        <w:spacing w:after="0" w:line="248"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Consultancy</w:t>
      </w:r>
      <w:r>
        <w:rPr>
          <w:rFonts w:ascii="Arial" w:cs="Arial" w:eastAsia="Arial" w:hAnsi="Arial"/>
          <w:sz w:val="16"/>
          <w:szCs w:val="16"/>
          <w:color w:val="202E39"/>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99" w:lineRule="exact"/>
        <w:rPr>
          <w:sz w:val="20"/>
          <w:szCs w:val="20"/>
          <w:color w:val="auto"/>
        </w:rPr>
      </w:pPr>
    </w:p>
    <w:p>
      <w:pPr>
        <w:ind w:left="120" w:right="140"/>
        <w:spacing w:after="0" w:line="251"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Directorship</w:t>
      </w:r>
      <w:r>
        <w:rPr>
          <w:rFonts w:ascii="Arial" w:cs="Arial" w:eastAsia="Arial" w:hAnsi="Arial"/>
          <w:sz w:val="16"/>
          <w:szCs w:val="16"/>
          <w:color w:val="202E39"/>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94"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 xml:space="preserve">1.36 </w:t>
      </w:r>
      <w:r>
        <w:rPr>
          <w:rFonts w:ascii="Arial" w:cs="Arial" w:eastAsia="Arial" w:hAnsi="Arial"/>
          <w:sz w:val="16"/>
          <w:szCs w:val="16"/>
          <w:u w:val="single" w:color="auto"/>
          <w:color w:val="202E39"/>
        </w:rPr>
        <w:t>Termination of Employment</w:t>
      </w:r>
      <w:r>
        <w:rPr>
          <w:rFonts w:ascii="Arial" w:cs="Arial" w:eastAsia="Arial" w:hAnsi="Arial"/>
          <w:sz w:val="16"/>
          <w:szCs w:val="16"/>
          <w:color w:val="202E39"/>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II. SHARES SUBJECT TO PLAN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2.1 </w:t>
      </w:r>
      <w:r>
        <w:rPr>
          <w:rFonts w:ascii="Arial" w:cs="Arial" w:eastAsia="Arial" w:hAnsi="Arial"/>
          <w:sz w:val="16"/>
          <w:szCs w:val="16"/>
          <w:u w:val="single" w:color="auto"/>
          <w:color w:val="202E39"/>
        </w:rPr>
        <w:t>Shares Subject to Plan</w:t>
      </w:r>
      <w:r>
        <w:rPr>
          <w:rFonts w:ascii="Arial" w:cs="Arial" w:eastAsia="Arial" w:hAnsi="Arial"/>
          <w:sz w:val="16"/>
          <w:szCs w:val="16"/>
          <w:color w:val="202E39"/>
        </w:rPr>
        <w:t>.</w:t>
      </w:r>
    </w:p>
    <w:p>
      <w:pPr>
        <w:spacing w:after="0" w:line="113" w:lineRule="exact"/>
        <w:rPr>
          <w:sz w:val="20"/>
          <w:szCs w:val="20"/>
          <w:color w:val="auto"/>
        </w:rPr>
      </w:pPr>
    </w:p>
    <w:p>
      <w:pPr>
        <w:ind w:left="560" w:right="340" w:hanging="4"/>
        <w:spacing w:after="0" w:line="260" w:lineRule="auto"/>
        <w:tabs>
          <w:tab w:leader="none" w:pos="803"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The shares of stock subject to Options, awards of Restricted Stock, Performance Awards, Dividend Equivalents, awards of Restricted Stock Units, Stock Payments or Stock Appreciation Rights shall be Common Stock, initially shares</w:t>
      </w:r>
    </w:p>
    <w:p>
      <w:pPr>
        <w:spacing w:after="0" w:line="113"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A-3</w:t>
            </w:r>
          </w:p>
        </w:tc>
      </w:tr>
    </w:tbl>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right="20"/>
        <w:spacing w:after="0" w:line="250" w:lineRule="auto"/>
        <w:rPr>
          <w:sz w:val="20"/>
          <w:szCs w:val="20"/>
          <w:color w:val="auto"/>
        </w:rPr>
      </w:pPr>
      <w:r>
        <w:rPr>
          <w:rFonts w:ascii="Arial" w:cs="Arial" w:eastAsia="Arial" w:hAnsi="Arial"/>
          <w:sz w:val="16"/>
          <w:szCs w:val="16"/>
          <w:color w:val="202E39"/>
        </w:rPr>
        <w:t>of the Company’s Common Stock, par value $0.0001 per share. Subject to Section 2.3 below, the aggregate number of such shares which may be issued upon exercise of such options or rights or upon any such awards under the Plan shall not exceed 41,315,000. The shares of Common Stock issuable upon exercise of such options or rights or upon any such awards may be either previously authorized but unissued shares or treasury shares. Notwithstanding anything to the contrary herein, no more than 41,315,000 shares of Common Stock may be issued pursuant to the exercise of Incentive Stock Options.</w:t>
      </w:r>
    </w:p>
    <w:p>
      <w:pPr>
        <w:spacing w:after="0" w:line="95" w:lineRule="exact"/>
        <w:rPr>
          <w:sz w:val="20"/>
          <w:szCs w:val="20"/>
          <w:color w:val="auto"/>
        </w:rPr>
      </w:pPr>
    </w:p>
    <w:p>
      <w:pPr>
        <w:ind w:left="560" w:right="40" w:hanging="4"/>
        <w:spacing w:after="0" w:line="250" w:lineRule="auto"/>
        <w:tabs>
          <w:tab w:leader="none" w:pos="803"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Any shares subject to Options or Stock Appreciation Rights shall be counted against the numerical limit of Section 2.1(a) as one share for every share subject thereto. Any shares subject to Full Value Awards will be counted against the numerical limit of Section 2.1(a) as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w:t>
      </w:r>
    </w:p>
    <w:p>
      <w:pPr>
        <w:spacing w:after="0" w:line="94" w:lineRule="exact"/>
        <w:rPr>
          <w:rFonts w:ascii="Arial" w:cs="Arial" w:eastAsia="Arial" w:hAnsi="Arial"/>
          <w:sz w:val="16"/>
          <w:szCs w:val="16"/>
          <w:color w:val="202E39"/>
        </w:rPr>
      </w:pPr>
    </w:p>
    <w:p>
      <w:pPr>
        <w:ind w:left="560" w:right="140" w:hanging="4"/>
        <w:spacing w:after="0" w:line="253" w:lineRule="auto"/>
        <w:tabs>
          <w:tab w:leader="none" w:pos="794" w:val="left"/>
        </w:tabs>
        <w:numPr>
          <w:ilvl w:val="0"/>
          <w:numId w:val="58"/>
        </w:numPr>
        <w:rPr>
          <w:rFonts w:ascii="Arial" w:cs="Arial" w:eastAsia="Arial" w:hAnsi="Arial"/>
          <w:sz w:val="16"/>
          <w:szCs w:val="16"/>
          <w:color w:val="202E39"/>
        </w:rPr>
      </w:pPr>
      <w:r>
        <w:rPr>
          <w:rFonts w:ascii="Arial" w:cs="Arial" w:eastAsia="Arial" w:hAnsi="Arial"/>
          <w:sz w:val="16"/>
          <w:szCs w:val="16"/>
          <w:color w:val="202E39"/>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w:t>
      </w:r>
    </w:p>
    <w:p>
      <w:pPr>
        <w:spacing w:after="0" w:line="93" w:lineRule="exact"/>
        <w:rPr>
          <w:sz w:val="20"/>
          <w:szCs w:val="20"/>
          <w:color w:val="auto"/>
        </w:rPr>
      </w:pPr>
    </w:p>
    <w:p>
      <w:pPr>
        <w:ind w:left="120" w:right="20"/>
        <w:spacing w:after="0" w:line="246" w:lineRule="auto"/>
        <w:rPr>
          <w:sz w:val="20"/>
          <w:szCs w:val="20"/>
          <w:color w:val="auto"/>
        </w:rPr>
      </w:pPr>
      <w:r>
        <w:rPr>
          <w:rFonts w:ascii="Arial" w:cs="Arial" w:eastAsia="Arial" w:hAnsi="Arial"/>
          <w:sz w:val="16"/>
          <w:szCs w:val="16"/>
          <w:color w:val="202E39"/>
        </w:rPr>
        <w:t xml:space="preserve">2.2 </w:t>
      </w:r>
      <w:r>
        <w:rPr>
          <w:rFonts w:ascii="Arial" w:cs="Arial" w:eastAsia="Arial" w:hAnsi="Arial"/>
          <w:sz w:val="16"/>
          <w:szCs w:val="16"/>
          <w:u w:val="single" w:color="auto"/>
          <w:color w:val="202E39"/>
        </w:rPr>
        <w:t>Add-Back of Shares</w:t>
      </w:r>
      <w:r>
        <w:rPr>
          <w:rFonts w:ascii="Arial" w:cs="Arial" w:eastAsia="Arial" w:hAnsi="Arial"/>
          <w:sz w:val="16"/>
          <w:szCs w:val="16"/>
          <w:color w:val="202E39"/>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w:t>
      </w:r>
    </w:p>
    <w:p>
      <w:pPr>
        <w:spacing w:after="0" w:line="4" w:lineRule="exact"/>
        <w:rPr>
          <w:sz w:val="20"/>
          <w:szCs w:val="20"/>
          <w:color w:val="auto"/>
        </w:rPr>
      </w:pPr>
    </w:p>
    <w:p>
      <w:pPr>
        <w:ind w:left="120" w:hanging="4"/>
        <w:spacing w:after="0" w:line="247" w:lineRule="auto"/>
        <w:tabs>
          <w:tab w:leader="none" w:pos="381"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under the Plan in an amount corresponding to the reduction in the share reserve previously made in accordance with Section 2.1(b) above; provided, however, that, notwithstanding the foregoing, in the event shares of Common Stock subject to a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03"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202E39"/>
        </w:rPr>
        <w:t xml:space="preserve">2.3 </w:t>
      </w:r>
      <w:r>
        <w:rPr>
          <w:rFonts w:ascii="Arial" w:cs="Arial" w:eastAsia="Arial" w:hAnsi="Arial"/>
          <w:sz w:val="16"/>
          <w:szCs w:val="16"/>
          <w:u w:val="single" w:color="auto"/>
          <w:color w:val="202E39"/>
        </w:rPr>
        <w:t>Substitute Awards</w:t>
      </w:r>
      <w:r>
        <w:rPr>
          <w:rFonts w:ascii="Arial" w:cs="Arial" w:eastAsia="Arial" w:hAnsi="Arial"/>
          <w:sz w:val="16"/>
          <w:szCs w:val="16"/>
          <w:color w:val="202E39"/>
        </w:rPr>
        <w:t>. In connection with an entity’s merger or consolidation with the Company or any Subsidiary or the Company’s acquisition, or any Subsidiary’s acquisition, of an entity’s property or stock, the Committee may grant awards in substitution for any options or other stock or stock-based awards granted before such merger or consolidation by such entity or its affiliate. Substitute Awards may be granted on such terms as the Committee deems appropriate, notwithstanding limitations on awards in the Plan. Substitute Awards will not count against the aggregate number of shares of Common Stock that may be issued pursuant to awards under the Plan (nor shall shares of Common Stock subject to a Substitute Award be added to the shares of Common Stock available for awards under the Plan as provided above), except that shares of Common Stock acquired by exercise of substitute Incentive Stock Options will count against the maximum number of shares of Common Stock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90805</wp:posOffset>
            </wp:positionV>
            <wp:extent cx="43688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to determine the consideration payable to the holders of common stock of the entities party to such acquisition or combination) may be used for awards under the Plan and shall not reduce the shares of Common Stock authorized for grant under the Plan (and shares of Common Stock subject to such awards shall not be added to the shares of Common Stock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of the Company or any Subsidiary immediately prior to such acquisition or combination and to the extent that grants of awards using such available shares are permitted without stockholder approval under the rules of the principal securities exchange on which the Common Stock is then listed.</w:t>
      </w:r>
    </w:p>
    <w:p>
      <w:pPr>
        <w:spacing w:after="0" w:line="100" w:lineRule="exact"/>
        <w:rPr>
          <w:sz w:val="20"/>
          <w:szCs w:val="20"/>
          <w:color w:val="auto"/>
        </w:rPr>
      </w:pPr>
    </w:p>
    <w:p>
      <w:pPr>
        <w:ind w:left="120" w:right="60"/>
        <w:spacing w:after="0" w:line="235" w:lineRule="auto"/>
        <w:rPr>
          <w:sz w:val="20"/>
          <w:szCs w:val="20"/>
          <w:color w:val="auto"/>
        </w:rPr>
      </w:pPr>
      <w:r>
        <w:rPr>
          <w:rFonts w:ascii="Arial" w:cs="Arial" w:eastAsia="Arial" w:hAnsi="Arial"/>
          <w:sz w:val="16"/>
          <w:szCs w:val="16"/>
          <w:color w:val="202E39"/>
        </w:rPr>
        <w:t>In furtherance of the foregoing, the shares assumed by the Company under the RigNet, Inc. Omnibus Incentive Plan (as adopted May 8, 2019) (the “RigNet Shares,” and such plan, the “RigNet Plan”), including all shares available for issuance under the RigNet Plan as of immediately following the closing of the Company’s acquisition of RigNet, Inc. (the “RigNet Closing”) as well as any shares subject to outstanding awards under the RigNet Plan as of the RigNet Closing that would otherwise become available for issuance under the RigNet Plan after the RigNet Closing in accordance with the terms of the RigNet Plan as a result of the expiration, cancellation or forfeiture of such awards (in each case after appropriate adjustment of the number of shares to reflect the transaction), may be used for awards under the Plan in accordance with this Section 2.3 and shall not reduce the shares of Common Stock authorized for grant under the Plan. Notwithstanding anything to the contrary contained herein, awards under the Plan with respect to the RigNet Shares may not be granted (i) to individuals who were employed by or providing services to the Company or any of its Subsidiaries immediately prior to the closing of the Company’s acquisition of RigNet, Inc., (ii) following the tenth (10</w:t>
      </w:r>
      <w:r>
        <w:rPr>
          <w:rFonts w:ascii="Arial" w:cs="Arial" w:eastAsia="Arial" w:hAnsi="Arial"/>
          <w:sz w:val="27"/>
          <w:szCs w:val="27"/>
          <w:color w:val="202E39"/>
          <w:vertAlign w:val="superscript"/>
        </w:rPr>
        <w:t>th</w:t>
      </w:r>
      <w:r>
        <w:rPr>
          <w:rFonts w:ascii="Arial" w:cs="Arial" w:eastAsia="Arial" w:hAnsi="Arial"/>
          <w:sz w:val="16"/>
          <w:szCs w:val="16"/>
          <w:color w:val="202E39"/>
        </w:rPr>
        <w:t>) anniversary of the Effective Date (as defined in the RigNet Plan) of the RigNet Plan, or (iii) in any other manner that would violate the exception under Nasdaq Stock Market Rule 5635(c)(3) relied upon by the Company in connection with the assumption of the RigNet Shares and the reservation of such RigNet Shares for issuance under this Plan. Shares subject to awards granted with respect to the RigNet Shares (whether or not subject to Full Value Awards) shall be counted against the total number of RigNet Shares issuable pursuant to awards under the Plan pursuant to this Section 2.3 as one share for every share subject thereto, and no Incentive Stock Options may be granted from the RigNet Shares.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III. GRANTING OF OPTIONS</w:t>
      </w:r>
    </w:p>
    <w:p>
      <w:pPr>
        <w:spacing w:after="0" w:line="124" w:lineRule="exact"/>
        <w:rPr>
          <w:sz w:val="20"/>
          <w:szCs w:val="20"/>
          <w:color w:val="auto"/>
        </w:rPr>
      </w:pPr>
    </w:p>
    <w:p>
      <w:pPr>
        <w:ind w:left="120" w:right="640"/>
        <w:spacing w:after="0" w:line="260" w:lineRule="auto"/>
        <w:rPr>
          <w:sz w:val="20"/>
          <w:szCs w:val="20"/>
          <w:color w:val="auto"/>
        </w:rPr>
      </w:pPr>
      <w:r>
        <w:rPr>
          <w:rFonts w:ascii="Arial" w:cs="Arial" w:eastAsia="Arial" w:hAnsi="Arial"/>
          <w:sz w:val="16"/>
          <w:szCs w:val="16"/>
          <w:color w:val="202E39"/>
        </w:rPr>
        <w:t xml:space="preserve">3.1 </w:t>
      </w:r>
      <w:r>
        <w:rPr>
          <w:rFonts w:ascii="Arial" w:cs="Arial" w:eastAsia="Arial" w:hAnsi="Arial"/>
          <w:sz w:val="16"/>
          <w:szCs w:val="16"/>
          <w:u w:val="single" w:color="auto"/>
          <w:color w:val="202E39"/>
        </w:rPr>
        <w:t>Eligibility</w:t>
      </w:r>
      <w:r>
        <w:rPr>
          <w:rFonts w:ascii="Arial" w:cs="Arial" w:eastAsia="Arial" w:hAnsi="Arial"/>
          <w:sz w:val="16"/>
          <w:szCs w:val="16"/>
          <w:color w:val="202E39"/>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7"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3.2 </w:t>
      </w:r>
      <w:r>
        <w:rPr>
          <w:rFonts w:ascii="Arial" w:cs="Arial" w:eastAsia="Arial" w:hAnsi="Arial"/>
          <w:sz w:val="16"/>
          <w:szCs w:val="16"/>
          <w:u w:val="single" w:color="auto"/>
          <w:color w:val="202E39"/>
        </w:rPr>
        <w:t>Disqualification for Stock Ownership</w:t>
      </w:r>
      <w:r>
        <w:rPr>
          <w:rFonts w:ascii="Arial" w:cs="Arial" w:eastAsia="Arial" w:hAnsi="Arial"/>
          <w:sz w:val="16"/>
          <w:szCs w:val="16"/>
          <w:color w:val="202E39"/>
        </w:rPr>
        <w:t>. No person may be granted an Incentive Stock Option under this Plan if such person, at the time the Incentive Stock Option is granted, owns stock possessing more than ten percent (10%) of the total combined voting power of all classes of stock of the Company or any then-existing Subsidiary or parent corporation (within the meaning of Section 422 of the Code) unless such Incentive Stock Option conforms to the applicable provisions of Section 422 of the Code.</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3.3 </w:t>
      </w:r>
      <w:r>
        <w:rPr>
          <w:rFonts w:ascii="Arial" w:cs="Arial" w:eastAsia="Arial" w:hAnsi="Arial"/>
          <w:sz w:val="16"/>
          <w:szCs w:val="16"/>
          <w:u w:val="single" w:color="auto"/>
          <w:color w:val="202E39"/>
        </w:rPr>
        <w:t>Qualification of Incentive Stock Options</w:t>
      </w:r>
      <w:r>
        <w:rPr>
          <w:rFonts w:ascii="Arial" w:cs="Arial" w:eastAsia="Arial" w:hAnsi="Arial"/>
          <w:sz w:val="16"/>
          <w:szCs w:val="16"/>
          <w:color w:val="202E39"/>
        </w:rPr>
        <w:t>. No Incentive Stock Option shall be granted to any person who is not an Employee.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3.4 </w:t>
      </w:r>
      <w:r>
        <w:rPr>
          <w:rFonts w:ascii="Arial" w:cs="Arial" w:eastAsia="Arial" w:hAnsi="Arial"/>
          <w:sz w:val="16"/>
          <w:szCs w:val="16"/>
          <w:u w:val="single" w:color="auto"/>
          <w:color w:val="202E39"/>
        </w:rPr>
        <w:t>Granting of Options</w:t>
      </w:r>
      <w:r>
        <w:rPr>
          <w:rFonts w:ascii="Arial" w:cs="Arial" w:eastAsia="Arial" w:hAnsi="Arial"/>
          <w:sz w:val="16"/>
          <w:szCs w:val="16"/>
          <w:color w:val="202E39"/>
        </w:rPr>
        <w:t>.</w:t>
      </w:r>
    </w:p>
    <w:p>
      <w:pPr>
        <w:spacing w:after="0" w:line="113" w:lineRule="exact"/>
        <w:rPr>
          <w:sz w:val="20"/>
          <w:szCs w:val="20"/>
          <w:color w:val="auto"/>
        </w:rPr>
      </w:pPr>
    </w:p>
    <w:p>
      <w:pPr>
        <w:ind w:left="800" w:hanging="244"/>
        <w:spacing w:after="0"/>
        <w:tabs>
          <w:tab w:leader="none" w:pos="800"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The Committee shall from time to time, in its absolute discretion, and subject to applicable limitations of this Plan:</w:t>
      </w:r>
    </w:p>
    <w:p>
      <w:pPr>
        <w:spacing w:after="0" w:line="113" w:lineRule="exact"/>
        <w:rPr>
          <w:rFonts w:ascii="Arial" w:cs="Arial" w:eastAsia="Arial" w:hAnsi="Arial"/>
          <w:sz w:val="16"/>
          <w:szCs w:val="16"/>
          <w:color w:val="202E39"/>
        </w:rPr>
      </w:pPr>
    </w:p>
    <w:p>
      <w:pPr>
        <w:ind w:left="1000" w:right="80" w:hanging="3"/>
        <w:spacing w:after="0" w:line="260" w:lineRule="auto"/>
        <w:tabs>
          <w:tab w:leader="none" w:pos="1189" w:val="left"/>
        </w:tabs>
        <w:numPr>
          <w:ilvl w:val="1"/>
          <w:numId w:val="60"/>
        </w:numPr>
        <w:rPr>
          <w:rFonts w:ascii="Arial" w:cs="Arial" w:eastAsia="Arial" w:hAnsi="Arial"/>
          <w:sz w:val="16"/>
          <w:szCs w:val="16"/>
          <w:color w:val="202E39"/>
        </w:rPr>
      </w:pPr>
      <w:r>
        <w:rPr>
          <w:rFonts w:ascii="Arial" w:cs="Arial" w:eastAsia="Arial" w:hAnsi="Arial"/>
          <w:sz w:val="16"/>
          <w:szCs w:val="16"/>
          <w:color w:val="202E39"/>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87" w:lineRule="exact"/>
        <w:rPr>
          <w:rFonts w:ascii="Arial" w:cs="Arial" w:eastAsia="Arial" w:hAnsi="Arial"/>
          <w:sz w:val="16"/>
          <w:szCs w:val="16"/>
          <w:color w:val="202E39"/>
        </w:rPr>
      </w:pPr>
    </w:p>
    <w:p>
      <w:pPr>
        <w:ind w:left="1000" w:right="500" w:hanging="3"/>
        <w:spacing w:after="0" w:line="260" w:lineRule="auto"/>
        <w:tabs>
          <w:tab w:leader="none" w:pos="1225" w:val="left"/>
        </w:tabs>
        <w:numPr>
          <w:ilvl w:val="1"/>
          <w:numId w:val="60"/>
        </w:numPr>
        <w:rPr>
          <w:rFonts w:ascii="Arial" w:cs="Arial" w:eastAsia="Arial" w:hAnsi="Arial"/>
          <w:sz w:val="16"/>
          <w:szCs w:val="16"/>
          <w:color w:val="202E39"/>
        </w:rPr>
      </w:pPr>
      <w:r>
        <w:rPr>
          <w:rFonts w:ascii="Arial" w:cs="Arial" w:eastAsia="Arial" w:hAnsi="Arial"/>
          <w:sz w:val="16"/>
          <w:szCs w:val="16"/>
          <w:color w:val="202E39"/>
        </w:rPr>
        <w:t>Subject to the Award Limit, determine the number of shares to be subject to such Options granted to the selected key Employees or consultants;</w:t>
      </w:r>
    </w:p>
    <w:p>
      <w:pPr>
        <w:spacing w:after="0" w:line="87" w:lineRule="exact"/>
        <w:rPr>
          <w:rFonts w:ascii="Arial" w:cs="Arial" w:eastAsia="Arial" w:hAnsi="Arial"/>
          <w:sz w:val="16"/>
          <w:szCs w:val="16"/>
          <w:color w:val="202E39"/>
        </w:rPr>
      </w:pPr>
    </w:p>
    <w:p>
      <w:pPr>
        <w:ind w:left="1260" w:hanging="263"/>
        <w:spacing w:after="0"/>
        <w:tabs>
          <w:tab w:leader="none" w:pos="1260" w:val="left"/>
        </w:tabs>
        <w:numPr>
          <w:ilvl w:val="1"/>
          <w:numId w:val="60"/>
        </w:numPr>
        <w:rPr>
          <w:rFonts w:ascii="Arial" w:cs="Arial" w:eastAsia="Arial" w:hAnsi="Arial"/>
          <w:sz w:val="16"/>
          <w:szCs w:val="16"/>
          <w:color w:val="202E39"/>
        </w:rPr>
      </w:pPr>
      <w:r>
        <w:rPr>
          <w:rFonts w:ascii="Arial" w:cs="Arial" w:eastAsia="Arial" w:hAnsi="Arial"/>
          <w:sz w:val="16"/>
          <w:szCs w:val="16"/>
          <w:color w:val="202E39"/>
        </w:rPr>
        <w:t>Subject to Section 3.3, determine whether such Options are to be Incentive Stock Options or Non-Qualified Stock Options; and</w:t>
      </w:r>
    </w:p>
    <w:p>
      <w:pPr>
        <w:spacing w:after="0" w:line="113" w:lineRule="exact"/>
        <w:rPr>
          <w:rFonts w:ascii="Arial" w:cs="Arial" w:eastAsia="Arial" w:hAnsi="Arial"/>
          <w:sz w:val="16"/>
          <w:szCs w:val="16"/>
          <w:color w:val="202E39"/>
        </w:rPr>
      </w:pPr>
    </w:p>
    <w:p>
      <w:pPr>
        <w:ind w:left="1260" w:hanging="263"/>
        <w:spacing w:after="0"/>
        <w:tabs>
          <w:tab w:leader="none" w:pos="1260" w:val="left"/>
        </w:tabs>
        <w:numPr>
          <w:ilvl w:val="1"/>
          <w:numId w:val="60"/>
        </w:numPr>
        <w:rPr>
          <w:rFonts w:ascii="Arial" w:cs="Arial" w:eastAsia="Arial" w:hAnsi="Arial"/>
          <w:sz w:val="16"/>
          <w:szCs w:val="16"/>
          <w:color w:val="202E39"/>
        </w:rPr>
      </w:pPr>
      <w:r>
        <w:rPr>
          <w:rFonts w:ascii="Arial" w:cs="Arial" w:eastAsia="Arial" w:hAnsi="Arial"/>
          <w:sz w:val="16"/>
          <w:szCs w:val="16"/>
          <w:color w:val="202E39"/>
        </w:rPr>
        <w:t>Determine the terms and conditions of such Options, consistent with this Plan.</w:t>
      </w:r>
    </w:p>
    <w:p>
      <w:pPr>
        <w:spacing w:after="0" w:line="113" w:lineRule="exact"/>
        <w:rPr>
          <w:rFonts w:ascii="Arial" w:cs="Arial" w:eastAsia="Arial" w:hAnsi="Arial"/>
          <w:sz w:val="16"/>
          <w:szCs w:val="16"/>
          <w:color w:val="202E39"/>
        </w:rPr>
      </w:pPr>
    </w:p>
    <w:p>
      <w:pPr>
        <w:ind w:left="560" w:right="20" w:hanging="4"/>
        <w:spacing w:after="0" w:line="248" w:lineRule="auto"/>
        <w:tabs>
          <w:tab w:leader="none" w:pos="803" w:val="left"/>
        </w:tabs>
        <w:numPr>
          <w:ilvl w:val="0"/>
          <w:numId w:val="60"/>
        </w:numPr>
        <w:rPr>
          <w:rFonts w:ascii="Arial" w:cs="Arial" w:eastAsia="Arial" w:hAnsi="Arial"/>
          <w:sz w:val="16"/>
          <w:szCs w:val="16"/>
          <w:color w:val="202E39"/>
        </w:rPr>
      </w:pPr>
      <w:r>
        <w:rPr>
          <w:rFonts w:ascii="Arial" w:cs="Arial" w:eastAsia="Arial" w:hAnsi="Arial"/>
          <w:sz w:val="16"/>
          <w:szCs w:val="16"/>
          <w:color w:val="202E39"/>
        </w:rPr>
        <w:t>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w:t>
      </w:r>
    </w:p>
    <w:p>
      <w:pPr>
        <w:spacing w:after="0" w:line="124"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A-5</w:t>
            </w:r>
          </w:p>
        </w:tc>
      </w:tr>
    </w:tbl>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spacing w:after="0" w:line="250" w:lineRule="auto"/>
        <w:rPr>
          <w:sz w:val="20"/>
          <w:szCs w:val="20"/>
          <w:color w:val="auto"/>
        </w:rPr>
      </w:pPr>
      <w:r>
        <w:rPr>
          <w:rFonts w:ascii="Arial" w:cs="Arial" w:eastAsia="Arial" w:hAnsi="Arial"/>
          <w:sz w:val="16"/>
          <w:szCs w:val="16"/>
          <w:color w:val="202E39"/>
        </w:rPr>
        <w:t xml:space="preserve">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95" w:lineRule="exact"/>
        <w:rPr>
          <w:sz w:val="20"/>
          <w:szCs w:val="20"/>
          <w:color w:val="auto"/>
        </w:rPr>
      </w:pPr>
    </w:p>
    <w:p>
      <w:pPr>
        <w:ind w:left="560" w:right="60" w:hanging="4"/>
        <w:spacing w:after="0" w:line="260" w:lineRule="auto"/>
        <w:tabs>
          <w:tab w:leader="none" w:pos="794"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Any Incentive Stock Option granted under this Plan may be modified by the Committee to disqualify such option from treatment as an “incentive stock option” under Section 422 of the Code.</w:t>
      </w:r>
    </w:p>
    <w:p>
      <w:pPr>
        <w:spacing w:after="0" w:line="87" w:lineRule="exact"/>
        <w:rPr>
          <w:rFonts w:ascii="Arial" w:cs="Arial" w:eastAsia="Arial" w:hAnsi="Arial"/>
          <w:sz w:val="16"/>
          <w:szCs w:val="16"/>
          <w:color w:val="202E39"/>
        </w:rPr>
      </w:pPr>
    </w:p>
    <w:p>
      <w:pPr>
        <w:ind w:left="560" w:hanging="4"/>
        <w:spacing w:after="0" w:line="247" w:lineRule="auto"/>
        <w:tabs>
          <w:tab w:leader="none" w:pos="803" w:val="left"/>
        </w:tabs>
        <w:numPr>
          <w:ilvl w:val="0"/>
          <w:numId w:val="61"/>
        </w:numPr>
        <w:rPr>
          <w:rFonts w:ascii="Arial" w:cs="Arial" w:eastAsia="Arial" w:hAnsi="Arial"/>
          <w:sz w:val="16"/>
          <w:szCs w:val="16"/>
          <w:color w:val="202E39"/>
        </w:rPr>
      </w:pPr>
      <w:r>
        <w:rPr>
          <w:rFonts w:ascii="Arial" w:cs="Arial" w:eastAsia="Arial" w:hAnsi="Arial"/>
          <w:sz w:val="16"/>
          <w:szCs w:val="16"/>
          <w:color w:val="202E39"/>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In addition, all Options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IV. TERMS OF OPTIONS</w:t>
      </w:r>
    </w:p>
    <w:p>
      <w:pPr>
        <w:spacing w:after="0" w:line="1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 xml:space="preserve">4.1 </w:t>
      </w:r>
      <w:r>
        <w:rPr>
          <w:rFonts w:ascii="Arial" w:cs="Arial" w:eastAsia="Arial" w:hAnsi="Arial"/>
          <w:sz w:val="16"/>
          <w:szCs w:val="16"/>
          <w:u w:val="single" w:color="auto"/>
          <w:color w:val="202E39"/>
        </w:rPr>
        <w:t>Option Agreement</w:t>
      </w:r>
      <w:r>
        <w:rPr>
          <w:rFonts w:ascii="Arial" w:cs="Arial" w:eastAsia="Arial" w:hAnsi="Arial"/>
          <w:sz w:val="16"/>
          <w:szCs w:val="16"/>
          <w:color w:val="202E39"/>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w:t>
      </w:r>
    </w:p>
    <w:p>
      <w:pPr>
        <w:spacing w:after="0" w:line="94"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202E39"/>
        </w:rPr>
        <w:t xml:space="preserve">4.2 </w:t>
      </w:r>
      <w:r>
        <w:rPr>
          <w:rFonts w:ascii="Arial" w:cs="Arial" w:eastAsia="Arial" w:hAnsi="Arial"/>
          <w:sz w:val="16"/>
          <w:szCs w:val="16"/>
          <w:u w:val="single" w:color="auto"/>
          <w:color w:val="202E39"/>
        </w:rPr>
        <w:t>Option Price</w:t>
      </w:r>
      <w:r>
        <w:rPr>
          <w:rFonts w:ascii="Arial" w:cs="Arial" w:eastAsia="Arial" w:hAnsi="Arial"/>
          <w:sz w:val="16"/>
          <w:szCs w:val="16"/>
          <w:color w:val="202E39"/>
        </w:rPr>
        <w:t xml:space="preserve">. The price per share of the shares subject to each Option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4.3 </w:t>
      </w:r>
      <w:r>
        <w:rPr>
          <w:rFonts w:ascii="Arial" w:cs="Arial" w:eastAsia="Arial" w:hAnsi="Arial"/>
          <w:sz w:val="16"/>
          <w:szCs w:val="16"/>
          <w:u w:val="single" w:color="auto"/>
          <w:color w:val="202E39"/>
        </w:rPr>
        <w:t>Option Term</w:t>
      </w:r>
      <w:r>
        <w:rPr>
          <w:rFonts w:ascii="Arial" w:cs="Arial" w:eastAsia="Arial" w:hAnsi="Arial"/>
          <w:sz w:val="16"/>
          <w:szCs w:val="16"/>
          <w:color w:val="202E39"/>
        </w:rPr>
        <w:t xml:space="preserve">. The term of an Option shall be set by the Committee in its discretion;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no Option shall have a term longer than six</w:t>
      </w:r>
    </w:p>
    <w:p>
      <w:pPr>
        <w:spacing w:after="0" w:line="5" w:lineRule="exact"/>
        <w:rPr>
          <w:sz w:val="20"/>
          <w:szCs w:val="20"/>
          <w:color w:val="auto"/>
        </w:rPr>
      </w:pPr>
    </w:p>
    <w:p>
      <w:pPr>
        <w:ind w:left="120" w:right="140" w:hanging="4"/>
        <w:spacing w:after="0" w:line="249" w:lineRule="auto"/>
        <w:tabs>
          <w:tab w:leader="none" w:pos="363" w:val="left"/>
        </w:tabs>
        <w:numPr>
          <w:ilvl w:val="0"/>
          <w:numId w:val="62"/>
        </w:numPr>
        <w:rPr>
          <w:rFonts w:ascii="Arial" w:cs="Arial" w:eastAsia="Arial" w:hAnsi="Arial"/>
          <w:sz w:val="16"/>
          <w:szCs w:val="16"/>
          <w:color w:val="202E39"/>
        </w:rPr>
      </w:pPr>
      <w:r>
        <w:rPr>
          <w:rFonts w:ascii="Arial" w:cs="Arial" w:eastAsia="Arial" w:hAnsi="Arial"/>
          <w:sz w:val="16"/>
          <w:szCs w:val="16"/>
          <w:color w:val="202E39"/>
        </w:rPr>
        <w:t>years from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4.4 </w:t>
      </w:r>
      <w:r>
        <w:rPr>
          <w:rFonts w:ascii="Arial" w:cs="Arial" w:eastAsia="Arial" w:hAnsi="Arial"/>
          <w:sz w:val="16"/>
          <w:szCs w:val="16"/>
          <w:u w:val="single" w:color="auto"/>
          <w:color w:val="202E39"/>
        </w:rPr>
        <w:t>Option Vesting</w:t>
      </w:r>
      <w:r>
        <w:rPr>
          <w:rFonts w:ascii="Arial" w:cs="Arial" w:eastAsia="Arial" w:hAnsi="Arial"/>
          <w:sz w:val="16"/>
          <w:szCs w:val="16"/>
          <w:color w:val="202E39"/>
        </w:rPr>
        <w:t>.</w:t>
      </w:r>
    </w:p>
    <w:p>
      <w:pPr>
        <w:spacing w:after="0" w:line="113" w:lineRule="exact"/>
        <w:rPr>
          <w:sz w:val="20"/>
          <w:szCs w:val="20"/>
          <w:color w:val="auto"/>
        </w:rPr>
      </w:pPr>
    </w:p>
    <w:p>
      <w:pPr>
        <w:ind w:left="560" w:right="20" w:hanging="4"/>
        <w:spacing w:after="0" w:line="251" w:lineRule="auto"/>
        <w:tabs>
          <w:tab w:leader="none" w:pos="803" w:val="left"/>
        </w:tabs>
        <w:numPr>
          <w:ilvl w:val="0"/>
          <w:numId w:val="63"/>
        </w:numPr>
        <w:rPr>
          <w:rFonts w:ascii="Arial" w:cs="Arial" w:eastAsia="Arial" w:hAnsi="Arial"/>
          <w:sz w:val="16"/>
          <w:szCs w:val="16"/>
          <w:color w:val="202E39"/>
        </w:rPr>
      </w:pPr>
      <w:r>
        <w:rPr>
          <w:rFonts w:ascii="Arial" w:cs="Arial" w:eastAsia="Arial" w:hAnsi="Arial"/>
          <w:sz w:val="16"/>
          <w:szCs w:val="16"/>
          <w:color w:val="202E39"/>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84455</wp:posOffset>
            </wp:positionV>
            <wp:extent cx="43688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A-6</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560" w:right="120" w:hanging="4"/>
        <w:spacing w:after="0" w:line="251" w:lineRule="auto"/>
        <w:tabs>
          <w:tab w:leader="none" w:pos="803"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94" w:lineRule="exact"/>
        <w:rPr>
          <w:rFonts w:ascii="Arial" w:cs="Arial" w:eastAsia="Arial" w:hAnsi="Arial"/>
          <w:sz w:val="16"/>
          <w:szCs w:val="16"/>
          <w:color w:val="202E39"/>
        </w:rPr>
      </w:pPr>
    </w:p>
    <w:p>
      <w:pPr>
        <w:ind w:left="560" w:right="20" w:hanging="4"/>
        <w:spacing w:after="0" w:line="249" w:lineRule="auto"/>
        <w:tabs>
          <w:tab w:leader="none" w:pos="794" w:val="left"/>
        </w:tabs>
        <w:numPr>
          <w:ilvl w:val="0"/>
          <w:numId w:val="64"/>
        </w:numPr>
        <w:rPr>
          <w:rFonts w:ascii="Arial" w:cs="Arial" w:eastAsia="Arial" w:hAnsi="Arial"/>
          <w:sz w:val="16"/>
          <w:szCs w:val="16"/>
          <w:color w:val="202E39"/>
        </w:rPr>
      </w:pPr>
      <w:r>
        <w:rPr>
          <w:rFonts w:ascii="Arial" w:cs="Arial" w:eastAsia="Arial" w:hAnsi="Arial"/>
          <w:sz w:val="16"/>
          <w:szCs w:val="16"/>
          <w:color w:val="202E39"/>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97" w:lineRule="exact"/>
        <w:rPr>
          <w:sz w:val="20"/>
          <w:szCs w:val="20"/>
          <w:color w:val="auto"/>
        </w:rPr>
      </w:pPr>
    </w:p>
    <w:p>
      <w:pPr>
        <w:ind w:left="120" w:right="160"/>
        <w:spacing w:after="0" w:line="248" w:lineRule="auto"/>
        <w:rPr>
          <w:sz w:val="20"/>
          <w:szCs w:val="20"/>
          <w:color w:val="auto"/>
        </w:rPr>
      </w:pPr>
      <w:r>
        <w:rPr>
          <w:rFonts w:ascii="Arial" w:cs="Arial" w:eastAsia="Arial" w:hAnsi="Arial"/>
          <w:sz w:val="16"/>
          <w:szCs w:val="16"/>
          <w:color w:val="202E39"/>
        </w:rPr>
        <w:t xml:space="preserve">4.5 </w:t>
      </w:r>
      <w:r>
        <w:rPr>
          <w:rFonts w:ascii="Arial" w:cs="Arial" w:eastAsia="Arial" w:hAnsi="Arial"/>
          <w:sz w:val="16"/>
          <w:szCs w:val="16"/>
          <w:u w:val="single" w:color="auto"/>
          <w:color w:val="202E39"/>
        </w:rPr>
        <w:t>Consideration</w:t>
      </w:r>
      <w:r>
        <w:rPr>
          <w:rFonts w:ascii="Arial" w:cs="Arial" w:eastAsia="Arial" w:hAnsi="Arial"/>
          <w:sz w:val="16"/>
          <w:szCs w:val="16"/>
          <w:color w:val="202E39"/>
        </w:rPr>
        <w:t>.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 EXERCISE OF OPTIONS</w:t>
      </w:r>
    </w:p>
    <w:p>
      <w:pPr>
        <w:spacing w:after="0" w:line="124"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202E39"/>
        </w:rPr>
        <w:t xml:space="preserve">5.1 </w:t>
      </w:r>
      <w:r>
        <w:rPr>
          <w:rFonts w:ascii="Arial" w:cs="Arial" w:eastAsia="Arial" w:hAnsi="Arial"/>
          <w:sz w:val="16"/>
          <w:szCs w:val="16"/>
          <w:u w:val="single" w:color="auto"/>
          <w:color w:val="202E39"/>
        </w:rPr>
        <w:t>Partial Exercise</w:t>
      </w:r>
      <w:r>
        <w:rPr>
          <w:rFonts w:ascii="Arial" w:cs="Arial" w:eastAsia="Arial" w:hAnsi="Arial"/>
          <w:sz w:val="16"/>
          <w:szCs w:val="16"/>
          <w:color w:val="202E39"/>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5.2 </w:t>
      </w:r>
      <w:r>
        <w:rPr>
          <w:rFonts w:ascii="Arial" w:cs="Arial" w:eastAsia="Arial" w:hAnsi="Arial"/>
          <w:sz w:val="16"/>
          <w:szCs w:val="16"/>
          <w:u w:val="single" w:color="auto"/>
          <w:color w:val="202E39"/>
        </w:rPr>
        <w:t>Manner of Exercise</w:t>
      </w:r>
      <w:r>
        <w:rPr>
          <w:rFonts w:ascii="Arial" w:cs="Arial" w:eastAsia="Arial" w:hAnsi="Arial"/>
          <w:sz w:val="16"/>
          <w:szCs w:val="16"/>
          <w:i w:val="1"/>
          <w:iCs w:val="1"/>
          <w:color w:val="202E39"/>
        </w:rPr>
        <w:t>.</w:t>
      </w:r>
      <w:r>
        <w:rPr>
          <w:rFonts w:ascii="Arial" w:cs="Arial" w:eastAsia="Arial" w:hAnsi="Arial"/>
          <w:sz w:val="16"/>
          <w:szCs w:val="16"/>
          <w:color w:val="202E39"/>
        </w:rPr>
        <w:t xml:space="preserve"> All or a portion of an exercisable Option shall be deemed exercised upon delivery of all of the following to the Secretary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Company or his office:</w:t>
      </w:r>
    </w:p>
    <w:p>
      <w:pPr>
        <w:spacing w:after="0" w:line="113" w:lineRule="exact"/>
        <w:rPr>
          <w:sz w:val="20"/>
          <w:szCs w:val="20"/>
          <w:color w:val="auto"/>
        </w:rPr>
      </w:pPr>
    </w:p>
    <w:p>
      <w:pPr>
        <w:ind w:left="560" w:right="140" w:hanging="4"/>
        <w:spacing w:after="0" w:line="253"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93" w:lineRule="exact"/>
        <w:rPr>
          <w:rFonts w:ascii="Arial" w:cs="Arial" w:eastAsia="Arial" w:hAnsi="Arial"/>
          <w:sz w:val="16"/>
          <w:szCs w:val="16"/>
          <w:color w:val="202E39"/>
        </w:rPr>
      </w:pPr>
    </w:p>
    <w:p>
      <w:pPr>
        <w:ind w:left="560" w:right="80" w:hanging="4"/>
        <w:spacing w:after="0" w:line="250"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94" w:lineRule="exact"/>
        <w:rPr>
          <w:rFonts w:ascii="Arial" w:cs="Arial" w:eastAsia="Arial" w:hAnsi="Arial"/>
          <w:sz w:val="16"/>
          <w:szCs w:val="16"/>
          <w:color w:val="202E39"/>
        </w:rPr>
      </w:pPr>
    </w:p>
    <w:p>
      <w:pPr>
        <w:ind w:left="560" w:right="120" w:hanging="4"/>
        <w:spacing w:after="0" w:line="260" w:lineRule="auto"/>
        <w:tabs>
          <w:tab w:leader="none" w:pos="794"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In the event that the Option shall be exercised pursuant to Section 10.1 by any person or persons other than the Optionee, appropriate proof of the right of such person or persons to exercise the Option; and</w:t>
      </w:r>
    </w:p>
    <w:p>
      <w:pPr>
        <w:spacing w:after="0" w:line="87" w:lineRule="exact"/>
        <w:rPr>
          <w:rFonts w:ascii="Arial" w:cs="Arial" w:eastAsia="Arial" w:hAnsi="Arial"/>
          <w:sz w:val="16"/>
          <w:szCs w:val="16"/>
          <w:color w:val="202E39"/>
        </w:rPr>
      </w:pPr>
    </w:p>
    <w:p>
      <w:pPr>
        <w:ind w:left="560" w:right="20" w:hanging="4"/>
        <w:spacing w:after="0" w:line="247" w:lineRule="auto"/>
        <w:tabs>
          <w:tab w:leader="none" w:pos="80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w:t>
      </w:r>
    </w:p>
    <w:p>
      <w:pPr>
        <w:spacing w:after="0" w:line="318"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A-7</w:t>
            </w: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right="100"/>
        <w:spacing w:after="0" w:line="253" w:lineRule="auto"/>
        <w:rPr>
          <w:sz w:val="20"/>
          <w:szCs w:val="20"/>
          <w:color w:val="auto"/>
        </w:rPr>
      </w:pPr>
      <w:r>
        <w:rPr>
          <w:rFonts w:ascii="Arial" w:cs="Arial" w:eastAsia="Arial" w:hAnsi="Arial"/>
          <w:sz w:val="16"/>
          <w:szCs w:val="16"/>
          <w:color w:val="202E39"/>
        </w:rPr>
        <w:t>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77" w:lineRule="exact"/>
        <w:rPr>
          <w:sz w:val="20"/>
          <w:szCs w:val="20"/>
          <w:color w:val="auto"/>
        </w:rPr>
      </w:pPr>
    </w:p>
    <w:p>
      <w:pPr>
        <w:ind w:left="120" w:right="180"/>
        <w:spacing w:after="0" w:line="281" w:lineRule="auto"/>
        <w:rPr>
          <w:sz w:val="20"/>
          <w:szCs w:val="20"/>
          <w:color w:val="auto"/>
        </w:rPr>
      </w:pPr>
      <w:r>
        <w:rPr>
          <w:rFonts w:ascii="Arial" w:cs="Arial" w:eastAsia="Arial" w:hAnsi="Arial"/>
          <w:sz w:val="16"/>
          <w:szCs w:val="16"/>
          <w:color w:val="202E39"/>
        </w:rPr>
        <w:t xml:space="preserve">5.3 </w:t>
      </w:r>
      <w:r>
        <w:rPr>
          <w:rFonts w:ascii="Arial" w:cs="Arial" w:eastAsia="Arial" w:hAnsi="Arial"/>
          <w:sz w:val="16"/>
          <w:szCs w:val="16"/>
          <w:u w:val="single" w:color="auto"/>
          <w:color w:val="202E39"/>
        </w:rPr>
        <w:t>Conditions to Issuance of Shares</w:t>
      </w:r>
      <w:r>
        <w:rPr>
          <w:rFonts w:ascii="Arial" w:cs="Arial" w:eastAsia="Arial" w:hAnsi="Arial"/>
          <w:sz w:val="16"/>
          <w:szCs w:val="16"/>
          <w:i w:val="1"/>
          <w:iCs w:val="1"/>
          <w:color w:val="202E39"/>
        </w:rPr>
        <w:t>.</w:t>
      </w:r>
      <w:r>
        <w:rPr>
          <w:rFonts w:ascii="Arial" w:cs="Arial" w:eastAsia="Arial" w:hAnsi="Arial"/>
          <w:sz w:val="16"/>
          <w:szCs w:val="16"/>
          <w:color w:val="202E39"/>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71" w:lineRule="exact"/>
        <w:rPr>
          <w:sz w:val="20"/>
          <w:szCs w:val="20"/>
          <w:color w:val="auto"/>
        </w:rPr>
      </w:pPr>
    </w:p>
    <w:p>
      <w:pPr>
        <w:ind w:left="800" w:hanging="244"/>
        <w:spacing w:after="0"/>
        <w:tabs>
          <w:tab w:leader="none" w:pos="800"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on which such class of stock is then listed;</w:t>
      </w:r>
    </w:p>
    <w:p>
      <w:pPr>
        <w:spacing w:after="0" w:line="113" w:lineRule="exact"/>
        <w:rPr>
          <w:rFonts w:ascii="Arial" w:cs="Arial" w:eastAsia="Arial" w:hAnsi="Arial"/>
          <w:sz w:val="16"/>
          <w:szCs w:val="16"/>
          <w:color w:val="202E39"/>
        </w:rPr>
      </w:pPr>
    </w:p>
    <w:p>
      <w:pPr>
        <w:ind w:left="560" w:right="140" w:hanging="4"/>
        <w:spacing w:after="0" w:line="253" w:lineRule="auto"/>
        <w:tabs>
          <w:tab w:leader="none" w:pos="803"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93" w:lineRule="exact"/>
        <w:rPr>
          <w:rFonts w:ascii="Arial" w:cs="Arial" w:eastAsia="Arial" w:hAnsi="Arial"/>
          <w:sz w:val="16"/>
          <w:szCs w:val="16"/>
          <w:color w:val="202E39"/>
        </w:rPr>
      </w:pPr>
    </w:p>
    <w:p>
      <w:pPr>
        <w:ind w:left="560" w:right="120" w:hanging="4"/>
        <w:spacing w:after="0" w:line="260" w:lineRule="auto"/>
        <w:tabs>
          <w:tab w:leader="none" w:pos="794"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87" w:lineRule="exact"/>
        <w:rPr>
          <w:rFonts w:ascii="Arial" w:cs="Arial" w:eastAsia="Arial" w:hAnsi="Arial"/>
          <w:sz w:val="16"/>
          <w:szCs w:val="16"/>
          <w:color w:val="202E39"/>
        </w:rPr>
      </w:pPr>
    </w:p>
    <w:p>
      <w:pPr>
        <w:ind w:left="560" w:right="140" w:hanging="4"/>
        <w:spacing w:after="0" w:line="260" w:lineRule="auto"/>
        <w:tabs>
          <w:tab w:leader="none" w:pos="803"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87" w:lineRule="exact"/>
        <w:rPr>
          <w:rFonts w:ascii="Arial" w:cs="Arial" w:eastAsia="Arial" w:hAnsi="Arial"/>
          <w:sz w:val="16"/>
          <w:szCs w:val="16"/>
          <w:color w:val="202E39"/>
        </w:rPr>
      </w:pPr>
    </w:p>
    <w:p>
      <w:pPr>
        <w:ind w:left="800" w:hanging="244"/>
        <w:spacing w:after="0"/>
        <w:tabs>
          <w:tab w:leader="none" w:pos="800"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The receipt by the Company of full payment for such shares, including payment of any applicable withholding tax.</w:t>
      </w:r>
    </w:p>
    <w:p>
      <w:pPr>
        <w:spacing w:after="0" w:line="113"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94"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202E39"/>
        </w:rPr>
        <w:t xml:space="preserve">5.4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93"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5.5 </w:t>
      </w:r>
      <w:r>
        <w:rPr>
          <w:rFonts w:ascii="Arial" w:cs="Arial" w:eastAsia="Arial" w:hAnsi="Arial"/>
          <w:sz w:val="16"/>
          <w:szCs w:val="16"/>
          <w:u w:val="single" w:color="auto"/>
          <w:color w:val="202E39"/>
        </w:rPr>
        <w:t>Ownership and Transfer Restrictions</w:t>
      </w:r>
      <w:r>
        <w:rPr>
          <w:rFonts w:ascii="Arial" w:cs="Arial" w:eastAsia="Arial" w:hAnsi="Arial"/>
          <w:sz w:val="16"/>
          <w:szCs w:val="16"/>
          <w:color w:val="202E39"/>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100"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202E39"/>
        </w:rPr>
        <w:t xml:space="preserve">5.6 </w:t>
      </w:r>
      <w:r>
        <w:rPr>
          <w:rFonts w:ascii="Arial" w:cs="Arial" w:eastAsia="Arial" w:hAnsi="Arial"/>
          <w:sz w:val="16"/>
          <w:szCs w:val="16"/>
          <w:u w:val="single" w:color="auto"/>
          <w:color w:val="202E39"/>
        </w:rPr>
        <w:t>Limitations on Exercise of Options Granted to Independent Directors</w:t>
      </w:r>
      <w:r>
        <w:rPr>
          <w:rFonts w:ascii="Arial" w:cs="Arial" w:eastAsia="Arial" w:hAnsi="Arial"/>
          <w:sz w:val="16"/>
          <w:szCs w:val="16"/>
          <w:color w:val="202E39"/>
        </w:rPr>
        <w:t>. No Option granted to an Independent Director may be exercised to any extent by anyone after the first to occur of the following events:</w:t>
      </w:r>
    </w:p>
    <w:p>
      <w:pPr>
        <w:spacing w:after="0" w:line="87" w:lineRule="exact"/>
        <w:rPr>
          <w:sz w:val="20"/>
          <w:szCs w:val="20"/>
          <w:color w:val="auto"/>
        </w:rPr>
      </w:pPr>
    </w:p>
    <w:p>
      <w:pPr>
        <w:ind w:left="800" w:hanging="244"/>
        <w:spacing w:after="0"/>
        <w:tabs>
          <w:tab w:leader="none" w:pos="800"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death;</w:t>
      </w:r>
    </w:p>
    <w:p>
      <w:pPr>
        <w:spacing w:after="0" w:line="113" w:lineRule="exact"/>
        <w:rPr>
          <w:rFonts w:ascii="Arial" w:cs="Arial" w:eastAsia="Arial" w:hAnsi="Arial"/>
          <w:sz w:val="16"/>
          <w:szCs w:val="16"/>
          <w:color w:val="202E39"/>
        </w:rPr>
      </w:pPr>
    </w:p>
    <w:p>
      <w:pPr>
        <w:ind w:left="560" w:right="160" w:hanging="4"/>
        <w:spacing w:after="0" w:line="260" w:lineRule="auto"/>
        <w:tabs>
          <w:tab w:leader="none" w:pos="803"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87" w:lineRule="exact"/>
        <w:rPr>
          <w:rFonts w:ascii="Arial" w:cs="Arial" w:eastAsia="Arial" w:hAnsi="Arial"/>
          <w:sz w:val="16"/>
          <w:szCs w:val="16"/>
          <w:color w:val="202E39"/>
        </w:rPr>
      </w:pPr>
    </w:p>
    <w:p>
      <w:pPr>
        <w:ind w:left="560" w:right="860" w:hanging="4"/>
        <w:spacing w:after="0" w:line="260" w:lineRule="auto"/>
        <w:tabs>
          <w:tab w:leader="none" w:pos="794"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expiration of three (3) months from the last to occur of the Optionee’s Termination of Directorship, Termination of Consultancy or Termination of Employment, unless the Optionee dies within said three-month period; or</w:t>
      </w:r>
    </w:p>
    <w:p>
      <w:pPr>
        <w:spacing w:after="0" w:line="87" w:lineRule="exact"/>
        <w:rPr>
          <w:rFonts w:ascii="Arial" w:cs="Arial" w:eastAsia="Arial" w:hAnsi="Arial"/>
          <w:sz w:val="16"/>
          <w:szCs w:val="16"/>
          <w:color w:val="202E39"/>
        </w:rPr>
      </w:pPr>
    </w:p>
    <w:p>
      <w:pPr>
        <w:ind w:left="800" w:hanging="244"/>
        <w:spacing w:after="0"/>
        <w:tabs>
          <w:tab w:leader="none" w:pos="800" w:val="left"/>
        </w:tabs>
        <w:numPr>
          <w:ilvl w:val="0"/>
          <w:numId w:val="67"/>
        </w:numPr>
        <w:rPr>
          <w:rFonts w:ascii="Arial" w:cs="Arial" w:eastAsia="Arial" w:hAnsi="Arial"/>
          <w:sz w:val="16"/>
          <w:szCs w:val="16"/>
          <w:color w:val="202E39"/>
        </w:rPr>
      </w:pPr>
      <w:r>
        <w:rPr>
          <w:rFonts w:ascii="Arial" w:cs="Arial" w:eastAsia="Arial" w:hAnsi="Arial"/>
          <w:sz w:val="16"/>
          <w:szCs w:val="16"/>
          <w:color w:val="202E39"/>
        </w:rPr>
        <w:t>The expiration of six (6) years from the date the Option was granted.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VI. AWARD OF RESTRICTED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6.1 </w:t>
      </w:r>
      <w:r>
        <w:rPr>
          <w:rFonts w:ascii="Arial" w:cs="Arial" w:eastAsia="Arial" w:hAnsi="Arial"/>
          <w:sz w:val="16"/>
          <w:szCs w:val="16"/>
          <w:u w:val="single" w:color="auto"/>
          <w:color w:val="202E39"/>
        </w:rPr>
        <w:t>Award of Restricted Stock</w:t>
      </w:r>
      <w:r>
        <w:rPr>
          <w:rFonts w:ascii="Arial" w:cs="Arial" w:eastAsia="Arial" w:hAnsi="Arial"/>
          <w:sz w:val="16"/>
          <w:szCs w:val="16"/>
          <w:color w:val="202E39"/>
        </w:rPr>
        <w:t>.</w:t>
      </w:r>
    </w:p>
    <w:p>
      <w:pPr>
        <w:spacing w:after="0" w:line="113" w:lineRule="exact"/>
        <w:rPr>
          <w:sz w:val="20"/>
          <w:szCs w:val="20"/>
          <w:color w:val="auto"/>
        </w:rPr>
      </w:pPr>
    </w:p>
    <w:p>
      <w:pPr>
        <w:ind w:left="560" w:right="720" w:hanging="4"/>
        <w:spacing w:after="0" w:line="260" w:lineRule="auto"/>
        <w:tabs>
          <w:tab w:leader="none" w:pos="803"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Committee (or the Board, in the case of Restricted Stock awarded to Independent Directors) may from time to time, in its absolute discretion:</w:t>
      </w:r>
    </w:p>
    <w:p>
      <w:pPr>
        <w:spacing w:after="0" w:line="87" w:lineRule="exact"/>
        <w:rPr>
          <w:rFonts w:ascii="Arial" w:cs="Arial" w:eastAsia="Arial" w:hAnsi="Arial"/>
          <w:sz w:val="16"/>
          <w:szCs w:val="16"/>
          <w:color w:val="202E39"/>
        </w:rPr>
      </w:pPr>
    </w:p>
    <w:p>
      <w:pPr>
        <w:ind w:left="1000" w:right="100" w:hanging="3"/>
        <w:spacing w:after="0" w:line="260" w:lineRule="auto"/>
        <w:tabs>
          <w:tab w:leader="none" w:pos="1189" w:val="left"/>
        </w:tabs>
        <w:numPr>
          <w:ilvl w:val="1"/>
          <w:numId w:val="68"/>
        </w:numPr>
        <w:rPr>
          <w:rFonts w:ascii="Arial" w:cs="Arial" w:eastAsia="Arial" w:hAnsi="Arial"/>
          <w:sz w:val="16"/>
          <w:szCs w:val="16"/>
          <w:color w:val="202E39"/>
        </w:rPr>
      </w:pPr>
      <w:r>
        <w:rPr>
          <w:rFonts w:ascii="Arial" w:cs="Arial" w:eastAsia="Arial" w:hAnsi="Arial"/>
          <w:sz w:val="16"/>
          <w:szCs w:val="16"/>
          <w:color w:val="202E39"/>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80010</wp:posOffset>
            </wp:positionV>
            <wp:extent cx="43688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20" w:hanging="223"/>
        <w:spacing w:after="0"/>
        <w:tabs>
          <w:tab w:leader="none" w:pos="1220" w:val="left"/>
        </w:tabs>
        <w:numPr>
          <w:ilvl w:val="1"/>
          <w:numId w:val="69"/>
        </w:numPr>
        <w:rPr>
          <w:rFonts w:ascii="Arial" w:cs="Arial" w:eastAsia="Arial" w:hAnsi="Arial"/>
          <w:sz w:val="16"/>
          <w:szCs w:val="16"/>
          <w:color w:val="202E39"/>
        </w:rPr>
      </w:pPr>
      <w:r>
        <w:rPr>
          <w:rFonts w:ascii="Arial" w:cs="Arial" w:eastAsia="Arial" w:hAnsi="Arial"/>
          <w:sz w:val="16"/>
          <w:szCs w:val="16"/>
          <w:color w:val="202E39"/>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202E39"/>
        </w:rPr>
      </w:pPr>
    </w:p>
    <w:p>
      <w:pPr>
        <w:jc w:val="both"/>
        <w:ind w:left="560" w:right="160" w:hanging="4"/>
        <w:spacing w:after="0" w:line="251" w:lineRule="auto"/>
        <w:tabs>
          <w:tab w:leader="none" w:pos="803"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 xml:space="preserve">The Committee (or the Board, in the case of Restricted Stock awarded to Independent Directors) shall establish the purchase price, if any, and form of payment for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94" w:lineRule="exact"/>
        <w:rPr>
          <w:rFonts w:ascii="Arial" w:cs="Arial" w:eastAsia="Arial" w:hAnsi="Arial"/>
          <w:sz w:val="16"/>
          <w:szCs w:val="16"/>
          <w:color w:val="202E39"/>
        </w:rPr>
      </w:pPr>
    </w:p>
    <w:p>
      <w:pPr>
        <w:ind w:left="560" w:right="140" w:hanging="4"/>
        <w:spacing w:after="0" w:line="253" w:lineRule="auto"/>
        <w:tabs>
          <w:tab w:leader="none" w:pos="794"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93"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 xml:space="preserve">6.2 </w:t>
      </w:r>
      <w:r>
        <w:rPr>
          <w:rFonts w:ascii="Arial" w:cs="Arial" w:eastAsia="Arial" w:hAnsi="Arial"/>
          <w:sz w:val="16"/>
          <w:szCs w:val="16"/>
          <w:u w:val="single" w:color="auto"/>
          <w:color w:val="202E39"/>
        </w:rPr>
        <w:t>Restricted Stock Agreement</w:t>
      </w:r>
      <w:r>
        <w:rPr>
          <w:rFonts w:ascii="Arial" w:cs="Arial" w:eastAsia="Arial" w:hAnsi="Arial"/>
          <w:sz w:val="16"/>
          <w:szCs w:val="16"/>
          <w:color w:val="202E39"/>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94" w:lineRule="exact"/>
        <w:rPr>
          <w:sz w:val="20"/>
          <w:szCs w:val="20"/>
          <w:color w:val="auto"/>
        </w:rPr>
      </w:pPr>
    </w:p>
    <w:p>
      <w:pPr>
        <w:ind w:left="120" w:right="100"/>
        <w:spacing w:after="0" w:line="248" w:lineRule="auto"/>
        <w:rPr>
          <w:sz w:val="20"/>
          <w:szCs w:val="20"/>
          <w:color w:val="auto"/>
        </w:rPr>
      </w:pPr>
      <w:r>
        <w:rPr>
          <w:rFonts w:ascii="Arial" w:cs="Arial" w:eastAsia="Arial" w:hAnsi="Arial"/>
          <w:sz w:val="16"/>
          <w:szCs w:val="16"/>
          <w:color w:val="202E39"/>
        </w:rPr>
        <w:t xml:space="preserve">6.3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99"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 xml:space="preserve">6.4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99"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202E39"/>
        </w:rPr>
        <w:t xml:space="preserve">6.5 </w:t>
      </w:r>
      <w:r>
        <w:rPr>
          <w:rFonts w:ascii="Arial" w:cs="Arial" w:eastAsia="Arial" w:hAnsi="Arial"/>
          <w:sz w:val="16"/>
          <w:szCs w:val="16"/>
          <w:u w:val="single" w:color="auto"/>
          <w:color w:val="202E39"/>
        </w:rPr>
        <w:t>Restriction</w:t>
      </w:r>
      <w:r>
        <w:rPr>
          <w:rFonts w:ascii="Arial" w:cs="Arial" w:eastAsia="Arial" w:hAnsi="Arial"/>
          <w:sz w:val="16"/>
          <w:szCs w:val="16"/>
          <w:color w:val="202E39"/>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202E39"/>
        </w:rPr>
        <w:t>provided, further</w:t>
      </w:r>
      <w:r>
        <w:rPr>
          <w:rFonts w:ascii="Arial" w:cs="Arial" w:eastAsia="Arial" w:hAnsi="Arial"/>
          <w:sz w:val="16"/>
          <w:szCs w:val="16"/>
          <w:color w:val="202E39"/>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104"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 xml:space="preserve">6.6 </w:t>
      </w:r>
      <w:r>
        <w:rPr>
          <w:rFonts w:ascii="Arial" w:cs="Arial" w:eastAsia="Arial" w:hAnsi="Arial"/>
          <w:sz w:val="16"/>
          <w:szCs w:val="16"/>
          <w:u w:val="single" w:color="auto"/>
          <w:color w:val="202E39"/>
        </w:rPr>
        <w:t>Repurchase or Forfeiture of Restricted Stock</w:t>
      </w:r>
      <w:r>
        <w:rPr>
          <w:rFonts w:ascii="Arial" w:cs="Arial" w:eastAsia="Arial" w:hAnsi="Arial"/>
          <w:sz w:val="16"/>
          <w:szCs w:val="16"/>
          <w:color w:val="202E39"/>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provision may be made that no such right of repurchase shall exist in the event of a Termination of Employment, Termination of Consultancy or Termination of Directorship without cause, or</w:t>
      </w:r>
    </w:p>
    <w:p>
      <w:pPr>
        <w:spacing w:after="0" w:line="122"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A-9</w:t>
            </w: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202"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202E39"/>
        </w:rPr>
        <w:t xml:space="preserve">6.7 </w:t>
      </w:r>
      <w:r>
        <w:rPr>
          <w:rFonts w:ascii="Arial" w:cs="Arial" w:eastAsia="Arial" w:hAnsi="Arial"/>
          <w:sz w:val="16"/>
          <w:szCs w:val="16"/>
          <w:u w:val="single" w:color="auto"/>
          <w:color w:val="202E39"/>
        </w:rPr>
        <w:t>Escrow</w:t>
      </w:r>
      <w:r>
        <w:rPr>
          <w:rFonts w:ascii="Arial" w:cs="Arial" w:eastAsia="Arial" w:hAnsi="Arial"/>
          <w:sz w:val="16"/>
          <w:szCs w:val="16"/>
          <w:color w:val="202E39"/>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201" w:lineRule="exact"/>
        <w:rPr>
          <w:sz w:val="20"/>
          <w:szCs w:val="20"/>
          <w:color w:val="auto"/>
        </w:rPr>
      </w:pPr>
    </w:p>
    <w:p>
      <w:pPr>
        <w:ind w:left="120" w:right="120"/>
        <w:spacing w:after="0" w:line="251" w:lineRule="auto"/>
        <w:rPr>
          <w:sz w:val="20"/>
          <w:szCs w:val="20"/>
          <w:color w:val="auto"/>
        </w:rPr>
      </w:pPr>
      <w:r>
        <w:rPr>
          <w:rFonts w:ascii="Arial" w:cs="Arial" w:eastAsia="Arial" w:hAnsi="Arial"/>
          <w:sz w:val="16"/>
          <w:szCs w:val="16"/>
          <w:color w:val="202E39"/>
        </w:rPr>
        <w:t xml:space="preserve">6.8 </w:t>
      </w:r>
      <w:r>
        <w:rPr>
          <w:rFonts w:ascii="Arial" w:cs="Arial" w:eastAsia="Arial" w:hAnsi="Arial"/>
          <w:sz w:val="16"/>
          <w:szCs w:val="16"/>
          <w:u w:val="single" w:color="auto"/>
          <w:color w:val="202E39"/>
        </w:rPr>
        <w:t>Legend</w:t>
      </w:r>
      <w:r>
        <w:rPr>
          <w:rFonts w:ascii="Arial" w:cs="Arial" w:eastAsia="Arial" w:hAnsi="Arial"/>
          <w:sz w:val="16"/>
          <w:szCs w:val="16"/>
          <w:color w:val="202E39"/>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202E39"/>
        </w:rPr>
        <w:t>ARTICLE VII. PERFORMANCE AWARDS, DIVIDEND EQUIVALENTS, RESTRICTED STOCK UNITS, STOCK PAYMENTS</w:t>
      </w:r>
    </w:p>
    <w:p>
      <w:pPr>
        <w:spacing w:after="0" w:line="135" w:lineRule="exact"/>
        <w:rPr>
          <w:sz w:val="20"/>
          <w:szCs w:val="20"/>
          <w:color w:val="auto"/>
        </w:rPr>
      </w:pPr>
    </w:p>
    <w:p>
      <w:pPr>
        <w:ind w:left="120" w:right="100"/>
        <w:spacing w:after="0" w:line="246" w:lineRule="auto"/>
        <w:rPr>
          <w:sz w:val="20"/>
          <w:szCs w:val="20"/>
          <w:color w:val="auto"/>
        </w:rPr>
      </w:pPr>
      <w:r>
        <w:rPr>
          <w:rFonts w:ascii="Arial" w:cs="Arial" w:eastAsia="Arial" w:hAnsi="Arial"/>
          <w:sz w:val="16"/>
          <w:szCs w:val="16"/>
          <w:color w:val="202E39"/>
        </w:rPr>
        <w:t xml:space="preserve">7.1 </w:t>
      </w:r>
      <w:r>
        <w:rPr>
          <w:rFonts w:ascii="Arial" w:cs="Arial" w:eastAsia="Arial" w:hAnsi="Arial"/>
          <w:sz w:val="16"/>
          <w:szCs w:val="16"/>
          <w:u w:val="single" w:color="auto"/>
          <w:color w:val="202E39"/>
        </w:rPr>
        <w:t>Performance Awards</w:t>
      </w:r>
      <w:r>
        <w:rPr>
          <w:rFonts w:ascii="Arial" w:cs="Arial" w:eastAsia="Arial" w:hAnsi="Arial"/>
          <w:sz w:val="16"/>
          <w:szCs w:val="16"/>
          <w:color w:val="202E39"/>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w:t>
      </w:r>
    </w:p>
    <w:p>
      <w:pPr>
        <w:spacing w:after="0" w:line="2" w:lineRule="exact"/>
        <w:rPr>
          <w:sz w:val="20"/>
          <w:szCs w:val="20"/>
          <w:color w:val="auto"/>
        </w:rPr>
      </w:pPr>
    </w:p>
    <w:p>
      <w:pPr>
        <w:ind w:left="120" w:right="160" w:hanging="4"/>
        <w:spacing w:after="0" w:line="248" w:lineRule="auto"/>
        <w:tabs>
          <w:tab w:leader="none" w:pos="36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w:t>
      </w:r>
    </w:p>
    <w:p>
      <w:pPr>
        <w:spacing w:after="0" w:line="9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7.2 </w:t>
      </w:r>
      <w:r>
        <w:rPr>
          <w:rFonts w:ascii="Arial" w:cs="Arial" w:eastAsia="Arial" w:hAnsi="Arial"/>
          <w:sz w:val="16"/>
          <w:szCs w:val="16"/>
          <w:u w:val="single" w:color="auto"/>
          <w:color w:val="202E39"/>
        </w:rPr>
        <w:t>Dividend Equivalents</w:t>
      </w:r>
      <w:r>
        <w:rPr>
          <w:rFonts w:ascii="Arial" w:cs="Arial" w:eastAsia="Arial" w:hAnsi="Arial"/>
          <w:sz w:val="16"/>
          <w:szCs w:val="16"/>
          <w:color w:val="202E39"/>
        </w:rPr>
        <w:t>. Any key Employee, consultant or Independent Director selected by the Committee (or the Board, in the case of an award to an Independent Director)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99" w:lineRule="exact"/>
        <w:rPr>
          <w:sz w:val="20"/>
          <w:szCs w:val="20"/>
          <w:color w:val="auto"/>
        </w:rPr>
      </w:pPr>
    </w:p>
    <w:p>
      <w:pPr>
        <w:ind w:left="120" w:right="100"/>
        <w:spacing w:after="0" w:line="250" w:lineRule="auto"/>
        <w:rPr>
          <w:sz w:val="20"/>
          <w:szCs w:val="20"/>
          <w:color w:val="auto"/>
        </w:rPr>
      </w:pPr>
      <w:r>
        <w:rPr>
          <w:rFonts w:ascii="Arial" w:cs="Arial" w:eastAsia="Arial" w:hAnsi="Arial"/>
          <w:sz w:val="16"/>
          <w:szCs w:val="16"/>
          <w:color w:val="202E39"/>
        </w:rPr>
        <w:t xml:space="preserve">7.3 </w:t>
      </w:r>
      <w:r>
        <w:rPr>
          <w:rFonts w:ascii="Arial" w:cs="Arial" w:eastAsia="Arial" w:hAnsi="Arial"/>
          <w:sz w:val="16"/>
          <w:szCs w:val="16"/>
          <w:u w:val="single" w:color="auto"/>
          <w:color w:val="202E39"/>
        </w:rPr>
        <w:t>Stock Payments</w:t>
      </w:r>
      <w:r>
        <w:rPr>
          <w:rFonts w:ascii="Arial" w:cs="Arial" w:eastAsia="Arial" w:hAnsi="Arial"/>
          <w:sz w:val="16"/>
          <w:szCs w:val="16"/>
          <w:color w:val="202E39"/>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7.4 </w:t>
      </w:r>
      <w:r>
        <w:rPr>
          <w:rFonts w:ascii="Arial" w:cs="Arial" w:eastAsia="Arial" w:hAnsi="Arial"/>
          <w:sz w:val="16"/>
          <w:szCs w:val="16"/>
          <w:u w:val="single" w:color="auto"/>
          <w:color w:val="202E39"/>
        </w:rPr>
        <w:t>Restricted Stock Units</w:t>
      </w:r>
      <w:r>
        <w:rPr>
          <w:rFonts w:ascii="Arial" w:cs="Arial" w:eastAsia="Arial" w:hAnsi="Arial"/>
          <w:sz w:val="16"/>
          <w:szCs w:val="16"/>
          <w:color w:val="202E39"/>
        </w:rPr>
        <w:t>.</w:t>
      </w:r>
    </w:p>
    <w:p>
      <w:pPr>
        <w:spacing w:after="0" w:line="113" w:lineRule="exact"/>
        <w:rPr>
          <w:sz w:val="20"/>
          <w:szCs w:val="20"/>
          <w:color w:val="auto"/>
        </w:rPr>
      </w:pPr>
    </w:p>
    <w:p>
      <w:pPr>
        <w:ind w:left="560" w:right="100" w:hanging="4"/>
        <w:spacing w:after="0" w:line="250" w:lineRule="auto"/>
        <w:tabs>
          <w:tab w:leader="none" w:pos="803"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84455</wp:posOffset>
            </wp:positionV>
            <wp:extent cx="43688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A-10</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560" w:right="100"/>
        <w:spacing w:after="0" w:line="253" w:lineRule="auto"/>
        <w:rPr>
          <w:sz w:val="20"/>
          <w:szCs w:val="20"/>
          <w:color w:val="auto"/>
        </w:rPr>
      </w:pPr>
      <w:r>
        <w:rPr>
          <w:rFonts w:ascii="Arial" w:cs="Arial" w:eastAsia="Arial" w:hAnsi="Arial"/>
          <w:sz w:val="16"/>
          <w:szCs w:val="16"/>
          <w:color w:val="202E39"/>
        </w:rPr>
        <w:t>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93" w:lineRule="exact"/>
        <w:rPr>
          <w:sz w:val="20"/>
          <w:szCs w:val="20"/>
          <w:color w:val="auto"/>
        </w:rPr>
      </w:pPr>
    </w:p>
    <w:p>
      <w:pPr>
        <w:ind w:left="560" w:right="60" w:hanging="4"/>
        <w:spacing w:after="0" w:line="247" w:lineRule="auto"/>
        <w:tabs>
          <w:tab w:leader="none" w:pos="803"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In addition, all Restricted Stock Unit awards granted to Independent Directors will vest in full upon the occurrence of a Change in Control or a Corporate Transaction or an Independent Director’s Termination of Directorship by reason of the Independent Director’s death or Permanent Disability.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102"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 xml:space="preserve">7.5 </w:t>
      </w:r>
      <w:r>
        <w:rPr>
          <w:rFonts w:ascii="Arial" w:cs="Arial" w:eastAsia="Arial" w:hAnsi="Arial"/>
          <w:sz w:val="16"/>
          <w:szCs w:val="16"/>
          <w:u w:val="single" w:color="auto"/>
          <w:color w:val="202E39"/>
        </w:rPr>
        <w:t>Performance Award Agreement, Dividend Equivalent Agreement, Restricted Stock Unit Agreement, Stock Payment Agreement</w:t>
      </w:r>
      <w:r>
        <w:rPr>
          <w:rFonts w:ascii="Arial" w:cs="Arial" w:eastAsia="Arial" w:hAnsi="Arial"/>
          <w:sz w:val="16"/>
          <w:szCs w:val="16"/>
          <w:color w:val="202E39"/>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94"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202E39"/>
        </w:rPr>
        <w:t xml:space="preserve">7.6 </w:t>
      </w:r>
      <w:r>
        <w:rPr>
          <w:rFonts w:ascii="Arial" w:cs="Arial" w:eastAsia="Arial" w:hAnsi="Arial"/>
          <w:sz w:val="16"/>
          <w:szCs w:val="16"/>
          <w:u w:val="single" w:color="auto"/>
          <w:color w:val="202E39"/>
        </w:rPr>
        <w:t>Term</w:t>
      </w:r>
      <w:r>
        <w:rPr>
          <w:rFonts w:ascii="Arial" w:cs="Arial" w:eastAsia="Arial" w:hAnsi="Arial"/>
          <w:sz w:val="16"/>
          <w:szCs w:val="16"/>
          <w:color w:val="202E39"/>
        </w:rPr>
        <w:t>. The term of a Performance Award, Dividend Equivalent, award of Restricted Stock Unit and/or Stock Payment shall be set by the Committee (or the Board, in the case of an award to an Independent Director) in its discretion.</w:t>
      </w:r>
    </w:p>
    <w:p>
      <w:pPr>
        <w:spacing w:after="0" w:line="87"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202E39"/>
        </w:rPr>
        <w:t xml:space="preserve">7.7 </w:t>
      </w:r>
      <w:r>
        <w:rPr>
          <w:rFonts w:ascii="Arial" w:cs="Arial" w:eastAsia="Arial" w:hAnsi="Arial"/>
          <w:sz w:val="16"/>
          <w:szCs w:val="16"/>
          <w:u w:val="single" w:color="auto"/>
          <w:color w:val="202E39"/>
        </w:rPr>
        <w:t>Exercise Upon Termination of Employment</w:t>
      </w:r>
      <w:r>
        <w:rPr>
          <w:rFonts w:ascii="Arial" w:cs="Arial" w:eastAsia="Arial" w:hAnsi="Arial"/>
          <w:sz w:val="16"/>
          <w:szCs w:val="16"/>
          <w:color w:val="202E39"/>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9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202E39"/>
        </w:rPr>
        <w:t xml:space="preserve">7.8 </w:t>
      </w:r>
      <w:r>
        <w:rPr>
          <w:rFonts w:ascii="Arial" w:cs="Arial" w:eastAsia="Arial" w:hAnsi="Arial"/>
          <w:sz w:val="16"/>
          <w:szCs w:val="16"/>
          <w:u w:val="single" w:color="auto"/>
          <w:color w:val="202E39"/>
        </w:rPr>
        <w:t>Payment on Exercise</w:t>
      </w:r>
      <w:r>
        <w:rPr>
          <w:rFonts w:ascii="Arial" w:cs="Arial" w:eastAsia="Arial" w:hAnsi="Arial"/>
          <w:sz w:val="16"/>
          <w:szCs w:val="16"/>
          <w:color w:val="202E39"/>
        </w:rPr>
        <w:t>. Payment of the amount determined under Section 7.1 or 7.2 above shall be in cash, in Common Stock or a combination of both, as determined by the Committee (or the Board, in the case of an award to an Independent Director). To the extent any payment under this Article VII is effected in Common Stock, it shall be made subject to satisfaction of all provisions of Section 5.3.</w:t>
      </w:r>
    </w:p>
    <w:p>
      <w:pPr>
        <w:spacing w:after="0" w:line="93"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7.9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VIII. STOCK APPRECIATION RIGHTS</w:t>
      </w:r>
    </w:p>
    <w:p>
      <w:pPr>
        <w:spacing w:after="0" w:line="124" w:lineRule="exact"/>
        <w:rPr>
          <w:sz w:val="20"/>
          <w:szCs w:val="20"/>
          <w:color w:val="auto"/>
        </w:rPr>
      </w:pPr>
    </w:p>
    <w:p>
      <w:pPr>
        <w:ind w:left="120" w:right="100"/>
        <w:spacing w:after="0" w:line="251" w:lineRule="auto"/>
        <w:rPr>
          <w:sz w:val="20"/>
          <w:szCs w:val="20"/>
          <w:color w:val="auto"/>
        </w:rPr>
      </w:pPr>
      <w:r>
        <w:rPr>
          <w:rFonts w:ascii="Arial" w:cs="Arial" w:eastAsia="Arial" w:hAnsi="Arial"/>
          <w:sz w:val="16"/>
          <w:szCs w:val="16"/>
          <w:color w:val="202E39"/>
        </w:rPr>
        <w:t xml:space="preserve">8.1 </w:t>
      </w:r>
      <w:r>
        <w:rPr>
          <w:rFonts w:ascii="Arial" w:cs="Arial" w:eastAsia="Arial" w:hAnsi="Arial"/>
          <w:sz w:val="16"/>
          <w:szCs w:val="16"/>
          <w:u w:val="single" w:color="auto"/>
          <w:color w:val="202E39"/>
        </w:rPr>
        <w:t>Grant of Stock Appreciation Rights</w:t>
      </w:r>
      <w:r>
        <w:rPr>
          <w:rFonts w:ascii="Arial" w:cs="Arial" w:eastAsia="Arial" w:hAnsi="Arial"/>
          <w:sz w:val="16"/>
          <w:szCs w:val="16"/>
          <w:color w:val="202E39"/>
        </w:rPr>
        <w:t>.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w:t>
      </w:r>
    </w:p>
    <w:p>
      <w:pPr>
        <w:spacing w:after="0" w:line="120"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A-11</w:t>
            </w:r>
          </w:p>
        </w:tc>
      </w:tr>
    </w:tbl>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202E39"/>
        </w:rPr>
        <w:t xml:space="preserve">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Stock Appreciation Right shall, without stockholder approval, be (i) 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8.2 </w:t>
      </w:r>
      <w:r>
        <w:rPr>
          <w:rFonts w:ascii="Arial" w:cs="Arial" w:eastAsia="Arial" w:hAnsi="Arial"/>
          <w:sz w:val="16"/>
          <w:szCs w:val="16"/>
          <w:u w:val="single" w:color="auto"/>
          <w:color w:val="202E39"/>
        </w:rPr>
        <w:t>Coupled Stock Appreciation Rights</w:t>
      </w:r>
      <w:r>
        <w:rPr>
          <w:rFonts w:ascii="Arial" w:cs="Arial" w:eastAsia="Arial" w:hAnsi="Arial"/>
          <w:sz w:val="16"/>
          <w:szCs w:val="16"/>
          <w:color w:val="202E39"/>
        </w:rPr>
        <w:t>.</w:t>
      </w:r>
    </w:p>
    <w:p>
      <w:pPr>
        <w:spacing w:after="0" w:line="113" w:lineRule="exact"/>
        <w:rPr>
          <w:sz w:val="20"/>
          <w:szCs w:val="20"/>
          <w:color w:val="auto"/>
        </w:rPr>
      </w:pPr>
    </w:p>
    <w:p>
      <w:pPr>
        <w:ind w:left="560" w:right="220" w:hanging="4"/>
        <w:spacing w:after="0" w:line="260" w:lineRule="auto"/>
        <w:tabs>
          <w:tab w:leader="none" w:pos="803"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A Coupled Stock Appreciation Right (“CSAR”) shall be related to a particular Option and shall be exercisable only when and to the extent the related Option is exercisable.</w:t>
      </w:r>
    </w:p>
    <w:p>
      <w:pPr>
        <w:spacing w:after="0" w:line="87" w:lineRule="exact"/>
        <w:rPr>
          <w:rFonts w:ascii="Arial" w:cs="Arial" w:eastAsia="Arial" w:hAnsi="Arial"/>
          <w:sz w:val="16"/>
          <w:szCs w:val="16"/>
          <w:color w:val="202E39"/>
        </w:rPr>
      </w:pPr>
    </w:p>
    <w:p>
      <w:pPr>
        <w:ind w:left="560" w:right="240" w:hanging="4"/>
        <w:spacing w:after="0" w:line="260" w:lineRule="auto"/>
        <w:tabs>
          <w:tab w:leader="none" w:pos="803"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A CSAR may be granted to the Grantee for no more than the number of shares subject to the simultaneously or previously granted Option to which it is coupled.</w:t>
      </w:r>
    </w:p>
    <w:p>
      <w:pPr>
        <w:spacing w:after="0" w:line="87" w:lineRule="exact"/>
        <w:rPr>
          <w:rFonts w:ascii="Arial" w:cs="Arial" w:eastAsia="Arial" w:hAnsi="Arial"/>
          <w:sz w:val="16"/>
          <w:szCs w:val="16"/>
          <w:color w:val="202E39"/>
        </w:rPr>
      </w:pPr>
    </w:p>
    <w:p>
      <w:pPr>
        <w:ind w:left="560" w:right="80" w:hanging="4"/>
        <w:spacing w:after="0" w:line="250" w:lineRule="auto"/>
        <w:tabs>
          <w:tab w:leader="none" w:pos="794"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8.3 </w:t>
      </w:r>
      <w:r>
        <w:rPr>
          <w:rFonts w:ascii="Arial" w:cs="Arial" w:eastAsia="Arial" w:hAnsi="Arial"/>
          <w:sz w:val="16"/>
          <w:szCs w:val="16"/>
          <w:u w:val="single" w:color="auto"/>
          <w:color w:val="202E39"/>
        </w:rPr>
        <w:t>Independent Stock Appreciation Rights</w:t>
      </w:r>
      <w:r>
        <w:rPr>
          <w:rFonts w:ascii="Arial" w:cs="Arial" w:eastAsia="Arial" w:hAnsi="Arial"/>
          <w:sz w:val="16"/>
          <w:szCs w:val="16"/>
          <w:color w:val="202E39"/>
        </w:rPr>
        <w:t>.</w:t>
      </w:r>
    </w:p>
    <w:p>
      <w:pPr>
        <w:spacing w:after="0" w:line="113" w:lineRule="exact"/>
        <w:rPr>
          <w:sz w:val="20"/>
          <w:szCs w:val="20"/>
          <w:color w:val="auto"/>
        </w:rPr>
      </w:pPr>
    </w:p>
    <w:p>
      <w:pPr>
        <w:ind w:left="560" w:right="20" w:hanging="4"/>
        <w:spacing w:after="0" w:line="248" w:lineRule="auto"/>
        <w:tabs>
          <w:tab w:leader="none" w:pos="803"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96" w:lineRule="exact"/>
        <w:rPr>
          <w:rFonts w:ascii="Arial" w:cs="Arial" w:eastAsia="Arial" w:hAnsi="Arial"/>
          <w:sz w:val="16"/>
          <w:szCs w:val="16"/>
          <w:color w:val="202E39"/>
        </w:rPr>
      </w:pPr>
    </w:p>
    <w:p>
      <w:pPr>
        <w:ind w:left="560" w:hanging="4"/>
        <w:spacing w:after="0" w:line="250" w:lineRule="auto"/>
        <w:tabs>
          <w:tab w:leader="none" w:pos="803"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8.4 </w:t>
      </w:r>
      <w:r>
        <w:rPr>
          <w:rFonts w:ascii="Arial" w:cs="Arial" w:eastAsia="Arial" w:hAnsi="Arial"/>
          <w:sz w:val="16"/>
          <w:szCs w:val="16"/>
          <w:u w:val="single" w:color="auto"/>
          <w:color w:val="202E39"/>
        </w:rPr>
        <w:t>Payment and Limitations on Exercise</w:t>
      </w:r>
      <w:r>
        <w:rPr>
          <w:rFonts w:ascii="Arial" w:cs="Arial" w:eastAsia="Arial" w:hAnsi="Arial"/>
          <w:sz w:val="16"/>
          <w:szCs w:val="16"/>
          <w:color w:val="202E39"/>
        </w:rPr>
        <w:t>.</w:t>
      </w:r>
    </w:p>
    <w:p>
      <w:pPr>
        <w:spacing w:after="0" w:line="113" w:lineRule="exact"/>
        <w:rPr>
          <w:sz w:val="20"/>
          <w:szCs w:val="20"/>
          <w:color w:val="auto"/>
        </w:rPr>
      </w:pPr>
    </w:p>
    <w:p>
      <w:pPr>
        <w:jc w:val="both"/>
        <w:ind w:left="560" w:right="60" w:hanging="4"/>
        <w:spacing w:after="0" w:line="253" w:lineRule="auto"/>
        <w:tabs>
          <w:tab w:leader="none" w:pos="80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93" w:lineRule="exact"/>
        <w:rPr>
          <w:rFonts w:ascii="Arial" w:cs="Arial" w:eastAsia="Arial" w:hAnsi="Arial"/>
          <w:sz w:val="16"/>
          <w:szCs w:val="16"/>
          <w:color w:val="202E39"/>
        </w:rPr>
      </w:pPr>
    </w:p>
    <w:p>
      <w:pPr>
        <w:ind w:left="560" w:right="40" w:hanging="4"/>
        <w:spacing w:after="0" w:line="260" w:lineRule="auto"/>
        <w:tabs>
          <w:tab w:leader="none" w:pos="80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3688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A-12</w:t>
      </w:r>
    </w:p>
    <w:p>
      <w:pPr>
        <w:sectPr>
          <w:pgSz w:w="11900" w:h="16838" w:orient="portrait"/>
          <w:cols w:equalWidth="0" w:num="1">
            <w:col w:w="11080"/>
          </w:cols>
          <w:pgMar w:left="320" w:top="459"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8.5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IX. ADMINISTRATION</w:t>
      </w:r>
    </w:p>
    <w:p>
      <w:pPr>
        <w:spacing w:after="0" w:line="124" w:lineRule="exact"/>
        <w:rPr>
          <w:sz w:val="20"/>
          <w:szCs w:val="20"/>
          <w:color w:val="auto"/>
        </w:rPr>
      </w:pPr>
    </w:p>
    <w:p>
      <w:pPr>
        <w:ind w:left="120" w:right="180"/>
        <w:spacing w:after="0" w:line="248" w:lineRule="auto"/>
        <w:rPr>
          <w:sz w:val="20"/>
          <w:szCs w:val="20"/>
          <w:color w:val="auto"/>
        </w:rPr>
      </w:pPr>
      <w:r>
        <w:rPr>
          <w:rFonts w:ascii="Arial" w:cs="Arial" w:eastAsia="Arial" w:hAnsi="Arial"/>
          <w:sz w:val="16"/>
          <w:szCs w:val="16"/>
          <w:color w:val="202E39"/>
        </w:rPr>
        <w:t xml:space="preserve">9.1 </w:t>
      </w:r>
      <w:r>
        <w:rPr>
          <w:rFonts w:ascii="Arial" w:cs="Arial" w:eastAsia="Arial" w:hAnsi="Arial"/>
          <w:sz w:val="16"/>
          <w:szCs w:val="16"/>
          <w:u w:val="single" w:color="auto"/>
          <w:color w:val="202E39"/>
        </w:rPr>
        <w:t>Compensation Committee</w:t>
      </w:r>
      <w:r>
        <w:rPr>
          <w:rFonts w:ascii="Arial" w:cs="Arial" w:eastAsia="Arial" w:hAnsi="Arial"/>
          <w:sz w:val="16"/>
          <w:szCs w:val="16"/>
          <w:color w:val="202E39"/>
        </w:rPr>
        <w:t>.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 Appointment of Committee members shall be effective upon acceptance of appointment. Committee members may resign at any time by delivering written notice to the Board. Vacancies in the Committee may be filled by the Board. Should any Awards made under the Plan prior to November 2, 2017 be intended to qualify as “performance-based compensation” within the meaning of Section 162(m)(4)(C) of the Code prior to its repeal (“162(m) Awards”), then all such determinations regarding such Awards will be made solely by a Committee comprised solely of two of more “outside directors” within the meaning of Section 162(m) of the Code.</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6"/>
          <w:szCs w:val="16"/>
          <w:color w:val="202E39"/>
        </w:rPr>
        <w:t xml:space="preserve">9.2 </w:t>
      </w: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Participants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103" w:lineRule="exact"/>
        <w:rPr>
          <w:sz w:val="20"/>
          <w:szCs w:val="20"/>
          <w:color w:val="auto"/>
        </w:rPr>
      </w:pPr>
    </w:p>
    <w:p>
      <w:pPr>
        <w:ind w:left="120" w:right="300"/>
        <w:spacing w:after="0" w:line="260" w:lineRule="auto"/>
        <w:rPr>
          <w:sz w:val="20"/>
          <w:szCs w:val="20"/>
          <w:color w:val="auto"/>
        </w:rPr>
      </w:pPr>
      <w:r>
        <w:rPr>
          <w:rFonts w:ascii="Arial" w:cs="Arial" w:eastAsia="Arial" w:hAnsi="Arial"/>
          <w:sz w:val="16"/>
          <w:szCs w:val="16"/>
          <w:color w:val="202E39"/>
        </w:rPr>
        <w:t xml:space="preserve">9.3 </w:t>
      </w:r>
      <w:r>
        <w:rPr>
          <w:rFonts w:ascii="Arial" w:cs="Arial" w:eastAsia="Arial" w:hAnsi="Arial"/>
          <w:sz w:val="16"/>
          <w:szCs w:val="16"/>
          <w:u w:val="single" w:color="auto"/>
          <w:color w:val="202E39"/>
        </w:rPr>
        <w:t>Majority Rule; Unanimous Written Consent</w:t>
      </w:r>
      <w:r>
        <w:rPr>
          <w:rFonts w:ascii="Arial" w:cs="Arial" w:eastAsia="Arial" w:hAnsi="Arial"/>
          <w:sz w:val="16"/>
          <w:szCs w:val="16"/>
          <w:color w:val="202E39"/>
        </w:rPr>
        <w:t>. The Committee shall act by a majority of its members in attendance at a meeting at which a quorum is present or by a memorandum or other written instrument signed by all members of the Committee.</w:t>
      </w:r>
    </w:p>
    <w:p>
      <w:pPr>
        <w:spacing w:after="0" w:line="87" w:lineRule="exact"/>
        <w:rPr>
          <w:sz w:val="20"/>
          <w:szCs w:val="20"/>
          <w:color w:val="auto"/>
        </w:rPr>
      </w:pPr>
    </w:p>
    <w:p>
      <w:pPr>
        <w:ind w:left="120" w:right="40"/>
        <w:spacing w:after="0" w:line="248" w:lineRule="auto"/>
        <w:rPr>
          <w:sz w:val="20"/>
          <w:szCs w:val="20"/>
          <w:color w:val="auto"/>
        </w:rPr>
      </w:pPr>
      <w:r>
        <w:rPr>
          <w:rFonts w:ascii="Arial" w:cs="Arial" w:eastAsia="Arial" w:hAnsi="Arial"/>
          <w:sz w:val="16"/>
          <w:szCs w:val="16"/>
          <w:color w:val="202E39"/>
        </w:rPr>
        <w:t xml:space="preserve">9.4 </w:t>
      </w: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ARTICLE X. MISCELLANEOUS PROVISIONS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10.1 </w:t>
      </w:r>
      <w:r>
        <w:rPr>
          <w:rFonts w:ascii="Arial" w:cs="Arial" w:eastAsia="Arial" w:hAnsi="Arial"/>
          <w:sz w:val="16"/>
          <w:szCs w:val="16"/>
          <w:u w:val="single" w:color="auto"/>
          <w:color w:val="202E39"/>
        </w:rPr>
        <w:t>Not Transferable</w:t>
      </w:r>
      <w:r>
        <w:rPr>
          <w:rFonts w:ascii="Arial" w:cs="Arial" w:eastAsia="Arial" w:hAnsi="Arial"/>
          <w:sz w:val="16"/>
          <w:szCs w:val="16"/>
          <w:color w:val="202E39"/>
        </w:rPr>
        <w:t>.</w:t>
      </w:r>
    </w:p>
    <w:p>
      <w:pPr>
        <w:spacing w:after="0" w:line="113" w:lineRule="exact"/>
        <w:rPr>
          <w:sz w:val="20"/>
          <w:szCs w:val="20"/>
          <w:color w:val="auto"/>
        </w:rPr>
      </w:pPr>
    </w:p>
    <w:p>
      <w:pPr>
        <w:ind w:left="560" w:right="440" w:hanging="4"/>
        <w:spacing w:after="0" w:line="260" w:lineRule="auto"/>
        <w:tabs>
          <w:tab w:leader="none" w:pos="803"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Options, Restricted Stock awards, Restricted Stock Unit awards, Performance Awards, Stock Appreciation Rights, Dividend Equivalents or Stock Payments under this Plan may not be sold, pledged, assigned, or transferred in any</w:t>
      </w:r>
    </w:p>
    <w:p>
      <w:pPr>
        <w:spacing w:after="0" w:line="113"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A-13</w:t>
            </w: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560" w:right="20"/>
        <w:spacing w:after="0" w:line="248" w:lineRule="auto"/>
        <w:rPr>
          <w:sz w:val="20"/>
          <w:szCs w:val="20"/>
          <w:color w:val="auto"/>
        </w:rPr>
      </w:pPr>
      <w:r>
        <w:rPr>
          <w:rFonts w:ascii="Arial" w:cs="Arial" w:eastAsia="Arial" w:hAnsi="Arial"/>
          <w:sz w:val="16"/>
          <w:szCs w:val="16"/>
          <w:color w:val="202E39"/>
        </w:rPr>
        <w:t>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99" w:lineRule="exact"/>
        <w:rPr>
          <w:sz w:val="20"/>
          <w:szCs w:val="20"/>
          <w:color w:val="auto"/>
        </w:rPr>
      </w:pPr>
    </w:p>
    <w:p>
      <w:pPr>
        <w:ind w:left="560" w:right="80" w:hanging="4"/>
        <w:spacing w:after="0" w:line="250" w:lineRule="auto"/>
        <w:tabs>
          <w:tab w:leader="none" w:pos="803"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95"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 xml:space="preserve">10.2 </w:t>
      </w:r>
      <w:r>
        <w:rPr>
          <w:rFonts w:ascii="Arial" w:cs="Arial" w:eastAsia="Arial" w:hAnsi="Arial"/>
          <w:sz w:val="16"/>
          <w:szCs w:val="16"/>
          <w:u w:val="single" w:color="auto"/>
          <w:color w:val="202E39"/>
        </w:rPr>
        <w:t>Amendment, Suspension or Termination of this Plan</w:t>
      </w:r>
      <w:r>
        <w:rPr>
          <w:rFonts w:ascii="Arial" w:cs="Arial" w:eastAsia="Arial" w:hAnsi="Arial"/>
          <w:sz w:val="16"/>
          <w:szCs w:val="16"/>
          <w:color w:val="202E39"/>
        </w:rPr>
        <w:t>. Except as otherwise provided in this Section 10.2, this Plan may be wholly or partially amended or otherwise modified, suspended or terminated at any time or from time to time by the Board or the Committee. However, the Board or the Committee will obtain stockholder approval of any Plan amendment to the extent necessary to comply with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July 18, 2031.</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10.3 </w:t>
      </w:r>
      <w:r>
        <w:rPr>
          <w:rFonts w:ascii="Arial" w:cs="Arial" w:eastAsia="Arial" w:hAnsi="Arial"/>
          <w:sz w:val="16"/>
          <w:szCs w:val="16"/>
          <w:u w:val="single" w:color="auto"/>
          <w:color w:val="202E39"/>
        </w:rPr>
        <w:t>Changes in Common Stock or Assets of the Company, Acquisition or Liquidation of the Company and Other Corporate Events</w:t>
      </w:r>
      <w:r>
        <w:rPr>
          <w:rFonts w:ascii="Arial" w:cs="Arial" w:eastAsia="Arial" w:hAnsi="Arial"/>
          <w:sz w:val="16"/>
          <w:szCs w:val="16"/>
          <w:color w:val="202E39"/>
        </w:rPr>
        <w:t>.</w:t>
      </w:r>
    </w:p>
    <w:p>
      <w:pPr>
        <w:spacing w:after="0" w:line="113" w:lineRule="exact"/>
        <w:rPr>
          <w:sz w:val="20"/>
          <w:szCs w:val="20"/>
          <w:color w:val="auto"/>
        </w:rPr>
      </w:pPr>
    </w:p>
    <w:p>
      <w:pPr>
        <w:ind w:left="560" w:right="20" w:hanging="4"/>
        <w:spacing w:after="0" w:line="247" w:lineRule="auto"/>
        <w:tabs>
          <w:tab w:leader="none" w:pos="803"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104" w:lineRule="exact"/>
        <w:rPr>
          <w:rFonts w:ascii="Arial" w:cs="Arial" w:eastAsia="Arial" w:hAnsi="Arial"/>
          <w:sz w:val="16"/>
          <w:szCs w:val="16"/>
          <w:color w:val="202E39"/>
        </w:rPr>
      </w:pPr>
    </w:p>
    <w:p>
      <w:pPr>
        <w:ind w:left="1000" w:hanging="3"/>
        <w:spacing w:after="0" w:line="250" w:lineRule="auto"/>
        <w:tabs>
          <w:tab w:leader="none" w:pos="1189"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94" w:lineRule="exact"/>
        <w:rPr>
          <w:rFonts w:ascii="Arial" w:cs="Arial" w:eastAsia="Arial" w:hAnsi="Arial"/>
          <w:sz w:val="16"/>
          <w:szCs w:val="16"/>
          <w:color w:val="202E39"/>
        </w:rPr>
      </w:pPr>
    </w:p>
    <w:p>
      <w:pPr>
        <w:ind w:left="1000" w:right="160" w:hanging="3"/>
        <w:spacing w:after="0" w:line="253" w:lineRule="auto"/>
        <w:tabs>
          <w:tab w:leader="none" w:pos="1225"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spacing w:after="0" w:line="93" w:lineRule="exact"/>
        <w:rPr>
          <w:rFonts w:ascii="Arial" w:cs="Arial" w:eastAsia="Arial" w:hAnsi="Arial"/>
          <w:sz w:val="16"/>
          <w:szCs w:val="16"/>
          <w:color w:val="202E39"/>
        </w:rPr>
      </w:pPr>
    </w:p>
    <w:p>
      <w:pPr>
        <w:ind w:left="1000" w:right="360" w:hanging="3"/>
        <w:spacing w:after="0" w:line="260" w:lineRule="auto"/>
        <w:tabs>
          <w:tab w:leader="none" w:pos="1261" w:val="left"/>
        </w:tabs>
        <w:numPr>
          <w:ilvl w:val="1"/>
          <w:numId w:val="79"/>
        </w:numPr>
        <w:rPr>
          <w:rFonts w:ascii="Arial" w:cs="Arial" w:eastAsia="Arial" w:hAnsi="Arial"/>
          <w:sz w:val="16"/>
          <w:szCs w:val="16"/>
          <w:color w:val="202E39"/>
        </w:rPr>
      </w:pPr>
      <w:r>
        <w:rPr>
          <w:rFonts w:ascii="Arial" w:cs="Arial" w:eastAsia="Arial" w:hAnsi="Arial"/>
          <w:sz w:val="16"/>
          <w:szCs w:val="16"/>
          <w:color w:val="202E39"/>
        </w:rPr>
        <w:t>the grant or exercise price with respect to any Option, Restricted Stock Unit, Performance Award, Stock Appreciation Right, Dividend Equivalent or Stock Payment,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3688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A-14</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000" w:right="280" w:hanging="3"/>
        <w:spacing w:after="0" w:line="253" w:lineRule="auto"/>
        <w:tabs>
          <w:tab w:leader="none" w:pos="1270" w:val="left"/>
        </w:tabs>
        <w:numPr>
          <w:ilvl w:val="1"/>
          <w:numId w:val="80"/>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spacing w:after="0" w:line="93" w:lineRule="exact"/>
        <w:rPr>
          <w:rFonts w:ascii="Arial" w:cs="Arial" w:eastAsia="Arial" w:hAnsi="Arial"/>
          <w:sz w:val="16"/>
          <w:szCs w:val="16"/>
          <w:color w:val="202E39"/>
        </w:rPr>
      </w:pPr>
    </w:p>
    <w:p>
      <w:pPr>
        <w:ind w:left="560" w:right="60" w:hanging="4"/>
        <w:spacing w:after="0" w:line="248" w:lineRule="auto"/>
        <w:tabs>
          <w:tab w:leader="none" w:pos="803"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100" w:lineRule="exact"/>
        <w:rPr>
          <w:rFonts w:ascii="Arial" w:cs="Arial" w:eastAsia="Arial" w:hAnsi="Arial"/>
          <w:sz w:val="16"/>
          <w:szCs w:val="16"/>
          <w:color w:val="202E39"/>
        </w:rPr>
      </w:pPr>
    </w:p>
    <w:p>
      <w:pPr>
        <w:ind w:left="1000" w:right="120" w:hanging="3"/>
        <w:spacing w:after="0" w:line="248" w:lineRule="auto"/>
        <w:tabs>
          <w:tab w:leader="none" w:pos="1189"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99" w:lineRule="exact"/>
        <w:rPr>
          <w:rFonts w:ascii="Arial" w:cs="Arial" w:eastAsia="Arial" w:hAnsi="Arial"/>
          <w:sz w:val="16"/>
          <w:szCs w:val="16"/>
          <w:color w:val="202E39"/>
        </w:rPr>
      </w:pPr>
    </w:p>
    <w:p>
      <w:pPr>
        <w:ind w:left="1000" w:right="180" w:hanging="3"/>
        <w:spacing w:after="0" w:line="251" w:lineRule="auto"/>
        <w:tabs>
          <w:tab w:leader="none" w:pos="1225"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94" w:lineRule="exact"/>
        <w:rPr>
          <w:rFonts w:ascii="Arial" w:cs="Arial" w:eastAsia="Arial" w:hAnsi="Arial"/>
          <w:sz w:val="16"/>
          <w:szCs w:val="16"/>
          <w:color w:val="202E39"/>
        </w:rPr>
      </w:pPr>
    </w:p>
    <w:p>
      <w:pPr>
        <w:ind w:left="1000" w:right="40" w:hanging="3"/>
        <w:spacing w:after="0" w:line="249" w:lineRule="auto"/>
        <w:tabs>
          <w:tab w:leader="none" w:pos="1261"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96" w:lineRule="exact"/>
        <w:rPr>
          <w:rFonts w:ascii="Arial" w:cs="Arial" w:eastAsia="Arial" w:hAnsi="Arial"/>
          <w:sz w:val="16"/>
          <w:szCs w:val="16"/>
          <w:color w:val="202E39"/>
        </w:rPr>
      </w:pPr>
    </w:p>
    <w:p>
      <w:pPr>
        <w:ind w:left="1000" w:right="40" w:hanging="3"/>
        <w:spacing w:after="0" w:line="249" w:lineRule="auto"/>
        <w:tabs>
          <w:tab w:leader="none" w:pos="1270"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96" w:lineRule="exact"/>
        <w:rPr>
          <w:rFonts w:ascii="Arial" w:cs="Arial" w:eastAsia="Arial" w:hAnsi="Arial"/>
          <w:sz w:val="16"/>
          <w:szCs w:val="16"/>
          <w:color w:val="202E39"/>
        </w:rPr>
      </w:pPr>
    </w:p>
    <w:p>
      <w:pPr>
        <w:ind w:left="1000" w:right="80" w:hanging="3"/>
        <w:spacing w:after="0" w:line="249" w:lineRule="auto"/>
        <w:tabs>
          <w:tab w:leader="none" w:pos="1234"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96" w:lineRule="exact"/>
        <w:rPr>
          <w:rFonts w:ascii="Arial" w:cs="Arial" w:eastAsia="Arial" w:hAnsi="Arial"/>
          <w:sz w:val="16"/>
          <w:szCs w:val="16"/>
          <w:color w:val="202E39"/>
        </w:rPr>
      </w:pPr>
    </w:p>
    <w:p>
      <w:pPr>
        <w:ind w:left="1000" w:right="220" w:hanging="3"/>
        <w:spacing w:after="0" w:line="250" w:lineRule="auto"/>
        <w:tabs>
          <w:tab w:leader="none" w:pos="1270"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94" w:lineRule="exact"/>
        <w:rPr>
          <w:rFonts w:ascii="Arial" w:cs="Arial" w:eastAsia="Arial" w:hAnsi="Arial"/>
          <w:sz w:val="16"/>
          <w:szCs w:val="16"/>
          <w:color w:val="202E39"/>
        </w:rPr>
      </w:pPr>
    </w:p>
    <w:p>
      <w:pPr>
        <w:ind w:left="1000" w:right="120" w:hanging="3"/>
        <w:spacing w:after="0" w:line="253" w:lineRule="auto"/>
        <w:tabs>
          <w:tab w:leader="none" w:pos="1306" w:val="left"/>
        </w:tabs>
        <w:numPr>
          <w:ilvl w:val="1"/>
          <w:numId w:val="81"/>
        </w:numPr>
        <w:rPr>
          <w:rFonts w:ascii="Arial" w:cs="Arial" w:eastAsia="Arial" w:hAnsi="Arial"/>
          <w:sz w:val="16"/>
          <w:szCs w:val="16"/>
          <w:color w:val="202E39"/>
        </w:rPr>
      </w:pPr>
      <w:r>
        <w:rPr>
          <w:rFonts w:ascii="Arial" w:cs="Arial" w:eastAsia="Arial" w:hAnsi="Arial"/>
          <w:sz w:val="16"/>
          <w:szCs w:val="16"/>
          <w:color w:val="202E39"/>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w:t>
      </w:r>
    </w:p>
    <w:p>
      <w:pPr>
        <w:spacing w:after="0" w:line="119"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A-15</w:t>
            </w: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000" w:right="80"/>
        <w:spacing w:after="0" w:line="248" w:lineRule="auto"/>
        <w:rPr>
          <w:sz w:val="20"/>
          <w:szCs w:val="20"/>
          <w:color w:val="auto"/>
        </w:rPr>
      </w:pPr>
      <w:r>
        <w:rPr>
          <w:rFonts w:ascii="Arial" w:cs="Arial" w:eastAsia="Arial" w:hAnsi="Arial"/>
          <w:sz w:val="16"/>
          <w:szCs w:val="16"/>
          <w:color w:val="202E39"/>
        </w:rPr>
        <w:t>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98" w:lineRule="exact"/>
        <w:rPr>
          <w:sz w:val="20"/>
          <w:szCs w:val="20"/>
          <w:color w:val="auto"/>
        </w:rPr>
      </w:pPr>
    </w:p>
    <w:p>
      <w:pPr>
        <w:ind w:left="560" w:right="380" w:hanging="4"/>
        <w:spacing w:after="0" w:line="251" w:lineRule="auto"/>
        <w:tabs>
          <w:tab w:leader="none" w:pos="794"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94" w:lineRule="exact"/>
        <w:rPr>
          <w:rFonts w:ascii="Arial" w:cs="Arial" w:eastAsia="Arial" w:hAnsi="Arial"/>
          <w:sz w:val="16"/>
          <w:szCs w:val="16"/>
          <w:color w:val="202E39"/>
        </w:rPr>
      </w:pPr>
    </w:p>
    <w:p>
      <w:pPr>
        <w:ind w:left="560" w:right="20" w:hanging="4"/>
        <w:spacing w:after="0" w:line="248" w:lineRule="auto"/>
        <w:tabs>
          <w:tab w:leader="none" w:pos="803"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With respect to 162(m) Awards (as defined below), no adjustment or action described in this Section 10.3 or in any other provision of the Plan shall be authorized to the extent that such adjustment or action would cause such award to fail to so qualify under Code Section 162(m)(4)(C) prior to its repeal unless the Committee determines that the award should not so qualify.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97" w:lineRule="exact"/>
        <w:rPr>
          <w:rFonts w:ascii="Arial" w:cs="Arial" w:eastAsia="Arial" w:hAnsi="Arial"/>
          <w:sz w:val="16"/>
          <w:szCs w:val="16"/>
          <w:color w:val="202E39"/>
        </w:rPr>
      </w:pPr>
    </w:p>
    <w:p>
      <w:pPr>
        <w:ind w:left="800" w:hanging="244"/>
        <w:spacing w:after="0"/>
        <w:tabs>
          <w:tab w:leader="none" w:pos="800"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202E39"/>
        </w:rPr>
      </w:pPr>
    </w:p>
    <w:p>
      <w:pPr>
        <w:ind w:left="1000" w:hanging="3"/>
        <w:spacing w:after="0" w:line="253" w:lineRule="auto"/>
        <w:tabs>
          <w:tab w:leader="none" w:pos="1189" w:val="left"/>
        </w:tabs>
        <w:numPr>
          <w:ilvl w:val="1"/>
          <w:numId w:val="82"/>
        </w:numPr>
        <w:rPr>
          <w:rFonts w:ascii="Arial" w:cs="Arial" w:eastAsia="Arial" w:hAnsi="Arial"/>
          <w:sz w:val="16"/>
          <w:szCs w:val="16"/>
          <w:color w:val="202E39"/>
        </w:rPr>
      </w:pPr>
      <w:r>
        <w:rPr>
          <w:rFonts w:ascii="Arial" w:cs="Arial" w:eastAsia="Arial" w:hAnsi="Arial"/>
          <w:sz w:val="16"/>
          <w:szCs w:val="16"/>
          <w:color w:val="202E39"/>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93" w:lineRule="exact"/>
        <w:rPr>
          <w:rFonts w:ascii="Arial" w:cs="Arial" w:eastAsia="Arial" w:hAnsi="Arial"/>
          <w:sz w:val="16"/>
          <w:szCs w:val="16"/>
          <w:color w:val="202E39"/>
        </w:rPr>
      </w:pPr>
    </w:p>
    <w:p>
      <w:pPr>
        <w:ind w:left="1000" w:right="80" w:hanging="3"/>
        <w:spacing w:after="0" w:line="250" w:lineRule="auto"/>
        <w:tabs>
          <w:tab w:leader="none" w:pos="1225" w:val="left"/>
        </w:tabs>
        <w:numPr>
          <w:ilvl w:val="1"/>
          <w:numId w:val="82"/>
        </w:numPr>
        <w:rPr>
          <w:rFonts w:ascii="Arial" w:cs="Arial" w:eastAsia="Arial" w:hAnsi="Arial"/>
          <w:sz w:val="16"/>
          <w:szCs w:val="16"/>
          <w:color w:val="202E39"/>
        </w:rPr>
      </w:pPr>
      <w:r>
        <w:rPr>
          <w:rFonts w:ascii="Arial" w:cs="Arial" w:eastAsia="Arial" w:hAnsi="Arial"/>
          <w:sz w:val="16"/>
          <w:szCs w:val="16"/>
          <w:color w:val="202E39"/>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95"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202E39"/>
        </w:rPr>
        <w:t xml:space="preserve">10.4 </w:t>
      </w:r>
      <w:r>
        <w:rPr>
          <w:rFonts w:ascii="Arial" w:cs="Arial" w:eastAsia="Arial" w:hAnsi="Arial"/>
          <w:sz w:val="16"/>
          <w:szCs w:val="16"/>
          <w:u w:val="single" w:color="auto"/>
          <w:color w:val="202E39"/>
        </w:rPr>
        <w:t>Tax Withholding</w:t>
      </w:r>
      <w:r>
        <w:rPr>
          <w:rFonts w:ascii="Arial" w:cs="Arial" w:eastAsia="Arial" w:hAnsi="Arial"/>
          <w:sz w:val="16"/>
          <w:szCs w:val="16"/>
          <w:color w:val="202E39"/>
        </w:rPr>
        <w:t>. Each Optionee, Grantee or Restricted Stockholder must pay the Company, or make provision satisfactory to the Committee, for payment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(or the Board, in the case of awards 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88900</wp:posOffset>
            </wp:positionV>
            <wp:extent cx="4368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A-16</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120" w:right="40"/>
        <w:spacing w:after="0" w:line="247" w:lineRule="auto"/>
        <w:rPr>
          <w:sz w:val="20"/>
          <w:szCs w:val="20"/>
          <w:color w:val="auto"/>
        </w:rPr>
      </w:pPr>
      <w:r>
        <w:rPr>
          <w:rFonts w:ascii="Arial" w:cs="Arial" w:eastAsia="Arial" w:hAnsi="Arial"/>
          <w:sz w:val="16"/>
          <w:szCs w:val="16"/>
          <w:color w:val="202E39"/>
        </w:rPr>
        <w:t>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w:t>
      </w:r>
    </w:p>
    <w:p>
      <w:pPr>
        <w:spacing w:after="0" w:line="103" w:lineRule="exact"/>
        <w:rPr>
          <w:sz w:val="20"/>
          <w:szCs w:val="20"/>
          <w:color w:val="auto"/>
        </w:rPr>
      </w:pPr>
    </w:p>
    <w:p>
      <w:pPr>
        <w:ind w:left="120" w:right="200"/>
        <w:spacing w:after="0" w:line="250" w:lineRule="auto"/>
        <w:rPr>
          <w:sz w:val="20"/>
          <w:szCs w:val="20"/>
          <w:color w:val="auto"/>
        </w:rPr>
      </w:pPr>
      <w:r>
        <w:rPr>
          <w:rFonts w:ascii="Arial" w:cs="Arial" w:eastAsia="Arial" w:hAnsi="Arial"/>
          <w:sz w:val="16"/>
          <w:szCs w:val="16"/>
          <w:color w:val="202E39"/>
        </w:rPr>
        <w:t xml:space="preserve">10.5 </w:t>
      </w:r>
      <w:r>
        <w:rPr>
          <w:rFonts w:ascii="Arial" w:cs="Arial" w:eastAsia="Arial" w:hAnsi="Arial"/>
          <w:sz w:val="16"/>
          <w:szCs w:val="16"/>
          <w:u w:val="single" w:color="auto"/>
          <w:color w:val="202E39"/>
        </w:rPr>
        <w:t>Loans</w:t>
      </w:r>
      <w:r>
        <w:rPr>
          <w:rFonts w:ascii="Arial" w:cs="Arial" w:eastAsia="Arial" w:hAnsi="Arial"/>
          <w:sz w:val="16"/>
          <w:szCs w:val="16"/>
          <w:color w:val="202E39"/>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95"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 xml:space="preserve">10.6 </w:t>
      </w:r>
      <w:r>
        <w:rPr>
          <w:rFonts w:ascii="Arial" w:cs="Arial" w:eastAsia="Arial" w:hAnsi="Arial"/>
          <w:sz w:val="16"/>
          <w:szCs w:val="16"/>
          <w:u w:val="single" w:color="auto"/>
          <w:color w:val="202E39"/>
        </w:rPr>
        <w:t>Forfeiture Provisions</w:t>
      </w:r>
      <w:r>
        <w:rPr>
          <w:rFonts w:ascii="Arial" w:cs="Arial" w:eastAsia="Arial" w:hAnsi="Arial"/>
          <w:sz w:val="16"/>
          <w:szCs w:val="16"/>
          <w:color w:val="202E39"/>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98" w:lineRule="exact"/>
        <w:rPr>
          <w:sz w:val="20"/>
          <w:szCs w:val="20"/>
          <w:color w:val="auto"/>
        </w:rPr>
      </w:pPr>
    </w:p>
    <w:p>
      <w:pPr>
        <w:ind w:left="120" w:right="60"/>
        <w:spacing w:after="0" w:line="247" w:lineRule="auto"/>
        <w:rPr>
          <w:sz w:val="20"/>
          <w:szCs w:val="20"/>
          <w:color w:val="auto"/>
        </w:rPr>
      </w:pPr>
      <w:r>
        <w:rPr>
          <w:rFonts w:ascii="Arial" w:cs="Arial" w:eastAsia="Arial" w:hAnsi="Arial"/>
          <w:sz w:val="16"/>
          <w:szCs w:val="16"/>
          <w:color w:val="202E39"/>
        </w:rPr>
        <w:t xml:space="preserve">10.7 </w:t>
      </w:r>
      <w:r>
        <w:rPr>
          <w:rFonts w:ascii="Arial" w:cs="Arial" w:eastAsia="Arial" w:hAnsi="Arial"/>
          <w:sz w:val="16"/>
          <w:szCs w:val="16"/>
          <w:u w:val="single" w:color="auto"/>
          <w:color w:val="202E39"/>
        </w:rPr>
        <w:t>Limitations Applicable to Section 16 Persons and Performance-Based Compensation</w:t>
      </w:r>
      <w:r>
        <w:rPr>
          <w:rFonts w:ascii="Arial" w:cs="Arial" w:eastAsia="Arial" w:hAnsi="Arial"/>
          <w:sz w:val="16"/>
          <w:szCs w:val="16"/>
          <w:color w:val="202E39"/>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Furthermore, notwithstanding any other provision of this Plan or any award agreement, each 162(m) Award (and each award which was otherwise not subject to the deduction limitation of Section 162(m) of the Code) shall be subject to any additional limitations as the Committee determines necessary for such 162(m) Award to qualify as “performance-based compensation” as described in Section 162(m)(4)(C) of the Code prior to its repeal (or to be so exempt) pursuant to the transition relief rules in the Tax Cuts and Jobs Act of 2017 (the “TCJA”), and to the extent any of the provisions of the Plan or any award (or any amendments hereto pursuant to any amendment and restatement of the Plan) would cause any 162(m) Awards to fail to so qualify or other awards to be so exempt, any such provisions shall not apply to such awards to the extent necessary to ensure the continued qualification or exemption of such awards. To the extent permitted by applicable law, the Plan and any such awards shall be deemed amended to the extent necessary to conform to such requirements.</w:t>
      </w:r>
    </w:p>
    <w:p>
      <w:pPr>
        <w:spacing w:after="0" w:line="103"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202E39"/>
        </w:rPr>
        <w:t xml:space="preserve">10.8 </w:t>
      </w:r>
      <w:r>
        <w:rPr>
          <w:rFonts w:ascii="Arial" w:cs="Arial" w:eastAsia="Arial" w:hAnsi="Arial"/>
          <w:sz w:val="16"/>
          <w:szCs w:val="16"/>
          <w:u w:val="single" w:color="auto"/>
          <w:color w:val="202E39"/>
        </w:rPr>
        <w:t>Effect of Plan Upon Options and Compensation Plans</w:t>
      </w:r>
      <w:r>
        <w:rPr>
          <w:rFonts w:ascii="Arial" w:cs="Arial" w:eastAsia="Arial" w:hAnsi="Arial"/>
          <w:sz w:val="16"/>
          <w:szCs w:val="16"/>
          <w:color w:val="202E39"/>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w:t>
      </w:r>
    </w:p>
    <w:p>
      <w:pPr>
        <w:spacing w:after="0" w:line="120" w:lineRule="exact"/>
        <w:rPr>
          <w:sz w:val="20"/>
          <w:szCs w:val="20"/>
          <w:color w:val="auto"/>
        </w:rPr>
      </w:pPr>
    </w:p>
    <w:tbl>
      <w:tblPr>
        <w:tblLayout w:type="fixed"/>
        <w:tblInd w:w="886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560" w:type="dxa"/>
            <w:vAlign w:val="bottom"/>
          </w:tcPr>
          <w:p>
            <w:pPr>
              <w:ind w:left="240"/>
              <w:spacing w:after="0"/>
              <w:rPr>
                <w:sz w:val="20"/>
                <w:szCs w:val="20"/>
                <w:color w:val="auto"/>
              </w:rPr>
            </w:pPr>
            <w:r>
              <w:rPr>
                <w:rFonts w:ascii="Arial" w:cs="Arial" w:eastAsia="Arial" w:hAnsi="Arial"/>
                <w:sz w:val="14"/>
                <w:szCs w:val="14"/>
                <w:b w:val="1"/>
                <w:bCs w:val="1"/>
                <w:color w:val="202E39"/>
                <w:w w:val="98"/>
              </w:rPr>
              <w:t>A-17</w:t>
            </w: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120" w:right="580"/>
        <w:spacing w:after="0" w:line="260" w:lineRule="auto"/>
        <w:rPr>
          <w:sz w:val="20"/>
          <w:szCs w:val="20"/>
          <w:color w:val="auto"/>
        </w:rPr>
      </w:pPr>
      <w:r>
        <w:rPr>
          <w:rFonts w:ascii="Arial" w:cs="Arial" w:eastAsia="Arial" w:hAnsi="Arial"/>
          <w:sz w:val="16"/>
          <w:szCs w:val="16"/>
          <w:color w:val="202E39"/>
        </w:rPr>
        <w:t>acquisition by purchase, lease, merger, consolidation or otherwise, of the business, stock or assets of any corporation, partnership, limited liability company, firm or association.</w:t>
      </w:r>
    </w:p>
    <w:p>
      <w:pPr>
        <w:spacing w:after="0" w:line="87"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202E39"/>
        </w:rPr>
        <w:t xml:space="preserve">10.9 </w:t>
      </w:r>
      <w:r>
        <w:rPr>
          <w:rFonts w:ascii="Arial" w:cs="Arial" w:eastAsia="Arial" w:hAnsi="Arial"/>
          <w:sz w:val="16"/>
          <w:szCs w:val="16"/>
          <w:u w:val="single" w:color="auto"/>
          <w:color w:val="202E39"/>
        </w:rPr>
        <w:t>Compliance with Laws</w:t>
      </w:r>
      <w:r>
        <w:rPr>
          <w:rFonts w:ascii="Arial" w:cs="Arial" w:eastAsia="Arial" w:hAnsi="Arial"/>
          <w:sz w:val="16"/>
          <w:szCs w:val="16"/>
          <w:color w:val="202E39"/>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 xml:space="preserve">10.10 </w:t>
      </w:r>
      <w:r>
        <w:rPr>
          <w:rFonts w:ascii="Arial" w:cs="Arial" w:eastAsia="Arial" w:hAnsi="Arial"/>
          <w:sz w:val="16"/>
          <w:szCs w:val="16"/>
          <w:u w:val="single" w:color="auto"/>
          <w:color w:val="202E39"/>
        </w:rPr>
        <w:t>Titles</w:t>
      </w:r>
      <w:r>
        <w:rPr>
          <w:rFonts w:ascii="Arial" w:cs="Arial" w:eastAsia="Arial" w:hAnsi="Arial"/>
          <w:sz w:val="16"/>
          <w:szCs w:val="16"/>
          <w:color w:val="202E39"/>
        </w:rPr>
        <w:t>. Titles are provided herein for convenience only and are not to serve as a basis for interpretation or construction of this Plan.</w:t>
      </w:r>
    </w:p>
    <w:p>
      <w:pPr>
        <w:spacing w:after="0" w:line="113"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202E39"/>
        </w:rPr>
        <w:t xml:space="preserve">10.11 </w:t>
      </w:r>
      <w:r>
        <w:rPr>
          <w:rFonts w:ascii="Arial" w:cs="Arial" w:eastAsia="Arial" w:hAnsi="Arial"/>
          <w:sz w:val="16"/>
          <w:szCs w:val="16"/>
          <w:u w:val="single" w:color="auto"/>
          <w:color w:val="202E39"/>
        </w:rPr>
        <w:t>Governing Law</w:t>
      </w:r>
      <w:r>
        <w:rPr>
          <w:rFonts w:ascii="Arial" w:cs="Arial" w:eastAsia="Arial" w:hAnsi="Arial"/>
          <w:sz w:val="16"/>
          <w:szCs w:val="16"/>
          <w:color w:val="202E39"/>
        </w:rPr>
        <w:t>. This Plan and any agreements hereunder shall be administered, interpreted and enforced under the internal laws of the State of California without regard to conflicts of laws thereof.</w:t>
      </w:r>
    </w:p>
    <w:p>
      <w:pPr>
        <w:spacing w:after="0" w:line="87" w:lineRule="exact"/>
        <w:rPr>
          <w:sz w:val="20"/>
          <w:szCs w:val="20"/>
          <w:color w:val="auto"/>
        </w:rPr>
      </w:pPr>
    </w:p>
    <w:p>
      <w:pPr>
        <w:ind w:left="120" w:right="100"/>
        <w:spacing w:after="0" w:line="247" w:lineRule="auto"/>
        <w:rPr>
          <w:sz w:val="20"/>
          <w:szCs w:val="20"/>
          <w:color w:val="auto"/>
        </w:rPr>
      </w:pPr>
      <w:r>
        <w:rPr>
          <w:rFonts w:ascii="Arial" w:cs="Arial" w:eastAsia="Arial" w:hAnsi="Arial"/>
          <w:sz w:val="16"/>
          <w:szCs w:val="16"/>
          <w:color w:val="202E39"/>
        </w:rPr>
        <w:t xml:space="preserve">10.12 </w:t>
      </w:r>
      <w:r>
        <w:rPr>
          <w:rFonts w:ascii="Arial" w:cs="Arial" w:eastAsia="Arial" w:hAnsi="Arial"/>
          <w:sz w:val="16"/>
          <w:szCs w:val="16"/>
          <w:u w:val="single" w:color="auto"/>
          <w:color w:val="202E39"/>
        </w:rPr>
        <w:t>Section 409A</w:t>
      </w:r>
      <w:r>
        <w:rPr>
          <w:rFonts w:ascii="Arial" w:cs="Arial" w:eastAsia="Arial" w:hAnsi="Arial"/>
          <w:sz w:val="16"/>
          <w:szCs w:val="16"/>
          <w:color w:val="202E39"/>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104"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202E39"/>
        </w:rPr>
        <w:t xml:space="preserve">10.13 </w:t>
      </w:r>
      <w:r>
        <w:rPr>
          <w:rFonts w:ascii="Arial" w:cs="Arial" w:eastAsia="Arial" w:hAnsi="Arial"/>
          <w:sz w:val="16"/>
          <w:szCs w:val="16"/>
          <w:u w:val="single" w:color="auto"/>
          <w:color w:val="202E39"/>
        </w:rPr>
        <w:t>Award Vesting Limitations</w:t>
      </w:r>
      <w:r>
        <w:rPr>
          <w:rFonts w:ascii="Arial" w:cs="Arial" w:eastAsia="Arial" w:hAnsi="Arial"/>
          <w:sz w:val="16"/>
          <w:szCs w:val="16"/>
          <w:color w:val="202E39"/>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 </w:t>
      </w:r>
      <w:r>
        <w:rPr>
          <w:rFonts w:ascii="Arial" w:cs="Arial" w:eastAsia="Arial" w:hAnsi="Arial"/>
          <w:sz w:val="16"/>
          <w:szCs w:val="16"/>
          <w:u w:val="single" w:color="auto"/>
          <w:color w:val="202E39"/>
        </w:rPr>
        <w:t>however</w:t>
      </w:r>
      <w:r>
        <w:rPr>
          <w:rFonts w:ascii="Arial" w:cs="Arial" w:eastAsia="Arial" w:hAnsi="Arial"/>
          <w:sz w:val="16"/>
          <w:szCs w:val="16"/>
          <w:color w:val="202E39"/>
        </w:rPr>
        <w:t>, that, notwithstanding the foregoing, the minimum vesting requirement of this Section 10.13 shall not apply to: (a) any awards delivered in lieu of fully-vested cash-based awards under the Plan (or other fully-vested cash awards or payments), (b) any awards to Independent Directors for which the vesting period runs from the date of one annual meeting of the Company’s stockholders to the next annual meeting of the Company’s stockholders which is at least fifty (50) weeks after the immediately preceding year’s annual meeting, or (c) any other awards that result in the issuance of an aggregate of up to five percent (5%) of the shares of Common Stock available pursuant to Section 2.1(a) as of the Restatement Effective Date.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w:t>
      </w:r>
    </w:p>
    <w:p>
      <w:pPr>
        <w:spacing w:after="0" w:line="104"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 xml:space="preserve">10.14 </w:t>
      </w:r>
      <w:r>
        <w:rPr>
          <w:rFonts w:ascii="Arial" w:cs="Arial" w:eastAsia="Arial" w:hAnsi="Arial"/>
          <w:sz w:val="16"/>
          <w:szCs w:val="16"/>
          <w:u w:val="single" w:color="auto"/>
          <w:color w:val="202E39"/>
        </w:rPr>
        <w:t>Dividend Limitations</w:t>
      </w:r>
      <w:r>
        <w:rPr>
          <w:rFonts w:ascii="Arial" w:cs="Arial" w:eastAsia="Arial" w:hAnsi="Arial"/>
          <w:sz w:val="16"/>
          <w:szCs w:val="16"/>
          <w:color w:val="202E39"/>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368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A-18</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36"/>
          <w:szCs w:val="36"/>
          <w:color w:val="009FE3"/>
        </w:rPr>
        <w:t>APPENDIX B</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VIASAT, INC.</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202E39"/>
        </w:rPr>
        <w:t>EMPLOYEE STOCK PURCHASE PLAN</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02E39"/>
        </w:rPr>
        <w:t>(AS AMENDED AND RESTATED EFFECTIVE JULY 1, 2021)</w:t>
      </w:r>
    </w:p>
    <w:p>
      <w:pPr>
        <w:spacing w:after="0" w:line="132"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202E39"/>
        </w:rPr>
        <w:t>Viasat, Inc., a corporation organized under the laws of the State of Delaware (the “Company”), hereby adopts the Viasat, Inc. Employee Stock Purchase Plan (the “Plan”). The purposes of the Plan are as follows:</w:t>
      </w:r>
    </w:p>
    <w:p>
      <w:pPr>
        <w:spacing w:after="0" w:line="87" w:lineRule="exact"/>
        <w:rPr>
          <w:sz w:val="20"/>
          <w:szCs w:val="20"/>
          <w:color w:val="auto"/>
        </w:rPr>
      </w:pPr>
    </w:p>
    <w:p>
      <w:pPr>
        <w:ind w:left="360" w:hanging="244"/>
        <w:spacing w:after="0"/>
        <w:tabs>
          <w:tab w:leader="none" w:pos="360" w:val="left"/>
        </w:tabs>
        <w:numPr>
          <w:ilvl w:val="0"/>
          <w:numId w:val="83"/>
        </w:numPr>
        <w:rPr>
          <w:rFonts w:ascii="Arial" w:cs="Arial" w:eastAsia="Arial" w:hAnsi="Arial"/>
          <w:sz w:val="16"/>
          <w:szCs w:val="16"/>
          <w:color w:val="202E39"/>
        </w:rPr>
      </w:pPr>
      <w:r>
        <w:rPr>
          <w:rFonts w:ascii="Arial" w:cs="Arial" w:eastAsia="Arial" w:hAnsi="Arial"/>
          <w:sz w:val="16"/>
          <w:szCs w:val="16"/>
          <w:color w:val="202E39"/>
        </w:rPr>
        <w:t>To assist Employees of the Participating Companies in acquiring a stock ownership interest in the Company.</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83"/>
        </w:numPr>
        <w:rPr>
          <w:rFonts w:ascii="Arial" w:cs="Arial" w:eastAsia="Arial" w:hAnsi="Arial"/>
          <w:sz w:val="16"/>
          <w:szCs w:val="16"/>
          <w:color w:val="202E39"/>
        </w:rPr>
      </w:pPr>
      <w:r>
        <w:rPr>
          <w:rFonts w:ascii="Arial" w:cs="Arial" w:eastAsia="Arial" w:hAnsi="Arial"/>
          <w:sz w:val="16"/>
          <w:szCs w:val="16"/>
          <w:color w:val="202E39"/>
        </w:rPr>
        <w:t>To help Employees provide for their future security and to encourage them to remain in the employment of the Participating Companies.</w:t>
      </w:r>
    </w:p>
    <w:p>
      <w:pPr>
        <w:spacing w:after="0" w:line="113"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This Plan includes two components: a Code Section 423 Component (the “Section 423 Component”) and a non-Code Section 423 Component (the “Non-Section 423 Component”). It is the intention of the Company to have the Section 423 Component qualify as an “employee stock purchase plan” under Section 423 of the Code. The provisions of the Section 423 Component, accordingly, shall be construed so as to extend and limit participation on a uniform and nondiscriminatory basis consistent with the requirements of Section 423 of the Code. In addition, this Plan authorizes the grant of Options under the Non-Section 423 Component, which does not qualify as an “employee stock purchase plan” under Section 423 of the Code; such Options granted under the Non-Section 423 Component shall be granted pursuant to separate Offerings containing such sub-plans, appendices, rules or procedures as may be adopted by the Committee and designed to achieve tax, securities laws or other objectives for Eligible Employees and the Participating Companies in locations outside of the U.S. Except as otherwise provided herein, the Non-Section 423 Component will operate and be administered in the same manner as the Section 423 Component. Offerings intended to be made under the Non-Section 423 Component will be designated as such by the Committee at or prior to the time of such Offering.</w:t>
      </w:r>
    </w:p>
    <w:p>
      <w:pPr>
        <w:spacing w:after="0" w:line="97" w:lineRule="exact"/>
        <w:rPr>
          <w:sz w:val="20"/>
          <w:szCs w:val="20"/>
          <w:color w:val="auto"/>
        </w:rPr>
      </w:pPr>
    </w:p>
    <w:p>
      <w:pPr>
        <w:ind w:left="120" w:right="320"/>
        <w:spacing w:after="0" w:line="253" w:lineRule="auto"/>
        <w:rPr>
          <w:sz w:val="20"/>
          <w:szCs w:val="20"/>
          <w:color w:val="auto"/>
        </w:rPr>
      </w:pPr>
      <w:r>
        <w:rPr>
          <w:rFonts w:ascii="Arial" w:cs="Arial" w:eastAsia="Arial" w:hAnsi="Arial"/>
          <w:sz w:val="16"/>
          <w:szCs w:val="16"/>
          <w:color w:val="202E39"/>
        </w:rPr>
        <w:t>For purposes of this Plan, the Committee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 DEFINITIONS</w:t>
      </w:r>
    </w:p>
    <w:p>
      <w:pPr>
        <w:spacing w:after="0" w:line="124"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202E39"/>
        </w:rPr>
        <w:t>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w:t>
      </w:r>
    </w:p>
    <w:p>
      <w:pPr>
        <w:spacing w:after="0" w:line="87" w:lineRule="exact"/>
        <w:rPr>
          <w:sz w:val="20"/>
          <w:szCs w:val="20"/>
          <w:color w:val="auto"/>
        </w:rPr>
      </w:pPr>
    </w:p>
    <w:p>
      <w:pPr>
        <w:ind w:left="120" w:right="380" w:hanging="4"/>
        <w:spacing w:after="0" w:line="253" w:lineRule="auto"/>
        <w:tabs>
          <w:tab w:leader="none" w:pos="363"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“Affiliate” means (i) any entity that, directly or indirectly, is controlled by, controls or is under common control with, the Company or (ii) any entity in which the Company has a significant equity interest, in either case as determined by the Committee, whether now or hereafter existing (which, for avoidance of doubt, shall include any Subsidiary).</w:t>
      </w:r>
    </w:p>
    <w:p>
      <w:pPr>
        <w:spacing w:after="0" w:line="93" w:lineRule="exact"/>
        <w:rPr>
          <w:rFonts w:ascii="Arial" w:cs="Arial" w:eastAsia="Arial" w:hAnsi="Arial"/>
          <w:sz w:val="16"/>
          <w:szCs w:val="16"/>
          <w:color w:val="202E39"/>
        </w:rPr>
      </w:pPr>
    </w:p>
    <w:p>
      <w:pPr>
        <w:ind w:left="360" w:hanging="244"/>
        <w:spacing w:after="0"/>
        <w:tabs>
          <w:tab w:leader="none" w:pos="36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“Authorization” has the meaning assigned to that term in Section 3(b) hereof.</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“Board of Directors” or “Board” means the Board of Directors of the Company.</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“Code” means the U.S. Internal Revenue Code of 1986, as amended, and the U.S. Treasury Regulations thereunder.</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“Committee” means the committee appointed to administer the Plan pursuant to Section 12 hereof.</w:t>
      </w:r>
    </w:p>
    <w:p>
      <w:pPr>
        <w:spacing w:after="0" w:line="113" w:lineRule="exact"/>
        <w:rPr>
          <w:rFonts w:ascii="Arial" w:cs="Arial" w:eastAsia="Arial" w:hAnsi="Arial"/>
          <w:sz w:val="16"/>
          <w:szCs w:val="16"/>
          <w:color w:val="202E39"/>
        </w:rPr>
      </w:pPr>
    </w:p>
    <w:p>
      <w:pPr>
        <w:ind w:left="320" w:hanging="204"/>
        <w:spacing w:after="0"/>
        <w:tabs>
          <w:tab w:leader="none" w:pos="32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“Company” means Viasat, Inc., a Delaware corporation.</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“Eligible Compensation” means, with respect to any Offering Period, an Eligible Employee’s base pay or, for Participants in non-U.S. jurisdictions,</w:t>
      </w:r>
    </w:p>
    <w:p>
      <w:pPr>
        <w:spacing w:after="0" w:line="5" w:lineRule="exact"/>
        <w:rPr>
          <w:rFonts w:ascii="Arial" w:cs="Arial" w:eastAsia="Arial" w:hAnsi="Arial"/>
          <w:sz w:val="16"/>
          <w:szCs w:val="16"/>
          <w:color w:val="202E39"/>
        </w:rPr>
      </w:pPr>
    </w:p>
    <w:p>
      <w:pPr>
        <w:ind w:left="120" w:right="160"/>
        <w:spacing w:after="0" w:line="260" w:lineRule="auto"/>
        <w:rPr>
          <w:rFonts w:ascii="Arial" w:cs="Arial" w:eastAsia="Arial" w:hAnsi="Arial"/>
          <w:sz w:val="16"/>
          <w:szCs w:val="16"/>
          <w:color w:val="202E39"/>
        </w:rPr>
      </w:pPr>
      <w:r>
        <w:rPr>
          <w:rFonts w:ascii="Arial" w:cs="Arial" w:eastAsia="Arial" w:hAnsi="Arial"/>
          <w:sz w:val="16"/>
          <w:szCs w:val="16"/>
          <w:color w:val="202E39"/>
        </w:rPr>
        <w:t>equivalent amounts as determined by the Committee. The Committee, in its discretion, may, on a uniform and nondiscriminatory basis for each Offering, establish a different definition of Eligible Compensation on a prospective basis.</w:t>
      </w:r>
    </w:p>
    <w:p>
      <w:pPr>
        <w:spacing w:after="0" w:line="87" w:lineRule="exact"/>
        <w:rPr>
          <w:rFonts w:ascii="Arial" w:cs="Arial" w:eastAsia="Arial" w:hAnsi="Arial"/>
          <w:sz w:val="16"/>
          <w:szCs w:val="16"/>
          <w:color w:val="202E39"/>
        </w:rPr>
      </w:pPr>
    </w:p>
    <w:p>
      <w:pPr>
        <w:ind w:left="360" w:hanging="244"/>
        <w:spacing w:after="0"/>
        <w:tabs>
          <w:tab w:leader="none" w:pos="360"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“Eligible Employee” means:</w:t>
      </w:r>
    </w:p>
    <w:p>
      <w:pPr>
        <w:spacing w:after="0" w:line="113" w:lineRule="exact"/>
        <w:rPr>
          <w:rFonts w:ascii="Arial" w:cs="Arial" w:eastAsia="Arial" w:hAnsi="Arial"/>
          <w:sz w:val="16"/>
          <w:szCs w:val="16"/>
          <w:color w:val="202E39"/>
        </w:rPr>
      </w:pPr>
    </w:p>
    <w:p>
      <w:pPr>
        <w:ind w:left="560" w:right="120" w:hanging="4"/>
        <w:spacing w:after="0" w:line="253" w:lineRule="auto"/>
        <w:tabs>
          <w:tab w:leader="none" w:pos="749" w:val="left"/>
        </w:tabs>
        <w:numPr>
          <w:ilvl w:val="1"/>
          <w:numId w:val="84"/>
        </w:numPr>
        <w:rPr>
          <w:rFonts w:ascii="Arial" w:cs="Arial" w:eastAsia="Arial" w:hAnsi="Arial"/>
          <w:sz w:val="16"/>
          <w:szCs w:val="16"/>
          <w:color w:val="202E39"/>
        </w:rPr>
      </w:pPr>
      <w:r>
        <w:rPr>
          <w:rFonts w:ascii="Arial" w:cs="Arial" w:eastAsia="Arial" w:hAnsi="Arial"/>
          <w:sz w:val="16"/>
          <w:szCs w:val="16"/>
          <w:color w:val="202E39"/>
        </w:rPr>
        <w:t>an Employee (A) who does not, immediately after the Option is granted, own stock possessing five percent or more of the total combined voting power or value of all classes of stock of the Company, a Parent Corporation or a Subsidiary Corporation; and (B) who has been employed by a Participating Company for not less than five calendar days prior to a Grant Date (not including the Grant Date for purposes of such calculation).</w:t>
      </w:r>
    </w:p>
    <w:p>
      <w:pPr>
        <w:spacing w:after="0" w:line="119" w:lineRule="exact"/>
        <w:rPr>
          <w:sz w:val="20"/>
          <w:szCs w:val="20"/>
          <w:color w:val="auto"/>
        </w:rPr>
      </w:pPr>
    </w:p>
    <w:tbl>
      <w:tblPr>
        <w:tblLayout w:type="fixed"/>
        <w:tblInd w:w="89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B-1</w:t>
            </w:r>
          </w:p>
        </w:tc>
      </w:tr>
    </w:tbl>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560" w:right="40" w:hanging="4"/>
        <w:spacing w:after="0" w:line="253" w:lineRule="auto"/>
        <w:tabs>
          <w:tab w:leader="none" w:pos="785" w:val="left"/>
        </w:tabs>
        <w:numPr>
          <w:ilvl w:val="0"/>
          <w:numId w:val="85"/>
        </w:numPr>
        <w:rPr>
          <w:rFonts w:ascii="Arial" w:cs="Arial" w:eastAsia="Arial" w:hAnsi="Arial"/>
          <w:sz w:val="16"/>
          <w:szCs w:val="16"/>
          <w:color w:val="202E39"/>
        </w:rPr>
      </w:pPr>
      <w:r>
        <w:rPr>
          <w:rFonts w:ascii="Arial" w:cs="Arial" w:eastAsia="Arial" w:hAnsi="Arial"/>
          <w:sz w:val="16"/>
          <w:szCs w:val="16"/>
          <w:color w:val="202E39"/>
        </w:rPr>
        <w:t>For purposes of this paragraph (h),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93" w:lineRule="exact"/>
        <w:rPr>
          <w:rFonts w:ascii="Arial" w:cs="Arial" w:eastAsia="Arial" w:hAnsi="Arial"/>
          <w:sz w:val="16"/>
          <w:szCs w:val="16"/>
          <w:color w:val="202E39"/>
        </w:rPr>
      </w:pPr>
    </w:p>
    <w:p>
      <w:pPr>
        <w:ind w:left="820" w:hanging="264"/>
        <w:spacing w:after="0"/>
        <w:tabs>
          <w:tab w:leader="none" w:pos="820" w:val="left"/>
        </w:tabs>
        <w:numPr>
          <w:ilvl w:val="0"/>
          <w:numId w:val="85"/>
        </w:numPr>
        <w:rPr>
          <w:rFonts w:ascii="Arial" w:cs="Arial" w:eastAsia="Arial" w:hAnsi="Arial"/>
          <w:sz w:val="16"/>
          <w:szCs w:val="16"/>
          <w:color w:val="202E39"/>
        </w:rPr>
      </w:pPr>
      <w:r>
        <w:rPr>
          <w:rFonts w:ascii="Arial" w:cs="Arial" w:eastAsia="Arial" w:hAnsi="Arial"/>
          <w:sz w:val="16"/>
          <w:szCs w:val="16"/>
          <w:color w:val="202E39"/>
        </w:rPr>
        <w:t>Notwithstanding the foregoing, the Committee may exclude from participation in the Plan or any Offering as an Eligible Employee:</w:t>
      </w:r>
    </w:p>
    <w:p>
      <w:pPr>
        <w:spacing w:after="0" w:line="113" w:lineRule="exact"/>
        <w:rPr>
          <w:sz w:val="20"/>
          <w:szCs w:val="20"/>
          <w:color w:val="auto"/>
        </w:rPr>
      </w:pPr>
    </w:p>
    <w:p>
      <w:pPr>
        <w:ind w:left="1000"/>
        <w:spacing w:after="0"/>
        <w:rPr>
          <w:sz w:val="20"/>
          <w:szCs w:val="20"/>
          <w:color w:val="auto"/>
        </w:rPr>
      </w:pPr>
      <w:r>
        <w:rPr>
          <w:rFonts w:ascii="Arial" w:cs="Arial" w:eastAsia="Arial" w:hAnsi="Arial"/>
          <w:sz w:val="16"/>
          <w:szCs w:val="16"/>
          <w:color w:val="202E39"/>
        </w:rPr>
        <w:t>(A) any Employee that is a “highly compensated employee” of the Company or any Participating Company (within the meaning of</w:t>
      </w:r>
    </w:p>
    <w:p>
      <w:pPr>
        <w:spacing w:after="0" w:line="5" w:lineRule="exact"/>
        <w:rPr>
          <w:sz w:val="20"/>
          <w:szCs w:val="20"/>
          <w:color w:val="auto"/>
        </w:rPr>
      </w:pPr>
    </w:p>
    <w:p>
      <w:pPr>
        <w:ind w:left="1000" w:right="140"/>
        <w:spacing w:after="0" w:line="260" w:lineRule="auto"/>
        <w:rPr>
          <w:sz w:val="20"/>
          <w:szCs w:val="20"/>
          <w:color w:val="auto"/>
        </w:rPr>
      </w:pPr>
      <w:r>
        <w:rPr>
          <w:rFonts w:ascii="Arial" w:cs="Arial" w:eastAsia="Arial" w:hAnsi="Arial"/>
          <w:sz w:val="16"/>
          <w:szCs w:val="16"/>
          <w:color w:val="202E39"/>
        </w:rPr>
        <w:t>Section 414(q) of the Code), or that is such a “highly compensated employee” (1) with compensation above a specified level, (2) who is an officer and/or (3) is subject to the disclosure requirements of Section 16(a) of the Exchange Act, and/or</w:t>
      </w:r>
    </w:p>
    <w:p>
      <w:pPr>
        <w:spacing w:after="0" w:line="87" w:lineRule="exact"/>
        <w:rPr>
          <w:sz w:val="20"/>
          <w:szCs w:val="20"/>
          <w:color w:val="auto"/>
        </w:rPr>
      </w:pPr>
    </w:p>
    <w:p>
      <w:pPr>
        <w:ind w:left="1000" w:hanging="3"/>
        <w:spacing w:after="0" w:line="249" w:lineRule="auto"/>
        <w:tabs>
          <w:tab w:leader="none" w:pos="1261" w:val="left"/>
        </w:tabs>
        <w:numPr>
          <w:ilvl w:val="1"/>
          <w:numId w:val="86"/>
        </w:numPr>
        <w:rPr>
          <w:rFonts w:ascii="Arial" w:cs="Arial" w:eastAsia="Arial" w:hAnsi="Arial"/>
          <w:sz w:val="16"/>
          <w:szCs w:val="16"/>
          <w:color w:val="202E39"/>
        </w:rPr>
      </w:pPr>
      <w:r>
        <w:rPr>
          <w:rFonts w:ascii="Arial" w:cs="Arial" w:eastAsia="Arial" w:hAnsi="Arial"/>
          <w:sz w:val="16"/>
          <w:szCs w:val="16"/>
          <w:color w:val="202E39"/>
        </w:rPr>
        <w:t xml:space="preserve">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 </w:t>
      </w:r>
      <w:r>
        <w:rPr>
          <w:rFonts w:ascii="Arial" w:cs="Arial" w:eastAsia="Arial" w:hAnsi="Arial"/>
          <w:sz w:val="16"/>
          <w:szCs w:val="16"/>
          <w:i w:val="1"/>
          <w:iCs w:val="1"/>
          <w:color w:val="202E39"/>
        </w:rPr>
        <w:t>provided</w:t>
      </w:r>
      <w:r>
        <w:rPr>
          <w:rFonts w:ascii="Arial" w:cs="Arial" w:eastAsia="Arial" w:hAnsi="Arial"/>
          <w:sz w:val="16"/>
          <w:szCs w:val="16"/>
          <w:color w:val="202E39"/>
        </w:rPr>
        <w:t xml:space="preserve"> that any exclusion in clauses (A), and/or (B) shall be applied in an identical manner under each Offering to all Employees of the Participating Companies in such Offering, in accordance with Treasury Regulation Section 1.423-2(e).</w:t>
      </w:r>
    </w:p>
    <w:p>
      <w:pPr>
        <w:spacing w:after="0" w:line="96" w:lineRule="exact"/>
        <w:rPr>
          <w:rFonts w:ascii="Arial" w:cs="Arial" w:eastAsia="Arial" w:hAnsi="Arial"/>
          <w:sz w:val="16"/>
          <w:szCs w:val="16"/>
          <w:color w:val="202E39"/>
        </w:rPr>
      </w:pPr>
    </w:p>
    <w:p>
      <w:pPr>
        <w:ind w:left="820" w:hanging="264"/>
        <w:spacing w:after="0"/>
        <w:tabs>
          <w:tab w:leader="none" w:pos="820"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With respect to the Non-Section 423 Component, all of the foregoing rules shall apply in determining who is an “Eligible Employee,” except</w:t>
      </w:r>
    </w:p>
    <w:p>
      <w:pPr>
        <w:spacing w:after="0" w:line="5" w:lineRule="exact"/>
        <w:rPr>
          <w:sz w:val="20"/>
          <w:szCs w:val="20"/>
          <w:color w:val="auto"/>
        </w:rPr>
      </w:pPr>
    </w:p>
    <w:p>
      <w:pPr>
        <w:ind w:left="560" w:right="60" w:hanging="4"/>
        <w:spacing w:after="0" w:line="260" w:lineRule="auto"/>
        <w:tabs>
          <w:tab w:leader="none" w:pos="821" w:val="left"/>
        </w:tabs>
        <w:numPr>
          <w:ilvl w:val="1"/>
          <w:numId w:val="88"/>
        </w:numPr>
        <w:rPr>
          <w:rFonts w:ascii="Arial" w:cs="Arial" w:eastAsia="Arial" w:hAnsi="Arial"/>
          <w:sz w:val="16"/>
          <w:szCs w:val="16"/>
          <w:color w:val="202E39"/>
        </w:rPr>
      </w:pPr>
      <w:r>
        <w:rPr>
          <w:rFonts w:ascii="Arial" w:cs="Arial" w:eastAsia="Arial" w:hAnsi="Arial"/>
          <w:sz w:val="16"/>
          <w:szCs w:val="16"/>
          <w:color w:val="202E39"/>
        </w:rPr>
        <w:t>the Committee may limit eligibility further within a Participating Company so as to only designate some Employees of a Participating Company as Eligible Employees, and (B) to the extent the foregoing eligibility rules are not consistent with applicable local laws.</w:t>
      </w:r>
    </w:p>
    <w:p>
      <w:pPr>
        <w:spacing w:after="0" w:line="87" w:lineRule="exact"/>
        <w:rPr>
          <w:rFonts w:ascii="Arial" w:cs="Arial" w:eastAsia="Arial" w:hAnsi="Arial"/>
          <w:sz w:val="16"/>
          <w:szCs w:val="16"/>
          <w:color w:val="202E39"/>
        </w:rPr>
      </w:pPr>
    </w:p>
    <w:p>
      <w:pPr>
        <w:ind w:left="120" w:right="40" w:hanging="4"/>
        <w:spacing w:after="0" w:line="248" w:lineRule="auto"/>
        <w:tabs>
          <w:tab w:leader="none" w:pos="309"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“Employee” means an individual who renders services to a Participating Company in the status of an employee within the meaning of Section 3401(c) of the Code. “Employee”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w:t>
      </w:r>
    </w:p>
    <w:p>
      <w:pPr>
        <w:spacing w:after="0" w:line="99" w:lineRule="exact"/>
        <w:rPr>
          <w:rFonts w:ascii="Arial" w:cs="Arial" w:eastAsia="Arial" w:hAnsi="Arial"/>
          <w:sz w:val="16"/>
          <w:szCs w:val="16"/>
          <w:color w:val="202E39"/>
        </w:rPr>
      </w:pPr>
    </w:p>
    <w:p>
      <w:pPr>
        <w:ind w:left="300" w:hanging="184"/>
        <w:spacing w:after="0"/>
        <w:tabs>
          <w:tab w:leader="none" w:pos="300"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“Exchange Act” means the U.S. Securities Exchange Act of 1934, as amended.</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“Exercise Date” means, with respect to any Option, the last Trading Day of the Offering Period for which the Option was granted.</w:t>
      </w:r>
    </w:p>
    <w:p>
      <w:pPr>
        <w:spacing w:after="0" w:line="113" w:lineRule="exact"/>
        <w:rPr>
          <w:rFonts w:ascii="Arial" w:cs="Arial" w:eastAsia="Arial" w:hAnsi="Arial"/>
          <w:sz w:val="16"/>
          <w:szCs w:val="16"/>
          <w:color w:val="202E39"/>
        </w:rPr>
      </w:pPr>
    </w:p>
    <w:p>
      <w:pPr>
        <w:ind w:left="120" w:right="40" w:hanging="4"/>
        <w:spacing w:after="0" w:line="253" w:lineRule="auto"/>
        <w:tabs>
          <w:tab w:leader="none" w:pos="309"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“Fair Market Value” of a share of Stock as of a given date means the closing price of a share of Stock on the principal exchange on which the Stock is then trading, including, without limitation, The Nasdaq Stock Market, if any, on such date, or, if shares were not traded on such date, then on the most recent trading day during which a sale occurred.</w:t>
      </w:r>
    </w:p>
    <w:p>
      <w:pPr>
        <w:spacing w:after="0" w:line="93" w:lineRule="exact"/>
        <w:rPr>
          <w:rFonts w:ascii="Arial" w:cs="Arial" w:eastAsia="Arial" w:hAnsi="Arial"/>
          <w:sz w:val="16"/>
          <w:szCs w:val="16"/>
          <w:color w:val="202E39"/>
        </w:rPr>
      </w:pPr>
    </w:p>
    <w:p>
      <w:pPr>
        <w:ind w:left="400" w:hanging="284"/>
        <w:spacing w:after="0"/>
        <w:tabs>
          <w:tab w:leader="none" w:pos="400"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“Grant Date” means, with respect to any Option, the date upon which the Option is granted, as set forth in Section 3(a) hereof.</w:t>
      </w:r>
    </w:p>
    <w:p>
      <w:pPr>
        <w:spacing w:after="0" w:line="113" w:lineRule="exact"/>
        <w:rPr>
          <w:rFonts w:ascii="Arial" w:cs="Arial" w:eastAsia="Arial" w:hAnsi="Arial"/>
          <w:sz w:val="16"/>
          <w:szCs w:val="16"/>
          <w:color w:val="202E39"/>
        </w:rPr>
      </w:pPr>
    </w:p>
    <w:p>
      <w:pPr>
        <w:ind w:left="120" w:hanging="4"/>
        <w:spacing w:after="0" w:line="253" w:lineRule="auto"/>
        <w:tabs>
          <w:tab w:leader="none" w:pos="363"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“Non-Section 423 Component” means the sub-plans, appendices, rules or procedures, if any, adopted by the Committee as a part of this Plan, pursuant to which Options that do not satisfy the requirements for “employee stock purchase plans” that are set forth under Section 423 of the Code may be granted pursuant to Offerings to non-U.S. Eligible Employees.</w:t>
      </w:r>
    </w:p>
    <w:p>
      <w:pPr>
        <w:spacing w:after="0" w:line="93" w:lineRule="exact"/>
        <w:rPr>
          <w:rFonts w:ascii="Arial" w:cs="Arial" w:eastAsia="Arial" w:hAnsi="Arial"/>
          <w:sz w:val="16"/>
          <w:szCs w:val="16"/>
          <w:color w:val="202E39"/>
        </w:rPr>
      </w:pPr>
    </w:p>
    <w:p>
      <w:pPr>
        <w:ind w:left="120" w:right="100" w:hanging="4"/>
        <w:spacing w:after="0" w:line="249" w:lineRule="auto"/>
        <w:tabs>
          <w:tab w:leader="none" w:pos="363"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“Offering” means an offer under the Plan of an Option that may be exercised during an Offering Period as further described in Sections 3 and 4.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(a)(3).</w:t>
      </w:r>
    </w:p>
    <w:p>
      <w:pPr>
        <w:spacing w:after="0" w:line="96" w:lineRule="exact"/>
        <w:rPr>
          <w:rFonts w:ascii="Arial" w:cs="Arial" w:eastAsia="Arial" w:hAnsi="Arial"/>
          <w:sz w:val="16"/>
          <w:szCs w:val="16"/>
          <w:color w:val="202E39"/>
        </w:rPr>
      </w:pPr>
    </w:p>
    <w:p>
      <w:pPr>
        <w:ind w:left="120" w:right="20" w:hanging="4"/>
        <w:spacing w:after="0" w:line="251" w:lineRule="auto"/>
        <w:tabs>
          <w:tab w:leader="none" w:pos="363"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“Offering Period” means the six-month periods commencing January 1 and July 1 of each Plan Year as specified in Section 3(a) hereof or such other dates which are six months apart as determined by the Committee. Options shall be granted on the Grant Date and exercised on the Exercise Date as provided in Sections 3(a) and 4(a) hereof. The Committee may establish a different duration for one or more Offering Periods or different commencing or ending dates for such Offering Periods; provided, however, that no Offering Period may have a duration exceeding 27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84455</wp:posOffset>
            </wp:positionV>
            <wp:extent cx="4368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B-2</w:t>
      </w:r>
    </w:p>
    <w:p>
      <w:pPr>
        <w:sectPr>
          <w:pgSz w:w="11900" w:h="16838" w:orient="portrait"/>
          <w:cols w:equalWidth="0" w:num="1">
            <w:col w:w="11040"/>
          </w:cols>
          <w:pgMar w:left="32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360" w:hanging="244"/>
        <w:spacing w:after="0"/>
        <w:tabs>
          <w:tab w:leader="none" w:pos="360"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“Option” means an option granted under the Plan to an Eligible Employee to purchase shares of the Company’s Stock.</w:t>
      </w:r>
    </w:p>
    <w:p>
      <w:pPr>
        <w:spacing w:after="0" w:line="113" w:lineRule="exact"/>
        <w:rPr>
          <w:rFonts w:ascii="Arial" w:cs="Arial" w:eastAsia="Arial" w:hAnsi="Arial"/>
          <w:sz w:val="16"/>
          <w:szCs w:val="16"/>
          <w:color w:val="202E39"/>
        </w:rPr>
      </w:pPr>
    </w:p>
    <w:p>
      <w:pPr>
        <w:ind w:left="320" w:hanging="204"/>
        <w:spacing w:after="0"/>
        <w:tabs>
          <w:tab w:leader="none" w:pos="320"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“Option Price” has the meaning set forth in Section 4(b) hereof.</w:t>
      </w:r>
    </w:p>
    <w:p>
      <w:pPr>
        <w:spacing w:after="0" w:line="113" w:lineRule="exact"/>
        <w:rPr>
          <w:rFonts w:ascii="Arial" w:cs="Arial" w:eastAsia="Arial" w:hAnsi="Arial"/>
          <w:sz w:val="16"/>
          <w:szCs w:val="16"/>
          <w:color w:val="202E39"/>
        </w:rPr>
      </w:pPr>
    </w:p>
    <w:p>
      <w:pPr>
        <w:jc w:val="both"/>
        <w:ind w:left="120" w:right="20" w:hanging="4"/>
        <w:spacing w:after="0" w:line="253" w:lineRule="auto"/>
        <w:tabs>
          <w:tab w:leader="none" w:pos="354"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93" w:lineRule="exact"/>
        <w:rPr>
          <w:rFonts w:ascii="Arial" w:cs="Arial" w:eastAsia="Arial" w:hAnsi="Arial"/>
          <w:sz w:val="16"/>
          <w:szCs w:val="16"/>
          <w:color w:val="202E39"/>
        </w:rPr>
      </w:pPr>
    </w:p>
    <w:p>
      <w:pPr>
        <w:ind w:left="320" w:hanging="204"/>
        <w:spacing w:after="0"/>
        <w:tabs>
          <w:tab w:leader="none" w:pos="320"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“Participant” means an Eligible Employee who has complied with the provisions of Section 3(b) hereof.</w:t>
      </w:r>
    </w:p>
    <w:p>
      <w:pPr>
        <w:spacing w:after="0" w:line="113" w:lineRule="exact"/>
        <w:rPr>
          <w:rFonts w:ascii="Arial" w:cs="Arial" w:eastAsia="Arial" w:hAnsi="Arial"/>
          <w:sz w:val="16"/>
          <w:szCs w:val="16"/>
          <w:color w:val="202E39"/>
        </w:rPr>
      </w:pPr>
    </w:p>
    <w:p>
      <w:pPr>
        <w:ind w:left="120" w:right="60" w:hanging="4"/>
        <w:spacing w:after="0" w:line="250" w:lineRule="auto"/>
        <w:tabs>
          <w:tab w:leader="none" w:pos="363"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“Participating Company” means the Company and such present or future Subsidiary Corporations or Affiliates of the Company as the Board of Directors or the Committee shall from time to time designate; provided, however, that at any given time, a Subsidiary that is a Participating Company in the Section 423 Component will not be a Participating Company in the Non-Section 423 Component. The designation by the Committee of Participating Companies and changes in such designations by the Committee shall not require stockholder approval. Only Subsidiary Corporations may be designated as Participating Companies for purposes of the Section 423 Component.</w:t>
      </w:r>
    </w:p>
    <w:p>
      <w:pPr>
        <w:spacing w:after="0" w:line="94" w:lineRule="exact"/>
        <w:rPr>
          <w:rFonts w:ascii="Arial" w:cs="Arial" w:eastAsia="Arial" w:hAnsi="Arial"/>
          <w:sz w:val="16"/>
          <w:szCs w:val="16"/>
          <w:color w:val="202E39"/>
        </w:rPr>
      </w:pPr>
    </w:p>
    <w:p>
      <w:pPr>
        <w:ind w:left="120" w:right="880" w:hanging="4"/>
        <w:spacing w:after="0" w:line="260" w:lineRule="auto"/>
        <w:tabs>
          <w:tab w:leader="none" w:pos="354"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“Participating Company Group” means, at any point in time, the Company and all other Subsidiary Corporations or Affiliates which are then Participating Companies.</w:t>
      </w:r>
    </w:p>
    <w:p>
      <w:pPr>
        <w:spacing w:after="0" w:line="87" w:lineRule="exact"/>
        <w:rPr>
          <w:rFonts w:ascii="Arial" w:cs="Arial" w:eastAsia="Arial" w:hAnsi="Arial"/>
          <w:sz w:val="16"/>
          <w:szCs w:val="16"/>
          <w:color w:val="202E39"/>
        </w:rPr>
      </w:pPr>
    </w:p>
    <w:p>
      <w:pPr>
        <w:ind w:left="120" w:right="420" w:hanging="4"/>
        <w:spacing w:after="0" w:line="260" w:lineRule="auto"/>
        <w:tabs>
          <w:tab w:leader="none" w:pos="390"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“Payday” means the regular and recurring established day for payment of cash compensation to Employees of the Company or any Participating Company.</w:t>
      </w:r>
    </w:p>
    <w:p>
      <w:pPr>
        <w:spacing w:after="0" w:line="87" w:lineRule="exact"/>
        <w:rPr>
          <w:rFonts w:ascii="Arial" w:cs="Arial" w:eastAsia="Arial" w:hAnsi="Arial"/>
          <w:sz w:val="16"/>
          <w:szCs w:val="16"/>
          <w:color w:val="202E39"/>
        </w:rPr>
      </w:pPr>
    </w:p>
    <w:p>
      <w:pPr>
        <w:ind w:left="120" w:right="220" w:hanging="4"/>
        <w:spacing w:after="0" w:line="260" w:lineRule="auto"/>
        <w:tabs>
          <w:tab w:leader="none" w:pos="354"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“Plan” means the Viasat, Inc. Employee Stock Purchase Plan, including both the Section 423 Component and the Non-Section 423 Component and any other sub-plans or appendices hereto, as amended and restated.</w:t>
      </w:r>
    </w:p>
    <w:p>
      <w:pPr>
        <w:spacing w:after="0" w:line="87" w:lineRule="exact"/>
        <w:rPr>
          <w:rFonts w:ascii="Arial" w:cs="Arial" w:eastAsia="Arial" w:hAnsi="Arial"/>
          <w:sz w:val="16"/>
          <w:szCs w:val="16"/>
          <w:color w:val="202E39"/>
        </w:rPr>
      </w:pPr>
    </w:p>
    <w:p>
      <w:pPr>
        <w:ind w:left="360" w:hanging="244"/>
        <w:spacing w:after="0"/>
        <w:tabs>
          <w:tab w:leader="none" w:pos="360"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“Plan Year” means the calendar year.</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“Section 423 Component” means those Offerings under the Plan that are intended to meet the requirements set forth in Section 423(b) of the Code.</w:t>
      </w:r>
    </w:p>
    <w:p>
      <w:pPr>
        <w:spacing w:after="0" w:line="113" w:lineRule="exact"/>
        <w:rPr>
          <w:sz w:val="20"/>
          <w:szCs w:val="20"/>
          <w:color w:val="auto"/>
        </w:rPr>
      </w:pPr>
    </w:p>
    <w:p>
      <w:pPr>
        <w:ind w:left="440" w:hanging="324"/>
        <w:spacing w:after="0"/>
        <w:tabs>
          <w:tab w:leader="none" w:pos="440"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“Stock” means the Company’s common stock, $0.0001 par value.</w:t>
      </w:r>
    </w:p>
    <w:p>
      <w:pPr>
        <w:spacing w:after="0" w:line="113" w:lineRule="exact"/>
        <w:rPr>
          <w:rFonts w:ascii="Arial" w:cs="Arial" w:eastAsia="Arial" w:hAnsi="Arial"/>
          <w:sz w:val="16"/>
          <w:szCs w:val="16"/>
          <w:color w:val="202E39"/>
        </w:rPr>
      </w:pPr>
    </w:p>
    <w:p>
      <w:pPr>
        <w:ind w:left="120" w:right="140" w:hanging="4"/>
        <w:spacing w:after="0" w:line="253" w:lineRule="auto"/>
        <w:tabs>
          <w:tab w:leader="none" w:pos="453"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“Subsidiary Corporation” means any corporation, other than the Company, in an unbroken chain of corporations 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w:t>
      </w:r>
    </w:p>
    <w:p>
      <w:pPr>
        <w:spacing w:after="0" w:line="93" w:lineRule="exact"/>
        <w:rPr>
          <w:rFonts w:ascii="Arial" w:cs="Arial" w:eastAsia="Arial" w:hAnsi="Arial"/>
          <w:sz w:val="16"/>
          <w:szCs w:val="16"/>
          <w:color w:val="202E39"/>
        </w:rPr>
      </w:pPr>
    </w:p>
    <w:p>
      <w:pPr>
        <w:ind w:left="440" w:hanging="324"/>
        <w:spacing w:after="0"/>
        <w:tabs>
          <w:tab w:leader="none" w:pos="440"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“Termination Date” means the date a Participant ceases to be an Eligible Employee.</w:t>
      </w:r>
    </w:p>
    <w:p>
      <w:pPr>
        <w:spacing w:after="0" w:line="113" w:lineRule="exact"/>
        <w:rPr>
          <w:rFonts w:ascii="Arial" w:cs="Arial" w:eastAsia="Arial" w:hAnsi="Arial"/>
          <w:sz w:val="16"/>
          <w:szCs w:val="16"/>
          <w:color w:val="202E39"/>
        </w:rPr>
      </w:pPr>
    </w:p>
    <w:p>
      <w:pPr>
        <w:ind w:left="440" w:hanging="324"/>
        <w:spacing w:after="0"/>
        <w:tabs>
          <w:tab w:leader="none" w:pos="440"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“Trading Day” means a day on which the national stock exchange upon which the Stock is listed is open for trading.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 STOCK SUBJECT TO THE PLAN</w:t>
      </w:r>
    </w:p>
    <w:p>
      <w:pPr>
        <w:spacing w:after="0" w:line="124" w:lineRule="exact"/>
        <w:rPr>
          <w:sz w:val="20"/>
          <w:szCs w:val="20"/>
          <w:color w:val="auto"/>
        </w:rPr>
      </w:pPr>
    </w:p>
    <w:p>
      <w:pPr>
        <w:ind w:left="120" w:right="120"/>
        <w:spacing w:after="0" w:line="249" w:lineRule="auto"/>
        <w:rPr>
          <w:sz w:val="20"/>
          <w:szCs w:val="20"/>
          <w:color w:val="auto"/>
        </w:rPr>
      </w:pPr>
      <w:r>
        <w:rPr>
          <w:rFonts w:ascii="Arial" w:cs="Arial" w:eastAsia="Arial" w:hAnsi="Arial"/>
          <w:sz w:val="16"/>
          <w:szCs w:val="16"/>
          <w:color w:val="202E39"/>
        </w:rPr>
        <w:t>Subject to the provisions of Section 9 hereof (relating to adjustments upon changes in the Stock) and Section 11 hereof (relating to amendments of the Plan), the Stock which may be sold pursuant to Options granted under the Plan shall not exceed in the aggregate 6,950,000 shares, and may be unissued shares or treasury shares or shares bought on the market for purposes of the Plan. These 6,950,000 shares include shares that were available but not used under the prior version of this Plan (i.e., the Viasat, Inc. Employee Stock Purchase Plan as amended and restated effective September 4, 2019 (the “</w:t>
      </w:r>
      <w:r>
        <w:rPr>
          <w:rFonts w:ascii="Arial" w:cs="Arial" w:eastAsia="Arial" w:hAnsi="Arial"/>
          <w:sz w:val="16"/>
          <w:szCs w:val="16"/>
          <w:u w:val="single" w:color="auto"/>
          <w:color w:val="202E39"/>
        </w:rPr>
        <w:t>Existing Plan</w:t>
      </w:r>
      <w:r>
        <w:rPr>
          <w:rFonts w:ascii="Arial" w:cs="Arial" w:eastAsia="Arial" w:hAnsi="Arial"/>
          <w:sz w:val="16"/>
          <w:szCs w:val="16"/>
          <w:color w:val="202E39"/>
        </w:rPr>
        <w:t>”)) as well as 2,500,000 additional shares that were made available for issuance for the first time as part of this amended and restated Plan. All or any portion of such maximum number of shares may be issued under the Section 423 Component.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3. GRANT OF OPTIONS</w:t>
      </w:r>
    </w:p>
    <w:p>
      <w:pPr>
        <w:spacing w:after="0" w:line="124" w:lineRule="exact"/>
        <w:rPr>
          <w:sz w:val="20"/>
          <w:szCs w:val="20"/>
          <w:color w:val="auto"/>
        </w:rPr>
      </w:pPr>
    </w:p>
    <w:p>
      <w:pPr>
        <w:ind w:left="120" w:right="100" w:hanging="4"/>
        <w:spacing w:after="0" w:line="246" w:lineRule="auto"/>
        <w:tabs>
          <w:tab w:leader="none" w:pos="363" w:val="left"/>
        </w:tabs>
        <w:numPr>
          <w:ilvl w:val="0"/>
          <w:numId w:val="92"/>
        </w:numPr>
        <w:rPr>
          <w:rFonts w:ascii="Arial" w:cs="Arial" w:eastAsia="Arial" w:hAnsi="Arial"/>
          <w:sz w:val="16"/>
          <w:szCs w:val="16"/>
          <w:color w:val="202E39"/>
        </w:rPr>
      </w:pPr>
      <w:r>
        <w:rPr>
          <w:rFonts w:ascii="Arial" w:cs="Arial" w:eastAsia="Arial" w:hAnsi="Arial"/>
          <w:sz w:val="16"/>
          <w:szCs w:val="16"/>
          <w:u w:val="single" w:color="auto"/>
          <w:color w:val="202E39"/>
        </w:rPr>
        <w:t>General Statement</w:t>
      </w:r>
      <w:r>
        <w:rPr>
          <w:rFonts w:ascii="Arial" w:cs="Arial" w:eastAsia="Arial" w:hAnsi="Arial"/>
          <w:sz w:val="16"/>
          <w:szCs w:val="16"/>
          <w:color w:val="202E39"/>
        </w:rPr>
        <w:t>.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subsection (b) hereof for the Offering Period (or, if applicable, the contributions by each Participant in accordance with subsection (d) or</w:t>
      </w:r>
    </w:p>
    <w:p>
      <w:pPr>
        <w:spacing w:after="0" w:line="1" w:lineRule="exact"/>
        <w:rPr>
          <w:rFonts w:ascii="Arial" w:cs="Arial" w:eastAsia="Arial" w:hAnsi="Arial"/>
          <w:sz w:val="16"/>
          <w:szCs w:val="16"/>
          <w:color w:val="202E39"/>
        </w:rPr>
      </w:pPr>
    </w:p>
    <w:p>
      <w:pPr>
        <w:ind w:left="120" w:right="40" w:hanging="4"/>
        <w:spacing w:after="0" w:line="249" w:lineRule="auto"/>
        <w:tabs>
          <w:tab w:leader="none" w:pos="363" w:val="left"/>
        </w:tabs>
        <w:numPr>
          <w:ilvl w:val="0"/>
          <w:numId w:val="93"/>
        </w:numPr>
        <w:rPr>
          <w:rFonts w:ascii="Arial" w:cs="Arial" w:eastAsia="Arial" w:hAnsi="Arial"/>
          <w:sz w:val="16"/>
          <w:szCs w:val="16"/>
          <w:color w:val="202E39"/>
        </w:rPr>
      </w:pPr>
      <w:r>
        <w:rPr>
          <w:rFonts w:ascii="Arial" w:cs="Arial" w:eastAsia="Arial" w:hAnsi="Arial"/>
          <w:sz w:val="16"/>
          <w:szCs w:val="16"/>
          <w:color w:val="202E39"/>
        </w:rPr>
        <w:t>hereof), divided by the Option Price, except with respect to fractional shares as provided in Section 4(a); provided, however, that the maximum number of shares subject to any Option shall not exceed 100,000.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without any interest thereon, unless otherwise required by local law for Participants in non-U.S. jurisdictions. Further, the Committee may limit the number or value of the shares of Stock made available for purchase in a qualified period (e.g., 12 month period) by Participants in specified countries or working for specified Participating Companies, if necessary to avoid</w:t>
      </w:r>
    </w:p>
    <w:p>
      <w:pPr>
        <w:spacing w:after="0" w:line="122" w:lineRule="exact"/>
        <w:rPr>
          <w:sz w:val="20"/>
          <w:szCs w:val="20"/>
          <w:color w:val="auto"/>
        </w:rPr>
      </w:pPr>
    </w:p>
    <w:tbl>
      <w:tblPr>
        <w:tblLayout w:type="fixed"/>
        <w:tblInd w:w="89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B-3</w:t>
            </w: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6"/>
          <w:szCs w:val="16"/>
          <w:color w:val="202E39"/>
        </w:rPr>
        <w:t>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w:t>
      </w:r>
    </w:p>
    <w:p>
      <w:pPr>
        <w:spacing w:after="0" w:line="93" w:lineRule="exact"/>
        <w:rPr>
          <w:sz w:val="20"/>
          <w:szCs w:val="20"/>
          <w:color w:val="auto"/>
        </w:rPr>
      </w:pPr>
    </w:p>
    <w:p>
      <w:pPr>
        <w:ind w:left="120" w:hanging="4"/>
        <w:spacing w:after="0" w:line="248" w:lineRule="auto"/>
        <w:tabs>
          <w:tab w:leader="none" w:pos="363" w:val="left"/>
        </w:tabs>
        <w:numPr>
          <w:ilvl w:val="0"/>
          <w:numId w:val="94"/>
        </w:numPr>
        <w:rPr>
          <w:rFonts w:ascii="Arial" w:cs="Arial" w:eastAsia="Arial" w:hAnsi="Arial"/>
          <w:sz w:val="16"/>
          <w:szCs w:val="16"/>
          <w:color w:val="202E39"/>
        </w:rPr>
      </w:pPr>
      <w:r>
        <w:rPr>
          <w:rFonts w:ascii="Arial" w:cs="Arial" w:eastAsia="Arial" w:hAnsi="Arial"/>
          <w:sz w:val="16"/>
          <w:szCs w:val="16"/>
          <w:u w:val="single" w:color="auto"/>
          <w:color w:val="202E39"/>
        </w:rPr>
        <w:t>Election to Participate; Payroll Deduction Authorization</w:t>
      </w:r>
      <w:r>
        <w:rPr>
          <w:rFonts w:ascii="Arial" w:cs="Arial" w:eastAsia="Arial" w:hAnsi="Arial"/>
          <w:sz w:val="16"/>
          <w:szCs w:val="16"/>
          <w:color w:val="202E39"/>
        </w:rPr>
        <w:t>. Except as provided in subsection (d) or (e) hereof, an Eligible Employee shall participate in the Plan only by means of payroll deduction. Each Eligible Employee who elects to participate in the Plan shall deliver to the Company during the calendar month preceding a Grant Date and no later than five calendar days before such Grant Date (or such shorter or longer period as may be determined by the Committee)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The Committee may adopt rules and procedures for the implementation and administration of payroll deduction elections and the grant and exercise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Options under the Plan, including the following:</w:t>
      </w:r>
    </w:p>
    <w:p>
      <w:pPr>
        <w:spacing w:after="0" w:line="113" w:lineRule="exact"/>
        <w:rPr>
          <w:sz w:val="20"/>
          <w:szCs w:val="20"/>
          <w:color w:val="auto"/>
        </w:rPr>
      </w:pPr>
    </w:p>
    <w:p>
      <w:pPr>
        <w:ind w:left="560" w:right="20" w:hanging="4"/>
        <w:spacing w:after="0" w:line="246" w:lineRule="auto"/>
        <w:tabs>
          <w:tab w:leader="none" w:pos="749" w:val="left"/>
        </w:tabs>
        <w:numPr>
          <w:ilvl w:val="0"/>
          <w:numId w:val="95"/>
        </w:numPr>
        <w:rPr>
          <w:rFonts w:ascii="Arial" w:cs="Arial" w:eastAsia="Arial" w:hAnsi="Arial"/>
          <w:sz w:val="16"/>
          <w:szCs w:val="16"/>
          <w:color w:val="202E39"/>
        </w:rPr>
      </w:pPr>
      <w:r>
        <w:rPr>
          <w:rFonts w:ascii="Arial" w:cs="Arial" w:eastAsia="Arial" w:hAnsi="Arial"/>
          <w:sz w:val="16"/>
          <w:szCs w:val="16"/>
          <w:color w:val="202E39"/>
        </w:rPr>
        <w:t>whether a Participant’s payroll deduction election may be stated in terms of a dollar amount on each Payday, a percentage of Eligible Compensation on each Payday or in any other manner; provided that, in the absence of any determination by the Committee, a Participant’s payroll deduction election shall be stated in terms of a percentage of such Participant’s Eligible Compensation on each Payday;</w:t>
      </w:r>
    </w:p>
    <w:p>
      <w:pPr>
        <w:spacing w:after="0" w:line="1" w:lineRule="exact"/>
        <w:rPr>
          <w:rFonts w:ascii="Arial" w:cs="Arial" w:eastAsia="Arial" w:hAnsi="Arial"/>
          <w:sz w:val="16"/>
          <w:szCs w:val="16"/>
          <w:color w:val="202E39"/>
        </w:rPr>
      </w:pPr>
    </w:p>
    <w:p>
      <w:pPr>
        <w:ind w:left="560" w:right="160" w:hanging="4"/>
        <w:spacing w:after="0" w:line="251" w:lineRule="auto"/>
        <w:tabs>
          <w:tab w:leader="none" w:pos="785" w:val="left"/>
        </w:tabs>
        <w:numPr>
          <w:ilvl w:val="0"/>
          <w:numId w:val="95"/>
        </w:numPr>
        <w:rPr>
          <w:rFonts w:ascii="Arial" w:cs="Arial" w:eastAsia="Arial" w:hAnsi="Arial"/>
          <w:sz w:val="16"/>
          <w:szCs w:val="16"/>
          <w:color w:val="202E39"/>
        </w:rPr>
      </w:pPr>
      <w:r>
        <w:rPr>
          <w:rFonts w:ascii="Arial" w:cs="Arial" w:eastAsia="Arial" w:hAnsi="Arial"/>
          <w:sz w:val="16"/>
          <w:szCs w:val="16"/>
          <w:color w:val="202E39"/>
        </w:rPr>
        <w:t>any minimum or maximum dollar or percentage limitations that apply to a Participant’s payroll deduction election; provided that, in the absence of any determination by the Committee, the minimum payroll deduction to be made by a Participant per Payday is $10.00 (if a specific amount is selected) or 1% of Eligible Compensation (if a specific percentage is selected); provided, further, that in the absence of any determination by the Committee, the maximum payroll deduction to be made by a Participant per Payday is 5% of Eligible Compensation;</w:t>
      </w:r>
    </w:p>
    <w:p>
      <w:pPr>
        <w:spacing w:after="0" w:line="94" w:lineRule="exact"/>
        <w:rPr>
          <w:rFonts w:ascii="Arial" w:cs="Arial" w:eastAsia="Arial" w:hAnsi="Arial"/>
          <w:sz w:val="16"/>
          <w:szCs w:val="16"/>
          <w:color w:val="202E39"/>
        </w:rPr>
      </w:pPr>
    </w:p>
    <w:p>
      <w:pPr>
        <w:ind w:left="820" w:hanging="264"/>
        <w:spacing w:after="0"/>
        <w:tabs>
          <w:tab w:leader="none" w:pos="820" w:val="left"/>
        </w:tabs>
        <w:numPr>
          <w:ilvl w:val="0"/>
          <w:numId w:val="95"/>
        </w:numPr>
        <w:rPr>
          <w:rFonts w:ascii="Arial" w:cs="Arial" w:eastAsia="Arial" w:hAnsi="Arial"/>
          <w:sz w:val="16"/>
          <w:szCs w:val="16"/>
          <w:color w:val="202E39"/>
        </w:rPr>
      </w:pPr>
      <w:r>
        <w:rPr>
          <w:rFonts w:ascii="Arial" w:cs="Arial" w:eastAsia="Arial" w:hAnsi="Arial"/>
          <w:sz w:val="16"/>
          <w:szCs w:val="16"/>
          <w:color w:val="202E39"/>
        </w:rPr>
        <w:t>determination of the exchange ratio applicable to amounts withheld in a currency other than U.S. dollars; and</w:t>
      </w:r>
    </w:p>
    <w:p>
      <w:pPr>
        <w:spacing w:after="0" w:line="113" w:lineRule="exact"/>
        <w:rPr>
          <w:rFonts w:ascii="Arial" w:cs="Arial" w:eastAsia="Arial" w:hAnsi="Arial"/>
          <w:sz w:val="16"/>
          <w:szCs w:val="16"/>
          <w:color w:val="202E39"/>
        </w:rPr>
      </w:pPr>
    </w:p>
    <w:p>
      <w:pPr>
        <w:ind w:left="560" w:right="300" w:hanging="4"/>
        <w:spacing w:after="0" w:line="260" w:lineRule="auto"/>
        <w:tabs>
          <w:tab w:leader="none" w:pos="830" w:val="left"/>
        </w:tabs>
        <w:numPr>
          <w:ilvl w:val="0"/>
          <w:numId w:val="95"/>
        </w:numPr>
        <w:rPr>
          <w:rFonts w:ascii="Arial" w:cs="Arial" w:eastAsia="Arial" w:hAnsi="Arial"/>
          <w:sz w:val="16"/>
          <w:szCs w:val="16"/>
          <w:color w:val="202E39"/>
        </w:rPr>
      </w:pPr>
      <w:r>
        <w:rPr>
          <w:rFonts w:ascii="Arial" w:cs="Arial" w:eastAsia="Arial" w:hAnsi="Arial"/>
          <w:sz w:val="16"/>
          <w:szCs w:val="16"/>
          <w:color w:val="202E39"/>
        </w:rPr>
        <w:t>determination of the date and manner by which the Fair Market Value of a share of Stock is determined for purposes of administration of the Plan.</w:t>
      </w:r>
    </w:p>
    <w:p>
      <w:pPr>
        <w:spacing w:after="0" w:line="87"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202E39"/>
        </w:rPr>
        <w:t>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w:t>
      </w:r>
    </w:p>
    <w:p>
      <w:pPr>
        <w:spacing w:after="0" w:line="93" w:lineRule="exact"/>
        <w:rPr>
          <w:sz w:val="20"/>
          <w:szCs w:val="20"/>
          <w:color w:val="auto"/>
        </w:rPr>
      </w:pPr>
    </w:p>
    <w:p>
      <w:pPr>
        <w:ind w:left="120" w:right="140" w:hanging="4"/>
        <w:spacing w:after="0" w:line="250" w:lineRule="auto"/>
        <w:tabs>
          <w:tab w:leader="none" w:pos="354" w:val="left"/>
        </w:tabs>
        <w:numPr>
          <w:ilvl w:val="0"/>
          <w:numId w:val="96"/>
        </w:numPr>
        <w:rPr>
          <w:rFonts w:ascii="Arial" w:cs="Arial" w:eastAsia="Arial" w:hAnsi="Arial"/>
          <w:sz w:val="16"/>
          <w:szCs w:val="16"/>
          <w:color w:val="202E39"/>
        </w:rPr>
      </w:pPr>
      <w:r>
        <w:rPr>
          <w:rFonts w:ascii="Arial" w:cs="Arial" w:eastAsia="Arial" w:hAnsi="Arial"/>
          <w:sz w:val="16"/>
          <w:szCs w:val="16"/>
          <w:u w:val="single" w:color="auto"/>
          <w:color w:val="202E39"/>
        </w:rPr>
        <w:t>$25,000 Limitation</w:t>
      </w:r>
      <w:r>
        <w:rPr>
          <w:rFonts w:ascii="Arial" w:cs="Arial" w:eastAsia="Arial" w:hAnsi="Arial"/>
          <w:sz w:val="16"/>
          <w:szCs w:val="16"/>
          <w:color w:val="202E39"/>
        </w:rPr>
        <w:t>.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w:t>
      </w:r>
    </w:p>
    <w:p>
      <w:pPr>
        <w:spacing w:after="0" w:line="94" w:lineRule="exact"/>
        <w:rPr>
          <w:rFonts w:ascii="Arial" w:cs="Arial" w:eastAsia="Arial" w:hAnsi="Arial"/>
          <w:sz w:val="16"/>
          <w:szCs w:val="16"/>
          <w:color w:val="202E39"/>
        </w:rPr>
      </w:pPr>
    </w:p>
    <w:p>
      <w:pPr>
        <w:ind w:left="120" w:right="100" w:hanging="4"/>
        <w:spacing w:after="0" w:line="253" w:lineRule="auto"/>
        <w:tabs>
          <w:tab w:leader="none" w:pos="363" w:val="left"/>
        </w:tabs>
        <w:numPr>
          <w:ilvl w:val="0"/>
          <w:numId w:val="96"/>
        </w:numPr>
        <w:rPr>
          <w:rFonts w:ascii="Arial" w:cs="Arial" w:eastAsia="Arial" w:hAnsi="Arial"/>
          <w:sz w:val="16"/>
          <w:szCs w:val="16"/>
          <w:color w:val="202E39"/>
        </w:rPr>
      </w:pPr>
      <w:r>
        <w:rPr>
          <w:rFonts w:ascii="Arial" w:cs="Arial" w:eastAsia="Arial" w:hAnsi="Arial"/>
          <w:sz w:val="16"/>
          <w:szCs w:val="16"/>
          <w:u w:val="single" w:color="auto"/>
          <w:color w:val="202E39"/>
        </w:rPr>
        <w:t>Leaves of Absence</w:t>
      </w:r>
      <w:r>
        <w:rPr>
          <w:rFonts w:ascii="Arial" w:cs="Arial" w:eastAsia="Arial" w:hAnsi="Arial"/>
          <w:sz w:val="16"/>
          <w:szCs w:val="16"/>
          <w:color w:val="202E39"/>
        </w:rPr>
        <w:t>. During a leave of absence meeting the requirements of Treasury Regulation Section 1.421-1(h)(2), a Participant may continue to participate in the Plan by making cash payments to the Company on each Payday equal to the amount of the Participant’s payroll deductions under the Plan for the Payday immediately preceding the first day of such Participant’s leave of absence.</w:t>
      </w:r>
    </w:p>
    <w:p>
      <w:pPr>
        <w:spacing w:after="0" w:line="93" w:lineRule="exact"/>
        <w:rPr>
          <w:rFonts w:ascii="Arial" w:cs="Arial" w:eastAsia="Arial" w:hAnsi="Arial"/>
          <w:sz w:val="16"/>
          <w:szCs w:val="16"/>
          <w:color w:val="202E39"/>
        </w:rPr>
      </w:pPr>
    </w:p>
    <w:p>
      <w:pPr>
        <w:ind w:left="120" w:hanging="4"/>
        <w:spacing w:after="0" w:line="250" w:lineRule="auto"/>
        <w:tabs>
          <w:tab w:leader="none" w:pos="363" w:val="left"/>
        </w:tabs>
        <w:numPr>
          <w:ilvl w:val="0"/>
          <w:numId w:val="96"/>
        </w:numPr>
        <w:rPr>
          <w:rFonts w:ascii="Arial" w:cs="Arial" w:eastAsia="Arial" w:hAnsi="Arial"/>
          <w:sz w:val="16"/>
          <w:szCs w:val="16"/>
          <w:color w:val="202E39"/>
        </w:rPr>
      </w:pPr>
      <w:r>
        <w:rPr>
          <w:rFonts w:ascii="Arial" w:cs="Arial" w:eastAsia="Arial" w:hAnsi="Arial"/>
          <w:sz w:val="16"/>
          <w:szCs w:val="16"/>
          <w:u w:val="single" w:color="auto"/>
          <w:color w:val="202E39"/>
        </w:rPr>
        <w:t>Foreign Employees</w:t>
      </w:r>
      <w:r>
        <w:rPr>
          <w:rFonts w:ascii="Arial" w:cs="Arial" w:eastAsia="Arial" w:hAnsi="Arial"/>
          <w:sz w:val="16"/>
          <w:szCs w:val="16"/>
          <w:color w:val="202E39"/>
        </w:rPr>
        <w:t>. Notwithstanding any other provisions of the Plan to the contrary, in non-U.S. jurisdictions where participation in the Plan through payroll deductions is prohibited, the Committee may provide that an Eligible Employee may elect to participate through contributions to his or her account under the Plan in a form acceptable to the Committee in lieu of or in addition to payroll deductions; provided, however, that, for any Offering under the Section 423 Component, the Committee must determine that any alternative method of contribution is applied on an equal and uniform basis to all Eligible Employees in the Offering.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4. EXERCISE OF OPTIONS; OPTION PRICE</w:t>
      </w:r>
    </w:p>
    <w:p>
      <w:pPr>
        <w:spacing w:after="0" w:line="124" w:lineRule="exact"/>
        <w:rPr>
          <w:sz w:val="20"/>
          <w:szCs w:val="20"/>
          <w:color w:val="auto"/>
        </w:rPr>
      </w:pPr>
    </w:p>
    <w:p>
      <w:pPr>
        <w:ind w:left="120" w:right="300" w:hanging="4"/>
        <w:spacing w:after="0" w:line="253" w:lineRule="auto"/>
        <w:tabs>
          <w:tab w:leader="none" w:pos="363" w:val="left"/>
        </w:tabs>
        <w:numPr>
          <w:ilvl w:val="0"/>
          <w:numId w:val="97"/>
        </w:numPr>
        <w:rPr>
          <w:rFonts w:ascii="Arial" w:cs="Arial" w:eastAsia="Arial" w:hAnsi="Arial"/>
          <w:sz w:val="16"/>
          <w:szCs w:val="16"/>
          <w:color w:val="202E39"/>
        </w:rPr>
      </w:pPr>
      <w:r>
        <w:rPr>
          <w:rFonts w:ascii="Arial" w:cs="Arial" w:eastAsia="Arial" w:hAnsi="Arial"/>
          <w:sz w:val="16"/>
          <w:szCs w:val="16"/>
          <w:u w:val="single" w:color="auto"/>
          <w:color w:val="202E39"/>
        </w:rPr>
        <w:t>General Statement</w:t>
      </w:r>
      <w:r>
        <w:rPr>
          <w:rFonts w:ascii="Arial" w:cs="Arial" w:eastAsia="Arial" w:hAnsi="Arial"/>
          <w:sz w:val="16"/>
          <w:szCs w:val="16"/>
          <w:color w:val="202E39"/>
        </w:rPr>
        <w:t>.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83820</wp:posOffset>
            </wp:positionV>
            <wp:extent cx="43688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B-4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120" w:right="220"/>
        <w:spacing w:after="0" w:line="260" w:lineRule="auto"/>
        <w:rPr>
          <w:sz w:val="20"/>
          <w:szCs w:val="20"/>
          <w:color w:val="auto"/>
        </w:rPr>
      </w:pPr>
      <w:r>
        <w:rPr>
          <w:rFonts w:ascii="Arial" w:cs="Arial" w:eastAsia="Arial" w:hAnsi="Arial"/>
          <w:sz w:val="16"/>
          <w:szCs w:val="16"/>
          <w:color w:val="202E39"/>
        </w:rPr>
        <w:t>fractional shares of Stock remaining after the purchase of whole shares of Stock upon exercise of an Option will be paid in cash in one lump sum within 60 days after the Exercise Date. Fractional shares will not be issued.</w:t>
      </w:r>
    </w:p>
    <w:p>
      <w:pPr>
        <w:spacing w:after="0" w:line="87" w:lineRule="exact"/>
        <w:rPr>
          <w:sz w:val="20"/>
          <w:szCs w:val="20"/>
          <w:color w:val="auto"/>
        </w:rPr>
      </w:pPr>
    </w:p>
    <w:p>
      <w:pPr>
        <w:ind w:left="120" w:right="120" w:hanging="4"/>
        <w:spacing w:after="0" w:line="253" w:lineRule="auto"/>
        <w:tabs>
          <w:tab w:leader="none" w:pos="363" w:val="left"/>
        </w:tabs>
        <w:numPr>
          <w:ilvl w:val="0"/>
          <w:numId w:val="98"/>
        </w:numPr>
        <w:rPr>
          <w:rFonts w:ascii="Arial" w:cs="Arial" w:eastAsia="Arial" w:hAnsi="Arial"/>
          <w:sz w:val="16"/>
          <w:szCs w:val="16"/>
          <w:color w:val="202E39"/>
        </w:rPr>
      </w:pPr>
      <w:r>
        <w:rPr>
          <w:rFonts w:ascii="Arial" w:cs="Arial" w:eastAsia="Arial" w:hAnsi="Arial"/>
          <w:sz w:val="16"/>
          <w:szCs w:val="16"/>
          <w:u w:val="single" w:color="auto"/>
          <w:color w:val="202E39"/>
        </w:rPr>
        <w:t>Option Price Defined</w:t>
      </w:r>
      <w:r>
        <w:rPr>
          <w:rFonts w:ascii="Arial" w:cs="Arial" w:eastAsia="Arial" w:hAnsi="Arial"/>
          <w:sz w:val="16"/>
          <w:szCs w:val="16"/>
          <w:color w:val="202E39"/>
        </w:rPr>
        <w:t>. The option price per share of Stock (the “Option Price”) to be paid by a Participant upon the exercise of the Participant’s Option shall be equal to 85% of the lesser of the Fair Market Value of a share of Stock on the Exercise Date or the Fair Market Value of a share of Stock on the Grant Date.</w:t>
      </w:r>
    </w:p>
    <w:p>
      <w:pPr>
        <w:spacing w:after="0" w:line="93" w:lineRule="exact"/>
        <w:rPr>
          <w:rFonts w:ascii="Arial" w:cs="Arial" w:eastAsia="Arial" w:hAnsi="Arial"/>
          <w:sz w:val="16"/>
          <w:szCs w:val="16"/>
          <w:color w:val="202E39"/>
        </w:rPr>
      </w:pPr>
    </w:p>
    <w:p>
      <w:pPr>
        <w:ind w:left="120" w:right="40" w:hanging="4"/>
        <w:spacing w:after="0" w:line="248" w:lineRule="auto"/>
        <w:tabs>
          <w:tab w:leader="none" w:pos="354" w:val="left"/>
        </w:tabs>
        <w:numPr>
          <w:ilvl w:val="0"/>
          <w:numId w:val="98"/>
        </w:numPr>
        <w:rPr>
          <w:rFonts w:ascii="Arial" w:cs="Arial" w:eastAsia="Arial" w:hAnsi="Arial"/>
          <w:sz w:val="16"/>
          <w:szCs w:val="16"/>
          <w:color w:val="202E39"/>
        </w:rPr>
      </w:pPr>
      <w:r>
        <w:rPr>
          <w:rFonts w:ascii="Arial" w:cs="Arial" w:eastAsia="Arial" w:hAnsi="Arial"/>
          <w:sz w:val="16"/>
          <w:szCs w:val="16"/>
          <w:u w:val="single" w:color="auto"/>
          <w:color w:val="202E39"/>
        </w:rPr>
        <w:t>Delivery of Shares</w:t>
      </w:r>
      <w:r>
        <w:rPr>
          <w:rFonts w:ascii="Arial" w:cs="Arial" w:eastAsia="Arial" w:hAnsi="Arial"/>
          <w:sz w:val="16"/>
          <w:szCs w:val="16"/>
          <w:color w:val="202E39"/>
        </w:rPr>
        <w:t>.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Committee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Committee in its absolute discretion deems necessary for the lawful issuance of any such shares shall relieve the Company from liability to any Participant except to pay to the Participant the amount of the balance in the Participant’s account in cash in one lump sum.</w:t>
      </w:r>
    </w:p>
    <w:p>
      <w:pPr>
        <w:spacing w:after="0" w:line="96" w:lineRule="exact"/>
        <w:rPr>
          <w:rFonts w:ascii="Arial" w:cs="Arial" w:eastAsia="Arial" w:hAnsi="Arial"/>
          <w:sz w:val="16"/>
          <w:szCs w:val="16"/>
          <w:color w:val="202E39"/>
        </w:rPr>
      </w:pPr>
    </w:p>
    <w:p>
      <w:pPr>
        <w:ind w:left="120" w:right="80" w:hanging="4"/>
        <w:spacing w:after="0" w:line="249" w:lineRule="auto"/>
        <w:tabs>
          <w:tab w:leader="none" w:pos="363" w:val="left"/>
        </w:tabs>
        <w:numPr>
          <w:ilvl w:val="0"/>
          <w:numId w:val="98"/>
        </w:numPr>
        <w:rPr>
          <w:rFonts w:ascii="Arial" w:cs="Arial" w:eastAsia="Arial" w:hAnsi="Arial"/>
          <w:sz w:val="16"/>
          <w:szCs w:val="16"/>
          <w:color w:val="202E39"/>
        </w:rPr>
      </w:pPr>
      <w:r>
        <w:rPr>
          <w:rFonts w:ascii="Arial" w:cs="Arial" w:eastAsia="Arial" w:hAnsi="Arial"/>
          <w:sz w:val="16"/>
          <w:szCs w:val="16"/>
          <w:u w:val="single" w:color="auto"/>
          <w:color w:val="202E39"/>
        </w:rPr>
        <w:t>Pro Rata Allocations</w:t>
      </w:r>
      <w:r>
        <w:rPr>
          <w:rFonts w:ascii="Arial" w:cs="Arial" w:eastAsia="Arial" w:hAnsi="Arial"/>
          <w:sz w:val="16"/>
          <w:szCs w:val="16"/>
          <w:color w:val="202E39"/>
        </w:rPr>
        <w:t>.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Committee may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60 days after the Exercise Date.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5. WITHDRAWAL FROM THE PLAN</w:t>
      </w:r>
    </w:p>
    <w:p>
      <w:pPr>
        <w:spacing w:after="0" w:line="124" w:lineRule="exact"/>
        <w:rPr>
          <w:sz w:val="20"/>
          <w:szCs w:val="20"/>
          <w:color w:val="auto"/>
        </w:rPr>
      </w:pPr>
    </w:p>
    <w:p>
      <w:pPr>
        <w:ind w:left="120" w:right="20" w:hanging="4"/>
        <w:spacing w:after="0" w:line="248" w:lineRule="auto"/>
        <w:tabs>
          <w:tab w:leader="none" w:pos="363" w:val="left"/>
        </w:tabs>
        <w:numPr>
          <w:ilvl w:val="0"/>
          <w:numId w:val="99"/>
        </w:numPr>
        <w:rPr>
          <w:rFonts w:ascii="Arial" w:cs="Arial" w:eastAsia="Arial" w:hAnsi="Arial"/>
          <w:sz w:val="16"/>
          <w:szCs w:val="16"/>
          <w:color w:val="202E39"/>
        </w:rPr>
      </w:pPr>
      <w:r>
        <w:rPr>
          <w:rFonts w:ascii="Arial" w:cs="Arial" w:eastAsia="Arial" w:hAnsi="Arial"/>
          <w:sz w:val="16"/>
          <w:szCs w:val="16"/>
          <w:u w:val="single" w:color="auto"/>
          <w:color w:val="202E39"/>
        </w:rPr>
        <w:t>General Statement</w:t>
      </w:r>
      <w:r>
        <w:rPr>
          <w:rFonts w:ascii="Arial" w:cs="Arial" w:eastAsia="Arial" w:hAnsi="Arial"/>
          <w:sz w:val="16"/>
          <w:szCs w:val="16"/>
          <w:color w:val="202E39"/>
        </w:rPr>
        <w:t>.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Committee). A Participant who wishes to withdraw from the Plan must deliver to the Company a notice of withdrawal in a form prepared by the Company (the “Withdrawal Election”) prior to the Exercise Date and within the deadline established by the Company. Upon receipt of a Participant’s Withdrawal Election, the Company shall pay to the Participant the amount of the balance in the Participant’s account under the Plan in cash in one lump sum within 60 days. Upon receipt of a Participant’s Withdrawal Election by the Company, the Participant shall cease to participate in the Plan and the Participant’s Option shall terminate.</w:t>
      </w:r>
    </w:p>
    <w:p>
      <w:pPr>
        <w:spacing w:after="0" w:line="100" w:lineRule="exact"/>
        <w:rPr>
          <w:rFonts w:ascii="Arial" w:cs="Arial" w:eastAsia="Arial" w:hAnsi="Arial"/>
          <w:sz w:val="16"/>
          <w:szCs w:val="16"/>
          <w:color w:val="202E39"/>
        </w:rPr>
      </w:pPr>
    </w:p>
    <w:p>
      <w:pPr>
        <w:ind w:left="120" w:right="60" w:hanging="4"/>
        <w:spacing w:after="0" w:line="260" w:lineRule="auto"/>
        <w:tabs>
          <w:tab w:leader="none" w:pos="363" w:val="left"/>
        </w:tabs>
        <w:numPr>
          <w:ilvl w:val="0"/>
          <w:numId w:val="99"/>
        </w:numPr>
        <w:rPr>
          <w:rFonts w:ascii="Arial" w:cs="Arial" w:eastAsia="Arial" w:hAnsi="Arial"/>
          <w:sz w:val="16"/>
          <w:szCs w:val="16"/>
          <w:color w:val="202E39"/>
        </w:rPr>
      </w:pPr>
      <w:r>
        <w:rPr>
          <w:rFonts w:ascii="Arial" w:cs="Arial" w:eastAsia="Arial" w:hAnsi="Arial"/>
          <w:sz w:val="16"/>
          <w:szCs w:val="16"/>
          <w:u w:val="single" w:color="auto"/>
          <w:color w:val="202E39"/>
        </w:rPr>
        <w:t>Eligibility Following Withdrawal</w:t>
      </w:r>
      <w:r>
        <w:rPr>
          <w:rFonts w:ascii="Arial" w:cs="Arial" w:eastAsia="Arial" w:hAnsi="Arial"/>
          <w:sz w:val="16"/>
          <w:szCs w:val="16"/>
          <w:color w:val="202E39"/>
        </w:rPr>
        <w:t>. A Participant who withdraws from the Plan and who is still an Eligible Employee shall be eligible to participate again in the Plan as of any subsequent Grant Date by delivering to the Company an Authorization pursuant to Section 3(b) hereof.</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6. TERMINATION OR TRANSFER OF EMPLOYMENT</w:t>
      </w:r>
    </w:p>
    <w:p>
      <w:pPr>
        <w:spacing w:after="0" w:line="124" w:lineRule="exact"/>
        <w:rPr>
          <w:sz w:val="20"/>
          <w:szCs w:val="20"/>
          <w:color w:val="auto"/>
        </w:rPr>
      </w:pPr>
    </w:p>
    <w:p>
      <w:pPr>
        <w:ind w:left="120" w:right="160" w:hanging="4"/>
        <w:spacing w:after="0" w:line="251" w:lineRule="auto"/>
        <w:tabs>
          <w:tab w:leader="none" w:pos="363" w:val="left"/>
        </w:tabs>
        <w:numPr>
          <w:ilvl w:val="0"/>
          <w:numId w:val="100"/>
        </w:numPr>
        <w:rPr>
          <w:rFonts w:ascii="Arial" w:cs="Arial" w:eastAsia="Arial" w:hAnsi="Arial"/>
          <w:sz w:val="16"/>
          <w:szCs w:val="16"/>
          <w:color w:val="202E39"/>
        </w:rPr>
      </w:pPr>
      <w:r>
        <w:rPr>
          <w:rFonts w:ascii="Arial" w:cs="Arial" w:eastAsia="Arial" w:hAnsi="Arial"/>
          <w:sz w:val="16"/>
          <w:szCs w:val="16"/>
          <w:u w:val="single" w:color="auto"/>
          <w:color w:val="202E39"/>
        </w:rPr>
        <w:t>Termination of Employment Other than by Death</w:t>
      </w:r>
      <w:r>
        <w:rPr>
          <w:rFonts w:ascii="Arial" w:cs="Arial" w:eastAsia="Arial" w:hAnsi="Arial"/>
          <w:sz w:val="16"/>
          <w:szCs w:val="16"/>
          <w:color w:val="202E39"/>
        </w:rPr>
        <w:t>.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within 60 days following the Termination Date. Upon a Participant’s termination of employment covered by this Section 6(a), the Participant’s Authorization, interest in the Plan and Option under the Plan shall terminate.</w:t>
      </w:r>
    </w:p>
    <w:p>
      <w:pPr>
        <w:spacing w:after="0" w:line="94" w:lineRule="exact"/>
        <w:rPr>
          <w:rFonts w:ascii="Arial" w:cs="Arial" w:eastAsia="Arial" w:hAnsi="Arial"/>
          <w:sz w:val="16"/>
          <w:szCs w:val="16"/>
          <w:color w:val="202E39"/>
        </w:rPr>
      </w:pPr>
    </w:p>
    <w:p>
      <w:pPr>
        <w:ind w:left="120" w:right="20" w:hanging="4"/>
        <w:spacing w:after="0" w:line="249" w:lineRule="auto"/>
        <w:tabs>
          <w:tab w:leader="none" w:pos="363" w:val="left"/>
        </w:tabs>
        <w:numPr>
          <w:ilvl w:val="0"/>
          <w:numId w:val="100"/>
        </w:numPr>
        <w:rPr>
          <w:rFonts w:ascii="Arial" w:cs="Arial" w:eastAsia="Arial" w:hAnsi="Arial"/>
          <w:sz w:val="16"/>
          <w:szCs w:val="16"/>
          <w:color w:val="202E39"/>
        </w:rPr>
      </w:pPr>
      <w:r>
        <w:rPr>
          <w:rFonts w:ascii="Arial" w:cs="Arial" w:eastAsia="Arial" w:hAnsi="Arial"/>
          <w:sz w:val="16"/>
          <w:szCs w:val="16"/>
          <w:u w:val="single" w:color="auto"/>
          <w:color w:val="202E39"/>
        </w:rPr>
        <w:t>Termination By Death</w:t>
      </w:r>
      <w:r>
        <w:rPr>
          <w:rFonts w:ascii="Arial" w:cs="Arial" w:eastAsia="Arial" w:hAnsi="Arial"/>
          <w:sz w:val="16"/>
          <w:szCs w:val="16"/>
          <w:color w:val="202E39"/>
        </w:rPr>
        <w:t>. If a Participant ceases to be a Eligible Employee due to death, the executor of the Participant’s will or the administrator of the Participant’s estate by written notice to the Company may request payment of the balance in the Participant’s account under the Plan, in which event the Company shall make such payment as soon as practicable after receiving such notice; upon receipt of such notice the Participant’s Authorization,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w:t>
      </w:r>
    </w:p>
    <w:p>
      <w:pPr>
        <w:spacing w:after="0" w:line="96" w:lineRule="exact"/>
        <w:rPr>
          <w:rFonts w:ascii="Arial" w:cs="Arial" w:eastAsia="Arial" w:hAnsi="Arial"/>
          <w:sz w:val="16"/>
          <w:szCs w:val="16"/>
          <w:color w:val="202E39"/>
        </w:rPr>
      </w:pPr>
    </w:p>
    <w:p>
      <w:pPr>
        <w:ind w:left="120" w:right="60" w:hanging="4"/>
        <w:spacing w:after="0" w:line="251" w:lineRule="auto"/>
        <w:tabs>
          <w:tab w:leader="none" w:pos="354" w:val="left"/>
        </w:tabs>
        <w:numPr>
          <w:ilvl w:val="0"/>
          <w:numId w:val="100"/>
        </w:numPr>
        <w:rPr>
          <w:rFonts w:ascii="Arial" w:cs="Arial" w:eastAsia="Arial" w:hAnsi="Arial"/>
          <w:sz w:val="16"/>
          <w:szCs w:val="16"/>
          <w:color w:val="202E39"/>
        </w:rPr>
      </w:pPr>
      <w:r>
        <w:rPr>
          <w:rFonts w:ascii="Arial" w:cs="Arial" w:eastAsia="Arial" w:hAnsi="Arial"/>
          <w:sz w:val="16"/>
          <w:szCs w:val="16"/>
          <w:u w:val="single" w:color="auto"/>
          <w:color w:val="202E39"/>
        </w:rPr>
        <w:t>Transfer of Employment</w:t>
      </w:r>
      <w:r>
        <w:rPr>
          <w:rFonts w:ascii="Arial" w:cs="Arial" w:eastAsia="Arial" w:hAnsi="Arial"/>
          <w:sz w:val="16"/>
          <w:szCs w:val="16"/>
          <w:color w:val="202E39"/>
        </w:rPr>
        <w:t>.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w:t>
      </w:r>
    </w:p>
    <w:p>
      <w:pPr>
        <w:spacing w:after="0" w:line="120" w:lineRule="exact"/>
        <w:rPr>
          <w:sz w:val="20"/>
          <w:szCs w:val="20"/>
          <w:color w:val="auto"/>
        </w:rPr>
      </w:pPr>
    </w:p>
    <w:tbl>
      <w:tblPr>
        <w:tblLayout w:type="fixed"/>
        <w:tblInd w:w="89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B-5</w:t>
            </w:r>
          </w:p>
        </w:tc>
      </w:tr>
    </w:tbl>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 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Grant Date of the first Offering Period in which he or she is eligible to participate following such transfer. Notwithstanding the foregoing, the Committee may establish different rules to govern transfers of employment between companies participating in the Section 423 Component and the Non-Section 423 Component, consistent with the applicable requirements of Section 423 of the Code.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7. RESTRICTION UPON ASSIGNMENT</w:t>
      </w:r>
    </w:p>
    <w:p>
      <w:pPr>
        <w:spacing w:after="0" w:line="124" w:lineRule="exact"/>
        <w:rPr>
          <w:sz w:val="20"/>
          <w:szCs w:val="20"/>
          <w:color w:val="auto"/>
        </w:rPr>
      </w:pPr>
    </w:p>
    <w:p>
      <w:pPr>
        <w:ind w:left="120" w:right="360"/>
        <w:spacing w:after="0" w:line="251" w:lineRule="auto"/>
        <w:rPr>
          <w:sz w:val="20"/>
          <w:szCs w:val="20"/>
          <w:color w:val="auto"/>
        </w:rPr>
      </w:pPr>
      <w:r>
        <w:rPr>
          <w:rFonts w:ascii="Arial" w:cs="Arial" w:eastAsia="Arial" w:hAnsi="Arial"/>
          <w:sz w:val="16"/>
          <w:szCs w:val="16"/>
          <w:color w:val="202E39"/>
        </w:rPr>
        <w:t>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8. NO RIGHTS OF STOCKHOLDERS UNTIL SHARES ISSUED</w:t>
      </w:r>
    </w:p>
    <w:p>
      <w:pPr>
        <w:spacing w:after="0" w:line="1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9. CHANGES IN THE STOCK; ADJUSTMENTS OF AN OPTION</w:t>
      </w:r>
    </w:p>
    <w:p>
      <w:pPr>
        <w:spacing w:after="0" w:line="124"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202E39"/>
        </w:rPr>
        <w:t>Whenever any change is made in the Stock by reason of a stock split, stock dividend, recapitalization or other subdivision, combination, or reclassification of shares, appropriate action shall be taken by the Committee to adjust accordingly the number of shares of Stock subject to the Plan pursuant to Section 2 above, the maximum number of shares of Stock a Participant may purchase during an Offering Period pursuant to Section 3(a) above, and the number and the Option Price of shares of Stock subject to the Options outstanding under the Plan to preserve, but not increase, the rights of Participants hereunder.</w:t>
      </w:r>
    </w:p>
    <w:p>
      <w:pPr>
        <w:spacing w:after="0" w:line="36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10. USE OF FUNDS; NO INTEREST PAID</w:t>
      </w:r>
    </w:p>
    <w:p>
      <w:pPr>
        <w:spacing w:after="0" w:line="124"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11. AMENDMENT OF THE PLAN</w:t>
      </w:r>
    </w:p>
    <w:p>
      <w:pPr>
        <w:spacing w:after="0" w:line="124"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202E39"/>
        </w:rPr>
        <w:t>The Board of Directors or the Committee may amend, suspend, or terminate the Plan at any time and from time to time, provided that approval of the Company’s stockholders shall be required to amend the Plan (a) to increase the number of shares of Stock, or change the type of securities, reserved for sale pursuant to Options under the Plan, (b) to decrease the Option Price below a price computed in the manner stated in Section 4(b) hereof, (c) to alter the requirements for eligibility to participate in the Plan or (d) in any manner that would cause the Section 423 Component to no longer constitute an “employee stock purchase plan” within the meaning of Section 423(b) of the Code.</w:t>
      </w:r>
    </w:p>
    <w:p>
      <w:pPr>
        <w:spacing w:after="0" w:line="95"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202E39"/>
        </w:rPr>
        <w:t>In the event the Board of Directors or the Committee determines that the ongoing operation of the Plan may result in unfavorable financial accounting consequences, the Board of Directors or the Committee may, to the extent permitted under Section 423 of the Code with respect to Offerings under the Section 423 Component, in its discretion and,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83820</wp:posOffset>
            </wp:positionV>
            <wp:extent cx="43688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B-6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necessary or desirable, modify or amend the Plan to reduce or eliminate such accounting consequence including, but not limited to:</w:t>
      </w:r>
    </w:p>
    <w:p>
      <w:pPr>
        <w:spacing w:after="0" w:line="113" w:lineRule="exact"/>
        <w:rPr>
          <w:sz w:val="20"/>
          <w:szCs w:val="20"/>
          <w:color w:val="auto"/>
        </w:rPr>
      </w:pPr>
    </w:p>
    <w:p>
      <w:pPr>
        <w:ind w:left="120" w:right="400" w:hanging="4"/>
        <w:spacing w:after="0" w:line="260" w:lineRule="auto"/>
        <w:tabs>
          <w:tab w:leader="none" w:pos="363" w:val="left"/>
        </w:tabs>
        <w:numPr>
          <w:ilvl w:val="0"/>
          <w:numId w:val="101"/>
        </w:numPr>
        <w:rPr>
          <w:rFonts w:ascii="Arial" w:cs="Arial" w:eastAsia="Arial" w:hAnsi="Arial"/>
          <w:sz w:val="16"/>
          <w:szCs w:val="16"/>
          <w:color w:val="202E39"/>
        </w:rPr>
      </w:pPr>
      <w:r>
        <w:rPr>
          <w:rFonts w:ascii="Arial" w:cs="Arial" w:eastAsia="Arial" w:hAnsi="Arial"/>
          <w:sz w:val="16"/>
          <w:szCs w:val="16"/>
          <w:color w:val="202E39"/>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87" w:lineRule="exact"/>
        <w:rPr>
          <w:rFonts w:ascii="Arial" w:cs="Arial" w:eastAsia="Arial" w:hAnsi="Arial"/>
          <w:sz w:val="16"/>
          <w:szCs w:val="16"/>
          <w:color w:val="202E39"/>
        </w:rPr>
      </w:pPr>
    </w:p>
    <w:p>
      <w:pPr>
        <w:ind w:left="360" w:hanging="244"/>
        <w:spacing w:after="0"/>
        <w:tabs>
          <w:tab w:leader="none" w:pos="360" w:val="left"/>
        </w:tabs>
        <w:numPr>
          <w:ilvl w:val="0"/>
          <w:numId w:val="101"/>
        </w:numPr>
        <w:rPr>
          <w:rFonts w:ascii="Arial" w:cs="Arial" w:eastAsia="Arial" w:hAnsi="Arial"/>
          <w:sz w:val="16"/>
          <w:szCs w:val="16"/>
          <w:color w:val="202E39"/>
        </w:rPr>
      </w:pPr>
      <w:r>
        <w:rPr>
          <w:rFonts w:ascii="Arial" w:cs="Arial" w:eastAsia="Arial" w:hAnsi="Arial"/>
          <w:sz w:val="16"/>
          <w:szCs w:val="16"/>
          <w:color w:val="202E39"/>
        </w:rPr>
        <w:t>altering the Option Price for any Offering Period including an Offering Period underway at the time of the change in Option Price;</w:t>
      </w:r>
    </w:p>
    <w:p>
      <w:pPr>
        <w:spacing w:after="0" w:line="113" w:lineRule="exact"/>
        <w:rPr>
          <w:rFonts w:ascii="Arial" w:cs="Arial" w:eastAsia="Arial" w:hAnsi="Arial"/>
          <w:sz w:val="16"/>
          <w:szCs w:val="16"/>
          <w:color w:val="202E39"/>
        </w:rPr>
      </w:pPr>
    </w:p>
    <w:p>
      <w:pPr>
        <w:ind w:left="120" w:right="420" w:hanging="4"/>
        <w:spacing w:after="0" w:line="260" w:lineRule="auto"/>
        <w:tabs>
          <w:tab w:leader="none" w:pos="354" w:val="left"/>
        </w:tabs>
        <w:numPr>
          <w:ilvl w:val="0"/>
          <w:numId w:val="101"/>
        </w:numPr>
        <w:rPr>
          <w:rFonts w:ascii="Arial" w:cs="Arial" w:eastAsia="Arial" w:hAnsi="Arial"/>
          <w:sz w:val="16"/>
          <w:szCs w:val="16"/>
          <w:color w:val="202E39"/>
        </w:rPr>
      </w:pPr>
      <w:r>
        <w:rPr>
          <w:rFonts w:ascii="Arial" w:cs="Arial" w:eastAsia="Arial" w:hAnsi="Arial"/>
          <w:sz w:val="16"/>
          <w:szCs w:val="16"/>
          <w:color w:val="202E39"/>
        </w:rPr>
        <w:t>shortening any Offering Period so that the Offering Period ends on a new Exercise Date, including an Offering Period underway at the time of the Board of Directors or Committee action; and</w:t>
      </w:r>
    </w:p>
    <w:p>
      <w:pPr>
        <w:spacing w:after="0" w:line="87" w:lineRule="exact"/>
        <w:rPr>
          <w:rFonts w:ascii="Arial" w:cs="Arial" w:eastAsia="Arial" w:hAnsi="Arial"/>
          <w:sz w:val="16"/>
          <w:szCs w:val="16"/>
          <w:color w:val="202E39"/>
        </w:rPr>
      </w:pPr>
    </w:p>
    <w:p>
      <w:pPr>
        <w:ind w:left="360" w:hanging="244"/>
        <w:spacing w:after="0"/>
        <w:tabs>
          <w:tab w:leader="none" w:pos="360" w:val="left"/>
        </w:tabs>
        <w:numPr>
          <w:ilvl w:val="0"/>
          <w:numId w:val="101"/>
        </w:numPr>
        <w:rPr>
          <w:rFonts w:ascii="Arial" w:cs="Arial" w:eastAsia="Arial" w:hAnsi="Arial"/>
          <w:sz w:val="16"/>
          <w:szCs w:val="16"/>
          <w:color w:val="202E39"/>
        </w:rPr>
      </w:pPr>
      <w:r>
        <w:rPr>
          <w:rFonts w:ascii="Arial" w:cs="Arial" w:eastAsia="Arial" w:hAnsi="Arial"/>
          <w:sz w:val="16"/>
          <w:szCs w:val="16"/>
          <w:color w:val="202E39"/>
        </w:rPr>
        <w:t>reducing the maximum percentage of Eligible Compensation a Participant may elect to contribute; and</w:t>
      </w:r>
    </w:p>
    <w:p>
      <w:pPr>
        <w:spacing w:after="0" w:line="113" w:lineRule="exact"/>
        <w:rPr>
          <w:rFonts w:ascii="Arial" w:cs="Arial" w:eastAsia="Arial" w:hAnsi="Arial"/>
          <w:sz w:val="16"/>
          <w:szCs w:val="16"/>
          <w:color w:val="202E39"/>
        </w:rPr>
      </w:pPr>
    </w:p>
    <w:p>
      <w:pPr>
        <w:ind w:left="360" w:hanging="244"/>
        <w:spacing w:after="0"/>
        <w:tabs>
          <w:tab w:leader="none" w:pos="360" w:val="left"/>
        </w:tabs>
        <w:numPr>
          <w:ilvl w:val="0"/>
          <w:numId w:val="101"/>
        </w:numPr>
        <w:rPr>
          <w:rFonts w:ascii="Arial" w:cs="Arial" w:eastAsia="Arial" w:hAnsi="Arial"/>
          <w:sz w:val="16"/>
          <w:szCs w:val="16"/>
          <w:color w:val="202E39"/>
        </w:rPr>
      </w:pPr>
      <w:r>
        <w:rPr>
          <w:rFonts w:ascii="Arial" w:cs="Arial" w:eastAsia="Arial" w:hAnsi="Arial"/>
          <w:sz w:val="16"/>
          <w:szCs w:val="16"/>
          <w:color w:val="202E39"/>
        </w:rPr>
        <w:t>reducing the maximum number of shares of Stock a Participant may purchase during any Offering Period.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Such modifications or amendments shall not require stockholder approval or the consent of any Participant.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12. ADMINISTRATION BY COMMITTEE; RULES AND REGULATIONS</w:t>
      </w:r>
    </w:p>
    <w:p>
      <w:pPr>
        <w:spacing w:after="0" w:line="124" w:lineRule="exact"/>
        <w:rPr>
          <w:sz w:val="20"/>
          <w:szCs w:val="20"/>
          <w:color w:val="auto"/>
        </w:rPr>
      </w:pPr>
    </w:p>
    <w:p>
      <w:pPr>
        <w:ind w:left="120" w:right="20" w:hanging="4"/>
        <w:spacing w:after="0" w:line="250" w:lineRule="auto"/>
        <w:tabs>
          <w:tab w:leader="none" w:pos="363" w:val="left"/>
        </w:tabs>
        <w:numPr>
          <w:ilvl w:val="0"/>
          <w:numId w:val="102"/>
        </w:numPr>
        <w:rPr>
          <w:rFonts w:ascii="Arial" w:cs="Arial" w:eastAsia="Arial" w:hAnsi="Arial"/>
          <w:sz w:val="16"/>
          <w:szCs w:val="16"/>
          <w:color w:val="202E39"/>
        </w:rPr>
      </w:pPr>
      <w:r>
        <w:rPr>
          <w:rFonts w:ascii="Arial" w:cs="Arial" w:eastAsia="Arial" w:hAnsi="Arial"/>
          <w:sz w:val="16"/>
          <w:szCs w:val="16"/>
          <w:u w:val="single" w:color="auto"/>
          <w:color w:val="202E39"/>
        </w:rPr>
        <w:t>Appointment of Committee</w:t>
      </w:r>
      <w:r>
        <w:rPr>
          <w:rFonts w:ascii="Arial" w:cs="Arial" w:eastAsia="Arial" w:hAnsi="Arial"/>
          <w:sz w:val="16"/>
          <w:szCs w:val="16"/>
          <w:color w:val="202E39"/>
        </w:rPr>
        <w:t>. The Plan shall be administered by the Committee, which shall be composed of two or more members of the Board of Directors, each of whom is both a “non-employee director” as defined by Rule 16b-3 under the Exchange Act and an “outside director” for purposes of Section 162(m) of the Code. Each member of the Committee shall serve for a term commencing on a date specified by the Board of Directors and continuing until the member dies or resigns or is removed from office by the Board of Directors. The Committee at its option may utilize the services of an agent to assist in the administration of the Plan including establishing and maintaining an individual securities account under the Plan for each Participant.</w:t>
      </w:r>
    </w:p>
    <w:p>
      <w:pPr>
        <w:spacing w:after="0" w:line="94" w:lineRule="exact"/>
        <w:rPr>
          <w:rFonts w:ascii="Arial" w:cs="Arial" w:eastAsia="Arial" w:hAnsi="Arial"/>
          <w:sz w:val="16"/>
          <w:szCs w:val="16"/>
          <w:color w:val="202E39"/>
        </w:rPr>
      </w:pPr>
    </w:p>
    <w:p>
      <w:pPr>
        <w:ind w:left="120" w:right="120" w:hanging="4"/>
        <w:spacing w:after="0" w:line="249" w:lineRule="auto"/>
        <w:tabs>
          <w:tab w:leader="none" w:pos="363" w:val="left"/>
        </w:tabs>
        <w:numPr>
          <w:ilvl w:val="0"/>
          <w:numId w:val="102"/>
        </w:numPr>
        <w:rPr>
          <w:rFonts w:ascii="Arial" w:cs="Arial" w:eastAsia="Arial" w:hAnsi="Arial"/>
          <w:sz w:val="16"/>
          <w:szCs w:val="16"/>
          <w:color w:val="202E39"/>
        </w:rPr>
      </w:pP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the Plan in accordance with the provisions of the Plan. The Committee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Committee under the Plan. For the avoidance of doubt, the Committee shall also have the exclusive authority to determine which Participating Companies shall participate in the Non-Section 423 Component and which shall participate in the Section 423 Component.</w:t>
      </w:r>
    </w:p>
    <w:p>
      <w:pPr>
        <w:spacing w:after="0" w:line="96" w:lineRule="exact"/>
        <w:rPr>
          <w:rFonts w:ascii="Arial" w:cs="Arial" w:eastAsia="Arial" w:hAnsi="Arial"/>
          <w:sz w:val="16"/>
          <w:szCs w:val="16"/>
          <w:color w:val="202E39"/>
        </w:rPr>
      </w:pPr>
    </w:p>
    <w:p>
      <w:pPr>
        <w:ind w:left="120" w:right="1040" w:hanging="4"/>
        <w:spacing w:after="0" w:line="260" w:lineRule="auto"/>
        <w:tabs>
          <w:tab w:leader="none" w:pos="354" w:val="left"/>
        </w:tabs>
        <w:numPr>
          <w:ilvl w:val="0"/>
          <w:numId w:val="102"/>
        </w:numPr>
        <w:rPr>
          <w:rFonts w:ascii="Arial" w:cs="Arial" w:eastAsia="Arial" w:hAnsi="Arial"/>
          <w:sz w:val="16"/>
          <w:szCs w:val="16"/>
          <w:color w:val="202E39"/>
        </w:rPr>
      </w:pPr>
      <w:r>
        <w:rPr>
          <w:rFonts w:ascii="Arial" w:cs="Arial" w:eastAsia="Arial" w:hAnsi="Arial"/>
          <w:sz w:val="16"/>
          <w:szCs w:val="16"/>
          <w:u w:val="single" w:color="auto"/>
          <w:color w:val="202E39"/>
        </w:rPr>
        <w:t>Majority Rule</w:t>
      </w:r>
      <w:r>
        <w:rPr>
          <w:rFonts w:ascii="Arial" w:cs="Arial" w:eastAsia="Arial" w:hAnsi="Arial"/>
          <w:sz w:val="16"/>
          <w:szCs w:val="16"/>
          <w:color w:val="202E39"/>
        </w:rPr>
        <w:t>. The Committee shall act by a majority of its members in office. The Committee may act either by vote at a meeting or by a memorandum or other written instrument signed by a majority of the Committee.</w:t>
      </w:r>
    </w:p>
    <w:p>
      <w:pPr>
        <w:spacing w:after="0" w:line="87" w:lineRule="exact"/>
        <w:rPr>
          <w:rFonts w:ascii="Arial" w:cs="Arial" w:eastAsia="Arial" w:hAnsi="Arial"/>
          <w:sz w:val="16"/>
          <w:szCs w:val="16"/>
          <w:color w:val="202E39"/>
        </w:rPr>
      </w:pPr>
    </w:p>
    <w:p>
      <w:pPr>
        <w:ind w:left="120" w:right="40" w:hanging="4"/>
        <w:spacing w:after="0" w:line="248" w:lineRule="auto"/>
        <w:tabs>
          <w:tab w:leader="none" w:pos="363" w:val="left"/>
        </w:tabs>
        <w:numPr>
          <w:ilvl w:val="0"/>
          <w:numId w:val="102"/>
        </w:numPr>
        <w:rPr>
          <w:rFonts w:ascii="Arial" w:cs="Arial" w:eastAsia="Arial" w:hAnsi="Arial"/>
          <w:sz w:val="16"/>
          <w:szCs w:val="16"/>
          <w:color w:val="202E39"/>
        </w:rPr>
      </w:pP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All expenses and liabilities incurred by members of the Committee in connection with the administration of the Plan shall be borne by the Company. The Committee may, with the approval of the Board,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13. NO RIGHTS AS AN EMPLOYEE</w:t>
      </w:r>
    </w:p>
    <w:p>
      <w:pPr>
        <w:spacing w:after="0" w:line="12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14. MERGER, ACQUISITION OR LIQUIDATION OF THE COMPANY</w:t>
      </w:r>
    </w:p>
    <w:p>
      <w:pPr>
        <w:spacing w:after="0" w:line="124"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202E39"/>
        </w:rPr>
        <w:t>In the event of the merger or consolidation of the Company into another corporation, the acquisition by another corporation of all or substantially all of the Company’s assets or 50% or more of the Company’s then outstanding voting stock, the liquidation or dissolution of the Company or any other reorganization of the Company, the Exercise Date with respect to outstanding Options shall be the business day immediately preceding the effective date of such merger, consolidation, acquisition, liquidation, dissolution, or reorganization (or on such other prior date as is determined by the Committee) unless the Committee shall, in its sole discretion, provide for the assumption or substitution of such Options in a manner complying with Section 424(a) of the Code.</w:t>
      </w:r>
    </w:p>
    <w:p>
      <w:pPr>
        <w:spacing w:after="0" w:line="122" w:lineRule="exact"/>
        <w:rPr>
          <w:sz w:val="20"/>
          <w:szCs w:val="20"/>
          <w:color w:val="auto"/>
        </w:rPr>
      </w:pPr>
    </w:p>
    <w:tbl>
      <w:tblPr>
        <w:tblLayout w:type="fixed"/>
        <w:tblInd w:w="89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B-7</w:t>
            </w:r>
          </w:p>
        </w:tc>
      </w:tr>
    </w:tbl>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15. TERM; APPROVAL BY STOCKHOLDERS</w:t>
      </w:r>
    </w:p>
    <w:p>
      <w:pPr>
        <w:spacing w:after="0" w:line="124"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202E39"/>
        </w:rPr>
        <w:t>This amended and restated Plan shall be effective on July 1, 2021. The amended and restated Plan shall be submitted for the approval of the Company’s stockholders within 12 months after the date of the Board’s initial adoption of the amended and restated Plan. No Options granted under this amended and restated Plan shall be exercised, and no shares of Stock shall be issued hereunder, until this amended and restated Plan shall have been approved by the stockholders of the Company. In the event this amended and restated Plan shall not have been approved by the stockholders of the Company prior to the end of said 12-month period, all Options granted under this amended and restated Plan shall be canceled and become null and void without being exercised, and the Existing Plan shall continue in effect in accordance with its terms and share reserve as in effect prior to the effectiveness of this amended and restated Plan.</w:t>
      </w:r>
    </w:p>
    <w:p>
      <w:pPr>
        <w:spacing w:after="0" w:line="100" w:lineRule="exact"/>
        <w:rPr>
          <w:sz w:val="20"/>
          <w:szCs w:val="20"/>
          <w:color w:val="auto"/>
        </w:rPr>
      </w:pPr>
    </w:p>
    <w:p>
      <w:pPr>
        <w:ind w:left="120" w:right="160"/>
        <w:spacing w:after="0" w:line="251" w:lineRule="auto"/>
        <w:rPr>
          <w:sz w:val="20"/>
          <w:szCs w:val="20"/>
          <w:color w:val="auto"/>
        </w:rPr>
      </w:pPr>
      <w:r>
        <w:rPr>
          <w:rFonts w:ascii="Arial" w:cs="Arial" w:eastAsia="Arial" w:hAnsi="Arial"/>
          <w:sz w:val="16"/>
          <w:szCs w:val="16"/>
          <w:color w:val="202E39"/>
        </w:rPr>
        <w:t>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16. EFFECT UPON OTHER PLANS</w:t>
      </w:r>
    </w:p>
    <w:p>
      <w:pPr>
        <w:spacing w:after="0" w:line="124" w:lineRule="exact"/>
        <w:rPr>
          <w:sz w:val="20"/>
          <w:szCs w:val="20"/>
          <w:color w:val="auto"/>
        </w:rPr>
      </w:pPr>
    </w:p>
    <w:p>
      <w:pPr>
        <w:ind w:left="120" w:right="80"/>
        <w:spacing w:after="0" w:line="249" w:lineRule="auto"/>
        <w:rPr>
          <w:sz w:val="20"/>
          <w:szCs w:val="20"/>
          <w:color w:val="auto"/>
        </w:rPr>
      </w:pPr>
      <w:r>
        <w:rPr>
          <w:rFonts w:ascii="Arial" w:cs="Arial" w:eastAsia="Arial" w:hAnsi="Arial"/>
          <w:sz w:val="16"/>
          <w:szCs w:val="16"/>
          <w:color w:val="202E39"/>
        </w:rPr>
        <w:t>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17. CONDITIONS TO ISSUANCE OF SHARES.</w:t>
      </w:r>
    </w:p>
    <w:p>
      <w:pPr>
        <w:spacing w:after="0" w:line="124"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202E39"/>
        </w:rPr>
        <w:t>The Company shall not be required to issue or deliver any certificate or certificates for, or make any book entries evidencing, shares of Stock purchased upon the exercise of Options prior to fulfillment of all the following conditions:</w:t>
      </w:r>
    </w:p>
    <w:p>
      <w:pPr>
        <w:spacing w:after="0" w:line="87" w:lineRule="exact"/>
        <w:rPr>
          <w:sz w:val="20"/>
          <w:szCs w:val="20"/>
          <w:color w:val="auto"/>
        </w:rPr>
      </w:pPr>
    </w:p>
    <w:p>
      <w:pPr>
        <w:ind w:left="360" w:hanging="244"/>
        <w:spacing w:after="0"/>
        <w:tabs>
          <w:tab w:leader="none" w:pos="360" w:val="left"/>
        </w:tabs>
        <w:numPr>
          <w:ilvl w:val="0"/>
          <w:numId w:val="103"/>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if any, on which the Stock is then listed;</w:t>
      </w:r>
    </w:p>
    <w:p>
      <w:pPr>
        <w:spacing w:after="0" w:line="113" w:lineRule="exact"/>
        <w:rPr>
          <w:rFonts w:ascii="Arial" w:cs="Arial" w:eastAsia="Arial" w:hAnsi="Arial"/>
          <w:sz w:val="16"/>
          <w:szCs w:val="16"/>
          <w:color w:val="202E39"/>
        </w:rPr>
      </w:pPr>
    </w:p>
    <w:p>
      <w:pPr>
        <w:ind w:left="120" w:right="100" w:hanging="4"/>
        <w:spacing w:after="0" w:line="253" w:lineRule="auto"/>
        <w:tabs>
          <w:tab w:leader="none" w:pos="363" w:val="left"/>
        </w:tabs>
        <w:numPr>
          <w:ilvl w:val="0"/>
          <w:numId w:val="103"/>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or exemption of such shares under any federal, state, local or foreign law or under the rulings or regulations of the U.S. Securities and Exchange Commission or any other governmental regulatory body which the Committee shall, in its absolute discretion, deem necessary or advisable;</w:t>
      </w:r>
    </w:p>
    <w:p>
      <w:pPr>
        <w:spacing w:after="0" w:line="93" w:lineRule="exact"/>
        <w:rPr>
          <w:rFonts w:ascii="Arial" w:cs="Arial" w:eastAsia="Arial" w:hAnsi="Arial"/>
          <w:sz w:val="16"/>
          <w:szCs w:val="16"/>
          <w:color w:val="202E39"/>
        </w:rPr>
      </w:pPr>
    </w:p>
    <w:p>
      <w:pPr>
        <w:ind w:left="120" w:right="520" w:hanging="4"/>
        <w:spacing w:after="0" w:line="260" w:lineRule="auto"/>
        <w:tabs>
          <w:tab w:leader="none" w:pos="354" w:val="left"/>
        </w:tabs>
        <w:numPr>
          <w:ilvl w:val="0"/>
          <w:numId w:val="103"/>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federal, state, local or foreign governmental agency which the Committee shall, in its absolute discretion, determine to be necessary or advisable;</w:t>
      </w:r>
    </w:p>
    <w:p>
      <w:pPr>
        <w:spacing w:after="0" w:line="87" w:lineRule="exact"/>
        <w:rPr>
          <w:rFonts w:ascii="Arial" w:cs="Arial" w:eastAsia="Arial" w:hAnsi="Arial"/>
          <w:sz w:val="16"/>
          <w:szCs w:val="16"/>
          <w:color w:val="202E39"/>
        </w:rPr>
      </w:pPr>
    </w:p>
    <w:p>
      <w:pPr>
        <w:ind w:left="120" w:right="460" w:hanging="4"/>
        <w:spacing w:after="0" w:line="260" w:lineRule="auto"/>
        <w:tabs>
          <w:tab w:leader="none" w:pos="363" w:val="left"/>
        </w:tabs>
        <w:numPr>
          <w:ilvl w:val="0"/>
          <w:numId w:val="103"/>
        </w:numPr>
        <w:rPr>
          <w:rFonts w:ascii="Arial" w:cs="Arial" w:eastAsia="Arial" w:hAnsi="Arial"/>
          <w:sz w:val="16"/>
          <w:szCs w:val="16"/>
          <w:color w:val="202E39"/>
        </w:rPr>
      </w:pPr>
      <w:r>
        <w:rPr>
          <w:rFonts w:ascii="Arial" w:cs="Arial" w:eastAsia="Arial" w:hAnsi="Arial"/>
          <w:sz w:val="16"/>
          <w:szCs w:val="16"/>
          <w:color w:val="202E39"/>
        </w:rPr>
        <w:t>The payment to the Company of all amounts which it or the employer is required to withhold under federal, state, local or foreign law upon grant, exercise of the Option or sale of shares of Stock; and</w:t>
      </w:r>
    </w:p>
    <w:p>
      <w:pPr>
        <w:spacing w:after="0" w:line="87" w:lineRule="exact"/>
        <w:rPr>
          <w:rFonts w:ascii="Arial" w:cs="Arial" w:eastAsia="Arial" w:hAnsi="Arial"/>
          <w:sz w:val="16"/>
          <w:szCs w:val="16"/>
          <w:color w:val="202E39"/>
        </w:rPr>
      </w:pPr>
    </w:p>
    <w:p>
      <w:pPr>
        <w:ind w:left="120" w:right="400" w:hanging="4"/>
        <w:spacing w:after="0" w:line="260" w:lineRule="auto"/>
        <w:tabs>
          <w:tab w:leader="none" w:pos="360" w:val="left"/>
        </w:tabs>
        <w:numPr>
          <w:ilvl w:val="0"/>
          <w:numId w:val="103"/>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may from time to time establish for reasons of administrative convenience.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18. TAX WITHHOLDING</w:t>
      </w:r>
    </w:p>
    <w:p>
      <w:pPr>
        <w:spacing w:after="0" w:line="124" w:lineRule="exact"/>
        <w:rPr>
          <w:sz w:val="20"/>
          <w:szCs w:val="20"/>
          <w:color w:val="auto"/>
        </w:rPr>
      </w:pPr>
    </w:p>
    <w:p>
      <w:pPr>
        <w:ind w:left="120" w:right="80"/>
        <w:spacing w:after="0" w:line="248" w:lineRule="auto"/>
        <w:rPr>
          <w:sz w:val="20"/>
          <w:szCs w:val="20"/>
          <w:color w:val="auto"/>
        </w:rPr>
      </w:pPr>
      <w:r>
        <w:rPr>
          <w:rFonts w:ascii="Arial" w:cs="Arial" w:eastAsia="Arial" w:hAnsi="Arial"/>
          <w:sz w:val="16"/>
          <w:szCs w:val="16"/>
          <w:color w:val="202E39"/>
        </w:rPr>
        <w:t>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 payment on account, withholding obligations and employer social contribution liability due from a Participant, if any, of the Participating Company Group which arise upon the grant or exercise of the Option or upon such disposition of shares, respectively. The Committee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19. CONFORMITY TO SECURITIES LAWS</w:t>
      </w:r>
    </w:p>
    <w:p>
      <w:pPr>
        <w:spacing w:after="0" w:line="12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202E39"/>
        </w:rPr>
        <w:t>Notwithstanding any other provision of this Plan, the participation in this Plan and all elections thereunder shall be subject to, and may be limited by, such rules and restrictions as the Committee may prescribe in order to comply with all applicable federal, state, local and foreign securities or exchange control laws. Without limiting the generality of the foregoing, this Plan and participation in this Plan by any individual who is then subject to Section 16 of the Exchange Act shall be subject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84455</wp:posOffset>
            </wp:positionV>
            <wp:extent cx="43688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B-8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2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jc w:val="both"/>
        <w:ind w:left="120" w:right="400"/>
        <w:spacing w:after="0" w:line="253" w:lineRule="auto"/>
        <w:rPr>
          <w:sz w:val="20"/>
          <w:szCs w:val="20"/>
          <w:color w:val="auto"/>
        </w:rPr>
      </w:pPr>
      <w:r>
        <w:rPr>
          <w:rFonts w:ascii="Arial" w:cs="Arial" w:eastAsia="Arial" w:hAnsi="Arial"/>
          <w:sz w:val="16"/>
          <w:szCs w:val="16"/>
          <w:color w:val="202E39"/>
        </w:rPr>
        <w:t>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20. NOTIFICATION OF DISPOSITION</w:t>
      </w:r>
    </w:p>
    <w:p>
      <w:pPr>
        <w:spacing w:after="0" w:line="124" w:lineRule="exact"/>
        <w:rPr>
          <w:sz w:val="20"/>
          <w:szCs w:val="20"/>
          <w:color w:val="auto"/>
        </w:rPr>
      </w:pPr>
    </w:p>
    <w:p>
      <w:pPr>
        <w:ind w:left="120" w:right="280"/>
        <w:spacing w:after="0" w:line="246" w:lineRule="auto"/>
        <w:rPr>
          <w:sz w:val="20"/>
          <w:szCs w:val="20"/>
          <w:color w:val="auto"/>
        </w:rPr>
      </w:pPr>
      <w:r>
        <w:rPr>
          <w:rFonts w:ascii="Arial" w:cs="Arial" w:eastAsia="Arial" w:hAnsi="Arial"/>
          <w:sz w:val="16"/>
          <w:szCs w:val="16"/>
          <w:color w:val="202E39"/>
        </w:rPr>
        <w:t>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w:t>
      </w:r>
    </w:p>
    <w:p>
      <w:pPr>
        <w:spacing w:after="0" w:line="1" w:lineRule="exact"/>
        <w:rPr>
          <w:sz w:val="20"/>
          <w:szCs w:val="20"/>
          <w:color w:val="auto"/>
        </w:rPr>
      </w:pPr>
    </w:p>
    <w:p>
      <w:pPr>
        <w:ind w:left="120" w:right="360" w:hanging="4"/>
        <w:spacing w:after="0" w:line="253" w:lineRule="auto"/>
        <w:tabs>
          <w:tab w:leader="none" w:pos="363" w:val="left"/>
        </w:tabs>
        <w:numPr>
          <w:ilvl w:val="0"/>
          <w:numId w:val="104"/>
        </w:numPr>
        <w:rPr>
          <w:rFonts w:ascii="Arial" w:cs="Arial" w:eastAsia="Arial" w:hAnsi="Arial"/>
          <w:sz w:val="16"/>
          <w:szCs w:val="16"/>
          <w:color w:val="202E39"/>
        </w:rPr>
      </w:pPr>
      <w:r>
        <w:rPr>
          <w:rFonts w:ascii="Arial" w:cs="Arial" w:eastAsia="Arial" w:hAnsi="Arial"/>
          <w:sz w:val="16"/>
          <w:szCs w:val="16"/>
          <w:color w:val="202E39"/>
        </w:rPr>
        <w:t>within one year after the transfer of such shares to such Participant upon exercise of such Option. Such notice shall specify the date of such disposition or other transfer and the amount realized, in cash, other property, assumption of indebtedness or other consideration, by the Participant in such disposition or other transfer.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21. NOTICES</w:t>
      </w:r>
    </w:p>
    <w:p>
      <w:pPr>
        <w:spacing w:after="0" w:line="124"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202E39"/>
        </w:rPr>
        <w:t>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22. HEADINGS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Headings are provided herein for convenience only and are not to serve as a basis for interpretation or construction of the Plan.</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23. EQUAL RIGHTS AND PRIVILEGES</w:t>
      </w:r>
    </w:p>
    <w:p>
      <w:pPr>
        <w:spacing w:after="0" w:line="124"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202E39"/>
        </w:rPr>
        <w:t>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Committee pursuant to Section 24 that are consistent with Section 423(b)(5) of the Code. Any provision of the Section 423 Component of the Plan that is inconsistent with Section 423 of the Code will, without further act or amendment by the Company, the Board of Directors or the Committee, be reformed to comply with the equal rights and privileges requirement of Section 423 of the Code. Participants participating in the Non-Section 423 Component need not have the same rights and privileges as Employees participating in the Section 423 Component.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24. RULES FOR FOREIGN JURISDICTIONS</w:t>
      </w:r>
    </w:p>
    <w:p>
      <w:pPr>
        <w:spacing w:after="0" w:line="124" w:lineRule="exact"/>
        <w:rPr>
          <w:sz w:val="20"/>
          <w:szCs w:val="20"/>
          <w:color w:val="auto"/>
        </w:rPr>
      </w:pPr>
    </w:p>
    <w:p>
      <w:pPr>
        <w:ind w:left="120" w:right="160"/>
        <w:spacing w:after="0" w:line="247" w:lineRule="auto"/>
        <w:rPr>
          <w:sz w:val="20"/>
          <w:szCs w:val="20"/>
          <w:color w:val="auto"/>
        </w:rPr>
      </w:pPr>
      <w:r>
        <w:rPr>
          <w:rFonts w:ascii="Arial" w:cs="Arial" w:eastAsia="Arial" w:hAnsi="Arial"/>
          <w:sz w:val="16"/>
          <w:szCs w:val="16"/>
          <w:color w:val="202E39"/>
        </w:rPr>
        <w:t>Notwithstanding any provision to the contrary in the Plan, the Committee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Committee. The rules of such appendices or sub-plans may take precedence over other provisions of this Plan, with the exception of Sections 2, 11 and 15, but unless otherwise superseded by the terms of such sub-plan or appendix, the provisions of this Plan shall govern the operation of such sub-plans or appendices. Without limiting the generality of the foregoing, the Committee is specifically authorized to adopt rules and procedures regarding the exclusion of particular Subsidiaries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Committee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w:t>
      </w:r>
    </w:p>
    <w:p>
      <w:pPr>
        <w:spacing w:after="0" w:line="129" w:lineRule="exact"/>
        <w:rPr>
          <w:sz w:val="20"/>
          <w:szCs w:val="20"/>
          <w:color w:val="auto"/>
        </w:rPr>
      </w:pPr>
    </w:p>
    <w:tbl>
      <w:tblPr>
        <w:tblLayout w:type="fixed"/>
        <w:tblInd w:w="89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2021 </w:t>
            </w:r>
            <w:r>
              <w:rPr>
                <w:rFonts w:ascii="Arial" w:cs="Arial" w:eastAsia="Arial" w:hAnsi="Arial"/>
                <w:sz w:val="14"/>
                <w:szCs w:val="14"/>
                <w:b w:val="1"/>
                <w:bCs w:val="1"/>
                <w:color w:val="202E39"/>
              </w:rPr>
              <w:t>Proxy Statement</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202E39"/>
                <w:w w:val="97"/>
              </w:rPr>
              <w:t>B-9</w:t>
            </w: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2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202E39"/>
        </w:rPr>
        <w:t>Committee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The Committee shall not be required to obtain the approval of the stockholders of the Company prior to the adoption, amendment or termination of any such sub-plan, appendix, rules or procedures.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25. SECTION 409A OF THE CODE</w:t>
      </w:r>
    </w:p>
    <w:p>
      <w:pPr>
        <w:spacing w:after="0" w:line="124" w:lineRule="exact"/>
        <w:rPr>
          <w:sz w:val="20"/>
          <w:szCs w:val="20"/>
          <w:color w:val="auto"/>
        </w:rPr>
      </w:pPr>
    </w:p>
    <w:p>
      <w:pPr>
        <w:ind w:left="120"/>
        <w:spacing w:after="0" w:line="247" w:lineRule="auto"/>
        <w:rPr>
          <w:sz w:val="20"/>
          <w:szCs w:val="20"/>
          <w:color w:val="auto"/>
        </w:rPr>
      </w:pPr>
      <w:r>
        <w:rPr>
          <w:rFonts w:ascii="Arial" w:cs="Arial" w:eastAsia="Arial" w:hAnsi="Arial"/>
          <w:sz w:val="16"/>
          <w:szCs w:val="16"/>
          <w:color w:val="202E39"/>
        </w:rPr>
        <w:t>The Section 423 Component of the Plan is exempt from the application of Code Section 409A and any ambiguities herein will be interpreted to so be exempt from Code Section 409A. The Non-Section 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of the Code,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Committee with respect thereto.</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26. TAX-QUALIFICATION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202E39"/>
        </w:rPr>
        <w:t>Although the Company may endeavor to (a) qualify an Option for favorable tax treatment under the laws of the United States or non-U.S. jurisdictions or</w:t>
      </w:r>
    </w:p>
    <w:p>
      <w:pPr>
        <w:spacing w:after="0" w:line="5" w:lineRule="exact"/>
        <w:rPr>
          <w:sz w:val="20"/>
          <w:szCs w:val="20"/>
          <w:color w:val="auto"/>
        </w:rPr>
      </w:pPr>
    </w:p>
    <w:p>
      <w:pPr>
        <w:ind w:left="120" w:right="60" w:hanging="4"/>
        <w:spacing w:after="0" w:line="253" w:lineRule="auto"/>
        <w:tabs>
          <w:tab w:leader="none" w:pos="363" w:val="left"/>
        </w:tabs>
        <w:numPr>
          <w:ilvl w:val="0"/>
          <w:numId w:val="105"/>
        </w:numPr>
        <w:rPr>
          <w:rFonts w:ascii="Arial" w:cs="Arial" w:eastAsia="Arial" w:hAnsi="Arial"/>
          <w:sz w:val="16"/>
          <w:szCs w:val="16"/>
          <w:color w:val="202E39"/>
        </w:rPr>
      </w:pPr>
      <w:r>
        <w:rPr>
          <w:rFonts w:ascii="Arial" w:cs="Arial" w:eastAsia="Arial" w:hAnsi="Arial"/>
          <w:sz w:val="16"/>
          <w:szCs w:val="16"/>
          <w:color w:val="202E39"/>
        </w:rPr>
        <w:t>avoid adverse tax treatment (e.g., under Section 409A of the Code), the Company makes no representation to that effect and expressly disavows any covenant to maintain favorable or avoid unfavorable tax treatment, notwithstanding anything to the contrary in this Plan, including Section 25. The Company shall be unconstrained in its corporate activities without regard to the potential negative tax impact on Participants under the Plan.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27. REPORTS</w:t>
      </w:r>
    </w:p>
    <w:p>
      <w:pPr>
        <w:spacing w:after="0" w:line="124"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202E39"/>
        </w:rPr>
        <w:t>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02E39"/>
        </w:rPr>
        <w:t>28. DATES AND TIMES</w:t>
      </w:r>
    </w:p>
    <w:p>
      <w:pPr>
        <w:spacing w:after="0" w:line="124" w:lineRule="exact"/>
        <w:rPr>
          <w:sz w:val="20"/>
          <w:szCs w:val="20"/>
          <w:color w:val="auto"/>
        </w:rPr>
      </w:pPr>
    </w:p>
    <w:p>
      <w:pPr>
        <w:ind w:left="120" w:right="40"/>
        <w:spacing w:after="0" w:line="260" w:lineRule="auto"/>
        <w:rPr>
          <w:sz w:val="20"/>
          <w:szCs w:val="20"/>
          <w:color w:val="auto"/>
        </w:rPr>
      </w:pPr>
      <w:r>
        <w:rPr>
          <w:rFonts w:ascii="Arial" w:cs="Arial" w:eastAsia="Arial" w:hAnsi="Arial"/>
          <w:sz w:val="16"/>
          <w:szCs w:val="16"/>
          <w:color w:val="202E39"/>
        </w:rPr>
        <w:t>All references in the Plan to a date or time are intended to refer to dates and times determined pursuant to U.S. Pacific Time. Business days for purposes of the Plan are U.S.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3688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36880" cy="154305"/>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02E39"/>
        </w:rPr>
        <w:t>B-10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 BY INTERNET</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920" w:type="dxa"/>
            <w:vAlign w:val="bottom"/>
            <w:gridSpan w:val="4"/>
          </w:tcPr>
          <w:p>
            <w:pPr>
              <w:ind w:left="580"/>
              <w:spacing w:after="0" w:line="158" w:lineRule="exact"/>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www.proxyvote.com</w:t>
            </w: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41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VIASAT, INC.</w:t>
            </w:r>
          </w:p>
        </w:tc>
        <w:tc>
          <w:tcPr>
            <w:tcW w:w="600" w:type="dxa"/>
            <w:vAlign w:val="bottom"/>
          </w:tcPr>
          <w:p>
            <w:pPr>
              <w:spacing w:after="0"/>
              <w:rPr>
                <w:sz w:val="23"/>
                <w:szCs w:val="23"/>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40"/>
        </w:trPr>
        <w:tc>
          <w:tcPr>
            <w:tcW w:w="420" w:type="dxa"/>
            <w:vAlign w:val="bottom"/>
          </w:tcPr>
          <w:p>
            <w:pPr>
              <w:spacing w:after="0"/>
              <w:rPr>
                <w:sz w:val="12"/>
                <w:szCs w:val="12"/>
                <w:color w:val="auto"/>
              </w:rPr>
            </w:pPr>
          </w:p>
        </w:tc>
        <w:tc>
          <w:tcPr>
            <w:tcW w:w="41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5860" w:type="dxa"/>
            <w:vAlign w:val="bottom"/>
            <w:gridSpan w:val="9"/>
          </w:tcPr>
          <w:p>
            <w:pPr>
              <w:ind w:left="580"/>
              <w:spacing w:after="0" w:line="141" w:lineRule="exact"/>
              <w:rPr>
                <w:sz w:val="20"/>
                <w:szCs w:val="20"/>
                <w:color w:val="auto"/>
              </w:rPr>
            </w:pPr>
            <w:r>
              <w:rPr>
                <w:rFonts w:ascii="Arial" w:cs="Arial" w:eastAsia="Arial" w:hAnsi="Arial"/>
                <w:sz w:val="14"/>
                <w:szCs w:val="14"/>
                <w:color w:val="auto"/>
                <w:w w:val="98"/>
              </w:rPr>
              <w:t>information up until 11:59 p.m. Eastern Time the day before the cut-off date or meeting</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6155 EL CAMINO REAL</w:t>
            </w: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date. Have your proxy card in hand when you access the web site and follow the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CARLSBAD, CA 92009</w:t>
            </w: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instructions to obtain your records and to create an electronic voting instruction form.</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ATTN: COURTNEY STURGIS</w:t>
            </w:r>
          </w:p>
        </w:tc>
        <w:tc>
          <w:tcPr>
            <w:tcW w:w="6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www.virtualshareholdermeeting.com/VSAT2021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80" w:type="dxa"/>
            <w:vAlign w:val="bottom"/>
            <w:gridSpan w:val="6"/>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60" w:type="dxa"/>
            <w:vAlign w:val="bottom"/>
            <w:gridSpan w:val="9"/>
          </w:tcPr>
          <w:p>
            <w:pPr>
              <w:ind w:left="580"/>
              <w:spacing w:after="0"/>
              <w:rPr>
                <w:sz w:val="20"/>
                <w:szCs w:val="20"/>
                <w:color w:val="auto"/>
              </w:rPr>
            </w:pPr>
            <w:r>
              <w:rPr>
                <w:rFonts w:ascii="Arial" w:cs="Arial" w:eastAsia="Arial" w:hAnsi="Arial"/>
                <w:sz w:val="14"/>
                <w:szCs w:val="14"/>
                <w:color w:val="auto"/>
              </w:rPr>
              <w:t>You may attend the meeting via the Internet and vote during the meeting. Have the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information that is printed in the box marked by the arrow available and follow the</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instructions.</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b w:val="1"/>
                <w:bCs w:val="1"/>
                <w:color w:val="auto"/>
                <w:w w:val="99"/>
              </w:rPr>
              <w:t>VOTE BY PHONE - 1-800-690-6903</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rPr>
              <w:t>Use any touch-tone telephone to transmit your voting instructions up until 11:59 p.m.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2"/>
              </w:rPr>
              <w:t>Eastern Time the day before the cut-off date or meeting date. Have your proxy card in hand</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20" w:type="dxa"/>
            <w:vAlign w:val="bottom"/>
            <w:gridSpan w:val="4"/>
          </w:tcPr>
          <w:p>
            <w:pPr>
              <w:ind w:left="580"/>
              <w:spacing w:after="0"/>
              <w:rPr>
                <w:sz w:val="20"/>
                <w:szCs w:val="20"/>
                <w:color w:val="auto"/>
              </w:rPr>
            </w:pPr>
            <w:r>
              <w:rPr>
                <w:rFonts w:ascii="Arial" w:cs="Arial" w:eastAsia="Arial" w:hAnsi="Arial"/>
                <w:sz w:val="14"/>
                <w:szCs w:val="14"/>
                <w:color w:val="auto"/>
              </w:rPr>
              <w:t>when you call and then follow the instructions.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b w:val="1"/>
                <w:bCs w:val="1"/>
                <w:color w:val="auto"/>
              </w:rPr>
              <w:t>VOTE BY MAIL</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7"/>
              </w:rPr>
              <w:t>Mark, sign and date your proxy card and return it in the postage-paid envelope we have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60" w:type="dxa"/>
            <w:vAlign w:val="bottom"/>
            <w:gridSpan w:val="9"/>
          </w:tcPr>
          <w:p>
            <w:pPr>
              <w:ind w:left="580"/>
              <w:spacing w:after="0" w:line="149" w:lineRule="exact"/>
              <w:rPr>
                <w:sz w:val="20"/>
                <w:szCs w:val="20"/>
                <w:color w:val="auto"/>
              </w:rPr>
            </w:pPr>
            <w:r>
              <w:rPr>
                <w:rFonts w:ascii="Arial" w:cs="Arial" w:eastAsia="Arial" w:hAnsi="Arial"/>
                <w:sz w:val="14"/>
                <w:szCs w:val="14"/>
                <w:color w:val="auto"/>
                <w:w w:val="97"/>
              </w:rPr>
              <w:t>provided or return it to Vote Processing, c/o Broadridge, 51 Mercedes Way, Edgewood,</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60" w:type="dxa"/>
            <w:vAlign w:val="bottom"/>
            <w:gridSpan w:val="2"/>
          </w:tcPr>
          <w:p>
            <w:pPr>
              <w:ind w:left="580"/>
              <w:spacing w:after="0"/>
              <w:rPr>
                <w:sz w:val="20"/>
                <w:szCs w:val="20"/>
                <w:color w:val="auto"/>
              </w:rPr>
            </w:pPr>
            <w:r>
              <w:rPr>
                <w:rFonts w:ascii="Arial" w:cs="Arial" w:eastAsia="Arial" w:hAnsi="Arial"/>
                <w:sz w:val="14"/>
                <w:szCs w:val="14"/>
                <w:color w:val="auto"/>
              </w:rPr>
              <w:t>NY 11717.</w:t>
            </w: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8"/>
        </w:trPr>
        <w:tc>
          <w:tcPr>
            <w:tcW w:w="5160" w:type="dxa"/>
            <w:vAlign w:val="bottom"/>
            <w:gridSpan w:val="4"/>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860" w:type="dxa"/>
            <w:vAlign w:val="bottom"/>
            <w:gridSpan w:val="2"/>
            <w:vMerge w:val="restart"/>
          </w:tcPr>
          <w:p>
            <w:pPr>
              <w:ind w:left="1320"/>
              <w:spacing w:after="0"/>
              <w:rPr>
                <w:sz w:val="20"/>
                <w:szCs w:val="20"/>
                <w:color w:val="auto"/>
              </w:rPr>
            </w:pPr>
            <w:r>
              <w:rPr>
                <w:rFonts w:ascii="Arial" w:cs="Arial" w:eastAsia="Arial" w:hAnsi="Arial"/>
                <w:sz w:val="14"/>
                <w:szCs w:val="14"/>
                <w:color w:val="auto"/>
              </w:rPr>
              <w:t>D57774-P58064</w:t>
            </w:r>
          </w:p>
        </w:tc>
        <w:tc>
          <w:tcPr>
            <w:tcW w:w="3000" w:type="dxa"/>
            <w:vAlign w:val="bottom"/>
            <w:gridSpan w:val="7"/>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60" w:type="dxa"/>
            <w:vAlign w:val="bottom"/>
            <w:gridSpan w:val="2"/>
            <w:vMerge w:val="continue"/>
          </w:tcPr>
          <w:p>
            <w:pPr>
              <w:spacing w:after="0"/>
              <w:rPr>
                <w:sz w:val="9"/>
                <w:szCs w:val="9"/>
                <w:color w:val="auto"/>
              </w:rPr>
            </w:pPr>
          </w:p>
        </w:tc>
        <w:tc>
          <w:tcPr>
            <w:tcW w:w="30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180" w:type="dxa"/>
            <w:vAlign w:val="bottom"/>
            <w:gridSpan w:val="11"/>
          </w:tcPr>
          <w:p>
            <w:pPr>
              <w:ind w:left="740"/>
              <w:spacing w:after="0" w:line="149" w:lineRule="exact"/>
              <w:rPr>
                <w:sz w:val="20"/>
                <w:szCs w:val="20"/>
                <w:color w:val="auto"/>
              </w:rPr>
            </w:pPr>
            <w:r>
              <w:rPr>
                <w:rFonts w:ascii="Arial" w:cs="Arial" w:eastAsia="Arial" w:hAnsi="Arial"/>
                <w:sz w:val="14"/>
                <w:szCs w:val="14"/>
                <w:color w:val="auto"/>
              </w:rPr>
              <w:t>— — — — — — — — — — — — — — — — — — — — — — — — — — — — — — — — — — — — — — — — — — — — — — — — — — — —</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4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 — — — — — — — —</w:t>
            </w: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180" w:type="dxa"/>
            <w:vAlign w:val="bottom"/>
            <w:gridSpan w:val="4"/>
            <w:vMerge w:val="restart"/>
          </w:tcPr>
          <w:p>
            <w:pPr>
              <w:ind w:left="24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000" w:type="dxa"/>
            <w:vAlign w:val="bottom"/>
            <w:gridSpan w:val="7"/>
          </w:tcPr>
          <w:p>
            <w:pPr>
              <w:jc w:val="right"/>
              <w:spacing w:after="0"/>
              <w:rPr>
                <w:sz w:val="20"/>
                <w:szCs w:val="20"/>
                <w:color w:val="auto"/>
              </w:rPr>
            </w:pPr>
            <w:r>
              <w:rPr>
                <w:rFonts w:ascii="Arial" w:cs="Arial" w:eastAsia="Arial" w:hAnsi="Arial"/>
                <w:sz w:val="14"/>
                <w:szCs w:val="14"/>
                <w:color w:val="auto"/>
                <w:w w:val="99"/>
              </w:rPr>
              <w:t>DETACH AND RETURN THIS PORTION ONLY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1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4560" w:type="dxa"/>
            <w:vAlign w:val="bottom"/>
            <w:gridSpan w:val="3"/>
          </w:tcPr>
          <w:p>
            <w:pPr>
              <w:ind w:left="100"/>
              <w:spacing w:after="0"/>
              <w:rPr>
                <w:sz w:val="20"/>
                <w:szCs w:val="20"/>
                <w:color w:val="auto"/>
              </w:rPr>
            </w:pPr>
            <w:r>
              <w:rPr>
                <w:rFonts w:ascii="Arial" w:cs="Arial" w:eastAsia="Arial" w:hAnsi="Arial"/>
                <w:sz w:val="14"/>
                <w:szCs w:val="14"/>
                <w:b w:val="1"/>
                <w:bCs w:val="1"/>
                <w:color w:val="auto"/>
              </w:rPr>
              <w:t>VIASAT, INC.</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560" w:type="dxa"/>
            <w:vAlign w:val="bottom"/>
            <w:gridSpan w:val="3"/>
          </w:tcPr>
          <w:p>
            <w:pPr>
              <w:ind w:left="320"/>
              <w:spacing w:after="0" w:line="139" w:lineRule="exact"/>
              <w:rPr>
                <w:sz w:val="20"/>
                <w:szCs w:val="20"/>
                <w:color w:val="auto"/>
              </w:rPr>
            </w:pPr>
            <w:r>
              <w:rPr>
                <w:rFonts w:ascii="Arial" w:cs="Arial" w:eastAsia="Arial" w:hAnsi="Arial"/>
                <w:sz w:val="14"/>
                <w:szCs w:val="14"/>
                <w:b w:val="1"/>
                <w:bCs w:val="1"/>
                <w:color w:val="auto"/>
              </w:rPr>
              <w:t>The Viasat Board of Directors unanimously recommends that</w:t>
            </w:r>
          </w:p>
        </w:tc>
        <w:tc>
          <w:tcPr>
            <w:tcW w:w="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ind w:left="320"/>
              <w:spacing w:after="0" w:line="149" w:lineRule="exact"/>
              <w:rPr>
                <w:sz w:val="20"/>
                <w:szCs w:val="20"/>
                <w:color w:val="auto"/>
              </w:rPr>
            </w:pPr>
            <w:r>
              <w:rPr>
                <w:rFonts w:ascii="Arial" w:cs="Arial" w:eastAsia="Arial" w:hAnsi="Arial"/>
                <w:sz w:val="14"/>
                <w:szCs w:val="14"/>
                <w:b w:val="1"/>
                <w:bCs w:val="1"/>
                <w:color w:val="auto"/>
              </w:rPr>
              <w:t>stockholders vote “FOR” all the director nominees listed in</w:t>
            </w:r>
          </w:p>
        </w:tc>
        <w:tc>
          <w:tcPr>
            <w:tcW w:w="6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gridSpan w:val="3"/>
          </w:tcPr>
          <w:p>
            <w:pPr>
              <w:ind w:left="320"/>
              <w:spacing w:after="0"/>
              <w:rPr>
                <w:sz w:val="20"/>
                <w:szCs w:val="20"/>
                <w:color w:val="auto"/>
              </w:rPr>
            </w:pPr>
            <w:r>
              <w:rPr>
                <w:rFonts w:ascii="Arial" w:cs="Arial" w:eastAsia="Arial" w:hAnsi="Arial"/>
                <w:sz w:val="14"/>
                <w:szCs w:val="14"/>
                <w:b w:val="1"/>
                <w:bCs w:val="1"/>
                <w:color w:val="auto"/>
              </w:rPr>
              <w:t>Proposal 1, and “FOR” Proposals 2, 3, 4 and 5.</w:t>
            </w:r>
          </w:p>
        </w:tc>
        <w:tc>
          <w:tcPr>
            <w:tcW w:w="6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0"/>
        </w:trPr>
        <w:tc>
          <w:tcPr>
            <w:tcW w:w="420" w:type="dxa"/>
            <w:vAlign w:val="bottom"/>
          </w:tcPr>
          <w:p>
            <w:pPr>
              <w:ind w:left="320"/>
              <w:spacing w:after="0"/>
              <w:rPr>
                <w:sz w:val="20"/>
                <w:szCs w:val="20"/>
                <w:color w:val="auto"/>
              </w:rPr>
            </w:pPr>
            <w:r>
              <w:rPr>
                <w:rFonts w:ascii="Arial" w:cs="Arial" w:eastAsia="Arial" w:hAnsi="Arial"/>
                <w:sz w:val="13"/>
                <w:szCs w:val="13"/>
                <w:color w:val="auto"/>
                <w:w w:val="73"/>
              </w:rPr>
              <w:t>1.</w:t>
            </w:r>
          </w:p>
        </w:tc>
        <w:tc>
          <w:tcPr>
            <w:tcW w:w="4140" w:type="dxa"/>
            <w:vAlign w:val="bottom"/>
            <w:gridSpan w:val="2"/>
          </w:tcPr>
          <w:p>
            <w:pPr>
              <w:ind w:left="180"/>
              <w:spacing w:after="0"/>
              <w:rPr>
                <w:sz w:val="20"/>
                <w:szCs w:val="20"/>
                <w:color w:val="auto"/>
              </w:rPr>
            </w:pPr>
            <w:r>
              <w:rPr>
                <w:rFonts w:ascii="Arial" w:cs="Arial" w:eastAsia="Arial" w:hAnsi="Arial"/>
                <w:sz w:val="14"/>
                <w:szCs w:val="14"/>
                <w:color w:val="auto"/>
              </w:rPr>
              <w:t>Election of Directors:</w:t>
            </w:r>
          </w:p>
        </w:tc>
        <w:tc>
          <w:tcPr>
            <w:tcW w:w="600" w:type="dxa"/>
            <w:vAlign w:val="bottom"/>
          </w:tcPr>
          <w:p>
            <w:pPr>
              <w:jc w:val="center"/>
              <w:ind w:right="208"/>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ind w:left="280"/>
              <w:spacing w:after="0"/>
              <w:rPr>
                <w:sz w:val="20"/>
                <w:szCs w:val="20"/>
                <w:color w:val="auto"/>
              </w:rPr>
            </w:pPr>
            <w:r>
              <w:rPr>
                <w:rFonts w:ascii="Arial" w:cs="Arial" w:eastAsia="Arial" w:hAnsi="Arial"/>
                <w:sz w:val="14"/>
                <w:szCs w:val="14"/>
                <w:b w:val="1"/>
                <w:bCs w:val="1"/>
                <w:color w:val="auto"/>
              </w:rPr>
              <w:t>Withhold</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1a.</w:t>
            </w:r>
          </w:p>
        </w:tc>
        <w:tc>
          <w:tcPr>
            <w:tcW w:w="3720" w:type="dxa"/>
            <w:vAlign w:val="bottom"/>
          </w:tcPr>
          <w:p>
            <w:pPr>
              <w:ind w:left="40"/>
              <w:spacing w:after="0"/>
              <w:rPr>
                <w:sz w:val="20"/>
                <w:szCs w:val="20"/>
                <w:color w:val="auto"/>
              </w:rPr>
            </w:pPr>
            <w:r>
              <w:rPr>
                <w:rFonts w:ascii="Arial" w:cs="Arial" w:eastAsia="Arial" w:hAnsi="Arial"/>
                <w:sz w:val="14"/>
                <w:szCs w:val="14"/>
                <w:color w:val="auto"/>
              </w:rPr>
              <w:t>Robert Johnson</w:t>
            </w:r>
          </w:p>
        </w:tc>
        <w:tc>
          <w:tcPr>
            <w:tcW w:w="60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85"/>
              </w:rPr>
              <w:t>☐</w:t>
            </w:r>
          </w:p>
        </w:tc>
        <w:tc>
          <w:tcPr>
            <w:tcW w:w="2860" w:type="dxa"/>
            <w:vAlign w:val="bottom"/>
            <w:gridSpan w:val="2"/>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1b.</w:t>
            </w:r>
          </w:p>
        </w:tc>
        <w:tc>
          <w:tcPr>
            <w:tcW w:w="3720" w:type="dxa"/>
            <w:vAlign w:val="bottom"/>
          </w:tcPr>
          <w:p>
            <w:pPr>
              <w:ind w:left="40"/>
              <w:spacing w:after="0"/>
              <w:rPr>
                <w:sz w:val="20"/>
                <w:szCs w:val="20"/>
                <w:color w:val="auto"/>
              </w:rPr>
            </w:pPr>
            <w:r>
              <w:rPr>
                <w:rFonts w:ascii="Arial" w:cs="Arial" w:eastAsia="Arial" w:hAnsi="Arial"/>
                <w:sz w:val="14"/>
                <w:szCs w:val="14"/>
                <w:color w:val="auto"/>
              </w:rPr>
              <w:t>John Stenbit</w:t>
            </w:r>
          </w:p>
        </w:tc>
        <w:tc>
          <w:tcPr>
            <w:tcW w:w="60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85"/>
              </w:rPr>
              <w:t>☐</w:t>
            </w:r>
          </w:p>
        </w:tc>
        <w:tc>
          <w:tcPr>
            <w:tcW w:w="2860" w:type="dxa"/>
            <w:vAlign w:val="bottom"/>
            <w:gridSpan w:val="2"/>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1c.</w:t>
            </w:r>
          </w:p>
        </w:tc>
        <w:tc>
          <w:tcPr>
            <w:tcW w:w="3720" w:type="dxa"/>
            <w:vAlign w:val="bottom"/>
          </w:tcPr>
          <w:p>
            <w:pPr>
              <w:ind w:left="40"/>
              <w:spacing w:after="0"/>
              <w:rPr>
                <w:sz w:val="20"/>
                <w:szCs w:val="20"/>
                <w:color w:val="auto"/>
              </w:rPr>
            </w:pPr>
            <w:r>
              <w:rPr>
                <w:rFonts w:ascii="Arial" w:cs="Arial" w:eastAsia="Arial" w:hAnsi="Arial"/>
                <w:sz w:val="14"/>
                <w:szCs w:val="14"/>
                <w:color w:val="auto"/>
              </w:rPr>
              <w:t>Theresa Wise</w:t>
            </w:r>
          </w:p>
        </w:tc>
        <w:tc>
          <w:tcPr>
            <w:tcW w:w="600" w:type="dxa"/>
            <w:vAlign w:val="bottom"/>
          </w:tcPr>
          <w:p>
            <w:pPr>
              <w:jc w:val="center"/>
              <w:ind w:right="208"/>
              <w:spacing w:after="0" w:line="141" w:lineRule="exact"/>
              <w:rPr>
                <w:sz w:val="20"/>
                <w:szCs w:val="20"/>
                <w:color w:val="auto"/>
              </w:rPr>
            </w:pPr>
            <w:r>
              <w:rPr>
                <w:rFonts w:ascii="MS PGothic" w:cs="MS PGothic" w:eastAsia="MS PGothic" w:hAnsi="MS PGothic"/>
                <w:sz w:val="14"/>
                <w:szCs w:val="14"/>
                <w:color w:val="auto"/>
                <w:w w:val="85"/>
              </w:rPr>
              <w:t>☐</w:t>
            </w:r>
          </w:p>
        </w:tc>
        <w:tc>
          <w:tcPr>
            <w:tcW w:w="2860" w:type="dxa"/>
            <w:vAlign w:val="bottom"/>
            <w:gridSpan w:val="2"/>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320"/>
              <w:spacing w:after="0"/>
              <w:rPr>
                <w:sz w:val="20"/>
                <w:szCs w:val="20"/>
                <w:color w:val="auto"/>
              </w:rPr>
            </w:pPr>
            <w:r>
              <w:rPr>
                <w:rFonts w:ascii="Arial" w:cs="Arial" w:eastAsia="Arial" w:hAnsi="Arial"/>
                <w:sz w:val="14"/>
                <w:szCs w:val="14"/>
                <w:b w:val="1"/>
                <w:bCs w:val="1"/>
                <w:color w:val="auto"/>
              </w:rPr>
              <w:t>For</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92"/>
        </w:trPr>
        <w:tc>
          <w:tcPr>
            <w:tcW w:w="9080" w:type="dxa"/>
            <w:vAlign w:val="bottom"/>
            <w:gridSpan w:val="8"/>
          </w:tcPr>
          <w:p>
            <w:pPr>
              <w:ind w:left="320"/>
              <w:spacing w:after="0"/>
              <w:rPr>
                <w:sz w:val="20"/>
                <w:szCs w:val="20"/>
                <w:color w:val="auto"/>
              </w:rPr>
            </w:pPr>
            <w:r>
              <w:rPr>
                <w:rFonts w:ascii="Arial" w:cs="Arial" w:eastAsia="Arial" w:hAnsi="Arial"/>
                <w:sz w:val="14"/>
                <w:szCs w:val="14"/>
                <w:color w:val="auto"/>
                <w:w w:val="98"/>
              </w:rPr>
              <w:t>2.   Ratification of Appointment of PricewaterhouseCoopers LLP as Viasat’s Independent Registered Public Accounting Firm for fiscal year 2022</w:t>
            </w:r>
          </w:p>
        </w:tc>
        <w:tc>
          <w:tcPr>
            <w:tcW w:w="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91"/>
        </w:trPr>
        <w:tc>
          <w:tcPr>
            <w:tcW w:w="4560" w:type="dxa"/>
            <w:vAlign w:val="bottom"/>
            <w:gridSpan w:val="3"/>
          </w:tcPr>
          <w:p>
            <w:pPr>
              <w:ind w:left="320"/>
              <w:spacing w:after="0"/>
              <w:rPr>
                <w:sz w:val="20"/>
                <w:szCs w:val="20"/>
                <w:color w:val="auto"/>
              </w:rPr>
            </w:pPr>
            <w:r>
              <w:rPr>
                <w:rFonts w:ascii="Arial" w:cs="Arial" w:eastAsia="Arial" w:hAnsi="Arial"/>
                <w:sz w:val="14"/>
                <w:szCs w:val="14"/>
                <w:color w:val="auto"/>
              </w:rPr>
              <w:t>3.  Advisory Vote on Executive Compensation</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92"/>
        </w:trPr>
        <w:tc>
          <w:tcPr>
            <w:tcW w:w="4560" w:type="dxa"/>
            <w:vAlign w:val="bottom"/>
            <w:gridSpan w:val="3"/>
          </w:tcPr>
          <w:p>
            <w:pPr>
              <w:ind w:left="320"/>
              <w:spacing w:after="0"/>
              <w:rPr>
                <w:sz w:val="20"/>
                <w:szCs w:val="20"/>
                <w:color w:val="auto"/>
              </w:rPr>
            </w:pPr>
            <w:r>
              <w:rPr>
                <w:rFonts w:ascii="Arial" w:cs="Arial" w:eastAsia="Arial" w:hAnsi="Arial"/>
                <w:sz w:val="14"/>
                <w:szCs w:val="14"/>
                <w:color w:val="auto"/>
                <w:w w:val="97"/>
              </w:rPr>
              <w:t>4.  Amendment and Restatement of the 1996 Equity Participation Plan</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91"/>
        </w:trPr>
        <w:tc>
          <w:tcPr>
            <w:tcW w:w="420" w:type="dxa"/>
            <w:vAlign w:val="bottom"/>
          </w:tcPr>
          <w:p>
            <w:pPr>
              <w:ind w:left="320"/>
              <w:spacing w:after="0"/>
              <w:rPr>
                <w:sz w:val="20"/>
                <w:szCs w:val="20"/>
                <w:color w:val="auto"/>
              </w:rPr>
            </w:pPr>
            <w:r>
              <w:rPr>
                <w:rFonts w:ascii="Arial" w:cs="Arial" w:eastAsia="Arial" w:hAnsi="Arial"/>
                <w:sz w:val="13"/>
                <w:szCs w:val="13"/>
                <w:color w:val="auto"/>
                <w:w w:val="73"/>
              </w:rPr>
              <w:t>5.</w:t>
            </w:r>
          </w:p>
        </w:tc>
        <w:tc>
          <w:tcPr>
            <w:tcW w:w="4140" w:type="dxa"/>
            <w:vAlign w:val="bottom"/>
            <w:gridSpan w:val="2"/>
          </w:tcPr>
          <w:p>
            <w:pPr>
              <w:ind w:left="180"/>
              <w:spacing w:after="0"/>
              <w:rPr>
                <w:sz w:val="20"/>
                <w:szCs w:val="20"/>
                <w:color w:val="auto"/>
              </w:rPr>
            </w:pPr>
            <w:r>
              <w:rPr>
                <w:rFonts w:ascii="Arial" w:cs="Arial" w:eastAsia="Arial" w:hAnsi="Arial"/>
                <w:sz w:val="14"/>
                <w:szCs w:val="14"/>
                <w:color w:val="auto"/>
                <w:w w:val="92"/>
              </w:rPr>
              <w:t>Amendment and Restatement of the Employee Stock Purchase Plan</w:t>
            </w: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60" w:type="dxa"/>
            <w:vAlign w:val="bottom"/>
          </w:tcPr>
          <w:p>
            <w:pPr>
              <w:spacing w:after="0"/>
              <w:rPr>
                <w:sz w:val="24"/>
                <w:szCs w:val="24"/>
                <w:color w:val="auto"/>
              </w:rPr>
            </w:pPr>
          </w:p>
        </w:tc>
        <w:tc>
          <w:tcPr>
            <w:tcW w:w="660" w:type="dxa"/>
            <w:vAlign w:val="bottom"/>
            <w:gridSpan w:val="2"/>
          </w:tcPr>
          <w:p>
            <w:pPr>
              <w:jc w:val="center"/>
              <w:ind w:right="28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-2419350</wp:posOffset>
            </wp:positionV>
            <wp:extent cx="6994525" cy="3497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4525" cy="3497580"/>
                    </a:xfrm>
                    <a:prstGeom prst="rect">
                      <a:avLst/>
                    </a:prstGeom>
                    <a:noFill/>
                  </pic:spPr>
                </pic:pic>
              </a:graphicData>
            </a:graphic>
          </wp:anchor>
        </w:drawing>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Please sign exactly as name(s) appear(s) hereon. Joint owners should each sign.</w:t>
      </w:r>
    </w:p>
    <w:p>
      <w:pPr>
        <w:ind w:left="440"/>
        <w:spacing w:after="0" w:line="221" w:lineRule="auto"/>
        <w:rPr>
          <w:sz w:val="20"/>
          <w:szCs w:val="20"/>
          <w:color w:val="auto"/>
        </w:rPr>
      </w:pPr>
      <w:r>
        <w:rPr>
          <w:rFonts w:ascii="Arial" w:cs="Arial" w:eastAsia="Arial" w:hAnsi="Arial"/>
          <w:sz w:val="14"/>
          <w:szCs w:val="14"/>
          <w:color w:val="auto"/>
        </w:rPr>
        <w:t>When signing as attorney, executor, administrator, corporate officer, trustee,</w:t>
      </w:r>
    </w:p>
    <w:p>
      <w:pPr>
        <w:ind w:left="440"/>
        <w:spacing w:after="0"/>
        <w:rPr>
          <w:sz w:val="20"/>
          <w:szCs w:val="20"/>
          <w:color w:val="auto"/>
        </w:rPr>
      </w:pPr>
      <w:r>
        <w:rPr>
          <w:rFonts w:ascii="Arial" w:cs="Arial" w:eastAsia="Arial" w:hAnsi="Arial"/>
          <w:sz w:val="14"/>
          <w:szCs w:val="14"/>
          <w:color w:val="auto"/>
        </w:rPr>
        <w:t>guardian, or custodian, please give full title.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tabs>
          <w:tab w:leader="none" w:pos="3100" w:val="left"/>
          <w:tab w:leader="none" w:pos="5300" w:val="left"/>
          <w:tab w:leader="none" w:pos="8320" w:val="left"/>
        </w:tabs>
        <w:rPr>
          <w:sz w:val="20"/>
          <w:szCs w:val="20"/>
          <w:color w:val="auto"/>
        </w:rPr>
      </w:pPr>
      <w:r>
        <w:rPr>
          <w:rFonts w:ascii="Arial" w:cs="Arial" w:eastAsia="Arial" w:hAnsi="Arial"/>
          <w:sz w:val="14"/>
          <w:szCs w:val="14"/>
          <w:color w:val="auto"/>
        </w:rPr>
        <w:t>Signature [PLEASE SIGN WITHIN BOX]</w:t>
        <w:tab/>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50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8"/>
          <w:szCs w:val="18"/>
          <w:i w:val="1"/>
          <w:iCs w:val="1"/>
          <w:color w:val="auto"/>
        </w:rPr>
        <w:t>investors.viasat.com.</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7" w:lineRule="exact"/>
        <w:rPr>
          <w:sz w:val="20"/>
          <w:szCs w:val="20"/>
          <w:color w:val="auto"/>
        </w:rPr>
      </w:pPr>
    </w:p>
    <w:p>
      <w:pPr>
        <w:ind w:left="120" w:right="200"/>
        <w:spacing w:after="0" w:line="30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63" w:lineRule="exact"/>
        <w:rPr>
          <w:sz w:val="20"/>
          <w:szCs w:val="20"/>
          <w:color w:val="auto"/>
        </w:rPr>
      </w:pPr>
    </w:p>
    <w:p>
      <w:pPr>
        <w:ind w:left="120" w:right="3540"/>
        <w:spacing w:after="0" w:line="254" w:lineRule="auto"/>
        <w:rPr>
          <w:sz w:val="20"/>
          <w:szCs w:val="20"/>
          <w:color w:val="auto"/>
        </w:rPr>
      </w:pPr>
      <w:r>
        <w:rPr>
          <w:rFonts w:ascii="Arial" w:cs="Arial" w:eastAsia="Arial" w:hAnsi="Arial"/>
          <w:sz w:val="18"/>
          <w:szCs w:val="18"/>
          <w:color w:val="auto"/>
        </w:rPr>
        <w:t>— — — — — — — — — — — — — — — — — — — — — — — — — — — — — — — — — — — — — — — — — — — — —— — — — —</w:t>
      </w:r>
    </w:p>
    <w:p>
      <w:pPr>
        <w:spacing w:after="0" w:line="1" w:lineRule="exact"/>
        <w:rPr>
          <w:sz w:val="20"/>
          <w:szCs w:val="20"/>
          <w:color w:val="auto"/>
        </w:rPr>
      </w:pPr>
    </w:p>
    <w:p>
      <w:pPr>
        <w:ind w:left="9860"/>
        <w:spacing w:after="0"/>
        <w:rPr>
          <w:sz w:val="20"/>
          <w:szCs w:val="20"/>
          <w:color w:val="auto"/>
        </w:rPr>
      </w:pPr>
      <w:r>
        <w:rPr>
          <w:rFonts w:ascii="Arial" w:cs="Arial" w:eastAsia="Arial" w:hAnsi="Arial"/>
          <w:sz w:val="14"/>
          <w:szCs w:val="14"/>
          <w:color w:val="auto"/>
        </w:rPr>
        <w:t>D57775-P58064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4525" cy="39001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4525" cy="390017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VIASAT, INC.</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ANNUAL MEETING OF STOCKHOLDERS - SEPTEMBER 2, 2021</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THIS PROXY IS SOLICITED ON BEHALF OF THE VIASAT BOARD OF DIRECTORS</w:t>
      </w:r>
    </w:p>
    <w:p>
      <w:pPr>
        <w:spacing w:after="0" w:line="260" w:lineRule="exact"/>
        <w:rPr>
          <w:sz w:val="20"/>
          <w:szCs w:val="20"/>
          <w:color w:val="auto"/>
        </w:rPr>
      </w:pPr>
    </w:p>
    <w:p>
      <w:pPr>
        <w:ind w:left="480" w:right="320"/>
        <w:spacing w:after="0" w:line="293" w:lineRule="auto"/>
        <w:rPr>
          <w:sz w:val="20"/>
          <w:szCs w:val="20"/>
          <w:color w:val="auto"/>
        </w:rPr>
      </w:pPr>
      <w:r>
        <w:rPr>
          <w:rFonts w:ascii="Arial" w:cs="Arial" w:eastAsia="Arial" w:hAnsi="Arial"/>
          <w:sz w:val="16"/>
          <w:szCs w:val="16"/>
          <w:color w:val="auto"/>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via live webcast at www.virtualshareholdermeeting.com/VSAT2021 on September 2, 2021, at 8:30 a.m. Pacific Time, and at any adjournments and postponements thereof, with the same force and effect as the undersigned might or could do if personally present.</w:t>
      </w:r>
    </w:p>
    <w:p>
      <w:pPr>
        <w:spacing w:after="0" w:line="201" w:lineRule="exact"/>
        <w:rPr>
          <w:sz w:val="20"/>
          <w:szCs w:val="20"/>
          <w:color w:val="auto"/>
        </w:rPr>
      </w:pPr>
    </w:p>
    <w:p>
      <w:pPr>
        <w:ind w:left="480" w:right="300"/>
        <w:spacing w:after="0" w:line="256" w:lineRule="auto"/>
        <w:rPr>
          <w:sz w:val="20"/>
          <w:szCs w:val="20"/>
          <w:color w:val="auto"/>
        </w:rPr>
      </w:pPr>
      <w:r>
        <w:rPr>
          <w:rFonts w:ascii="Arial" w:cs="Arial" w:eastAsia="Arial" w:hAnsi="Arial"/>
          <w:sz w:val="18"/>
          <w:szCs w:val="18"/>
          <w:b w:val="1"/>
          <w:bCs w:val="1"/>
          <w:color w:val="auto"/>
        </w:rPr>
        <w:t>THE SHARES REPRESENTED BY THIS PROXY CARD WILL BE VOTED AS INSTRUCTED BY THE STOCKHOLDER. IF NO INSTRUCTIONS ARE SPECIFIED, THE SHARES WILL BE VOTED “FOR” ALL THE DIRECTOR NOMINEES LISTED IN PROPOSAL 1, AND “FOR” PROPOSALS 2, 3, 4 AND 5.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sectPr>
      <w:pgSz w:w="11900" w:h="16838" w:orient="portrait"/>
      <w:cols w:equalWidth="0" w:num="1">
        <w:col w:w="11080"/>
      </w:cols>
      <w:pgMar w:left="32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lvl w:ilvl="1">
      <w:lvlJc w:val="left"/>
      <w:lvlText w:val="(%2)"/>
      <w:numFmt w:val="decimal"/>
      <w:start w:val="1"/>
    </w:lvl>
  </w:abstractNum>
  <w:abstractNum w:abstractNumId="3">
    <w:nsid w:val="4F4EF005"/>
    <w:multiLevelType w:val="hybridMultilevel"/>
    <w:lvl w:ilvl="0">
      <w:lvlJc w:val="left"/>
      <w:lvlText w:val="%1."/>
      <w:numFmt w:val="decimal"/>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lvl w:ilvl="1">
      <w:lvlJc w:val="left"/>
      <w:lvlText w:val="-"/>
      <w:numFmt w:val="bullet"/>
      <w:start w:val="1"/>
    </w:lvl>
  </w:abstractNum>
  <w:abstractNum w:abstractNumId="8">
    <w:nsid w:val="1CF10FD8"/>
    <w:multiLevelType w:val="hybridMultilevel"/>
    <w:lvl w:ilvl="0">
      <w:lvlJc w:val="left"/>
      <w:lvlText w:val="%1."/>
      <w:numFmt w:val="decimal"/>
      <w:start w:val="1"/>
    </w:lvl>
    <w:lvl w:ilvl="1">
      <w:lvlJc w:val="left"/>
      <w:lvlText w:val="•"/>
      <w:numFmt w:val="bullet"/>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decimal"/>
      <w:start w:val="1"/>
    </w:lvl>
  </w:abstractNum>
  <w:abstractNum w:abstractNumId="13">
    <w:nsid w:val="15B5AF5C"/>
    <w:multiLevelType w:val="hybridMultilevel"/>
    <w:lvl w:ilvl="0">
      <w:lvlJc w:val="left"/>
      <w:lvlText w:val="(%1)"/>
      <w:numFmt w:val="decimal"/>
      <w:start w:val="1"/>
    </w:lvl>
  </w:abstractNum>
  <w:abstractNum w:abstractNumId="14">
    <w:nsid w:val="741226BB"/>
    <w:multiLevelType w:val="hybridMultilevel"/>
    <w:lvl w:ilvl="0">
      <w:lvlJc w:val="left"/>
      <w:lvlText w:val="(%1)"/>
      <w:numFmt w:val="decimal"/>
      <w:start w:val="6"/>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1)"/>
      <w:numFmt w:val="decimal"/>
      <w:start w:val="2"/>
    </w:lvl>
  </w:abstractNum>
  <w:abstractNum w:abstractNumId="18">
    <w:nsid w:val="61574095"/>
    <w:multiLevelType w:val="hybridMultilevel"/>
    <w:lvl w:ilvl="0">
      <w:lvlJc w:val="left"/>
      <w:lvlText w:val="(%1)"/>
      <w:numFmt w:val="decimal"/>
      <w:start w:val="2"/>
    </w:lvl>
  </w:abstractNum>
  <w:abstractNum w:abstractNumId="19">
    <w:nsid w:val="7E0C57B1"/>
    <w:multiLevelType w:val="hybridMultilevel"/>
    <w:lvl w:ilvl="0">
      <w:lvlJc w:val="left"/>
      <w:lvlText w:val="(%1)"/>
      <w:numFmt w:val="decimal"/>
      <w:start w:val="3"/>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decimal"/>
      <w:start w:val="1"/>
    </w:lvl>
  </w:abstractNum>
  <w:abstractNum w:abstractNumId="24">
    <w:nsid w:val="2F305DEF"/>
    <w:multiLevelType w:val="hybridMultilevel"/>
    <w:lvl w:ilvl="0">
      <w:lvlJc w:val="left"/>
      <w:lvlText w:val="(%1)"/>
      <w:numFmt w:val="decimal"/>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1)"/>
      <w:numFmt w:val="decimal"/>
      <w:start w:val="1"/>
    </w:lvl>
  </w:abstractNum>
  <w:abstractNum w:abstractNumId="27">
    <w:nsid w:val="4AD084E9"/>
    <w:multiLevelType w:val="hybridMultilevel"/>
    <w:lvl w:ilvl="0">
      <w:lvlJc w:val="left"/>
      <w:lvlText w:val="(%1)"/>
      <w:numFmt w:val="decimal"/>
      <w:start w:val="5"/>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1"/>
      <w:numFmt w:val="decimal"/>
      <w:start w:val="1"/>
    </w:lvl>
    <w:lvl w:ilvl="1">
      <w:lvlJc w:val="left"/>
      <w:lvlText w:val="•"/>
      <w:numFmt w:val="bullet"/>
      <w:start w:val="1"/>
    </w:lvl>
  </w:abstractNum>
  <w:abstractNum w:abstractNumId="30">
    <w:nsid w:val="5DB70AE5"/>
    <w:multiLevelType w:val="hybridMultilevel"/>
    <w:lvl w:ilvl="0">
      <w:lvlJc w:val="left"/>
      <w:lvlText w:val="(%1)"/>
      <w:numFmt w:val="decimal"/>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1)"/>
      <w:numFmt w:val="decimal"/>
      <w:start w:val="1"/>
    </w:lvl>
  </w:abstractNum>
  <w:abstractNum w:abstractNumId="35">
    <w:nsid w:val="98A3148"/>
    <w:multiLevelType w:val="hybridMultilevel"/>
    <w:lvl w:ilvl="0">
      <w:lvlJc w:val="left"/>
      <w:lvlText w:val="(%1)"/>
      <w:numFmt w:val="decimal"/>
      <w:start w:val="2"/>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1"/>
    </w:lvl>
  </w:abstractNum>
  <w:abstractNum w:abstractNumId="49">
    <w:nsid w:val="42963E5A"/>
    <w:multiLevelType w:val="hybridMultilevel"/>
    <w:lvl w:ilvl="0">
      <w:lvlJc w:val="left"/>
      <w:lvlText w:val="(%1)"/>
      <w:numFmt w:val="decimal"/>
      <w:start w:val="3"/>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1)"/>
      <w:numFmt w:val="decimal"/>
      <w:start w:val="1"/>
    </w:lvl>
  </w:abstractNum>
  <w:abstractNum w:abstractNumId="54">
    <w:nsid w:val="68EB2F63"/>
    <w:multiLevelType w:val="hybridMultilevel"/>
    <w:lvl w:ilvl="0">
      <w:lvlJc w:val="left"/>
      <w:lvlText w:val="(%1)"/>
      <w:numFmt w:val="lowerLetter"/>
      <w:start w:val="1"/>
    </w:lvl>
  </w:abstractNum>
  <w:abstractNum w:abstractNumId="55">
    <w:nsid w:val="4962813B"/>
    <w:multiLevelType w:val="hybridMultilevel"/>
    <w:lvl w:ilvl="0">
      <w:lvlJc w:val="left"/>
      <w:lvlText w:val="(%1)"/>
      <w:numFmt w:val="lowerLetter"/>
      <w:start w:val="1"/>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2"/>
    </w:lvl>
  </w:abstractNum>
  <w:abstractNum w:abstractNumId="58">
    <w:nsid w:val="14330624"/>
    <w:multiLevelType w:val="hybridMultilevel"/>
    <w:lvl w:ilvl="0">
      <w:lvlJc w:val="left"/>
      <w:lvlText w:val="(%1)"/>
      <w:numFmt w:val="lowerRoman"/>
      <w:start w:val="3"/>
    </w:lvl>
  </w:abstractNum>
  <w:abstractNum w:abstractNumId="59">
    <w:nsid w:val="7FFFCA11"/>
    <w:multiLevelType w:val="hybridMultilevel"/>
    <w:lvl w:ilvl="0">
      <w:lvlJc w:val="left"/>
      <w:lvlText w:val="(%1)"/>
      <w:numFmt w:val="lowerLetter"/>
      <w:start w:val="1"/>
    </w:lvl>
    <w:lvl w:ilvl="1">
      <w:lvlJc w:val="left"/>
      <w:lvlText w:val="(%2)"/>
      <w:numFmt w:val="lowerRoman"/>
      <w:start w:val="1"/>
    </w:lvl>
  </w:abstractNum>
  <w:abstractNum w:abstractNumId="60">
    <w:nsid w:val="1A27709E"/>
    <w:multiLevelType w:val="hybridMultilevel"/>
    <w:lvl w:ilvl="0">
      <w:lvlJc w:val="left"/>
      <w:lvlText w:val="(%1)"/>
      <w:numFmt w:val="lowerLetter"/>
      <w:start w:val="3"/>
    </w:lvl>
  </w:abstractNum>
  <w:abstractNum w:abstractNumId="61">
    <w:nsid w:val="71EA1109"/>
    <w:multiLevelType w:val="hybridMultilevel"/>
    <w:lvl w:ilvl="0">
      <w:lvlJc w:val="left"/>
      <w:lvlText w:val="(%1)"/>
      <w:numFmt w:val="decimal"/>
      <w:start w:val="6"/>
    </w:lvl>
  </w:abstractNum>
  <w:abstractNum w:abstractNumId="62">
    <w:nsid w:val="100F59DC"/>
    <w:multiLevelType w:val="hybridMultilevel"/>
    <w:lvl w:ilvl="0">
      <w:lvlJc w:val="left"/>
      <w:lvlText w:val="(%1)"/>
      <w:numFmt w:val="lowerLetter"/>
      <w:start w:val="1"/>
    </w:lvl>
  </w:abstractNum>
  <w:abstractNum w:abstractNumId="63">
    <w:nsid w:val="7FB7E0AA"/>
    <w:multiLevelType w:val="hybridMultilevel"/>
    <w:lvl w:ilvl="0">
      <w:lvlJc w:val="left"/>
      <w:lvlText w:val="(%1)"/>
      <w:numFmt w:val="lowerLetter"/>
      <w:start w:val="2"/>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lowerLetter"/>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1)"/>
      <w:numFmt w:val="lowerLetter"/>
      <w:start w:val="1"/>
    </w:lvl>
    <w:lvl w:ilvl="1">
      <w:lvlJc w:val="left"/>
      <w:lvlText w:val="(%2)"/>
      <w:numFmt w:val="lowerLetter"/>
      <w:start w:val="9"/>
    </w:lvl>
  </w:abstractNum>
  <w:abstractNum w:abstractNumId="68">
    <w:nsid w:val="76272110"/>
    <w:multiLevelType w:val="hybridMultilevel"/>
    <w:lvl w:ilvl="0">
      <w:lvlJc w:val="left"/>
      <w:lvlText w:val="%1"/>
      <w:numFmt w:val="lowerLetter"/>
      <w:start w:val="1"/>
    </w:lvl>
    <w:lvl w:ilvl="1">
      <w:lvlJc w:val="left"/>
      <w:lvlText w:val="(%2)"/>
      <w:numFmt w:val="lowerLetter"/>
      <w:start w:val="35"/>
    </w:lvl>
  </w:abstractNum>
  <w:abstractNum w:abstractNumId="69">
    <w:nsid w:val="4C04A8AF"/>
    <w:multiLevelType w:val="hybridMultilevel"/>
    <w:lvl w:ilvl="0">
      <w:lvlJc w:val="left"/>
      <w:lvlText w:val="(%1)"/>
      <w:numFmt w:val="lowerLetter"/>
      <w:start w:val="2"/>
    </w:lvl>
    <w:lvl w:ilvl="1">
      <w:lvlJc w:val="left"/>
      <w:lvlText w:val="%2"/>
      <w:numFmt w:val="lowerLetter"/>
      <w:start w:val="1"/>
    </w:lvl>
  </w:abstractNum>
  <w:abstractNum w:abstractNumId="70">
    <w:nsid w:val="1716703B"/>
    <w:multiLevelType w:val="hybridMultilevel"/>
    <w:lvl w:ilvl="0">
      <w:lvlJc w:val="left"/>
      <w:lvlText w:val="(%1)"/>
      <w:numFmt w:val="lowerLetter"/>
      <w:start w:val="2"/>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2"/>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lowerLetter"/>
      <w:start w:val="1"/>
    </w:lvl>
  </w:abstractNum>
  <w:abstractNum w:abstractNumId="77">
    <w:nsid w:val="4A2AC315"/>
    <w:multiLevelType w:val="hybridMultilevel"/>
    <w:lvl w:ilvl="0">
      <w:lvlJc w:val="left"/>
      <w:lvlText w:val="(%1)"/>
      <w:numFmt w:val="lowerLetter"/>
      <w:start w:val="2"/>
    </w:lvl>
  </w:abstractNum>
  <w:abstractNum w:abstractNumId="78">
    <w:nsid w:val="39EE015C"/>
    <w:multiLevelType w:val="hybridMultilevel"/>
    <w:lvl w:ilvl="0">
      <w:lvlJc w:val="left"/>
      <w:lvlText w:val="(%1)"/>
      <w:numFmt w:val="lowerLetter"/>
      <w:start w:val="1"/>
    </w:lvl>
    <w:lvl w:ilvl="1">
      <w:lvlJc w:val="left"/>
      <w:lvlText w:val="(%2)"/>
      <w:numFmt w:val="lowerRoman"/>
      <w:start w:val="1"/>
    </w:lvl>
  </w:abstractNum>
  <w:abstractNum w:abstractNumId="79">
    <w:nsid w:val="57FC4FBB"/>
    <w:multiLevelType w:val="hybridMultilevel"/>
    <w:lvl w:ilvl="0">
      <w:lvlJc w:val="left"/>
      <w:lvlText w:val="%1"/>
      <w:numFmt w:val="lowerLetter"/>
      <w:start w:val="1"/>
    </w:lvl>
    <w:lvl w:ilvl="1">
      <w:lvlJc w:val="left"/>
      <w:lvlText w:val="(%2)"/>
      <w:numFmt w:val="lowerRoman"/>
      <w:start w:val="4"/>
    </w:lvl>
  </w:abstractNum>
  <w:abstractNum w:abstractNumId="80">
    <w:nsid w:val="CC1016F"/>
    <w:multiLevelType w:val="hybridMultilevel"/>
    <w:lvl w:ilvl="0">
      <w:lvlJc w:val="left"/>
      <w:lvlText w:val="(%1)"/>
      <w:numFmt w:val="lowerLetter"/>
      <w:start w:val="2"/>
    </w:lvl>
    <w:lvl w:ilvl="1">
      <w:lvlJc w:val="left"/>
      <w:lvlText w:val="(%2)"/>
      <w:numFmt w:val="lowerRoman"/>
      <w:start w:val="1"/>
    </w:lvl>
  </w:abstractNum>
  <w:abstractNum w:abstractNumId="81">
    <w:nsid w:val="43F18422"/>
    <w:multiLevelType w:val="hybridMultilevel"/>
    <w:lvl w:ilvl="0">
      <w:lvlJc w:val="left"/>
      <w:lvlText w:val="(%1)"/>
      <w:numFmt w:val="lowerLetter"/>
      <w:start w:val="3"/>
    </w:lvl>
    <w:lvl w:ilvl="1">
      <w:lvlJc w:val="left"/>
      <w:lvlText w:val="(%2)"/>
      <w:numFmt w:val="lowerRoman"/>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lowerLetter"/>
      <w:start w:val="1"/>
    </w:lvl>
    <w:lvl w:ilvl="1">
      <w:lvlJc w:val="left"/>
      <w:lvlText w:val="(%2)"/>
      <w:numFmt w:val="lowerLetter"/>
      <w:start w:val="9"/>
    </w:lvl>
  </w:abstractNum>
  <w:abstractNum w:abstractNumId="84">
    <w:nsid w:val="7F01579B"/>
    <w:multiLevelType w:val="hybridMultilevel"/>
    <w:lvl w:ilvl="0">
      <w:lvlJc w:val="left"/>
      <w:lvlText w:val="(%1)"/>
      <w:numFmt w:val="lowerRoman"/>
      <w:start w:val="2"/>
    </w:lvl>
  </w:abstractNum>
  <w:abstractNum w:abstractNumId="85">
    <w:nsid w:val="49DA307D"/>
    <w:multiLevelType w:val="hybridMultilevel"/>
    <w:lvl w:ilvl="0">
      <w:lvlJc w:val="left"/>
      <w:lvlText w:val="%1"/>
      <w:numFmt w:val="lowerRoman"/>
      <w:start w:val="1"/>
    </w:lvl>
    <w:lvl w:ilvl="1">
      <w:lvlJc w:val="left"/>
      <w:lvlText w:val="(%2)"/>
      <w:numFmt w:val="upperLetter"/>
      <w:start w:val="2"/>
    </w:lvl>
  </w:abstractNum>
  <w:abstractNum w:abstractNumId="86">
    <w:nsid w:val="7055A5F5"/>
    <w:multiLevelType w:val="hybridMultilevel"/>
    <w:lvl w:ilvl="0">
      <w:lvlJc w:val="left"/>
      <w:lvlText w:val="(%1)"/>
      <w:numFmt w:val="lowerRoman"/>
      <w:start w:val="4"/>
    </w:lvl>
    <w:lvl w:ilvl="1">
      <w:lvlJc w:val="left"/>
      <w:lvlText w:val="%2"/>
      <w:numFmt w:val="upperLetter"/>
      <w:start w:val="1"/>
    </w:lvl>
  </w:abstractNum>
  <w:abstractNum w:abstractNumId="87">
    <w:nsid w:val="5FB8370B"/>
    <w:multiLevelType w:val="hybridMultilevel"/>
    <w:lvl w:ilvl="0">
      <w:lvlJc w:val="left"/>
      <w:lvlText w:val="%1"/>
      <w:numFmt w:val="lowerLetter"/>
      <w:start w:val="1"/>
    </w:lvl>
    <w:lvl w:ilvl="1">
      <w:lvlJc w:val="left"/>
      <w:lvlText w:val="(%2)"/>
      <w:numFmt w:val="upperLetter"/>
      <w:start w:val="1"/>
    </w:lvl>
  </w:abstractNum>
  <w:abstractNum w:abstractNumId="88">
    <w:nsid w:val="50801EE1"/>
    <w:multiLevelType w:val="hybridMultilevel"/>
    <w:lvl w:ilvl="0">
      <w:lvlJc w:val="left"/>
      <w:lvlText w:val="(%1)"/>
      <w:numFmt w:val="lowerLetter"/>
      <w:start w:val="9"/>
    </w:lvl>
    <w:lvl w:ilvl="1">
      <w:lvlJc w:val="left"/>
      <w:lvlText w:val="%2"/>
      <w:numFmt w:val="upperLetter"/>
      <w:start w:val="1"/>
    </w:lvl>
  </w:abstractNum>
  <w:abstractNum w:abstractNumId="89">
    <w:nsid w:val="488AC1A"/>
    <w:multiLevelType w:val="hybridMultilevel"/>
    <w:lvl w:ilvl="0">
      <w:lvlJc w:val="left"/>
      <w:lvlText w:val="(%1)"/>
      <w:numFmt w:val="lowerLetter"/>
      <w:start w:val="17"/>
    </w:lvl>
  </w:abstractNum>
  <w:abstractNum w:abstractNumId="90">
    <w:nsid w:val="5FB8011C"/>
    <w:multiLevelType w:val="hybridMultilevel"/>
    <w:lvl w:ilvl="0">
      <w:lvlJc w:val="left"/>
      <w:lvlText w:val="(%1)"/>
      <w:numFmt w:val="lowerLetter"/>
      <w:start w:val="27"/>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lowerLetter"/>
      <w:start w:val="5"/>
    </w:lvl>
  </w:abstractNum>
  <w:abstractNum w:abstractNumId="93">
    <w:nsid w:val="6FC75AF8"/>
    <w:multiLevelType w:val="hybridMultilevel"/>
    <w:lvl w:ilvl="0">
      <w:lvlJc w:val="left"/>
      <w:lvlText w:val="(%1)"/>
      <w:numFmt w:val="lowerLetter"/>
      <w:start w:val="2"/>
    </w:lvl>
  </w:abstractNum>
  <w:abstractNum w:abstractNumId="94">
    <w:nsid w:val="6A5F7029"/>
    <w:multiLevelType w:val="hybridMultilevel"/>
    <w:lvl w:ilvl="0">
      <w:lvlJc w:val="left"/>
      <w:lvlText w:val="(%1)"/>
      <w:numFmt w:val="lowerRoman"/>
      <w:start w:val="1"/>
    </w:lvl>
  </w:abstractNum>
  <w:abstractNum w:abstractNumId="95">
    <w:nsid w:val="7D5E18F8"/>
    <w:multiLevelType w:val="hybridMultilevel"/>
    <w:lvl w:ilvl="0">
      <w:lvlJc w:val="left"/>
      <w:lvlText w:val="(%1)"/>
      <w:numFmt w:val="lowerLetter"/>
      <w:start w:val="3"/>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lowerLetter"/>
      <w:start w:val="2"/>
    </w:lvl>
  </w:abstractNum>
  <w:abstractNum w:abstractNumId="98">
    <w:nsid w:val="7DE67713"/>
    <w:multiLevelType w:val="hybridMultilevel"/>
    <w:lvl w:ilvl="0">
      <w:lvlJc w:val="left"/>
      <w:lvlText w:val="(%1)"/>
      <w:numFmt w:val="lowerLetter"/>
      <w:start w:val="1"/>
    </w:lvl>
  </w:abstractNum>
  <w:abstractNum w:abstractNumId="99">
    <w:nsid w:val="555C55B5"/>
    <w:multiLevelType w:val="hybridMultilevel"/>
    <w:lvl w:ilvl="0">
      <w:lvlJc w:val="left"/>
      <w:lvlText w:val="(%1)"/>
      <w:numFmt w:val="lowerLetter"/>
      <w:start w:val="1"/>
    </w:lvl>
  </w:abstractNum>
  <w:abstractNum w:abstractNumId="100">
    <w:nsid w:val="3FA62ACA"/>
    <w:multiLevelType w:val="hybridMultilevel"/>
    <w:lvl w:ilvl="0">
      <w:lvlJc w:val="left"/>
      <w:lvlText w:val="(%1)"/>
      <w:numFmt w:val="lowerLetter"/>
      <w:start w:val="1"/>
    </w:lvl>
  </w:abstractNum>
  <w:abstractNum w:abstractNumId="101">
    <w:nsid w:val="14FCE74E"/>
    <w:multiLevelType w:val="hybridMultilevel"/>
    <w:lvl w:ilvl="0">
      <w:lvlJc w:val="left"/>
      <w:lvlText w:val="(%1)"/>
      <w:numFmt w:val="lowerLetter"/>
      <w:start w:val="1"/>
    </w:lvl>
  </w:abstractNum>
  <w:abstractNum w:abstractNumId="102">
    <w:nsid w:val="6A3DD3E8"/>
    <w:multiLevelType w:val="hybridMultilevel"/>
    <w:lvl w:ilvl="0">
      <w:lvlJc w:val="left"/>
      <w:lvlText w:val="(%1)"/>
      <w:numFmt w:val="lowerLetter"/>
      <w:start w:val="1"/>
    </w:lvl>
  </w:abstractNum>
  <w:abstractNum w:abstractNumId="103">
    <w:nsid w:val="71C91298"/>
    <w:multiLevelType w:val="hybridMultilevel"/>
    <w:lvl w:ilvl="0">
      <w:lvlJc w:val="left"/>
      <w:lvlText w:val="(%1)"/>
      <w:numFmt w:val="lowerLetter"/>
      <w:start w:val="2"/>
    </w:lvl>
  </w:abstractNum>
  <w:abstractNum w:abstractNumId="104">
    <w:nsid w:val="9DAF6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2021-07-26T07:03:18Z</dcterms:created>
  <dcterms:modified xsi:type="dcterms:W3CDTF">2021-07-26T07:03:18Z</dcterms:modified>
</cp:coreProperties>
</file>