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Arial" w:hAnsi="Arial"/>
          <w:b/>
          <w:sz w:val="20"/>
        </w:rPr>
      </w:pPr>
      <w:bookmarkStart w:id="0" w:name="d179648d8k.htm"/>
      <w:bookmarkStart w:id="1" w:name="ksd179648d8k"/>
      <w:bookmarkEnd w:id="0"/>
      <w:bookmarkEnd w:id="1"/>
      <w:r>
        <w:rPr>
          <w:rFonts w:ascii="Arial" w:hAnsi="Arial"/>
          <w:b/>
          <w:sz w:val="20"/>
        </w:rPr>
        <w:t>UNITED STATES</w:t>
      </w:r>
    </w:p>
    <w:p>
      <w:pPr>
        <w:pStyle w:val="TextBody"/>
        <w:bidi w:val="0"/>
        <w:spacing w:before="0" w:after="0"/>
        <w:jc w:val="center"/>
        <w:rPr>
          <w:rFonts w:ascii="Arial" w:hAnsi="Arial"/>
          <w:b/>
          <w:sz w:val="20"/>
        </w:rPr>
      </w:pPr>
      <w:r>
        <w:rPr>
          <w:rFonts w:ascii="Arial" w:hAnsi="Arial"/>
          <w:b/>
          <w:sz w:val="20"/>
        </w:rPr>
        <w:t>SECURITIES AND EXCHANGE COMMISSION</w:t>
      </w:r>
    </w:p>
    <w:p>
      <w:pPr>
        <w:pStyle w:val="TextBody"/>
        <w:bidi w:val="0"/>
        <w:spacing w:before="0" w:after="0"/>
        <w:jc w:val="center"/>
        <w:rPr>
          <w:rFonts w:ascii="Arial" w:hAnsi="Arial"/>
          <w:b/>
          <w:sz w:val="20"/>
        </w:rPr>
      </w:pPr>
      <w:r>
        <w:rPr>
          <w:rFonts w:ascii="Arial" w:hAnsi="Arial"/>
          <w:b/>
          <w:sz w:val="20"/>
        </w:rPr>
        <w:t>WASHINGTON, D.C. 20549</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FORM 8-K</w:t>
      </w:r>
    </w:p>
    <w:p>
      <w:pPr>
        <w:pStyle w:val="TextBody"/>
        <w:bidi w:val="0"/>
        <w:spacing w:before="240" w:after="0"/>
        <w:jc w:val="center"/>
        <w:rPr>
          <w:rFonts w:ascii="Arial" w:hAnsi="Arial"/>
          <w:b/>
          <w:sz w:val="20"/>
        </w:rPr>
      </w:pPr>
      <w:r>
        <w:rPr>
          <w:rFonts w:ascii="Arial" w:hAnsi="Arial"/>
          <w:b/>
          <w:sz w:val="20"/>
        </w:rPr>
        <w:t>CURRENT REPORT</w:t>
      </w:r>
    </w:p>
    <w:p>
      <w:pPr>
        <w:pStyle w:val="TextBody"/>
        <w:bidi w:val="0"/>
        <w:spacing w:before="0" w:after="0"/>
        <w:jc w:val="center"/>
        <w:rPr>
          <w:rFonts w:ascii="Arial" w:hAnsi="Arial"/>
          <w:b/>
          <w:sz w:val="20"/>
        </w:rPr>
      </w:pPr>
      <w:r>
        <w:rPr>
          <w:rFonts w:ascii="Arial" w:hAnsi="Arial"/>
          <w:b/>
          <w:sz w:val="20"/>
        </w:rPr>
        <w:t>Pursuant to Section 13 or 15(d) of</w:t>
      </w:r>
    </w:p>
    <w:p>
      <w:pPr>
        <w:pStyle w:val="TextBody"/>
        <w:bidi w:val="0"/>
        <w:spacing w:before="0" w:after="0"/>
        <w:jc w:val="center"/>
        <w:rPr>
          <w:rFonts w:ascii="Arial" w:hAnsi="Arial"/>
          <w:b/>
          <w:sz w:val="20"/>
        </w:rPr>
      </w:pPr>
      <w:r>
        <w:rPr>
          <w:rFonts w:ascii="Arial" w:hAnsi="Arial"/>
          <w:b/>
          <w:sz w:val="20"/>
        </w:rPr>
        <w:t>the Securities Exchange Act of 1934</w:t>
      </w:r>
    </w:p>
    <w:p>
      <w:pPr>
        <w:pStyle w:val="TextBody"/>
        <w:bidi w:val="0"/>
        <w:spacing w:before="240" w:after="0"/>
        <w:jc w:val="center"/>
        <w:rPr>
          <w:rFonts w:ascii="Arial" w:hAnsi="Arial"/>
          <w:sz w:val="20"/>
        </w:rPr>
      </w:pPr>
      <w:r>
        <w:rPr>
          <w:rFonts w:ascii="Arial" w:hAnsi="Arial"/>
          <w:sz w:val="20"/>
        </w:rPr>
        <w:t>Date of Report (Date of Earliest Event Reported): November 5, 2026</w:t>
      </w:r>
    </w:p>
    <w:p>
      <w:pPr>
        <w:pStyle w:val="TextBody"/>
        <w:bidi w:val="0"/>
        <w:spacing w:before="0" w:after="0"/>
        <w:jc w:val="left"/>
      </w:pPr>
      <w:r>
        <w:t> </w:t>
      </w:r>
    </w:p>
    <w:p>
      <w:pPr>
        <w:pStyle w:val="TextBody"/>
        <w:bidi w:val="0"/>
        <w:spacing w:before="0" w:after="0"/>
        <w:jc w:val="center"/>
      </w:pPr>
      <w:r>
        <w:drawing>
          <wp:inline distT="0" distB="0" distL="0" distR="0">
            <wp:extent cx="11525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2525" cy="571500"/>
                    </a:xfrm>
                    <a:prstGeom prst="rect">
                      <a:avLst/>
                    </a:prstGeom>
                  </pic:spPr>
                </pic:pic>
              </a:graphicData>
            </a:graphic>
          </wp:inline>
        </w:drawing>
      </w:r>
    </w:p>
    <w:p>
      <w:pPr>
        <w:pStyle w:val="TextBody"/>
        <w:bidi w:val="0"/>
        <w:spacing w:before="240" w:after="0"/>
        <w:jc w:val="center"/>
        <w:rPr>
          <w:rFonts w:ascii="Arial" w:hAnsi="Arial"/>
          <w:b/>
          <w:sz w:val="36"/>
        </w:rPr>
      </w:pPr>
      <w:r>
        <w:rPr>
          <w:rFonts w:ascii="Arial" w:hAnsi="Arial"/>
          <w:b/>
          <w:sz w:val="36"/>
        </w:rPr>
        <w:t xml:space="preserve">VIASAT, INC. </w:t>
      </w:r>
    </w:p>
    <w:p>
      <w:pPr>
        <w:pStyle w:val="TextBody"/>
        <w:bidi w:val="0"/>
        <w:spacing w:before="0" w:after="0"/>
        <w:jc w:val="center"/>
        <w:rPr>
          <w:rFonts w:ascii="Arial" w:hAnsi="Arial"/>
          <w:sz w:val="20"/>
        </w:rPr>
      </w:pPr>
      <w:r>
        <w:rPr>
          <w:rFonts w:ascii="Arial" w:hAnsi="Arial"/>
          <w:sz w:val="20"/>
        </w:rPr>
        <w:t>(Exact Name of Registrant as Specified in its Charter)</w:t>
      </w:r>
    </w:p>
    <w:p>
      <w:pPr>
        <w:pStyle w:val="TextBody"/>
        <w:bidi w:val="0"/>
        <w:spacing w:before="0" w:after="0"/>
        <w:jc w:val="left"/>
      </w:pPr>
      <w:r>
        <w:t> </w:t>
      </w:r>
    </w:p>
    <w:tbl>
      <w:tblPr>
        <w:tblW w:w="6915" w:type="dxa"/>
        <w:jc w:val="left"/>
        <w:tblInd w:w="0" w:type="dxa"/>
        <w:tblLayout w:type="fixed"/>
        <w:tblCellMar>
          <w:top w:w="0" w:type="dxa"/>
          <w:left w:w="0" w:type="dxa"/>
          <w:bottom w:w="0" w:type="dxa"/>
          <w:right w:w="0" w:type="dxa"/>
        </w:tblCellMar>
      </w:tblPr>
      <w:tblGrid>
        <w:gridCol w:w="2825"/>
        <w:gridCol w:w="60"/>
        <w:gridCol w:w="2195"/>
        <w:gridCol w:w="60"/>
        <w:gridCol w:w="1775"/>
      </w:tblGrid>
      <w:t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c>
          <w:tcPr>
            <w:tcW w:w="2825" w:type="dxa"/>
            <w:tcBorders/>
            <w:vAlign w:val="center"/>
          </w:tcPr>
          <w:p>
            <w:pPr>
              <w:pStyle w:val="TableContents"/>
              <w:bidi w:val="0"/>
              <w:spacing w:before="0" w:after="0"/>
              <w:jc w:val="center"/>
              <w:rPr>
                <w:rFonts w:ascii="Arial" w:hAnsi="Arial"/>
                <w:b/>
                <w:sz w:val="20"/>
              </w:rPr>
            </w:pPr>
            <w:r>
              <w:rPr>
                <w:rFonts w:ascii="Arial" w:hAnsi="Arial"/>
                <w:b/>
                <w:sz w:val="20"/>
              </w:rPr>
              <w:t>Delaware</w:t>
            </w:r>
          </w:p>
          <w:p>
            <w:pPr>
              <w:pStyle w:val="TableContents"/>
              <w:bidi w:val="0"/>
              <w:spacing w:before="0" w:after="0"/>
              <w:jc w:val="left"/>
            </w:pPr>
            <w:r>
              <w:t> </w:t>
            </w:r>
          </w:p>
          <w:p>
            <w:pPr>
              <w:pStyle w:val="TableContents"/>
              <w:bidi w:val="0"/>
              <w:spacing w:before="0" w:after="20"/>
              <w:jc w:val="center"/>
              <w:rPr>
                <w:u w:val="single"/>
              </w:rPr>
            </w:pPr>
            <w:r>
              <w:rPr>
                <w:u w:val="single"/>
              </w:rPr>
              <w:t>      </w:t>
            </w:r>
          </w:p>
        </w:tc>
        <w:tc>
          <w:tcPr>
            <w:tcW w:w="60" w:type="dxa"/>
            <w:tcBorders/>
            <w:vAlign w:val="center"/>
          </w:tcPr>
          <w:p>
            <w:pPr>
              <w:pStyle w:val="TableContents"/>
              <w:bidi w:val="0"/>
              <w:spacing w:before="0" w:after="283"/>
              <w:jc w:val="left"/>
            </w:pPr>
            <w:r>
              <w:t> </w:t>
            </w:r>
          </w:p>
        </w:tc>
        <w:tc>
          <w:tcPr>
            <w:tcW w:w="2195" w:type="dxa"/>
            <w:tcBorders/>
            <w:vAlign w:val="center"/>
          </w:tcPr>
          <w:p>
            <w:pPr>
              <w:pStyle w:val="TableContents"/>
              <w:bidi w:val="0"/>
              <w:spacing w:before="0" w:after="0"/>
              <w:jc w:val="center"/>
              <w:rPr>
                <w:rFonts w:ascii="Arial" w:hAnsi="Arial"/>
                <w:b/>
                <w:sz w:val="20"/>
              </w:rPr>
            </w:pPr>
            <w:r>
              <w:rPr>
                <w:rFonts w:ascii="Arial" w:hAnsi="Arial"/>
                <w:b/>
                <w:sz w:val="20"/>
              </w:rPr>
              <w:t>000-21767</w:t>
            </w:r>
          </w:p>
          <w:p>
            <w:pPr>
              <w:pStyle w:val="TableContents"/>
              <w:bidi w:val="0"/>
              <w:spacing w:before="0" w:after="0"/>
              <w:jc w:val="left"/>
            </w:pPr>
            <w:r>
              <w:t> </w:t>
            </w:r>
          </w:p>
          <w:p>
            <w:pPr>
              <w:pStyle w:val="TableContents"/>
              <w:bidi w:val="0"/>
              <w:spacing w:before="0" w:after="20"/>
              <w:jc w:val="center"/>
              <w:rPr>
                <w:u w:val="single"/>
              </w:rPr>
            </w:pPr>
            <w:r>
              <w:rPr>
                <w:u w:val="single"/>
              </w:rPr>
              <w:t>      </w:t>
            </w:r>
          </w:p>
        </w:tc>
        <w:tc>
          <w:tcPr>
            <w:tcW w:w="60" w:type="dxa"/>
            <w:tcBorders/>
            <w:vAlign w:val="center"/>
          </w:tcPr>
          <w:p>
            <w:pPr>
              <w:pStyle w:val="TableContents"/>
              <w:bidi w:val="0"/>
              <w:spacing w:before="0" w:after="283"/>
              <w:jc w:val="left"/>
            </w:pPr>
            <w:r>
              <w:t> </w:t>
            </w:r>
          </w:p>
        </w:tc>
        <w:tc>
          <w:tcPr>
            <w:tcW w:w="1775" w:type="dxa"/>
            <w:tcBorders/>
            <w:vAlign w:val="center"/>
          </w:tcPr>
          <w:p>
            <w:pPr>
              <w:pStyle w:val="TableContents"/>
              <w:bidi w:val="0"/>
              <w:spacing w:before="0" w:after="0"/>
              <w:jc w:val="center"/>
              <w:rPr>
                <w:rFonts w:ascii="Arial" w:hAnsi="Arial"/>
                <w:b/>
                <w:sz w:val="20"/>
              </w:rPr>
            </w:pPr>
            <w:r>
              <w:rPr>
                <w:rFonts w:ascii="Arial" w:hAnsi="Arial"/>
                <w:b/>
                <w:sz w:val="20"/>
              </w:rPr>
              <w:t>33-0174996</w:t>
            </w:r>
          </w:p>
          <w:p>
            <w:pPr>
              <w:pStyle w:val="TableContents"/>
              <w:bidi w:val="0"/>
              <w:spacing w:before="0" w:after="0"/>
              <w:jc w:val="left"/>
            </w:pPr>
            <w:r>
              <w:t> </w:t>
            </w:r>
          </w:p>
          <w:p>
            <w:pPr>
              <w:pStyle w:val="TableContents"/>
              <w:bidi w:val="0"/>
              <w:spacing w:before="0" w:after="20"/>
              <w:jc w:val="center"/>
              <w:rPr>
                <w:u w:val="single"/>
              </w:rPr>
            </w:pPr>
            <w:r>
              <w:rPr>
                <w:u w:val="single"/>
              </w:rPr>
              <w:t>      </w:t>
            </w:r>
          </w:p>
        </w:tc>
      </w:tr>
      <w:tr>
        <w:tc>
          <w:tcPr>
            <w:tcW w:w="2825" w:type="dxa"/>
            <w:tcBorders/>
            <w:vAlign w:val="center"/>
          </w:tcPr>
          <w:p>
            <w:pPr>
              <w:pStyle w:val="TableContents"/>
              <w:bidi w:val="0"/>
              <w:spacing w:before="0" w:after="283"/>
              <w:jc w:val="center"/>
            </w:pPr>
            <w:r>
              <w:t>(State or Other Jurisdiction of</w:t>
              <w:br/>
              <w:t>Incorporation)</w:t>
            </w:r>
          </w:p>
        </w:tc>
        <w:tc>
          <w:tcPr>
            <w:tcW w:w="60" w:type="dxa"/>
            <w:tcBorders/>
            <w:vAlign w:val="center"/>
          </w:tcPr>
          <w:p>
            <w:pPr>
              <w:pStyle w:val="TableContents"/>
              <w:bidi w:val="0"/>
              <w:spacing w:before="0" w:after="283"/>
              <w:jc w:val="left"/>
            </w:pPr>
            <w:r>
              <w:t> </w:t>
            </w:r>
          </w:p>
        </w:tc>
        <w:tc>
          <w:tcPr>
            <w:tcW w:w="2195" w:type="dxa"/>
            <w:tcBorders/>
            <w:vAlign w:val="center"/>
          </w:tcPr>
          <w:p>
            <w:pPr>
              <w:pStyle w:val="TableContents"/>
              <w:bidi w:val="0"/>
              <w:spacing w:before="0" w:after="283"/>
              <w:jc w:val="center"/>
            </w:pPr>
            <w:r>
              <w:t>(Commission File No.)</w:t>
            </w:r>
          </w:p>
        </w:tc>
        <w:tc>
          <w:tcPr>
            <w:tcW w:w="60" w:type="dxa"/>
            <w:tcBorders/>
            <w:vAlign w:val="center"/>
          </w:tcPr>
          <w:p>
            <w:pPr>
              <w:pStyle w:val="TableContents"/>
              <w:bidi w:val="0"/>
              <w:spacing w:before="0" w:after="283"/>
              <w:jc w:val="left"/>
            </w:pPr>
            <w:r>
              <w:t> </w:t>
            </w:r>
          </w:p>
        </w:tc>
        <w:tc>
          <w:tcPr>
            <w:tcW w:w="1775" w:type="dxa"/>
            <w:tcBorders/>
            <w:vAlign w:val="center"/>
          </w:tcPr>
          <w:p>
            <w:pPr>
              <w:pStyle w:val="TableContents"/>
              <w:bidi w:val="0"/>
              <w:spacing w:before="0" w:after="283"/>
              <w:jc w:val="center"/>
            </w:pPr>
            <w:r>
              <w:t>(I.R.S. Employer</w:t>
              <w:br/>
              <w:t>Identification No.)</w:t>
            </w:r>
          </w:p>
        </w:tc>
      </w:tr>
    </w:tbl>
    <w:p>
      <w:pPr>
        <w:pStyle w:val="TextBody"/>
        <w:bidi w:val="0"/>
        <w:spacing w:before="240" w:after="0"/>
        <w:jc w:val="center"/>
        <w:rPr>
          <w:rFonts w:ascii="Arial" w:hAnsi="Arial"/>
          <w:b/>
          <w:sz w:val="20"/>
        </w:rPr>
      </w:pPr>
      <w:r>
        <w:rPr>
          <w:rFonts w:ascii="Arial" w:hAnsi="Arial"/>
          <w:b/>
          <w:sz w:val="20"/>
        </w:rPr>
        <w:t>6155 El Camino Real</w:t>
      </w:r>
    </w:p>
    <w:p>
      <w:pPr>
        <w:pStyle w:val="TextBody"/>
        <w:bidi w:val="0"/>
        <w:spacing w:before="0" w:after="0"/>
        <w:jc w:val="center"/>
        <w:rPr>
          <w:rFonts w:ascii="Arial" w:hAnsi="Arial"/>
          <w:b/>
          <w:sz w:val="20"/>
        </w:rPr>
      </w:pPr>
      <w:r>
        <w:rPr>
          <w:rFonts w:ascii="Arial" w:hAnsi="Arial"/>
          <w:b/>
          <w:sz w:val="20"/>
        </w:rPr>
        <w:t>Carlsbad, California 92009</w:t>
      </w:r>
    </w:p>
    <w:p>
      <w:pPr>
        <w:pStyle w:val="TextBody"/>
        <w:bidi w:val="0"/>
        <w:spacing w:before="0" w:after="0"/>
        <w:jc w:val="center"/>
        <w:rPr>
          <w:rFonts w:ascii="Arial" w:hAnsi="Arial"/>
          <w:sz w:val="20"/>
        </w:rPr>
      </w:pPr>
      <w:r>
        <w:rPr>
          <w:rFonts w:ascii="Arial" w:hAnsi="Arial"/>
          <w:sz w:val="20"/>
        </w:rPr>
        <w:t>(Address of Principal Executive Offices, Including Zip Code)</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20"/>
        </w:rPr>
      </w:pPr>
      <w:r>
        <w:rPr>
          <w:rFonts w:ascii="Arial" w:hAnsi="Arial"/>
          <w:b/>
          <w:sz w:val="20"/>
        </w:rPr>
        <w:t>(760) 476-2200</w:t>
      </w:r>
    </w:p>
    <w:p>
      <w:pPr>
        <w:pStyle w:val="TextBody"/>
        <w:bidi w:val="0"/>
        <w:spacing w:before="0" w:after="0"/>
        <w:jc w:val="center"/>
        <w:rPr>
          <w:rFonts w:ascii="Arial" w:hAnsi="Arial"/>
          <w:sz w:val="20"/>
        </w:rPr>
      </w:pPr>
      <w:r>
        <w:rPr>
          <w:rFonts w:ascii="Arial" w:hAnsi="Arial"/>
          <w:sz w:val="20"/>
        </w:rPr>
        <w:t>(Registrant’s Telephone Number, Including Area Code)</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w:t>
      </w:r>
    </w:p>
    <w:p>
      <w:pPr>
        <w:pStyle w:val="TextBody"/>
        <w:bidi w:val="0"/>
        <w:spacing w:before="240" w:after="0"/>
        <w:jc w:val="both"/>
      </w:pPr>
      <w:r>
        <w:t>☐ </w:t>
      </w:r>
      <w:r>
        <w:rPr>
          <w:rFonts w:ascii="Arial" w:hAnsi="Arial"/>
          <w:sz w:val="20"/>
        </w:rPr>
        <w:t>Written communications pursuant to Rule 425 under the Securities Act (17 CFR 230.425)</w:t>
      </w:r>
    </w:p>
    <w:p>
      <w:pPr>
        <w:pStyle w:val="TextBody"/>
        <w:bidi w:val="0"/>
        <w:spacing w:before="240" w:after="0"/>
        <w:jc w:val="both"/>
      </w:pPr>
      <w:r>
        <w:t>☐ </w:t>
      </w:r>
      <w:r>
        <w:rPr>
          <w:rFonts w:ascii="Arial" w:hAnsi="Arial"/>
          <w:sz w:val="20"/>
        </w:rPr>
        <w:t>Soliciting material pursuant to Rule 14a-12 under the Exchange Act (17 CFR 240.14a-12)</w:t>
      </w:r>
    </w:p>
    <w:p>
      <w:pPr>
        <w:pStyle w:val="TextBody"/>
        <w:bidi w:val="0"/>
        <w:spacing w:before="240" w:after="0"/>
        <w:jc w:val="both"/>
      </w:pPr>
      <w:r>
        <w:t>☐ </w:t>
      </w:r>
      <w:r>
        <w:rPr>
          <w:rFonts w:ascii="Arial" w:hAnsi="Arial"/>
          <w:sz w:val="20"/>
        </w:rPr>
        <w:t>Pre-commencement communications pursuant to Rule 14d-2(b) under the Exchange Act (17 CFR 240.14d-2(b))</w:t>
      </w:r>
    </w:p>
    <w:p>
      <w:pPr>
        <w:pStyle w:val="TextBody"/>
        <w:bidi w:val="0"/>
        <w:spacing w:before="240" w:after="0"/>
        <w:jc w:val="both"/>
      </w:pPr>
      <w:r>
        <w:t>☐ </w:t>
      </w:r>
      <w:r>
        <w:rPr>
          <w:rFonts w:ascii="Arial" w:hAnsi="Arial"/>
          <w:sz w:val="20"/>
        </w:rPr>
        <w:t>Pre-commencement communications pursuant to Rule 13e-4(c) under the Exchange Act (17 CFR 240.13e-4(c))</w:t>
      </w:r>
    </w:p>
    <w:p>
      <w:pPr>
        <w:pStyle w:val="TextBody"/>
        <w:bidi w:val="0"/>
        <w:spacing w:before="0" w:after="0"/>
        <w:jc w:val="left"/>
      </w:pPr>
      <w:r>
        <w:t> </w:t>
      </w:r>
    </w:p>
    <w:tbl>
      <w:tblPr>
        <w:tblW w:w="8940" w:type="dxa"/>
        <w:jc w:val="left"/>
        <w:tblInd w:w="0" w:type="dxa"/>
        <w:tblLayout w:type="fixed"/>
        <w:tblCellMar>
          <w:top w:w="0" w:type="dxa"/>
          <w:left w:w="0" w:type="dxa"/>
          <w:bottom w:w="0" w:type="dxa"/>
          <w:right w:w="0" w:type="dxa"/>
        </w:tblCellMar>
      </w:tblPr>
      <w:tblGrid>
        <w:gridCol w:w="4265"/>
        <w:gridCol w:w="60"/>
        <w:gridCol w:w="1505"/>
        <w:gridCol w:w="60"/>
        <w:gridCol w:w="3050"/>
      </w:tblGrid>
      <w:t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c>
          <w:tcPr>
            <w:tcW w:w="4265" w:type="dxa"/>
            <w:tcBorders>
              <w:bottom w:val="single" w:sz="8" w:space="0" w:color="808080"/>
            </w:tcBorders>
            <w:tcMar>
              <w:bottom w:w="28" w:type="dxa"/>
            </w:tcMar>
            <w:vAlign w:val="center"/>
          </w:tcPr>
          <w:p>
            <w:pPr>
              <w:pStyle w:val="TableContents"/>
              <w:bidi w:val="0"/>
              <w:spacing w:before="0" w:after="20"/>
              <w:jc w:val="center"/>
              <w:rPr>
                <w:rFonts w:ascii="Arial" w:hAnsi="Arial"/>
                <w:sz w:val="20"/>
              </w:rPr>
            </w:pPr>
            <w:r>
              <w:rPr>
                <w:rFonts w:ascii="Arial" w:hAnsi="Arial"/>
                <w:sz w:val="20"/>
              </w:rPr>
              <w:t>(Title of Each Class)</w:t>
            </w:r>
          </w:p>
        </w:tc>
        <w:tc>
          <w:tcPr>
            <w:tcW w:w="60" w:type="dxa"/>
            <w:tcBorders/>
            <w:vAlign w:val="center"/>
          </w:tcPr>
          <w:p>
            <w:pPr>
              <w:pStyle w:val="TableContents"/>
              <w:bidi w:val="0"/>
              <w:spacing w:before="0" w:after="283"/>
              <w:jc w:val="left"/>
            </w:pPr>
            <w:r>
              <w:t> </w:t>
            </w:r>
          </w:p>
        </w:tc>
        <w:tc>
          <w:tcPr>
            <w:tcW w:w="1505" w:type="dxa"/>
            <w:tcBorders>
              <w:bottom w:val="single" w:sz="8" w:space="0" w:color="808080"/>
            </w:tcBorders>
            <w:tcMar>
              <w:bottom w:w="28" w:type="dxa"/>
            </w:tcMar>
            <w:vAlign w:val="center"/>
          </w:tcPr>
          <w:p>
            <w:pPr>
              <w:pStyle w:val="TableContents"/>
              <w:bidi w:val="0"/>
              <w:spacing w:before="0" w:after="20"/>
              <w:jc w:val="center"/>
              <w:rPr>
                <w:rFonts w:ascii="Arial" w:hAnsi="Arial"/>
                <w:sz w:val="20"/>
              </w:rPr>
            </w:pPr>
            <w:r>
              <w:rPr>
                <w:rFonts w:ascii="Arial" w:hAnsi="Arial"/>
                <w:sz w:val="20"/>
              </w:rPr>
              <w:t>(Trading Symbol)</w:t>
            </w:r>
          </w:p>
        </w:tc>
        <w:tc>
          <w:tcPr>
            <w:tcW w:w="60" w:type="dxa"/>
            <w:tcBorders/>
            <w:vAlign w:val="center"/>
          </w:tcPr>
          <w:p>
            <w:pPr>
              <w:pStyle w:val="TableContents"/>
              <w:bidi w:val="0"/>
              <w:spacing w:before="0" w:after="283"/>
              <w:jc w:val="left"/>
            </w:pPr>
            <w:r>
              <w:t> </w:t>
            </w:r>
          </w:p>
        </w:tc>
        <w:tc>
          <w:tcPr>
            <w:tcW w:w="3050" w:type="dxa"/>
            <w:tcBorders>
              <w:bottom w:val="single" w:sz="8" w:space="0" w:color="808080"/>
            </w:tcBorders>
            <w:tcMar>
              <w:bottom w:w="28" w:type="dxa"/>
            </w:tcMar>
            <w:vAlign w:val="center"/>
          </w:tcPr>
          <w:p>
            <w:pPr>
              <w:pStyle w:val="TableContents"/>
              <w:bidi w:val="0"/>
              <w:spacing w:before="0" w:after="0"/>
              <w:jc w:val="center"/>
              <w:rPr>
                <w:rFonts w:ascii="Arial" w:hAnsi="Arial"/>
                <w:sz w:val="20"/>
              </w:rPr>
            </w:pPr>
            <w:r>
              <w:rPr>
                <w:rFonts w:ascii="Arial" w:hAnsi="Arial"/>
                <w:sz w:val="20"/>
              </w:rPr>
              <w:t>(Name of Each Exchange</w:t>
            </w:r>
          </w:p>
          <w:p>
            <w:pPr>
              <w:pStyle w:val="TableContents"/>
              <w:bidi w:val="0"/>
              <w:spacing w:before="0" w:after="20"/>
              <w:jc w:val="center"/>
              <w:rPr>
                <w:rFonts w:ascii="Arial" w:hAnsi="Arial"/>
                <w:sz w:val="20"/>
              </w:rPr>
            </w:pPr>
            <w:r>
              <w:rPr>
                <w:rFonts w:ascii="Arial" w:hAnsi="Arial"/>
                <w:sz w:val="20"/>
              </w:rPr>
              <w:t>on which Registered)</w:t>
            </w:r>
          </w:p>
        </w:tc>
      </w:tr>
      <w:tr>
        <w:tc>
          <w:tcPr>
            <w:tcW w:w="4265" w:type="dxa"/>
            <w:tcBorders/>
            <w:vAlign w:val="center"/>
          </w:tcPr>
          <w:p>
            <w:pPr>
              <w:pStyle w:val="TableContents"/>
              <w:bidi w:val="0"/>
              <w:spacing w:before="0" w:after="283"/>
              <w:jc w:val="center"/>
            </w:pPr>
            <w:r>
              <w:t>Common Stock, par value $0.0001 per share</w:t>
            </w:r>
          </w:p>
        </w:tc>
        <w:tc>
          <w:tcPr>
            <w:tcW w:w="60" w:type="dxa"/>
            <w:tcBorders/>
            <w:vAlign w:val="center"/>
          </w:tcPr>
          <w:p>
            <w:pPr>
              <w:pStyle w:val="TableContents"/>
              <w:bidi w:val="0"/>
              <w:spacing w:before="0" w:after="283"/>
              <w:jc w:val="left"/>
            </w:pPr>
            <w:r>
              <w:t> </w:t>
            </w:r>
          </w:p>
        </w:tc>
        <w:tc>
          <w:tcPr>
            <w:tcW w:w="1505" w:type="dxa"/>
            <w:tcBorders/>
            <w:vAlign w:val="center"/>
          </w:tcPr>
          <w:p>
            <w:pPr>
              <w:pStyle w:val="TableContents"/>
              <w:bidi w:val="0"/>
              <w:spacing w:before="0" w:after="283"/>
              <w:jc w:val="center"/>
            </w:pPr>
            <w:r>
              <w:t>VSAT</w:t>
            </w:r>
          </w:p>
        </w:tc>
        <w:tc>
          <w:tcPr>
            <w:tcW w:w="60" w:type="dxa"/>
            <w:tcBorders/>
            <w:vAlign w:val="center"/>
          </w:tcPr>
          <w:p>
            <w:pPr>
              <w:pStyle w:val="TableContents"/>
              <w:bidi w:val="0"/>
              <w:spacing w:before="0" w:after="283"/>
              <w:jc w:val="left"/>
            </w:pPr>
            <w:r>
              <w:t> </w:t>
            </w:r>
          </w:p>
        </w:tc>
        <w:tc>
          <w:tcPr>
            <w:tcW w:w="3050" w:type="dxa"/>
            <w:tcBorders/>
            <w:vAlign w:val="center"/>
          </w:tcPr>
          <w:p>
            <w:pPr>
              <w:pStyle w:val="TableContents"/>
              <w:bidi w:val="0"/>
              <w:spacing w:before="0" w:after="283"/>
              <w:jc w:val="center"/>
            </w:pPr>
            <w:r>
              <w:t>The Nasdaq Stock Market LLC</w:t>
            </w:r>
          </w:p>
        </w:tc>
      </w:tr>
    </w:tbl>
    <w:p>
      <w:pPr>
        <w:pStyle w:val="TextBody"/>
        <w:bidi w:val="0"/>
        <w:spacing w:before="240" w:after="0"/>
        <w:jc w:val="both"/>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Arial" w:hAnsi="Arial"/>
          <w:sz w:val="20"/>
        </w:rPr>
      </w:pPr>
      <w:r>
        <w:rPr>
          <w:rFonts w:ascii="Arial" w:hAnsi="Arial"/>
          <w:sz w:val="20"/>
        </w:rPr>
        <w:t>Emerging growth company   ☐  </w:t>
      </w:r>
    </w:p>
    <w:p>
      <w:pPr>
        <w:pStyle w:val="TextBody"/>
        <w:bidi w:val="0"/>
        <w:spacing w:before="240" w:after="0"/>
        <w:jc w:val="both"/>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r>
        <w:br w:type="page"/>
      </w:r>
    </w:p>
    <w:p>
      <w:pPr>
        <w:pStyle w:val="HorizontalLine"/>
        <w:bidi w:val="0"/>
        <w:jc w:val="left"/>
      </w:pPr>
      <w:r/>
    </w:p>
    <w:tbl>
      <w:tblPr>
        <w:tblW w:w="5425" w:type="dxa"/>
        <w:jc w:val="left"/>
        <w:tblInd w:w="0" w:type="dxa"/>
        <w:tblLayout w:type="fixed"/>
        <w:tblCellMar>
          <w:top w:w="0" w:type="dxa"/>
          <w:left w:w="0" w:type="dxa"/>
          <w:bottom w:w="0" w:type="dxa"/>
          <w:right w:w="0" w:type="dxa"/>
        </w:tblCellMar>
      </w:tblPr>
      <w:tblGrid>
        <w:gridCol w:w="965"/>
        <w:gridCol w:w="4460"/>
      </w:tblGrid>
      <w:tr>
        <w:tc>
          <w:tcPr>
            <w:tcW w:w="965" w:type="dxa"/>
            <w:tcBorders/>
            <w:vAlign w:val="center"/>
          </w:tcPr>
          <w:p>
            <w:pPr>
              <w:pStyle w:val="TableContents"/>
              <w:bidi w:val="0"/>
              <w:spacing w:before="0" w:after="283"/>
              <w:jc w:val="left"/>
              <w:rPr>
                <w:b/>
              </w:rPr>
            </w:pPr>
            <w:r>
              <w:rPr>
                <w:b/>
              </w:rPr>
              <w:t>Item 2.02</w:t>
            </w:r>
          </w:p>
        </w:tc>
        <w:tc>
          <w:tcPr>
            <w:tcW w:w="4460" w:type="dxa"/>
            <w:tcBorders/>
            <w:vAlign w:val="center"/>
          </w:tcPr>
          <w:p>
            <w:pPr>
              <w:pStyle w:val="TableContents"/>
              <w:bidi w:val="0"/>
              <w:spacing w:before="0" w:after="0"/>
              <w:jc w:val="left"/>
              <w:rPr>
                <w:rFonts w:ascii="Arial" w:hAnsi="Arial"/>
                <w:b/>
                <w:sz w:val="20"/>
              </w:rPr>
            </w:pPr>
            <w:r>
              <w:rPr>
                <w:rFonts w:ascii="Arial" w:hAnsi="Arial"/>
                <w:b/>
                <w:sz w:val="20"/>
              </w:rPr>
              <w:t xml:space="preserve">Results of Operations and Financial Condition. </w:t>
            </w:r>
          </w:p>
        </w:tc>
      </w:tr>
    </w:tbl>
    <w:p>
      <w:pPr>
        <w:pStyle w:val="TextBody"/>
        <w:bidi w:val="0"/>
        <w:spacing w:before="120" w:after="0"/>
        <w:jc w:val="both"/>
        <w:rPr>
          <w:rFonts w:ascii="Arial" w:hAnsi="Arial"/>
          <w:sz w:val="20"/>
        </w:rPr>
      </w:pPr>
      <w:r>
        <w:rPr>
          <w:rFonts w:ascii="Arial" w:hAnsi="Arial"/>
          <w:sz w:val="20"/>
        </w:rPr>
        <w:t xml:space="preserve">On November 5, 2026, Viasat, Inc. released its financial results for the second quarter of fiscal year 2027 in a letter to shareholders that is available on the investor relations section of its website. A copy of the press release announcing the release of financial results is furnished herewith as Exhibit 99.1 and a copy of the letter to shareholders is furnished herewith as Exhibit 99.2. </w:t>
      </w:r>
    </w:p>
    <w:p>
      <w:pPr>
        <w:pStyle w:val="TextBody"/>
        <w:bidi w:val="0"/>
        <w:spacing w:before="240" w:after="0"/>
        <w:jc w:val="both"/>
        <w:rPr>
          <w:rFonts w:ascii="Arial" w:hAnsi="Arial"/>
          <w:sz w:val="20"/>
        </w:rPr>
      </w:pPr>
      <w:r>
        <w:rPr>
          <w:rFonts w:ascii="Arial" w:hAnsi="Arial"/>
          <w:sz w:val="20"/>
        </w:rPr>
        <w:t xml:space="preserve">The information contained herein and in the accompanying exhibits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 </w:t>
      </w:r>
    </w:p>
    <w:p>
      <w:pPr>
        <w:pStyle w:val="TextBody"/>
        <w:bidi w:val="0"/>
        <w:spacing w:before="0" w:after="0"/>
        <w:jc w:val="left"/>
      </w:pPr>
      <w:r>
        <w:t> </w:t>
      </w:r>
    </w:p>
    <w:tbl>
      <w:tblPr>
        <w:tblW w:w="4300" w:type="dxa"/>
        <w:jc w:val="left"/>
        <w:tblInd w:w="0" w:type="dxa"/>
        <w:tblLayout w:type="fixed"/>
        <w:tblCellMar>
          <w:top w:w="0" w:type="dxa"/>
          <w:left w:w="0" w:type="dxa"/>
          <w:bottom w:w="0" w:type="dxa"/>
          <w:right w:w="0" w:type="dxa"/>
        </w:tblCellMar>
      </w:tblPr>
      <w:tblGrid>
        <w:gridCol w:w="965"/>
        <w:gridCol w:w="3335"/>
      </w:tblGrid>
      <w:tr>
        <w:tc>
          <w:tcPr>
            <w:tcW w:w="965" w:type="dxa"/>
            <w:tcBorders/>
            <w:vAlign w:val="center"/>
          </w:tcPr>
          <w:p>
            <w:pPr>
              <w:pStyle w:val="TableContents"/>
              <w:bidi w:val="0"/>
              <w:spacing w:before="0" w:after="283"/>
              <w:jc w:val="left"/>
              <w:rPr>
                <w:b/>
              </w:rPr>
            </w:pPr>
            <w:r>
              <w:rPr>
                <w:b/>
              </w:rPr>
              <w:t>Item 9.01</w:t>
            </w:r>
          </w:p>
        </w:tc>
        <w:tc>
          <w:tcPr>
            <w:tcW w:w="3335" w:type="dxa"/>
            <w:tcBorders/>
            <w:vAlign w:val="center"/>
          </w:tcPr>
          <w:p>
            <w:pPr>
              <w:pStyle w:val="TableContents"/>
              <w:bidi w:val="0"/>
              <w:spacing w:before="0" w:after="0"/>
              <w:jc w:val="left"/>
              <w:rPr>
                <w:rFonts w:ascii="Arial" w:hAnsi="Arial"/>
                <w:b/>
                <w:sz w:val="20"/>
              </w:rPr>
            </w:pPr>
            <w:r>
              <w:rPr>
                <w:rFonts w:ascii="Arial" w:hAnsi="Arial"/>
                <w:b/>
                <w:sz w:val="20"/>
              </w:rPr>
              <w:t xml:space="preserve">Financial Statements and Exhibits. </w:t>
            </w:r>
          </w:p>
        </w:tc>
      </w:tr>
    </w:tbl>
    <w:p>
      <w:pPr>
        <w:pStyle w:val="TextBody"/>
        <w:bidi w:val="0"/>
        <w:spacing w:before="0" w:after="0"/>
        <w:jc w:val="left"/>
      </w:pPr>
      <w:r>
        <w:t> </w:t>
      </w:r>
    </w:p>
    <w:tbl>
      <w:tblPr>
        <w:tblW w:w="1105" w:type="dxa"/>
        <w:jc w:val="left"/>
        <w:tblInd w:w="0" w:type="dxa"/>
        <w:tblLayout w:type="fixed"/>
        <w:tblCellMar>
          <w:top w:w="0" w:type="dxa"/>
          <w:left w:w="0" w:type="dxa"/>
          <w:bottom w:w="0" w:type="dxa"/>
          <w:right w:w="0" w:type="dxa"/>
        </w:tblCellMar>
      </w:tblPr>
      <w:tblGrid>
        <w:gridCol w:w="305"/>
        <w:gridCol w:w="800"/>
      </w:tblGrid>
      <w:tr>
        <w:tc>
          <w:tcPr>
            <w:tcW w:w="305" w:type="dxa"/>
            <w:tcBorders/>
            <w:vAlign w:val="center"/>
          </w:tcPr>
          <w:p>
            <w:pPr>
              <w:pStyle w:val="TableContents"/>
              <w:bidi w:val="0"/>
              <w:spacing w:before="0" w:after="283"/>
              <w:jc w:val="left"/>
            </w:pPr>
            <w:r>
              <w:t>(d)</w:t>
            </w:r>
          </w:p>
        </w:tc>
        <w:tc>
          <w:tcPr>
            <w:tcW w:w="800" w:type="dxa"/>
            <w:tcBorders/>
            <w:vAlign w:val="center"/>
          </w:tcPr>
          <w:p>
            <w:pPr>
              <w:pStyle w:val="TableContents"/>
              <w:bidi w:val="0"/>
              <w:spacing w:before="0" w:after="0"/>
              <w:jc w:val="left"/>
              <w:rPr>
                <w:rFonts w:ascii="Arial" w:hAnsi="Arial"/>
                <w:sz w:val="20"/>
              </w:rPr>
            </w:pPr>
            <w:r>
              <w:rPr>
                <w:rFonts w:ascii="Arial" w:hAnsi="Arial"/>
                <w:sz w:val="20"/>
              </w:rPr>
              <w:t xml:space="preserve">Exhibits </w:t>
            </w:r>
          </w:p>
        </w:tc>
      </w:tr>
    </w:tbl>
    <w:p>
      <w:pPr>
        <w:pStyle w:val="TextBody"/>
        <w:bidi w:val="0"/>
        <w:spacing w:before="0" w:after="0"/>
        <w:jc w:val="left"/>
      </w:pPr>
      <w:r>
        <w:t> </w:t>
      </w:r>
    </w:p>
    <w:tbl>
      <w:tblPr>
        <w:tblW w:w="10205" w:type="dxa"/>
        <w:jc w:val="left"/>
        <w:tblInd w:w="0" w:type="dxa"/>
        <w:tblLayout w:type="fixed"/>
        <w:tblCellMar>
          <w:top w:w="0" w:type="dxa"/>
          <w:left w:w="0" w:type="dxa"/>
          <w:bottom w:w="0" w:type="dxa"/>
          <w:right w:w="0" w:type="dxa"/>
        </w:tblCellMar>
      </w:tblPr>
      <w:tblGrid>
        <w:gridCol w:w="1027"/>
        <w:gridCol w:w="60"/>
        <w:gridCol w:w="9118"/>
      </w:tblGrid>
      <w:tr>
        <w:tc>
          <w:tcPr>
            <w:tcW w:w="10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18" w:type="dxa"/>
            <w:tcBorders/>
            <w:vAlign w:val="center"/>
          </w:tcPr>
          <w:p>
            <w:pPr>
              <w:pStyle w:val="TableContents"/>
              <w:bidi w:val="0"/>
              <w:spacing w:before="0" w:after="283"/>
              <w:jc w:val="left"/>
              <w:rPr>
                <w:sz w:val="4"/>
                <w:szCs w:val="4"/>
              </w:rPr>
            </w:pPr>
            <w:r>
              <w:rPr>
                <w:sz w:val="4"/>
                <w:szCs w:val="4"/>
              </w:rPr>
            </w:r>
          </w:p>
        </w:tc>
      </w:tr>
      <w:tr>
        <w:tc>
          <w:tcPr>
            <w:tcW w:w="1027" w:type="dxa"/>
            <w:tcBorders/>
            <w:vAlign w:val="center"/>
          </w:tcPr>
          <w:p>
            <w:pPr>
              <w:pStyle w:val="TableContents"/>
              <w:bidi w:val="0"/>
              <w:spacing w:before="0" w:after="0"/>
              <w:jc w:val="left"/>
            </w:pPr>
            <w:r>
              <w:t>  </w:t>
            </w:r>
            <w:r>
              <w:rPr>
                <w:rFonts w:ascii="Arial" w:hAnsi="Arial"/>
                <w:sz w:val="20"/>
              </w:rPr>
              <w:t>Exhibit</w:t>
            </w:r>
          </w:p>
          <w:p>
            <w:pPr>
              <w:pStyle w:val="TableContents"/>
              <w:pBdr>
                <w:bottom w:val="single" w:sz="8" w:space="1" w:color="000000"/>
              </w:pBdr>
              <w:bidi w:val="0"/>
              <w:spacing w:before="0" w:after="20"/>
              <w:jc w:val="left"/>
            </w:pPr>
            <w:r>
              <w:t>  </w:t>
            </w:r>
            <w:r>
              <w:rPr>
                <w:rFonts w:ascii="Arial" w:hAnsi="Arial"/>
                <w:sz w:val="20"/>
              </w:rPr>
              <w:t>Number  </w:t>
            </w:r>
          </w:p>
        </w:tc>
        <w:tc>
          <w:tcPr>
            <w:tcW w:w="60" w:type="dxa"/>
            <w:tcBorders/>
            <w:vAlign w:val="center"/>
          </w:tcPr>
          <w:p>
            <w:pPr>
              <w:pStyle w:val="TableContents"/>
              <w:bidi w:val="0"/>
              <w:spacing w:before="0" w:after="283"/>
              <w:jc w:val="left"/>
            </w:pPr>
            <w:r>
              <w:t> </w:t>
            </w:r>
          </w:p>
        </w:tc>
        <w:tc>
          <w:tcPr>
            <w:tcW w:w="9118" w:type="dxa"/>
            <w:tcBorders/>
            <w:vAlign w:val="center"/>
          </w:tcPr>
          <w:p>
            <w:pPr>
              <w:pStyle w:val="TableContents"/>
              <w:bidi w:val="0"/>
              <w:spacing w:before="0" w:after="283"/>
              <w:jc w:val="left"/>
              <w:rPr>
                <w:u w:val="single"/>
              </w:rPr>
            </w:pPr>
            <w:r>
              <w:rPr>
                <w:u w:val="single"/>
              </w:rPr>
              <w:t> </w:t>
            </w:r>
            <w:r>
              <w:rPr>
                <w:u w:val="single"/>
              </w:rPr>
              <w:t>Description of Exhibit                              </w:t>
            </w:r>
          </w:p>
        </w:tc>
      </w:tr>
      <w:tr>
        <w:tc>
          <w:tcPr>
            <w:tcW w:w="1027" w:type="dxa"/>
            <w:tcBorders/>
            <w:vAlign w:val="center"/>
          </w:tcPr>
          <w:p>
            <w:pPr>
              <w:pStyle w:val="TableContents"/>
              <w:bidi w:val="0"/>
              <w:spacing w:before="0" w:after="283"/>
              <w:jc w:val="left"/>
            </w:pPr>
            <w:r>
              <w:t>  </w:t>
            </w:r>
            <w:r>
              <w:t>99.1</w:t>
            </w:r>
          </w:p>
        </w:tc>
        <w:tc>
          <w:tcPr>
            <w:tcW w:w="60" w:type="dxa"/>
            <w:tcBorders/>
            <w:vAlign w:val="center"/>
          </w:tcPr>
          <w:p>
            <w:pPr>
              <w:pStyle w:val="TableContents"/>
              <w:bidi w:val="0"/>
              <w:spacing w:before="0" w:after="283"/>
              <w:jc w:val="left"/>
            </w:pPr>
            <w:r>
              <w:t> </w:t>
            </w:r>
          </w:p>
        </w:tc>
        <w:tc>
          <w:tcPr>
            <w:tcW w:w="9118" w:type="dxa"/>
            <w:tcBorders/>
            <w:vAlign w:val="center"/>
          </w:tcPr>
          <w:p>
            <w:pPr>
              <w:pStyle w:val="TableContents"/>
              <w:bidi w:val="0"/>
              <w:spacing w:before="0" w:after="0"/>
              <w:jc w:val="left"/>
            </w:pPr>
            <w:r>
              <w:t> </w:t>
            </w:r>
            <w:hyperlink w:anchor="d179648dex991.htm">
              <w:r>
                <w:rPr>
                  <w:rStyle w:val="InternetLink"/>
                  <w:rFonts w:ascii="Arial" w:hAnsi="Arial"/>
                  <w:sz w:val="20"/>
                </w:rPr>
                <w:t>Press Release dated November 5, 2026 issued by Viasat, Inc.</w:t>
              </w:r>
            </w:hyperlink>
          </w:p>
        </w:tc>
      </w:tr>
      <w:tr>
        <w:tc>
          <w:tcPr>
            <w:tcW w:w="1027" w:type="dxa"/>
            <w:tcBorders/>
            <w:vAlign w:val="center"/>
          </w:tcPr>
          <w:p>
            <w:pPr>
              <w:pStyle w:val="TableContents"/>
              <w:bidi w:val="0"/>
              <w:spacing w:before="0" w:after="283"/>
              <w:jc w:val="left"/>
            </w:pPr>
            <w:r>
              <w:t>  </w:t>
            </w:r>
            <w:r>
              <w:t>99.2</w:t>
            </w:r>
          </w:p>
        </w:tc>
        <w:tc>
          <w:tcPr>
            <w:tcW w:w="60" w:type="dxa"/>
            <w:tcBorders/>
            <w:vAlign w:val="center"/>
          </w:tcPr>
          <w:p>
            <w:pPr>
              <w:pStyle w:val="TableContents"/>
              <w:bidi w:val="0"/>
              <w:spacing w:before="0" w:after="283"/>
              <w:jc w:val="left"/>
            </w:pPr>
            <w:r>
              <w:t> </w:t>
            </w:r>
          </w:p>
        </w:tc>
        <w:tc>
          <w:tcPr>
            <w:tcW w:w="9118" w:type="dxa"/>
            <w:tcBorders/>
            <w:vAlign w:val="center"/>
          </w:tcPr>
          <w:p>
            <w:pPr>
              <w:pStyle w:val="TableContents"/>
              <w:bidi w:val="0"/>
              <w:spacing w:before="0" w:after="0"/>
              <w:jc w:val="left"/>
            </w:pPr>
            <w:r>
              <w:t> </w:t>
            </w:r>
            <w:hyperlink w:anchor="d179648dex992.htm">
              <w:r>
                <w:rPr>
                  <w:rStyle w:val="InternetLink"/>
                  <w:rFonts w:ascii="Arial" w:hAnsi="Arial"/>
                  <w:sz w:val="20"/>
                </w:rPr>
                <w:t>Viasat, Inc. second quarter of fiscal year 2027 letter to shareholders dated November 5, 2026</w:t>
              </w:r>
            </w:hyperlink>
          </w:p>
        </w:tc>
      </w:tr>
      <w:tr>
        <w:tc>
          <w:tcPr>
            <w:tcW w:w="1027" w:type="dxa"/>
            <w:tcBorders/>
            <w:vAlign w:val="center"/>
          </w:tcPr>
          <w:p>
            <w:pPr>
              <w:pStyle w:val="TableContents"/>
              <w:bidi w:val="0"/>
              <w:spacing w:before="0" w:after="283"/>
              <w:jc w:val="left"/>
            </w:pPr>
            <w:r>
              <w:t>  </w:t>
            </w:r>
            <w:r>
              <w:t>104</w:t>
            </w:r>
          </w:p>
        </w:tc>
        <w:tc>
          <w:tcPr>
            <w:tcW w:w="60" w:type="dxa"/>
            <w:tcBorders/>
            <w:vAlign w:val="center"/>
          </w:tcPr>
          <w:p>
            <w:pPr>
              <w:pStyle w:val="TableContents"/>
              <w:bidi w:val="0"/>
              <w:spacing w:before="0" w:after="283"/>
              <w:jc w:val="left"/>
            </w:pPr>
            <w:r>
              <w:t> </w:t>
            </w:r>
          </w:p>
        </w:tc>
        <w:tc>
          <w:tcPr>
            <w:tcW w:w="9118" w:type="dxa"/>
            <w:tcBorders/>
            <w:vAlign w:val="center"/>
          </w:tcPr>
          <w:p>
            <w:pPr>
              <w:pStyle w:val="TableContents"/>
              <w:bidi w:val="0"/>
              <w:spacing w:before="0" w:after="0"/>
              <w:jc w:val="left"/>
            </w:pPr>
            <w:r>
              <w:t> </w:t>
            </w:r>
            <w:r>
              <w:rPr>
                <w:rFonts w:ascii="Arial" w:hAnsi="Arial"/>
                <w:sz w:val="20"/>
              </w:rPr>
              <w:t>Cover Page Interactive Data File (embedded within the Inline XBRL document)</w:t>
            </w:r>
          </w:p>
        </w:tc>
      </w:tr>
    </w:tbl>
    <w:p>
      <w:pPr>
        <w:pStyle w:val="TextBody"/>
        <w:bidi w:val="0"/>
        <w:spacing w:before="0" w:after="0"/>
        <w:jc w:val="left"/>
      </w:pPr>
      <w: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bidi w:val="0"/>
        <w:jc w:val="left"/>
      </w:p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both"/>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pPr>
      <w:r>
        <w:t> </w:t>
      </w:r>
    </w:p>
    <w:tbl>
      <w:tblPr>
        <w:tblW w:w="5835" w:type="dxa"/>
        <w:jc w:val="left"/>
        <w:tblInd w:w="0" w:type="dxa"/>
        <w:tblLayout w:type="fixed"/>
        <w:tblCellMar>
          <w:top w:w="0" w:type="dxa"/>
          <w:left w:w="0" w:type="dxa"/>
          <w:bottom w:w="0" w:type="dxa"/>
          <w:right w:w="0" w:type="dxa"/>
        </w:tblCellMar>
      </w:tblPr>
      <w:tblGrid>
        <w:gridCol w:w="2630"/>
        <w:gridCol w:w="120"/>
        <w:gridCol w:w="365"/>
        <w:gridCol w:w="120"/>
        <w:gridCol w:w="2600"/>
      </w:tblGrid>
      <w:t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c>
          <w:tcPr>
            <w:tcW w:w="2630" w:type="dxa"/>
            <w:tcBorders/>
            <w:vAlign w:val="center"/>
          </w:tcPr>
          <w:p>
            <w:pPr>
              <w:pStyle w:val="TableContents"/>
              <w:bidi w:val="0"/>
              <w:spacing w:before="0" w:after="283"/>
              <w:jc w:val="left"/>
            </w:pPr>
            <w:r>
              <w:t>Date:  November 5, 2026</w:t>
            </w:r>
          </w:p>
        </w:tc>
        <w:tc>
          <w:tcPr>
            <w:tcW w:w="120" w:type="dxa"/>
            <w:tcBorders/>
            <w:vAlign w:val="center"/>
          </w:tcPr>
          <w:p>
            <w:pPr>
              <w:pStyle w:val="TableContents"/>
              <w:bidi w:val="0"/>
              <w:spacing w:before="0" w:after="283"/>
              <w:jc w:val="left"/>
            </w:pPr>
            <w:r>
              <w:t>  </w:t>
            </w:r>
          </w:p>
        </w:tc>
        <w:tc>
          <w:tcPr>
            <w:tcW w:w="3085" w:type="dxa"/>
            <w:gridSpan w:val="3"/>
            <w:tcBorders/>
            <w:vAlign w:val="center"/>
          </w:tcPr>
          <w:p>
            <w:pPr>
              <w:pStyle w:val="TableContents"/>
              <w:bidi w:val="0"/>
              <w:spacing w:before="0" w:after="283"/>
              <w:jc w:val="left"/>
            </w:pPr>
            <w:r>
              <w:t>Viasat, Inc.</w:t>
            </w:r>
          </w:p>
        </w:tc>
      </w:tr>
      <w:tr>
        <w:tc>
          <w:tcPr>
            <w:tcW w:w="263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vAlign w:val="center"/>
          </w:tcPr>
          <w:p>
            <w:pPr>
              <w:pStyle w:val="TableContents"/>
              <w:bidi w:val="0"/>
              <w:spacing w:before="0" w:after="283"/>
              <w:jc w:val="left"/>
              <w:rPr>
                <w:sz w:val="4"/>
                <w:szCs w:val="4"/>
              </w:rPr>
            </w:pPr>
            <w:r>
              <w:rPr>
                <w:sz w:val="4"/>
                <w:szCs w:val="4"/>
              </w:rPr>
            </w:r>
          </w:p>
        </w:tc>
      </w:tr>
      <w:t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pPr>
            <w:r>
              <w:t>  </w:t>
            </w:r>
          </w:p>
        </w:tc>
        <w:tc>
          <w:tcPr>
            <w:tcW w:w="365" w:type="dxa"/>
            <w:tcBorders/>
            <w:vAlign w:val="center"/>
          </w:tcPr>
          <w:p>
            <w:pPr>
              <w:pStyle w:val="TableContents"/>
              <w:bidi w:val="0"/>
              <w:spacing w:before="0" w:after="283"/>
              <w:jc w:val="left"/>
            </w:pPr>
            <w:r>
              <w:t>By:</w:t>
            </w:r>
          </w:p>
        </w:tc>
        <w:tc>
          <w:tcPr>
            <w:tcW w:w="120" w:type="dxa"/>
            <w:tcBorders/>
            <w:vAlign w:val="center"/>
          </w:tcPr>
          <w:p>
            <w:pPr>
              <w:pStyle w:val="TableContents"/>
              <w:bidi w:val="0"/>
              <w:spacing w:before="0" w:after="283"/>
              <w:jc w:val="left"/>
            </w:pPr>
            <w:r>
              <w:t>  </w:t>
            </w:r>
          </w:p>
        </w:tc>
        <w:tc>
          <w:tcPr>
            <w:tcW w:w="260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Brett Church</w:t>
            </w:r>
          </w:p>
        </w:tc>
      </w:tr>
      <w:t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pPr>
            <w:r>
              <w:t>  </w:t>
            </w:r>
          </w:p>
        </w:tc>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pPr>
            <w:r>
              <w:t>  </w:t>
            </w:r>
          </w:p>
        </w:tc>
        <w:tc>
          <w:tcPr>
            <w:tcW w:w="2600" w:type="dxa"/>
            <w:tcBorders/>
            <w:vAlign w:val="center"/>
          </w:tcPr>
          <w:p>
            <w:pPr>
              <w:pStyle w:val="TableContents"/>
              <w:bidi w:val="0"/>
              <w:spacing w:before="0" w:after="283"/>
              <w:jc w:val="left"/>
            </w:pPr>
            <w:r>
              <w:t>Brett Church</w:t>
            </w:r>
          </w:p>
        </w:tc>
      </w:tr>
      <w:t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pPr>
            <w:r>
              <w:t>  </w:t>
            </w:r>
          </w:p>
        </w:tc>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pPr>
            <w:r>
              <w:t>  </w:t>
            </w:r>
          </w:p>
        </w:tc>
        <w:tc>
          <w:tcPr>
            <w:tcW w:w="2600" w:type="dxa"/>
            <w:tcBorders/>
            <w:vAlign w:val="center"/>
          </w:tcPr>
          <w:p>
            <w:pPr>
              <w:pStyle w:val="TableContents"/>
              <w:bidi w:val="0"/>
              <w:spacing w:before="0" w:after="283"/>
              <w:jc w:val="left"/>
            </w:pPr>
            <w:r>
              <w:t>Associate General Counsel</w:t>
            </w:r>
          </w:p>
        </w:tc>
      </w:tr>
    </w:tbl>
    <w:p>
      <w:pPr>
        <w:pStyle w:val="TextBody"/>
        <w:bidi w:val="0"/>
        <w:spacing w:before="0" w:after="0"/>
        <w:jc w:val="left"/>
      </w:pPr>
      <w:r>
        <w:t> </w:t>
      </w:r>
    </w:p>
    <w:p>
      <w:pPr>
        <w:pStyle w:val="TextBody"/>
        <w:bidi w:val="0"/>
        <w:spacing w:before="0" w:after="0"/>
        <w:jc w:val="center"/>
        <w:rPr>
          <w:rFonts w:ascii="Arial" w:hAnsi="Arial"/>
          <w:sz w:val="20"/>
        </w:rPr>
      </w:pPr>
      <w:r>
        <w:rPr>
          <w:rFonts w:ascii="Arial" w:hAnsi="Arial"/>
          <w:sz w:val="20"/>
        </w:rPr>
        <w:t xml:space="preserve">2 </w:t>
      </w:r>
    </w:p>
    <w:p>
      <w:pPr>
        <w:pStyle w:val="TextBody"/>
        <w:bidi w:val="0"/>
        <w:spacing w:before="0" w:after="0"/>
        <w:jc w:val="right"/>
        <w:rPr>
          <w:rFonts w:ascii="Arial" w:hAnsi="Arial"/>
          <w:b/>
          <w:sz w:val="20"/>
        </w:rPr>
      </w:pPr>
      <w:bookmarkStart w:id="2" w:name="d179648dex991.htm"/>
      <w:bookmarkStart w:id="3" w:name="ksd179648dex991"/>
      <w:bookmarkEnd w:id="2"/>
      <w:bookmarkEnd w:id="3"/>
      <w:r>
        <w:rPr>
          <w:rFonts w:ascii="Arial" w:hAnsi="Arial"/>
          <w:b/>
          <w:sz w:val="20"/>
        </w:rPr>
        <w:t xml:space="preserve">Exhibit 99.1 </w:t>
      </w:r>
      <w:r>
        <w:br w:type="page"/>
      </w:r>
    </w:p>
    <w:p>
      <w:pPr>
        <w:pStyle w:val="TextBody"/>
        <w:bidi w:val="0"/>
        <w:spacing w:before="0" w:after="0"/>
        <w:jc w:val="left"/>
      </w:pPr>
      <w:r>
        <w:t> </w:t>
      </w:r>
    </w:p>
    <w:p>
      <w:pPr>
        <w:pStyle w:val="TextBody"/>
        <w:bidi w:val="0"/>
        <w:spacing w:before="0" w:after="0"/>
        <w:jc w:val="left"/>
      </w:pPr>
      <w:r>
        <w:drawing>
          <wp:inline distT="0" distB="0" distL="0" distR="0">
            <wp:extent cx="1333500"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33500" cy="466725"/>
                    </a:xfrm>
                    <a:prstGeom prst="rect">
                      <a:avLst/>
                    </a:prstGeom>
                  </pic:spPr>
                </pic:pic>
              </a:graphicData>
            </a:graphic>
          </wp:inline>
        </w:drawing>
      </w:r>
      <w:r>
        <w:t xml:space="preserve"> </w:t>
      </w:r>
    </w:p>
    <w:p>
      <w:pPr>
        <w:pStyle w:val="TextBody"/>
        <w:bidi w:val="0"/>
        <w:spacing w:before="240" w:after="0"/>
        <w:jc w:val="center"/>
        <w:rPr>
          <w:rFonts w:ascii="Arial" w:hAnsi="Arial"/>
          <w:b/>
          <w:sz w:val="20"/>
        </w:rPr>
      </w:pPr>
      <w:r>
        <w:rPr>
          <w:rFonts w:ascii="Arial" w:hAnsi="Arial"/>
          <w:b/>
          <w:sz w:val="20"/>
        </w:rPr>
        <w:t xml:space="preserve">Viasat Releases Second Quarter Fiscal Year 2027 Financial Results </w:t>
      </w:r>
    </w:p>
    <w:p>
      <w:pPr>
        <w:pStyle w:val="TextBody"/>
        <w:bidi w:val="0"/>
        <w:spacing w:before="240" w:after="0"/>
        <w:jc w:val="both"/>
        <w:rPr>
          <w:rFonts w:ascii="Arial" w:hAnsi="Arial"/>
          <w:sz w:val="20"/>
        </w:rPr>
      </w:pPr>
      <w:r>
        <w:rPr>
          <w:rFonts w:ascii="Arial" w:hAnsi="Arial"/>
          <w:b/>
          <w:sz w:val="20"/>
        </w:rPr>
        <w:t>CARLSBAD, Calif.,</w:t>
      </w:r>
      <w:r>
        <w:rPr>
          <w:rFonts w:ascii="Arial" w:hAnsi="Arial"/>
          <w:sz w:val="20"/>
        </w:rPr>
        <w:t> </w:t>
      </w:r>
      <w:r>
        <w:rPr>
          <w:rFonts w:ascii="Arial" w:hAnsi="Arial"/>
          <w:b/>
          <w:sz w:val="20"/>
        </w:rPr>
        <w:t>November</w:t>
      </w:r>
      <w:r>
        <w:rPr>
          <w:rFonts w:ascii="Arial" w:hAnsi="Arial"/>
          <w:sz w:val="20"/>
        </w:rPr>
        <w:t> </w:t>
      </w:r>
      <w:r>
        <w:rPr>
          <w:rFonts w:ascii="Arial" w:hAnsi="Arial"/>
          <w:b/>
          <w:sz w:val="20"/>
        </w:rPr>
        <w:t>5, 2026</w:t>
      </w:r>
      <w:r>
        <w:rPr>
          <w:rFonts w:ascii="Arial" w:hAnsi="Arial"/>
          <w:sz w:val="20"/>
        </w:rPr>
        <w:t> — </w:t>
      </w:r>
      <w:r>
        <w:rPr>
          <w:rFonts w:ascii="Arial" w:hAnsi="Arial"/>
          <w:sz w:val="20"/>
          <w:u w:val="single"/>
        </w:rPr>
        <w:t>Viasat, Inc.</w:t>
      </w:r>
      <w:r>
        <w:rPr>
          <w:rFonts w:ascii="Arial" w:hAnsi="Arial"/>
          <w:sz w:val="20"/>
        </w:rPr>
        <w:t xml:space="preserve"> (NASDAQ: VSAT), a global leader in satellite communications technology, today published its second quarter fiscal year 2027 financial results. A letter to shareholders and accompanying webcast slides are available on the </w:t>
      </w:r>
      <w:r>
        <w:rPr>
          <w:rFonts w:ascii="Arial" w:hAnsi="Arial"/>
          <w:sz w:val="20"/>
          <w:u w:val="single"/>
        </w:rPr>
        <w:t>Investor Relations</w:t>
      </w:r>
      <w:r>
        <w:rPr>
          <w:rFonts w:ascii="Arial" w:hAnsi="Arial"/>
          <w:sz w:val="20"/>
        </w:rPr>
        <w:t xml:space="preserve"> section of the company’s website. </w:t>
      </w:r>
    </w:p>
    <w:p>
      <w:pPr>
        <w:pStyle w:val="TextBody"/>
        <w:bidi w:val="0"/>
        <w:spacing w:before="360" w:after="0"/>
        <w:jc w:val="both"/>
        <w:rPr>
          <w:rFonts w:ascii="Arial" w:hAnsi="Arial"/>
          <w:b/>
          <w:sz w:val="20"/>
        </w:rPr>
      </w:pPr>
      <w:r>
        <w:rPr>
          <w:rFonts w:ascii="Arial" w:hAnsi="Arial"/>
          <w:b/>
          <w:sz w:val="20"/>
        </w:rPr>
        <w:t xml:space="preserve">Conference Call Details </w:t>
      </w:r>
    </w:p>
    <w:p>
      <w:pPr>
        <w:pStyle w:val="TextBody"/>
        <w:bidi w:val="0"/>
        <w:spacing w:before="0" w:after="0"/>
        <w:jc w:val="both"/>
        <w:rPr>
          <w:rFonts w:ascii="Arial" w:hAnsi="Arial"/>
          <w:sz w:val="20"/>
        </w:rPr>
      </w:pPr>
      <w:r>
        <w:rPr>
          <w:rFonts w:ascii="Arial" w:hAnsi="Arial"/>
          <w:sz w:val="20"/>
        </w:rPr>
        <w:t xml:space="preserve">As previously announced, Viasat management will host a conference call to discuss the results today, Thursday, November 5, 2026 at 2:30 p.m. PT (5:30 p.m. ET). </w:t>
      </w:r>
    </w:p>
    <w:p>
      <w:pPr>
        <w:pStyle w:val="TextBody"/>
        <w:bidi w:val="0"/>
        <w:spacing w:before="360" w:after="0"/>
        <w:jc w:val="left"/>
        <w:rPr>
          <w:rFonts w:ascii="Arial" w:hAnsi="Arial"/>
          <w:b/>
          <w:sz w:val="20"/>
        </w:rPr>
      </w:pPr>
      <w:r>
        <w:rPr>
          <w:rFonts w:ascii="Arial" w:hAnsi="Arial"/>
          <w:b/>
          <w:sz w:val="20"/>
        </w:rPr>
        <w:t xml:space="preserve">Access Information: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Dial-in: (800) 715-9871 (U.S./Canada toll-free) or (646) 307-1963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c>
          <w:tcPr>
            <w:tcW w:w="509" w:type="dxa"/>
            <w:tcBorders/>
            <w:vAlign w:val="center"/>
          </w:tcPr>
          <w:p>
            <w:pPr>
              <w:pStyle w:val="TableContents"/>
              <w:bidi w:val="0"/>
              <w:spacing w:before="0" w:after="283"/>
              <w:jc w:val="left"/>
            </w:pPr>
            <w:r>
              <w:t> </w:t>
            </w:r>
          </w:p>
        </w:tc>
        <w:tc>
          <w:tcPr>
            <w:tcW w:w="305" w:type="dxa"/>
            <w:tcBorders/>
          </w:tcPr>
          <w:p>
            <w:pPr>
              <w:pStyle w:val="TableContents"/>
              <w:bidi w:val="0"/>
              <w:spacing w:before="0" w:after="283"/>
              <w:jc w:val="left"/>
            </w:pPr>
            <w:r>
              <w:t></w:t>
            </w:r>
          </w:p>
        </w:tc>
        <w:tc>
          <w:tcPr>
            <w:tcW w:w="101" w:type="dxa"/>
            <w:tcBorders/>
          </w:tcPr>
          <w:p>
            <w:pPr>
              <w:pStyle w:val="TableContents"/>
              <w:bidi w:val="0"/>
              <w:spacing w:before="0" w:after="283"/>
              <w:jc w:val="left"/>
            </w:pPr>
            <w: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Conference ID: 7750494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c>
          <w:tcPr>
            <w:tcW w:w="510" w:type="dxa"/>
            <w:tcBorders/>
            <w:vAlign w:val="center"/>
          </w:tcPr>
          <w:p>
            <w:pPr>
              <w:pStyle w:val="TableContents"/>
              <w:bidi w:val="0"/>
              <w:spacing w:before="0" w:after="283"/>
              <w:jc w:val="left"/>
            </w:pPr>
            <w:r>
              <w:t> </w:t>
            </w:r>
          </w:p>
        </w:tc>
        <w:tc>
          <w:tcPr>
            <w:tcW w:w="306" w:type="dxa"/>
            <w:tcBorders/>
          </w:tcPr>
          <w:p>
            <w:pPr>
              <w:pStyle w:val="TableContents"/>
              <w:bidi w:val="0"/>
              <w:spacing w:before="0" w:after="283"/>
              <w:jc w:val="left"/>
            </w:pPr>
            <w:r>
              <w:t></w:t>
            </w:r>
          </w:p>
        </w:tc>
        <w:tc>
          <w:tcPr>
            <w:tcW w:w="102" w:type="dxa"/>
            <w:tcBorders/>
          </w:tcPr>
          <w:p>
            <w:pPr>
              <w:pStyle w:val="TableContents"/>
              <w:bidi w:val="0"/>
              <w:spacing w:before="0" w:after="283"/>
              <w:jc w:val="left"/>
            </w:pPr>
            <w:r>
              <w:t> </w:t>
            </w:r>
          </w:p>
        </w:tc>
        <w:tc>
          <w:tcPr>
            <w:tcW w:w="9287" w:type="dxa"/>
            <w:tcBorders/>
          </w:tcPr>
          <w:p>
            <w:pPr>
              <w:pStyle w:val="TableContents"/>
              <w:bidi w:val="0"/>
              <w:spacing w:before="0" w:after="0"/>
              <w:jc w:val="left"/>
              <w:rPr>
                <w:rFonts w:ascii="Arial" w:hAnsi="Arial"/>
                <w:sz w:val="20"/>
              </w:rPr>
            </w:pPr>
            <w:r>
              <w:rPr>
                <w:rFonts w:ascii="Arial" w:hAnsi="Arial"/>
                <w:sz w:val="20"/>
              </w:rPr>
              <w:t xml:space="preserve">Live webcast: Available on Viasat’s </w:t>
            </w:r>
            <w:r>
              <w:rPr>
                <w:rFonts w:ascii="Arial" w:hAnsi="Arial"/>
                <w:sz w:val="20"/>
                <w:u w:val="single"/>
              </w:rPr>
              <w:t>Investor Relations</w:t>
            </w:r>
            <w:r>
              <w:rPr>
                <w:rFonts w:ascii="Arial" w:hAnsi="Arial"/>
                <w:sz w:val="20"/>
              </w:rPr>
              <w:t xml:space="preserve"> website. </w:t>
            </w:r>
          </w:p>
        </w:tc>
      </w:tr>
    </w:tbl>
    <w:p>
      <w:pPr>
        <w:pStyle w:val="TextBody"/>
        <w:bidi w:val="0"/>
        <w:spacing w:before="240" w:after="0"/>
        <w:jc w:val="left"/>
        <w:rPr>
          <w:rFonts w:ascii="Arial" w:hAnsi="Arial"/>
          <w:sz w:val="20"/>
        </w:rPr>
      </w:pPr>
      <w:r>
        <w:rPr>
          <w:rFonts w:ascii="Arial" w:hAnsi="Arial"/>
          <w:sz w:val="20"/>
        </w:rPr>
        <w:t xml:space="preserve">A replay of the call will be archived on the Investor Relations site. </w:t>
      </w:r>
    </w:p>
    <w:p>
      <w:pPr>
        <w:pStyle w:val="TextBody"/>
        <w:bidi w:val="0"/>
        <w:spacing w:before="240" w:after="0"/>
        <w:jc w:val="center"/>
        <w:rPr>
          <w:rFonts w:ascii="Arial" w:hAnsi="Arial"/>
          <w:sz w:val="20"/>
        </w:rPr>
      </w:pPr>
      <w:r>
        <w:rPr>
          <w:rFonts w:ascii="Arial" w:hAnsi="Arial"/>
          <w:sz w:val="20"/>
        </w:rPr>
        <w:t xml:space="preserve"># # # </w:t>
      </w:r>
    </w:p>
    <w:p>
      <w:pPr>
        <w:pStyle w:val="TextBody"/>
        <w:bidi w:val="0"/>
        <w:spacing w:before="360" w:after="0"/>
        <w:jc w:val="left"/>
        <w:rPr>
          <w:rFonts w:ascii="Arial" w:hAnsi="Arial"/>
          <w:b/>
          <w:sz w:val="20"/>
        </w:rPr>
      </w:pPr>
      <w:r>
        <w:rPr>
          <w:rFonts w:ascii="Arial" w:hAnsi="Arial"/>
          <w:b/>
          <w:sz w:val="20"/>
        </w:rPr>
        <w:t>About Viasat</w:t>
      </w:r>
    </w:p>
    <w:p>
      <w:pPr>
        <w:pStyle w:val="TextBody"/>
        <w:bidi w:val="0"/>
        <w:spacing w:before="0" w:after="0"/>
        <w:jc w:val="both"/>
        <w:rPr>
          <w:rFonts w:ascii="Arial" w:hAnsi="Arial"/>
          <w:sz w:val="20"/>
        </w:rPr>
      </w:pPr>
      <w:r>
        <w:rPr>
          <w:rFonts w:ascii="Arial" w:hAnsi="Arial"/>
          <w:sz w:val="20"/>
        </w:rPr>
        <w:t xml:space="preserve">Viasat is a global technology company that believes everyone and everything in the world can be connected. With offices in 24 countries around the world, our mission shapes how consumers, businesses, governments and militaries around the world communicate and connect. Viasat is developing the ultimate global communications network to power high-quality, reliable, secure, affordable, fast connections to positively impact people’s lives anywhere they are—on the ground, in the air or at sea, while building a sustainable future in space. In May 2023, Viasat completed its acquisition of Inmarsat, combining the teams, technologies and resources of the two companies to create a new global communications partner. Learn more at </w:t>
      </w:r>
      <w:r>
        <w:rPr>
          <w:rFonts w:ascii="Arial" w:hAnsi="Arial"/>
          <w:sz w:val="20"/>
          <w:u w:val="single"/>
        </w:rPr>
        <w:t>www.viasat.com</w:t>
      </w:r>
      <w:r>
        <w:rPr>
          <w:rFonts w:ascii="Arial" w:hAnsi="Arial"/>
          <w:sz w:val="20"/>
        </w:rPr>
        <w:t>, the </w:t>
      </w:r>
      <w:r>
        <w:rPr>
          <w:rFonts w:ascii="Arial" w:hAnsi="Arial"/>
          <w:sz w:val="20"/>
          <w:u w:val="single"/>
        </w:rPr>
        <w:t>Viasat News Room</w:t>
      </w:r>
      <w:r>
        <w:rPr>
          <w:rFonts w:ascii="Arial" w:hAnsi="Arial"/>
          <w:sz w:val="20"/>
        </w:rPr>
        <w:t> or follow us on </w:t>
      </w:r>
      <w:r>
        <w:rPr>
          <w:rFonts w:ascii="Arial" w:hAnsi="Arial"/>
          <w:sz w:val="20"/>
          <w:u w:val="single"/>
        </w:rPr>
        <w:t>LinkedIn</w:t>
      </w:r>
      <w:r>
        <w:rPr>
          <w:rFonts w:ascii="Arial" w:hAnsi="Arial"/>
          <w:sz w:val="20"/>
        </w:rPr>
        <w:t>, </w:t>
      </w:r>
      <w:r>
        <w:rPr>
          <w:rFonts w:ascii="Arial" w:hAnsi="Arial"/>
          <w:sz w:val="20"/>
          <w:u w:val="single"/>
        </w:rPr>
        <w:t>X</w:t>
      </w:r>
      <w:r>
        <w:rPr>
          <w:rFonts w:ascii="Arial" w:hAnsi="Arial"/>
          <w:sz w:val="20"/>
        </w:rPr>
        <w:t>, </w:t>
      </w:r>
      <w:r>
        <w:rPr>
          <w:rFonts w:ascii="Arial" w:hAnsi="Arial"/>
          <w:sz w:val="20"/>
          <w:u w:val="single"/>
        </w:rPr>
        <w:t>Instagram</w:t>
      </w:r>
      <w:r>
        <w:rPr>
          <w:rFonts w:ascii="Arial" w:hAnsi="Arial"/>
          <w:sz w:val="20"/>
        </w:rPr>
        <w:t>, </w:t>
      </w:r>
      <w:r>
        <w:rPr>
          <w:rFonts w:ascii="Arial" w:hAnsi="Arial"/>
          <w:sz w:val="20"/>
          <w:u w:val="single"/>
        </w:rPr>
        <w:t>Facebook</w:t>
      </w:r>
      <w:r>
        <w:rPr>
          <w:rFonts w:ascii="Arial" w:hAnsi="Arial"/>
          <w:sz w:val="20"/>
        </w:rPr>
        <w:t>, </w:t>
      </w:r>
      <w:r>
        <w:rPr>
          <w:rFonts w:ascii="Arial" w:hAnsi="Arial"/>
          <w:sz w:val="20"/>
          <w:u w:val="single"/>
        </w:rPr>
        <w:t>Bluesky</w:t>
      </w:r>
      <w:r>
        <w:rPr>
          <w:rFonts w:ascii="Arial" w:hAnsi="Arial"/>
          <w:sz w:val="20"/>
        </w:rPr>
        <w:t>, </w:t>
      </w:r>
      <w:r>
        <w:rPr>
          <w:rFonts w:ascii="Arial" w:hAnsi="Arial"/>
          <w:sz w:val="20"/>
          <w:u w:val="single"/>
        </w:rPr>
        <w:t>Threads</w:t>
      </w:r>
      <w:r>
        <w:rPr>
          <w:rFonts w:ascii="Arial" w:hAnsi="Arial"/>
          <w:sz w:val="20"/>
        </w:rPr>
        <w:t>, and </w:t>
      </w:r>
      <w:r>
        <w:rPr>
          <w:rFonts w:ascii="Arial" w:hAnsi="Arial"/>
          <w:sz w:val="20"/>
          <w:u w:val="single"/>
        </w:rPr>
        <w:t>YouTube</w:t>
      </w:r>
      <w:r>
        <w:rPr>
          <w:rFonts w:ascii="Arial" w:hAnsi="Arial"/>
          <w:sz w:val="20"/>
        </w:rPr>
        <w:t xml:space="preserve">. </w:t>
      </w:r>
    </w:p>
    <w:p>
      <w:pPr>
        <w:pStyle w:val="TextBody"/>
        <w:bidi w:val="0"/>
        <w:spacing w:before="360" w:after="0"/>
        <w:jc w:val="both"/>
        <w:rPr>
          <w:rFonts w:ascii="Arial" w:hAnsi="Arial"/>
          <w:i/>
          <w:sz w:val="20"/>
        </w:rPr>
      </w:pPr>
      <w:r>
        <w:rPr>
          <w:rFonts w:ascii="Arial" w:hAnsi="Arial"/>
          <w:i/>
          <w:sz w:val="20"/>
        </w:rPr>
        <w:t>Copyright © 2026 Viasat, Inc. All rights reserved. Viasat, the Viasat logo and the Viasat Signal are registered trademarks in the U.S. and in other countries of Viasat, Inc. All other product or company names mentioned are used for identification purposes only and may be trademarks of their respective owners.</w:t>
      </w:r>
    </w:p>
    <w:p>
      <w:pPr>
        <w:pStyle w:val="TextBody"/>
        <w:bidi w:val="0"/>
        <w:spacing w:before="360" w:after="0"/>
        <w:jc w:val="left"/>
        <w:rPr>
          <w:rFonts w:ascii="Arial" w:hAnsi="Arial"/>
          <w:b/>
          <w:sz w:val="20"/>
        </w:rPr>
      </w:pPr>
      <w:r>
        <w:rPr>
          <w:rFonts w:ascii="Arial" w:hAnsi="Arial"/>
          <w:b/>
          <w:sz w:val="20"/>
        </w:rPr>
        <w:t xml:space="preserve">Viasat, Inc. Contacts </w:t>
      </w:r>
    </w:p>
    <w:p>
      <w:pPr>
        <w:pStyle w:val="TextBody"/>
        <w:bidi w:val="0"/>
        <w:spacing w:before="0" w:after="0"/>
        <w:jc w:val="left"/>
        <w:rPr>
          <w:rFonts w:ascii="Arial" w:hAnsi="Arial"/>
          <w:sz w:val="20"/>
        </w:rPr>
      </w:pPr>
      <w:r>
        <w:rPr>
          <w:rFonts w:ascii="Arial" w:hAnsi="Arial"/>
          <w:sz w:val="20"/>
        </w:rPr>
        <w:t xml:space="preserve">David Pendery / Scott Goryl Corporate Communications, </w:t>
      </w:r>
      <w:r>
        <w:rPr>
          <w:rFonts w:ascii="Arial" w:hAnsi="Arial"/>
          <w:sz w:val="20"/>
          <w:u w:val="single"/>
        </w:rPr>
        <w:t>PR@viasat.com</w:t>
      </w:r>
      <w:r>
        <w:rPr>
          <w:rFonts w:ascii="Arial" w:hAnsi="Arial"/>
          <w:sz w:val="20"/>
        </w:rPr>
        <w:t xml:space="preserve"> </w:t>
      </w:r>
    </w:p>
    <w:p>
      <w:pPr>
        <w:pStyle w:val="TextBody"/>
        <w:bidi w:val="0"/>
        <w:spacing w:before="0" w:after="0"/>
        <w:jc w:val="left"/>
        <w:rPr>
          <w:rFonts w:ascii="Arial" w:hAnsi="Arial"/>
          <w:sz w:val="20"/>
        </w:rPr>
      </w:pPr>
      <w:r>
        <w:rPr>
          <w:rFonts w:ascii="Arial" w:hAnsi="Arial"/>
          <w:sz w:val="20"/>
        </w:rPr>
        <w:t xml:space="preserve">Lisa Curran / Peter Lopez, Investor Relations, </w:t>
      </w:r>
      <w:r>
        <w:rPr>
          <w:rFonts w:ascii="Arial" w:hAnsi="Arial"/>
          <w:sz w:val="20"/>
          <w:u w:val="single"/>
        </w:rPr>
        <w:t>IR@viasat.com</w:t>
      </w:r>
      <w:r>
        <w:rPr>
          <w:rFonts w:ascii="Arial" w:hAnsi="Arial"/>
          <w:sz w:val="20"/>
        </w:rPr>
        <w:t xml:space="preserve"> </w:t>
      </w:r>
    </w:p>
    <w:p>
      <w:pPr>
        <w:pStyle w:val="TextBody"/>
        <w:bidi w:val="0"/>
        <w:spacing w:before="0" w:after="0"/>
        <w:jc w:val="right"/>
        <w:rPr>
          <w:rFonts w:ascii="Arial" w:hAnsi="Arial"/>
          <w:b/>
          <w:sz w:val="20"/>
        </w:rPr>
      </w:pPr>
      <w:bookmarkStart w:id="4" w:name="d179648dex992.htm"/>
      <w:bookmarkStart w:id="5" w:name="ksd179648dex992"/>
      <w:bookmarkEnd w:id="4"/>
      <w:bookmarkEnd w:id="5"/>
      <w:r>
        <w:rPr>
          <w:rFonts w:ascii="Arial" w:hAnsi="Arial"/>
          <w:b/>
          <w:sz w:val="20"/>
        </w:rPr>
        <w:t xml:space="preserve">Exhibit 99.2 </w:t>
      </w:r>
      <w:r>
        <w:br w:type="page"/>
      </w:r>
    </w:p>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pPr>
      <w:r>
        <w:drawing>
          <wp:inline distT="0" distB="0" distL="0" distR="0">
            <wp:extent cx="7286625" cy="9429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286625" cy="9429750"/>
                    </a:xfrm>
                    <a:prstGeom prst="rect">
                      <a:avLst/>
                    </a:prstGeom>
                  </pic:spPr>
                </pic:pic>
              </a:graphicData>
            </a:graphic>
          </wp:inline>
        </w:drawing>
      </w:r>
      <w:r>
        <w:t xml:space="preserve"> </w:t>
      </w:r>
    </w:p>
    <w:p>
      <w:pPr>
        <w:pStyle w:val="TextBody"/>
        <w:bidi w:val="0"/>
        <w:jc w:val="left"/>
        <w:rPr>
          <w:rFonts w:ascii="Arial" w:hAnsi="Arial"/>
          <w:color w:val="FFFFFF"/>
          <w:sz w:val="2"/>
        </w:rPr>
      </w:pPr>
      <w:r>
        <w:rPr>
          <w:rFonts w:ascii="Arial" w:hAnsi="Arial"/>
          <w:color w:val="FFFFFF"/>
          <w:sz w:val="2"/>
        </w:rPr>
        <w:t xml:space="preserve">VIASAT Q2 FY27 Shareholder Letter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7395210" cy="9601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395210" cy="9601200"/>
                    </a:xfrm>
                    <a:prstGeom prst="rect">
                      <a:avLst/>
                    </a:prstGeom>
                  </pic:spPr>
                </pic:pic>
              </a:graphicData>
            </a:graphic>
          </wp:inline>
        </w:drawing>
      </w:r>
      <w:r>
        <w:t xml:space="preserve"> </w:t>
      </w:r>
    </w:p>
    <w:p>
      <w:pPr>
        <w:pStyle w:val="TextBody"/>
        <w:bidi w:val="0"/>
        <w:jc w:val="left"/>
        <w:rPr>
          <w:rFonts w:ascii="Arial" w:hAnsi="Arial"/>
          <w:color w:val="FFFFFF"/>
          <w:sz w:val="2"/>
        </w:rPr>
      </w:pPr>
      <w:r>
        <w:rPr>
          <w:rFonts w:ascii="Arial" w:hAnsi="Arial"/>
          <w:color w:val="FFFFFF"/>
          <w:sz w:val="2"/>
        </w:rPr>
        <w:t xml:space="preserve">Fellow Shareholders, The second quarter of fiscal year 2027 reinforced our belief that Viasat is entering an important new phase. During the quarter, we delivered solid financial results while continuing to advance our strategic priorities. Both ViaSat-3 (VS-3) Flight 2 and Flight 3 entered service and are performing as expected. We achieved strong growth in Defense and Advanced Technologies (DAT), expanded our backlog, generated positive free cash flow, and made further progress in reducing leverage. These achievements reinforce our confidence that the significant investments we have made over the last several years are increasingly translating into tangible operational and financial benefits. For Q2 FY2027, we reported a net loss1 of $129 million, which was a decline compared to a net loss of $61 million in Q2 FY2026. This decline was primarily related to an increased provision for income taxes, higher research and development expense, and higher stock compensation expense. Q2 FY2027 revenue increased 3% year-over-year (YoY), reflecting a 20% increase in the DAT segment, partially offset by a 3% YoY decline in the Communication Services (CS) segment. Adjusted EBITDA2 in Q2 FY2027 decreased by 4% YoY with attractive growth in tactical networking, aviation, and government satcom being more than offset by an expected decline in our fixed services and other (FS&amp;O) business, increased research and development expenses, and the effect of the sale of our equity investment in Navarino in a prior period. We generated $78 million in Free Cash Flow3 for the quarter, and $198 million for the twelve months ended September 30, 2026 excluding non-recurring items (see page 6). We also achieved record backlog in the DAT segment with 20% YoY growth. Company-wide, new contract awards in Q2 FY2027 decreased 24% YoY to $1.1 billion, as Q2 FY2026 awards were elevated by the $234 million Southern Positioning Augmentation Network (SouthPAN) award. Strategy Translating into Results with Runway of Opportunities Across our business, we are seeing increasing demand for resilient communications, secure networking, cybersecurity, mission systems, and space-enabled infrastructure. At the same time, the successful deployment and activation of our VS-3 satellites, growing momentum in our DAT portfolio, and continued operational discipline are creating new opportunities for growth, cash generation, and long-term shareholder value creation. Global events continue to highlight the importance of trusted communications infrastructure and the need for greater resilience, flexibility, and competition in space and networking capabilities. We believe Viasat’s unique position at the intersection of commercial and government markets, combined with more than four decades of innovation and operational experience, gives us differentiated advantages in a rapidly evolving environment. Increasingly, customers are looking for integrated mission outcomes rather than standalone products, and our ability to combine communications, networking, cybersecurity, space systems, and mission expertise positions us well to address those needs. Last quarter, I discussed how growing demand for resilient communications, secure networking, mission systems, and space-enabled infrastructure was creating attractive long-term opportunities. This quarter provided further evidence that those trends are translating into real business opportunities for Viasat. Defense &amp; Advanced Technologies Momentum The main growth theme this quarter, as expected, is the continued momentum in DAT. DAT Q2 FY2027 revenue grew about 20% YoY, with strong demand for secure communications, cybersecurity, tactical networking, resilient space architectures, and mission systems. We are effectively moving upmarket from providing components or modules to mission systems, including delivery and operation of space vehicles. For the full fiscal year, we expect DAT mid-teens or better revenue growth compared to fiscal year 2026, with a sustained multi-year revenue growth outlook driven by firm backlog, inventory of IDIQ contract vehicles, and a very attractive new business pipeline. Awards remain a leading indicator of growth. In addition to government DAT technology awards, our confidence is growing in significant potential commercial and international space technology awards that, if granted, would represent both near term revenue and longer term enhanced competitiveness in our communication services businesses. In Q2 FY2027, DAT earned about $420 million of firm awards, and our current fiscal year 2027 plan anticipates about $2.0 billion of awards, compared to $1.6 billion last year. Our confidence is not just from the amount of backlog – it is also due to the strategic value of the programs. Increasingly, we are seeing and winning integrated mission outcomes more than standalone products. That aligns with our strengths in space systems, tactical terrestrial and space networks, cyber, mission integration, and culminating in service delivery, both in the commercial and government sector. ViaSat–3 and Technology Investments Reaching Critical Milestones We see increasing validation that our technology investments, network assets, and position across both commercial and national security markets are creating new avenues for growth. At the same time, both VS-3 Flight 2 and Flight 3 have successfully entered service, allowing us to begin demonstrating capabilities that we believe are highly differentiated in both commercial and government applications. We are adding more bandwidth capacity through the ground network, and expanding customer applications and migrating more user terminals onto those satellites. Customers on VS-3 are measuring pretty dramatic and impressive improvements in speeds and user experience. “Per user” bandwidth consumption, a measure that correlates to customer experience, is comparable to that claimed for LEO service. We believe Shareholder Letter | Q2 Fiscal Year 2027 1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7395210" cy="9601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395210" cy="9601200"/>
                    </a:xfrm>
                    <a:prstGeom prst="rect">
                      <a:avLst/>
                    </a:prstGeom>
                  </pic:spPr>
                </pic:pic>
              </a:graphicData>
            </a:graphic>
          </wp:inline>
        </w:drawing>
      </w:r>
      <w:r>
        <w:t xml:space="preserve"> </w:t>
      </w:r>
    </w:p>
    <w:p>
      <w:pPr>
        <w:pStyle w:val="TextBody"/>
        <w:bidi w:val="0"/>
        <w:jc w:val="left"/>
        <w:rPr>
          <w:rFonts w:ascii="Arial" w:hAnsi="Arial"/>
          <w:color w:val="FFFFFF"/>
          <w:sz w:val="2"/>
        </w:rPr>
      </w:pPr>
      <w:r>
        <w:rPr>
          <w:rFonts w:ascii="Arial" w:hAnsi="Arial"/>
          <w:color w:val="FFFFFF"/>
          <w:sz w:val="2"/>
        </w:rPr>
        <w:t xml:space="preserve">that our VS-3 satellites can help shape industry sentiment and benefit our business results through both revenue generation and operating economics. AMARA, our multi-orbit aviation service offering continues to represent a very attractive growth opportunity. Multiple airlines are evaluating AMARA deployments. In particular, estimated integrated IFC/IFE is still only about 1/3 penetrated and we see considerable interest in more choices among airlines – as well as in other satellite service segments. We are also building confidence in our approach to integrate connectivity and entertainment in ways that help airlines optimize and benefit from passenger engagement. We are also making progress on substantially growing our L- and S-Band Mobile Satellite Services (MSS) addressable market – building around interoperable, 3GPP and 5G/6G NTN networking standards that enable the highly anticipated direct-to-device (D2D) services market. Our approach enables us to bring unique value propositions to D2D as well as to other large evolving or emerging MSS markets building on our existing government and commercial business base. Advancing this strategy, in September we executed a binding agreement with Space42 to establish Equatys, the first standards based shared mobile satellite network infrastructure company. Creating More Paths to Value Overall, we are focused on reducing capital intensity and generating cash. We are transitioning from a period of significant infrastructure investment into one more focused on monetization, utilization, debt reduction and returns. We are further refining state-of-the-art VS-3 technology and converting it into funded turn-key satellite programs that can drive near term government and commercial revenue and can help contain ongoing capital investments that grow our differentiated dual-use, vertically integrated portfolio. Basically, we believe the capital-intensive VS-3 phase is behind us. That offers more strategic flexibility. Each opportunity is considered in terms of returns, cash generation, and alignment with shareholder interests. Most opportunities build on the unique complement of assets we already have, including global spectrum access, orbital and ground infrastructure, technologies, and customer relationships. Our approach is straightforward: remain strategically engaged through a market attractiveness lens, invest selectively, maintain disciplined return thresholds, and partner where appropriate. We are not speculating. We are pursuing opportunities we believe can create durable value while maintaining our focus on free cash flow, capital discipline, and shareholder alignment. Looking Ahead As we look to the remainder of fiscal year 2027 and beyond, three themes continue to strengthen our confidence in Viasat’s future. First, our technology investments and growing base of customer-funded development programs in networking, cybersecurity, mission systems, and space technologies are translating into stronger awards, larger backlog, and expanding growth opportunities across both government and commercial markets. Increasingly, we are seeing customers seek integrated mission outcomes rather than standalone products. That trend aligns directly with Viasat’s strengths across communications, networking, cybersecurity, mission integration, and space systems. These opportunities are becoming an increasingly important driver of Viasat’s overall financial performance and lower capital intensity. Second, the successful completion of the VS-3 deployment program marks an important transition for the company. Over the last several years, we invested heavily in satellite infrastructure, spectrum assets, advanced security capabilities, and networking technologies. We believe those investments have created a foundation for the next stage of growth. Our focus now is increasingly on utilization, monetization, customer adoption, and translating those assets into revenue growth, improved operating performance, and cash generation. Third, growing contribution from DAT, improving capital efficiency, and declining capital expenditures are supporting stronger free cash flow generation and continued deleveraging. We are transitioning from a period dominated by infrastructure investment to one characterized by increasing financial flexibility and strategic optionality. We remain disciplined in evaluating opportunities through the lens of returns, cash generation, capital efficiency, and long-term shareholder value. We know we operate in very dynamic competitive and geo-political environments. We also believe Viasat is entering a fundamentally different phase, characterized by expanding growth opportunities, lower capital intensity, and increasing financial and strategic flexibility. We are maintaining our Strategic Review Committee to regularly assess our opportunities and ensure we are aligned in pursuit of customer outcomes and increasing shareholder value. Thanks for your continued trust in our team. Sincerely, Mark Dankberg Shareholder Letter | Q2 Fiscal Year 2027 2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7286625" cy="9429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286625" cy="9429750"/>
                    </a:xfrm>
                    <a:prstGeom prst="rect">
                      <a:avLst/>
                    </a:prstGeom>
                  </pic:spPr>
                </pic:pic>
              </a:graphicData>
            </a:graphic>
          </wp:inline>
        </w:drawing>
      </w:r>
      <w:r>
        <w:t xml:space="preserve"> </w:t>
      </w:r>
    </w:p>
    <w:p>
      <w:pPr>
        <w:pStyle w:val="TextBody"/>
        <w:bidi w:val="0"/>
        <w:jc w:val="left"/>
        <w:rPr>
          <w:rFonts w:ascii="Arial" w:hAnsi="Arial"/>
          <w:color w:val="FFFFFF"/>
          <w:sz w:val="2"/>
        </w:rPr>
      </w:pPr>
      <w:r>
        <w:rPr>
          <w:rFonts w:ascii="Arial" w:hAnsi="Arial"/>
          <w:color w:val="FFFFFF"/>
          <w:sz w:val="2"/>
        </w:rPr>
        <w:t xml:space="preserve">Q2 FY2027 Financial Results &gt; Revenue for Q2 FY2027 was $1.2 billion, representing a 3% yearover- year (YoY) increase. The growth reflected a 20% YoY increase in the Defense and Advanced Technologies segment, partially offset by a 3% YoY decline in the Communication Services segment revenue. &gt; Net loss1 for Q2 FY2027 was $129 million, a decline compared to a net loss of $61 million in Q2 FY2026. This decline was primarily related to an increased provision for income taxes, higher research and development expense, higher stock compensation expense. &gt; Adjusted EBITDA2 for Q2 FY2027 was $370 million, a decrease of 4% YoY. A 57% YoY increase in the Defense and Advanced Technology segment, which was more than offset by a 13% YoY decline in the Communications Services segment Adjusted EBITDA. Growth in tactical networking, aviation, and government satcom was more than offset by an expected decline in fixed services &amp; other (FS&amp;O), increased research and development expenses, and the sale of our equity investment in Navarino. &gt; Communication Services revenues declined 3% YoY, reflecting expected declines in FS&amp;O, total segment product revenue, and maritime revenue partially offset by growth in aviation and government satcom. &gt; Defense and Advanced Technologies revenues increased 20% YoY, reflecting strong growth in information security and cyber defense and tactical networking product revenue, and an increase in segment service revenue. &gt; Awards for the quarter totaled $1.1 billion, reflecting a 24% YoY decline. Defense and Advanced Technologies awards declined 10% YoY, reflecting decreases in advanced technologies &amp; other (AT&amp;O) and information security and cyber defense partially offset by strong growth in space and mission systems. Communication Services awards declined 30% YoY, reflecting a decline primarily in government satcom. &gt; In Q2 FY2027, we generated $78 million in Free Cash Flow3, an increase of 14% YoY, and $198 million for the twelve months ended September 30, 2026 excluding non-recurring items (see page 6). &gt; Our net leverage ratio5 declined substantially by 0.3x to 3.2x compared to the prior year period, primarily reflecting the receipt of proceeds from the Ligado lump sum payment, the sale of our equity investment in Navarino, and the free cash flow generated for the twelve months ended September 30, 2026. AWARDS $ in millions REVENUE $ in millions NET INCOME (LOSS)1 $ in millions $1,498 $971 $1,280 $1,298 $1,138 Q2 FY26 Q3 FY26 Q4 FY26 Q1 FY27 Q2 FY27 $(61.4) $25.0 $58.8 $(51.7) $(128.7) Q2 FY26 Q3 FY26 Q4 FY26 Q1 FY27 Q2 FY27 $1,141 $1,157 $1,171 $1,157 $1,180 Q2 FY26 Q3 FY26 Q4 FY26 Q1 FY27 Q2 FY27 BACKLOG $ in millions ADJ. EBITDA2 $ in millions OPERATING INCOME (LOSS) $ in millions $3,886 $3,967 $4,073 $4,218 $4,166 Q2 FY26 Q3 FY26 Q4 FY26 Q1 FY27 Q2 FY27 $385 $387 $370 $381 $370 Q2 FY26 Q3 FY26 Q4 FY26 Q1 FY27 Q2 FY27 $35.8 $26.3 $(0.6) $47.3 $7.1 Q2 FY26 Q3 FY26 Q4 FY26 Q1 FY27 Q2 FY27 Shareholder Letter | Q2 Fiscal Year 2027 3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7286625" cy="9429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286625" cy="9429750"/>
                    </a:xfrm>
                    <a:prstGeom prst="rect">
                      <a:avLst/>
                    </a:prstGeom>
                  </pic:spPr>
                </pic:pic>
              </a:graphicData>
            </a:graphic>
          </wp:inline>
        </w:drawing>
      </w:r>
      <w:r>
        <w:t xml:space="preserve"> </w:t>
      </w:r>
    </w:p>
    <w:p>
      <w:pPr>
        <w:pStyle w:val="TextBody"/>
        <w:bidi w:val="0"/>
        <w:jc w:val="left"/>
        <w:rPr>
          <w:rFonts w:ascii="Arial" w:hAnsi="Arial"/>
          <w:color w:val="FFFFFF"/>
          <w:sz w:val="2"/>
        </w:rPr>
      </w:pPr>
      <w:r>
        <w:rPr>
          <w:rFonts w:ascii="Arial" w:hAnsi="Arial"/>
          <w:color w:val="FFFFFF"/>
          <w:sz w:val="2"/>
        </w:rPr>
        <w:t xml:space="preserve">Communication Services Segment Highlights &gt; Successfully commenced service on both the VS-3 F2 and VS-3 F3 satellites in the Americas and Asia-Pacific (APAC) regions, respectively. Each ViaSat-3 satellite is designed to deliver more than one terabit per second of throughput capacity. These satellites are expected to deliver greater flexibility, coverage, and capacity with competitive bandwidth economics, driving new growth opportunities across our connectivity markets. &gt; Announced an agreement with Addvalue Solutions Pte Ltd to deliver Inter-satellite Data Relay Service (IDRS) to U.S. Government customers through Viasat’s HaloNet managed service offering. An onboard terminal, connected through Viasat’s geostationary Earth orbit (GEO) L-band network, is designed to keep owners in contact with their assets for up to 99% of every orbit, all with latency of under two seconds. &gt; Announced agreement with South Korean telecommunication services provider SK telink to strengthen collaboration between the two companies to bring NexusWave services, with its next-generation connectivity capabilities, to shipowners seeking to enhance operational efficiency, resilience, and crew welfare. The agreement covers NexusWave implementation across carriers, container ships, very large crude carriers (VLCCs), and other vessel types operated by South Korean shipping companies. &gt; Subsequent to quarter end, announced that JetXP, our IFC premium service for business aviation customers, is now delivering five times more capacity in the United States using Honeywell’s JetWave terminals, unlocking an even greater experience across the world’s largest private jet market. The service delivers a more consistent, reliable, and high-performance service for data-hungry applications, such as HD video conferencing, content streaming, AI tools and bulk file transfers, used simultaneously on multiple devices. The latest enhancement is delivered through a software update that optimizes network management globally. &gt; Subsequent to quarter end, selected by Empresa Naviera Petrolera Atlántica SA (ENPASA) to deploy NexusWave on its large tankers reinforcing its commitment to operational excellence, digital transformation, and crew welfare. As vessels become increasingly reliant on real-time data, cloud-based applications, and digital workflows, the company sought a connectivity solution to deliver resilient, highperformance communications across entire voyages while providing a consumer-like internet experience for crews at sea. Awards Q2 FY2027 Communication Services segment awards decreased 30% YoY to $717 million, reflecting primarily a decline in government satcom as Q2 FY2026 awards were elevated by the $234 million Southern Positioning Augmentation Network (SouthPAN) award. Total backlog for the quarter reached $2.7 billion, an increase of 2% YoY. Growth in FS&amp;O was partially offset by declines in government satcom and maritime. Revenue Q2 FY2027 Communication Services segment revenues were $815 million, a 3% decrease compared to the prior year period, reflecting a 2% decline in segment service revenue and a 16% YoY decline in segment product revenue. Segment service revenue decline reflected decreases in FS&amp;O and maritime service revenues of 23% and 8% YoY, respectively, partially offset by growth in aviation and government satcom of 8% and 4% YoY, respectively. Segment product revenue decreased primarily in FS&amp;O reflecting accelerated GSPS (global satellite phone service) handset deliveries in the prior year period. Commercial aviation ended the quarter with approximately 4,490 active aircraft in service, representing YoY growth of 6%. Business aviation ended the quarter with approximately 2,080 aircraft in service, flat YoY. The number of maritime vessels decreased to approximately 12,600. U.S. fixed broadband ended the quarter with approximately 100,000 subscribers and $111 average revenue per user. Adjusted EBITDA The Communication Services segment reported Q2 FY2027 Adjusted EBITDA of $294 million, a decline of 13% compared to the prior year period. Solid operating performance in aviation and government satcom was more than offset by expected declines in FS&amp;O and maritime service revenues, the sale of our equity investment in Navarino along with higher segment research and development expense incurred in support of our multi-orbit initiatives. Shareholder Letter | Q2 Fiscal Year 2027 4 $1,031 $837 $337 $717 $815 $294 Q2 FY26 Q2 FY27 Awards Revenue Adj. EBITDA $301 $196 $118 $156 $326 $203 $109 $121 Q2 FY26 Q2 FY27 Aviation Govt Satcom Maritime Fixed Services and Other 4.3 2.1 13.7 4.5 2.1 12.9 4.5 2.1 12.6 Q2 FY26 Q1 FY27 Q2 FY27 Commercial Aviation Business Aviation Maritime SERVICE METRICS - KA BAND ONLY End of period aircraft and vessels (000s) SERVICE REVENUE MIX $ in millions AWARDS, REVENUE AND ADJ. EBITDA2 $ in millions Communication Services segment provides a wide range of broadband and narrowband communications solutions across government and commercial mobility, maritime, fixed broadband (residential), energy and enterprise customers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7286625" cy="9429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286625" cy="9429750"/>
                    </a:xfrm>
                    <a:prstGeom prst="rect">
                      <a:avLst/>
                    </a:prstGeom>
                  </pic:spPr>
                </pic:pic>
              </a:graphicData>
            </a:graphic>
          </wp:inline>
        </w:drawing>
      </w:r>
      <w:r>
        <w:t xml:space="preserve"> </w:t>
      </w:r>
    </w:p>
    <w:p>
      <w:pPr>
        <w:pStyle w:val="TextBody"/>
        <w:bidi w:val="0"/>
        <w:jc w:val="left"/>
        <w:rPr>
          <w:rFonts w:ascii="Arial" w:hAnsi="Arial"/>
          <w:color w:val="FFFFFF"/>
          <w:sz w:val="2"/>
        </w:rPr>
      </w:pPr>
      <w:r>
        <w:rPr>
          <w:rFonts w:ascii="Arial" w:hAnsi="Arial"/>
          <w:color w:val="FFFFFF"/>
          <w:sz w:val="2"/>
        </w:rPr>
        <w:t xml:space="preserve">Defense and Advanced Technologies Segment Highlights &gt; Announced signing of agreement between Space42 and Viasat to establish Equatys, creating the first shared space and ground infrastructure platform for global D2D and advanced Mobile Satellite Service (MSS) connectivity. The agreement provides for up to $1 billion in combined equity commitments from Space42 and Viasat as the cofounders of Equatys. Viasat is also expected to be appointed as prime technology contractor. Equatys is expected to offer a foundation for choice and interoperability and provide compelling economic benefits from geographic and spectral efficiencies to participating global, regional, and national space operators using licensed MSS spectrum and/or Supplemental Coverage from Space (SCS) spectrum. &gt; Achieved record information security and cyber defense product revenues of $121 million during the quarter driven by encryption development programs, increased volume of encryption products for Department of War (DoW), and higher MOJO (Move Out/Jump Off) deliveries in support of USMC and USAF program requirements. Additionally, we delivered our first space encryption products supporting cloud providers’ scaling AI infrastructure demand and the rapidly expanding number of LEO satellites delivering Edge-to-Cloud security. &gt; Achieved record tactical networking product revenues of $97 million during the quarter as demand for NATO military defense modernization propelled international growth in TrellisWare and a surge in Ultra High Frequency (UHF) products and Network Control Station (NCS) capabilities. &gt; Subsequent to quarter end, Viasat announced it has advanced the demonstration mission for NASA’s Communication Services Project (CSP) with the successful launch of the Maxwell Spacecraft on October 20th. The launch is a key step towards Viasat’s on-orbit demonstrations showcasing the future of resilient, real-time data relay communications for Low Earth Orbit (LEO) missions via the VS-3 and ELERA (Viasat’s global L-band satellite network) networks. &gt; Subsequent to quarter end, announced signing by Space42 and Viasat of a memorandum of understanding (MoU) with Terrastar Solutions - Strigo, Canada’s only mobile satellite operator, to expand shared satellite infrastructure for global D2D and advanced MSS. Under the MoU, the parties will develop an open, standardsbased interoperability framework connecting Terrastar’s planned Canadian LEO constellation, CaStar, with Equatys. Awards Defense and Advanced Technologies Q2 FY2027 segment awards decreased 10% YoY to $421 million. Declines in AT&amp;O and information security and cyber defense were partially offset by strong growth in space and mission systems of 72% YoY. Q2 FY2027 backlog reached a record $1.4 billion, an increase of 20% YoY and 3% sequentially, with a book-tobill ratio of 1.2x. Revenue Q2 FY2027 segment revenue increased 20% YoY to $365 million, driven by a 20% increase in segment product revenue and a 21% increase in segment service revenue. Strong growth was driven by tactical networking products and information security and cyber defense. Tactical networking product revenue grew 31% YoY, fueled by tactical communications and TrellisWare product sales to international customers. Information security and cyber defense product revenue grew 27% YoY, driven by new encryption development programs and space encryption products, and higher MOJO (Move Out/ Jump Off) deliveries. Space and mission systems product revenue increased 4% YoY driven primarily by initial design activity in the PTS-G (Protected Tactical SATCOM Global) program and other payload and mission operations platforms. Adjusted EBITDA Q2 FY2027 segment Adjusted EBITDA increased 57% YoY to $76 million. Strong operating performance in tactical networking and space and mission systems from higher revenue flow-through was partially offset by higher research and development expense to support growth in space and mission systems. Shareholder Letter | Q2 Fiscal Year 2027 5 $467 $304 $48 $421 $365 $76 Q2 FY26 Q2 FY27 Awards Revenue Adj. EBITDA $95 $78 $74 $5 $121 $81 $97 $4 Q2 FY26 Q2 FY27 InfoSec and Cyber Defense Space and Mission Systems Tactical Networking Adv Tech and Other BACKLOG AND SOLE SOURCE UNAWARDED IDIQ $ in millions $1,209 $2,702 $1,448 $2,669 Q2 FY26 Q2 FY27 Backlog Sole Source Unawarded IDIQ PRODUCT REVENUE MIX $ in millions AWARDS, REVENUE, AND ADJ. EBITDA2 $ in millions Defense and Advanced Technologies segment provides a diverse set of resilient, vertically integrated solutions, leveraging core technical competencies in encryption, cyber security, tactical gateways, modems and waveforms, to government and commercial customers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7286625" cy="9429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286625" cy="9429750"/>
                    </a:xfrm>
                    <a:prstGeom prst="rect">
                      <a:avLst/>
                    </a:prstGeom>
                  </pic:spPr>
                </pic:pic>
              </a:graphicData>
            </a:graphic>
          </wp:inline>
        </w:drawing>
      </w:r>
      <w:r>
        <w:t xml:space="preserve"> </w:t>
      </w:r>
    </w:p>
    <w:p>
      <w:pPr>
        <w:pStyle w:val="TextBody"/>
        <w:bidi w:val="0"/>
        <w:jc w:val="left"/>
        <w:rPr>
          <w:rFonts w:ascii="Arial" w:hAnsi="Arial"/>
          <w:color w:val="FFFFFF"/>
          <w:sz w:val="2"/>
        </w:rPr>
      </w:pPr>
      <w:r>
        <w:rPr>
          <w:rFonts w:ascii="Arial" w:hAnsi="Arial"/>
          <w:color w:val="FFFFFF"/>
          <w:sz w:val="2"/>
        </w:rPr>
        <w:t xml:space="preserve">Balance Sheet, Cash Flows and Liquidity Operating Cash Flow During the quarter, Viasat generated $285 million in operating cash flow. This represents a YoY increase of $3 million and a sequential decrease of $6 million excluding cash taxes paid on the gain from the sale of our equity investment in Navarino in Q1 FY2027. The YoY increase was driven primarily by lower cash tax payments and reduced interest payments, reflecting lower debt levels as the company continued to make progress on deleveraging, partially offset by lower accounts payable. The sequential increase excluding non-recurring items primarily reflects lower cash tax payments and higher accrued liabilities partially offset by unfavorable timing of interest payments. Capital Expenditures Capital expenditures for Q2 FY2027 decreased 3% YoY to $207 million, primarily reflecting lower satellite expenditures related to the timing of certain space and ground infrastructure payments. Free Cash Flow3, Net Debt4 and Liquidity During the quarter, Viasat generated $78 million in free cash flow, an increase of 14% YoY. This represents an increase of $10 million compared to the prior year period, driven by an increase in operating cash flow and a decrease in capital expenditures. For the twelve months ended September 30, 2026, Viasat generated $198 million in free cash flow, excluding non-recurring items (the $420 million proceeds from the Ligado lump sum payment and the cash taxes paid on the gain from the sale of our equity investment in Navarino). Viasat ended Q2 FY2027 with $2.9 billion in available liquidity, consisting of $1.76 billion in cash and cash equivalents and $1.15 billion of borrowing capacity across our two undrawn revolving credit facilities. Net debt declined approximately $700 million to $4.8 billion from the prior year period, reflecting a meaningful YoY improvement in our net leverage ratio5 of 0.3x. Shareholder Letter | Q2 Fiscal Year 2027 6 OPERATING CASH FLOW $ in millions $282 $307 $322 $291 $285 $420 Q2 FY26 Q3 FY26 Q4 FY26 Q1 FY27 Q2 FY27 CAPITAL EXPENDITURES $ in millions $214 $283 $298 $219 $207 Q2 FY26 Q3 FY26 Q4 FY26 Q1 FY27 Q2 FY27 NET DEBT4 AND NET LEVERAGE RATIO5 $ in billions FREE CASH FLOW3 $ in millions $69 $78 Q2 FY26 Q3 FY26 Q4 FY26 Q1 FY27 Q2 FY27 $727 $420 Non-recurring items Excluding non-recurring items ($30) $261 $42 ($30) $24 $72 $444 $5.5 $5.1 $4.8 3.5 $4.8 $4.8 3.3 3.1 3.2 3.2 Net Debt Net Leverage Ratio Q2 FY26 Q3 FY26 Q4 FY26 Q1 FY27 Q2 FY27 $24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7395210" cy="9601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395210" cy="9601200"/>
                    </a:xfrm>
                    <a:prstGeom prst="rect">
                      <a:avLst/>
                    </a:prstGeom>
                  </pic:spPr>
                </pic:pic>
              </a:graphicData>
            </a:graphic>
          </wp:inline>
        </w:drawing>
      </w:r>
      <w:r>
        <w:t xml:space="preserve"> </w:t>
      </w:r>
    </w:p>
    <w:p>
      <w:pPr>
        <w:pStyle w:val="TextBody"/>
        <w:bidi w:val="0"/>
        <w:jc w:val="left"/>
        <w:rPr>
          <w:rFonts w:ascii="Arial" w:hAnsi="Arial"/>
          <w:color w:val="FFFFFF"/>
          <w:sz w:val="2"/>
        </w:rPr>
      </w:pPr>
      <w:r>
        <w:rPr>
          <w:rFonts w:ascii="Arial" w:hAnsi="Arial"/>
          <w:color w:val="FFFFFF"/>
          <w:sz w:val="2"/>
        </w:rPr>
        <w:t xml:space="preserve">Outlook As we look ahead, we remain encouraged by the trends we are seeing across our portfolio. The first half of fiscal year 2027 unfolded largely consistent with our expectations, including stronger-than-anticipated momentum in Defense and Advanced Technologies offsetting greater pressure in portions of Communication Services. Importantly, we believe the underlying drivers of our strategy are becoming increasingly visible in our results. The combination of growing demand for resilient communications, secure networking, cybersecurity, mission systems, and space-enabled infrastructure continues to expand our opportunity set across both government and commercial markets. We continue to expect a stronger second half of the fiscal year supported by our backlog, recent contract awards, expanding pipeline, and the ongoing integration of new capabilities across our portfolio. Momentum in Defense and Advanced Technologies remains particularly encouraging. Record segment backlog and strong award activity provide further evidence that our technology investments are aligned with evolving customer priorities. Revenue and Adjusted EBITDA: We continue to expect mid-single-digit YoY revenue growth in FY2027 and now anticipate Adjusted EBITDA to be about flat YoY, with stronger growth in second half of the fiscal year supported by our backlog, new orders, and ongoing pipeline. Communication Services Segment: We now expect FY2027 segment revenue to be flattish, driven by continued growth in aviation services, offset by a decline in FS&amp;O. Defense and Advanced Technologies Segment: We now expect FY2027 segment revenue growth in the mid-to-high teens YoY, driven primarily by strong growth in information security and cyber defense, as well as tactical networking and space and mission systems. Net Debt: We expect net leverage ratio to decrease slightly by the end of FY2027. Capital Expenditures: We now expect FY2027 capital expenditures of between $850 million and $900 million, including approximately $250 to $300 million for Inmarsat related capital expenditures. Operating and Free Cash Flow: For FY2027, we continue to expect operating cash flow to be flat YoY with free cash flow generated now expected to improve to more than $225 million. Our free cash flow guidance excludes the benefit of the Ligado lump sum payments in both periods, as they are non-recurring. Competition is increasing in certain parts of our portfolio, and we expect market dynamics to continue evolving. However, we believe those challenges are more than balanced by the opportunities created through growing government demand, increasing convergence between commercial and national security markets, expansion of multi-orbit architectures, and new applications enabled by our spectrum access, satellite, networking, and cybersecurity assets. We believe Viasat is uniquely positioned at the intersection of these trends. Looking beyond fiscal year 2027, we believe the investments we have made over the past several years are creating a stronger foundation for growth, cash generation, and value creation. Our priorities remain clear: drive growth in attractive markets, monetize our strategic assets, improve capital efficiency, maintain financial discipline, and create sustainable long-term value for our shareholders. Thank you for your continued confidence, partnership, and support. Shareholder Letter | Q2 Fiscal Year 2027 7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7286625" cy="9429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286625" cy="9429750"/>
                    </a:xfrm>
                    <a:prstGeom prst="rect">
                      <a:avLst/>
                    </a:prstGeom>
                  </pic:spPr>
                </pic:pic>
              </a:graphicData>
            </a:graphic>
          </wp:inline>
        </w:drawing>
      </w:r>
      <w:r>
        <w:t xml:space="preserve"> </w:t>
      </w:r>
    </w:p>
    <w:p>
      <w:pPr>
        <w:pStyle w:val="TextBody"/>
        <w:bidi w:val="0"/>
        <w:jc w:val="left"/>
        <w:rPr>
          <w:rFonts w:ascii="Arial" w:hAnsi="Arial"/>
          <w:color w:val="FFFFFF"/>
          <w:sz w:val="2"/>
        </w:rPr>
      </w:pPr>
      <w:r>
        <w:rPr>
          <w:rFonts w:ascii="Arial" w:hAnsi="Arial"/>
          <w:color w:val="FFFFFF"/>
          <w:sz w:val="2"/>
        </w:rPr>
        <w:t xml:space="preserve">Endnotes 1. Net income (loss) as used herein is defined as net income (loss) attributable to Viasat, Inc. common stockholders. 2. Adjusted EBITDA is defined as net income (loss) attributable to Viasat, Inc. before interest, income taxes, depreciation and amortization, as further adjusted to exclude certain non-cash items and non-recurring expenses such as stock-based compensation expense, acquisition and transaction related expenses, loss or gain on disposition of certain assets and/or related businesses, product lines or other similar investments, loss or gain on debt extinguishment, non-recurring impairment of satellites and networking assets, and loss or gain on unrealized foreign currency. A reconciliation of Adjusted EBITDA to its closest GAAP equivalent is provided at the end of this letter under “Non- GAAP Financial Reconciliation.” See “Use of Non-GAAP Financial Information” for additional information. 3. Free cash flow is defined as net cash provided by (used in) operating activities less capital expenditures (purchase of property, equipment and satellites, and other assets). A reconciliation of free cash flow to its closest GAAP equivalent is provided at the end of this letter under “Non-GAAP Financial Reconciliation.” See “Use of Non-GAAP Financial Information” for additional financial information. 4. Net debt is defined as total debt less cash and cash equivalents and short-term investments. A reconciliation of net debt to its closest GAAP equivalent is provided at the end of this letter under “Non-GAAP Financial Reconciliation.” See “Use of Non-GAAP Financial Information” for additional financial information. 5. Net leverage ratio is defined as the ratio of net debt to LTM Adjusted EBITDA. A reconciliation of net leverage ratio to its closest GAAP equivalent is provided at the end of this letter under “Non-GAAP Financial Reconciliation.” See “Use of Non-GAAP Financial Information” for additional financial information. 6. Non-GAAP net income (loss) attributable to Viasat, Inc. excludes the effects of amortization of acquired intangible assets, stock-based compensation expense, acquisition and transaction related expenses, loss or gain on disposition of certain assets and/or related businesses, product lines or other similar investments, loss or gain on debt extinguishment, non-recurring impairment of satellites and networking assets, loss or gain on unrealized foreign currency and income tax effect. Shareholder Letter | Q2 Fiscal Year 2027 8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7286625" cy="9429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286625" cy="9429750"/>
                    </a:xfrm>
                    <a:prstGeom prst="rect">
                      <a:avLst/>
                    </a:prstGeom>
                  </pic:spPr>
                </pic:pic>
              </a:graphicData>
            </a:graphic>
          </wp:inline>
        </w:drawing>
      </w:r>
      <w:r>
        <w:t xml:space="preserve"> </w:t>
      </w:r>
    </w:p>
    <w:p>
      <w:pPr>
        <w:pStyle w:val="TextBody"/>
        <w:bidi w:val="0"/>
        <w:jc w:val="left"/>
        <w:rPr>
          <w:rFonts w:ascii="Arial" w:hAnsi="Arial"/>
          <w:color w:val="FFFFFF"/>
          <w:sz w:val="2"/>
        </w:rPr>
      </w:pPr>
      <w:r>
        <w:rPr>
          <w:rFonts w:ascii="Arial" w:hAnsi="Arial"/>
          <w:color w:val="FFFFFF"/>
          <w:sz w:val="2"/>
        </w:rPr>
        <w:t xml:space="preserve">Forward-Looking Statements This shareholder letter contains forward-looking statements regarding future events and our future results that are subject to the safe harbors created under the Securities Act of 1933 and the Securities Exchange Act of 1934. Forward-looking statements include, among others, statements regarding projections of earnings, revenue, awards, backlog, Adjusted EBITDA, net leverage, net debt, operating cash flow, free cash flow, capital expenditures, investments, costs, return on capital or other financial items, including financial guidance and outlook and expectations for performance and results of operations in FY2027 and beyond; anticipated trends in our business or key markets; growth opportunities and the acceleration and durability of growth in our businesses, including potential space technology awards and growth in our multi-orbit aviation service and L- and S-Band MSS offerings; statements regarding Equatys, including our role as prime technology contractor and our expected funding commitments; ability to successfully compete in our target markets, and durability or strengthening of competitive advantages; building shareholder value and strategic initiatives, including with respect to reductions in capital intensity and debt; the construction, completion, testing, launch, commencement of service, expected performance and benefits of satellites and satellite payloads (including satellites planned or under construction) and the timing thereof; the expected capacity, coverage, service speeds and other features of our satellites, and the cost, economics and benefits associated therewith; anticipated subscriber growth; development, introduction and integration of multi-orbit capabilities and terminals; the ability to capitalize on backlog and awards received and unawarded IDIQ contract vehicles; future economic conditions; the development, customer acceptance and anticipated performance of our technologies, products or services, including offerings on our VS-3 satellites; our plans, objectives and strategies for future operations; our ability to drive capital efficiency and improve resource utilization; the number of additional aircraft or vessels anticipated to be put into service with our connectivity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any existing or future satellite; unexpected expenses related to our satellite projects; risks associated with the construction, launch and operation of satellites, including the effect of any anomaly, launch, operational or deployment failure or degradation in satellite performance; capacity constraints in our business in the lead-up to the launch of services on new satellites; increasing levels of competition in our target markets; our ability to successfully implement our business plan on our anticipated timeline or at all, including our ability to secure awards in our DAT segment at the levels we project; our ability to successfully develop, introduce and sell new technologies, products and services; audits by the U.S. Government; changes in the global business environment and economic conditions (including U.S. Government shutdowns);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any dispute with Ligado regarding the terms of the Ligado settlement; and our dependence on a limited number of key employees. In addition, please refer to the risk factors contained in our SEC filings available at www.sec.gov, including our most recent Annual Report on Form 10-K and Quarterly Reports on Form 10-Q. Readers are cautioned not to place undue reliance on any forward-looking statements, which speak only as of the date on which they are made. We undertake no obligation to revise or update any forward-looking statements for any reason. Shareholder Letter | Q2 Fiscal Year 2027 9 </w:t>
      </w:r>
      <w:r>
        <w:br w:type="page"/>
      </w:r>
    </w:p>
    <w:p>
      <w:pPr>
        <w:pStyle w:val="HorizontalLine"/>
        <w:pBdr>
          <w:bottom w:val="double" w:sz="6" w:space="0" w:color="808080"/>
        </w:pBdr>
        <w:bidi w:val="0"/>
        <w:jc w:val="left"/>
      </w:pPr>
      <w:r/>
    </w:p>
    <w:p>
      <w:pPr>
        <w:pStyle w:val="TextBody"/>
        <w:bidi w:val="0"/>
        <w:spacing w:before="0" w:after="0"/>
        <w:jc w:val="center"/>
      </w:pPr>
      <w:r>
        <w:drawing>
          <wp:inline distT="0" distB="0" distL="0" distR="0">
            <wp:extent cx="7286625" cy="94297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286625" cy="9429750"/>
                    </a:xfrm>
                    <a:prstGeom prst="rect">
                      <a:avLst/>
                    </a:prstGeom>
                  </pic:spPr>
                </pic:pic>
              </a:graphicData>
            </a:graphic>
          </wp:inline>
        </w:drawing>
      </w:r>
      <w:r>
        <w:t xml:space="preserve"> </w:t>
      </w:r>
    </w:p>
    <w:p>
      <w:pPr>
        <w:pStyle w:val="TextBody"/>
        <w:bidi w:val="0"/>
        <w:jc w:val="left"/>
        <w:rPr>
          <w:rFonts w:ascii="Arial" w:hAnsi="Arial"/>
          <w:color w:val="FFFFFF"/>
          <w:sz w:val="2"/>
        </w:rPr>
      </w:pPr>
      <w:r>
        <w:rPr>
          <w:rFonts w:ascii="Arial" w:hAnsi="Arial"/>
          <w:color w:val="FFFFFF"/>
          <w:sz w:val="2"/>
        </w:rPr>
        <w:t xml:space="preserve">Use of Non-GAAP Financial Information To supplement Viasat’s consolidated financial statements presented in accordance with generally accepted accounting principles (GAAP), Viasat uses non-GAAP net income (loss) attributable to Viasat, Inc., Adjusted EBITDA, net debt, net leverage ratio, and free cash flow, measures Viasat believes are appropriate to enhance an overall understanding of Viasat’s past financial performance and prospects for the future. We believe non-GAAP net income (loss) attributable to Viasat, Inc. and Adjusted EBITDA provide useful information to both management and investors by excluding specific expenses that we believe are not indicative of our core operating results. We believe net debt and net leverage ratio provide useful information to both management and investors in order to monitor our leverage (including our ability to service our debt and make capital expenditures) and evaluate our consolidated balance sheet. A limitation associated with using net debt is that it subtracts cash and therefore may imply there is less debt than the most comparable GAAP measure. We believe free cash flow is an important liquidity metric because it measures, during a given period, the amount of cash generated that is available to repay debt obligations, make investments, fund acquisitions and for certain other activities. Free cash flow can vary significantly from period to period depending upon, among other things, operating asset and liability balances, service and product revenues, operating efficiencies, increases or decreases in purchases of property and equipment, subscriber additions (losses), subscriber churn, and other factors. In addition, since we have historically reported non-GAAP results to the investment community, we believe the inclusion of non-GAAP numbers provides consistency in our financial reporting and facilitates comparisons to Viasat’s historical operating results. Further, these non-GAAP results are among the primary indicators that management uses as a basis for evaluating the operating performance of our segments, allocating resources to such segments, planning and forecasting in future periods. The presentation of this additional information is not meant to be considered in isolation or as a substitute for measures of financial performance prepared in accordance with GAAP. A reconciliation of specific adjustments to GAAP results is provided in the tables below under “Non-GAAP Financial Reconciliation.” Copyright © 2026 Viasat, Inc. All rights reserved. Viasat, the Viasat logo and the Viasat signal are registered trademarks of Viasat, Inc. All other product or company names mentioned are used for identification purposes only and may be trademarks of their respective owners. Shareholder Letter | Q2 Fiscal Year 2027 10 </w:t>
      </w:r>
      <w:r>
        <w:br w:type="page"/>
      </w:r>
    </w:p>
    <w:p>
      <w:pPr>
        <w:pStyle w:val="HorizontalLine"/>
        <w:pBdr>
          <w:bottom w:val="double" w:sz="6" w:space="0" w:color="808080"/>
        </w:pBdr>
        <w:bidi w:val="0"/>
        <w:jc w:val="left"/>
      </w:pPr>
      <w:r/>
    </w:p>
    <w:p>
      <w:pPr>
        <w:pStyle w:val="TextBody"/>
        <w:bidi w:val="0"/>
        <w:spacing w:before="0" w:after="0"/>
        <w:jc w:val="left"/>
        <w:rPr>
          <w:rFonts w:ascii="Arial" w:hAnsi="Arial"/>
          <w:sz w:val="40"/>
        </w:rPr>
      </w:pPr>
      <w:r>
        <w:rPr>
          <w:rFonts w:ascii="Arial" w:hAnsi="Arial"/>
          <w:sz w:val="40"/>
        </w:rPr>
        <w:t xml:space="preserve">Second Quarter Fiscal Year 2027 Results </w:t>
      </w:r>
    </w:p>
    <w:p>
      <w:pPr>
        <w:pStyle w:val="TextBody"/>
        <w:bidi w:val="0"/>
        <w:spacing w:before="240" w:after="0"/>
        <w:jc w:val="left"/>
        <w:rPr>
          <w:rFonts w:ascii="Arial" w:hAnsi="Arial"/>
          <w:b/>
          <w:sz w:val="20"/>
        </w:rPr>
      </w:pPr>
      <w:r>
        <w:rPr>
          <w:rFonts w:ascii="Arial" w:hAnsi="Arial"/>
          <w:b/>
          <w:sz w:val="20"/>
        </w:rPr>
        <w:t xml:space="preserve">Financial Results </w:t>
      </w:r>
    </w:p>
    <w:p>
      <w:pPr>
        <w:pStyle w:val="TextBody"/>
        <w:bidi w:val="0"/>
        <w:spacing w:before="0" w:after="0"/>
        <w:jc w:val="left"/>
      </w:pPr>
      <w:r>
        <w:t> </w:t>
      </w:r>
    </w:p>
    <w:tbl>
      <w:tblPr>
        <w:tblW w:w="10985" w:type="dxa"/>
        <w:jc w:val="center"/>
        <w:tblInd w:w="0" w:type="dxa"/>
        <w:tblLayout w:type="fixed"/>
        <w:tblCellMar>
          <w:top w:w="0" w:type="dxa"/>
          <w:left w:w="0" w:type="dxa"/>
          <w:bottom w:w="0" w:type="dxa"/>
          <w:right w:w="0" w:type="dxa"/>
        </w:tblCellMar>
      </w:tblPr>
      <w:tblGrid>
        <w:gridCol w:w="1685"/>
        <w:gridCol w:w="60"/>
        <w:gridCol w:w="60"/>
        <w:gridCol w:w="890"/>
        <w:gridCol w:w="60"/>
        <w:gridCol w:w="60"/>
        <w:gridCol w:w="60"/>
        <w:gridCol w:w="890"/>
        <w:gridCol w:w="60"/>
        <w:gridCol w:w="60"/>
        <w:gridCol w:w="60"/>
        <w:gridCol w:w="1700"/>
        <w:gridCol w:w="60"/>
        <w:gridCol w:w="60"/>
        <w:gridCol w:w="60"/>
        <w:gridCol w:w="1520"/>
        <w:gridCol w:w="60"/>
        <w:gridCol w:w="60"/>
        <w:gridCol w:w="60"/>
        <w:gridCol w:w="1520"/>
        <w:gridCol w:w="60"/>
        <w:gridCol w:w="60"/>
        <w:gridCol w:w="60"/>
        <w:gridCol w:w="1700"/>
        <w:gridCol w:w="60"/>
      </w:tblGrid>
      <w:tr>
        <w:tc>
          <w:tcPr>
            <w:tcW w:w="1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c>
          <w:tcPr>
            <w:tcW w:w="1685" w:type="dxa"/>
            <w:tcBorders>
              <w:top w:val="single" w:sz="2" w:space="0" w:color="000000"/>
              <w:left w:val="single" w:sz="2" w:space="0" w:color="000000"/>
            </w:tcBorders>
            <w:shd w:fill="D9D9D9" w:val="clear"/>
            <w:tcMar>
              <w:top w:w="28" w:type="dxa"/>
              <w:left w:w="160" w:type="dxa"/>
            </w:tcMar>
            <w:vAlign w:val="center"/>
          </w:tcPr>
          <w:p>
            <w:pPr>
              <w:pStyle w:val="TableContents"/>
              <w:bidi w:val="0"/>
              <w:spacing w:before="0" w:after="0"/>
              <w:jc w:val="left"/>
              <w:rPr>
                <w:rFonts w:ascii="Arial" w:hAnsi="Arial"/>
                <w:sz w:val="22"/>
              </w:rPr>
            </w:pPr>
            <w:r>
              <w:rPr>
                <w:rFonts w:ascii="Arial" w:hAnsi="Arial"/>
                <w:sz w:val="22"/>
              </w:rPr>
              <w:t>(Unaudited)</w:t>
            </w:r>
          </w:p>
          <w:p>
            <w:pPr>
              <w:pStyle w:val="TableContents"/>
              <w:bidi w:val="0"/>
              <w:spacing w:before="0" w:after="20"/>
              <w:jc w:val="left"/>
              <w:rPr>
                <w:rFonts w:ascii="Arial" w:hAnsi="Arial"/>
                <w:sz w:val="22"/>
              </w:rPr>
            </w:pPr>
            <w:r>
              <w:rPr>
                <w:rFonts w:ascii="Arial" w:hAnsi="Arial"/>
                <w:sz w:val="22"/>
              </w:rPr>
              <w:t>(In millions, except per</w:t>
              <w:br/>
              <w:t>share data)</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950" w:type="dxa"/>
            <w:gridSpan w:val="2"/>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Q2FY27</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950" w:type="dxa"/>
            <w:gridSpan w:val="2"/>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Q2FY26</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1760" w:type="dxa"/>
            <w:gridSpan w:val="2"/>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Year-Over-Year</w:t>
              <w:br/>
              <w:t>Change</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1580" w:type="dxa"/>
            <w:gridSpan w:val="2"/>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First 6 Months</w:t>
              <w:br/>
              <w:t>FY27</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1580" w:type="dxa"/>
            <w:gridSpan w:val="2"/>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First 6 Months</w:t>
              <w:br/>
              <w:t>FY26</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1760" w:type="dxa"/>
            <w:gridSpan w:val="2"/>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Year-Over-Year</w:t>
              <w:br/>
              <w:t>Change</w:t>
            </w:r>
          </w:p>
        </w:tc>
        <w:tc>
          <w:tcPr>
            <w:tcW w:w="60" w:type="dxa"/>
            <w:tcBorders>
              <w:top w:val="single" w:sz="2" w:space="0" w:color="000000"/>
              <w:bottom w:val="single" w:sz="2" w:space="0" w:color="000000"/>
              <w:right w:val="single" w:sz="2" w:space="0" w:color="000000"/>
            </w:tcBorders>
            <w:shd w:fill="D9D9D9" w:val="clear"/>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Revenues</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$1,180.0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$1,140.9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3%</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$2,336.5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$2,311.9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Net income (loss) (1)</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($128.7)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($61.4)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109%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($180.4)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($117.9)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53%</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Non-GAAP net income (loss) (1), (6)</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($44.9)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$12.6</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 </w:t>
            </w:r>
            <w:r>
              <w:t>*</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($20.4)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$35.7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Adjusted EBITDA (7)</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$369.9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$384.7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$751.1</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$793.2</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(5)%</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Diluted per share net income (loss) (1)</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($0.93)</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($0.45)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107%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($1.31)</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($0.88)</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49%</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Non-GAAP diluted per share net income (loss) (1), (2)</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($0.32)</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$0.09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 </w:t>
            </w:r>
            <w:r>
              <w:t>*</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($0.15)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$0.26</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Fully diluted weighted average shares (2)</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138.6</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135.1</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3%</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137.9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133.4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3%</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shd w:fill="D9D9D9" w:val="clear"/>
            <w:tcMar>
              <w:top w:w="28" w:type="dxa"/>
              <w:left w:w="160" w:type="dxa"/>
            </w:tcMar>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New contract awards (3)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$1,137.8</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$1,497.7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(24)%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$2,435.9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$2,680.5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(9)%</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Backlog (4)</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$4,166.4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$3,886.4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$4,166.4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$3,886.4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7%</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0925" w:type="dxa"/>
            <w:gridSpan w:val="24"/>
            <w:tcBorders>
              <w:top w:val="single" w:sz="2" w:space="0" w:color="000000"/>
              <w:bottom w:val="single" w:sz="2" w:space="0" w:color="000000"/>
            </w:tcBorders>
            <w:tcMar>
              <w:top w:w="28" w:type="dxa"/>
              <w:bottom w:w="28" w:type="dxa"/>
            </w:tcMar>
          </w:tcPr>
          <w:p>
            <w:pPr>
              <w:pStyle w:val="TableContents"/>
              <w:bidi w:val="0"/>
              <w:spacing w:before="0" w:after="0"/>
              <w:jc w:val="left"/>
              <w:rPr>
                <w:rFonts w:ascii="Arial" w:hAnsi="Arial"/>
                <w:b/>
                <w:sz w:val="20"/>
              </w:rPr>
            </w:pPr>
            <w:r>
              <w:rPr>
                <w:rFonts w:ascii="Arial" w:hAnsi="Arial"/>
                <w:b/>
                <w:sz w:val="20"/>
              </w:rPr>
              <w:t>Segment Results</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0"/>
              <w:jc w:val="left"/>
            </w:pPr>
            <w:r>
              <w:t> </w:t>
            </w:r>
          </w:p>
        </w:tc>
      </w:tr>
      <w:tr>
        <w:tc>
          <w:tcPr>
            <w:tcW w:w="1685" w:type="dxa"/>
            <w:tcBorders>
              <w:left w:val="single" w:sz="2" w:space="0" w:color="000000"/>
            </w:tcBorders>
            <w:shd w:fill="D9D9D9" w:val="clear"/>
            <w:tcMar>
              <w:left w:w="160" w:type="dxa"/>
            </w:tcMar>
            <w:vAlign w:val="center"/>
          </w:tcPr>
          <w:p>
            <w:pPr>
              <w:pStyle w:val="TableContents"/>
              <w:bidi w:val="0"/>
              <w:spacing w:before="0" w:after="0"/>
              <w:jc w:val="left"/>
              <w:rPr>
                <w:rFonts w:ascii="Arial" w:hAnsi="Arial"/>
                <w:sz w:val="22"/>
              </w:rPr>
            </w:pPr>
            <w:r>
              <w:rPr>
                <w:rFonts w:ascii="Arial" w:hAnsi="Arial"/>
                <w:sz w:val="22"/>
              </w:rPr>
              <w:t>(Unaudited)</w:t>
            </w:r>
          </w:p>
          <w:p>
            <w:pPr>
              <w:pStyle w:val="TableContents"/>
              <w:bidi w:val="0"/>
              <w:spacing w:before="0" w:after="20"/>
              <w:jc w:val="left"/>
              <w:rPr>
                <w:rFonts w:ascii="Arial" w:hAnsi="Arial"/>
                <w:sz w:val="22"/>
              </w:rPr>
            </w:pPr>
            <w:r>
              <w:rPr>
                <w:rFonts w:ascii="Arial" w:hAnsi="Arial"/>
                <w:sz w:val="22"/>
              </w:rPr>
              <w:t>(In millions)</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left"/>
            </w:pPr>
            <w:r>
              <w:t> </w:t>
            </w:r>
          </w:p>
        </w:tc>
        <w:tc>
          <w:tcPr>
            <w:tcW w:w="890"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Q2FY27</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left"/>
            </w:pPr>
            <w:r>
              <w:t> </w:t>
            </w:r>
          </w:p>
        </w:tc>
        <w:tc>
          <w:tcPr>
            <w:tcW w:w="890"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Q2FY26</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left"/>
            </w:pPr>
            <w:r>
              <w:t> </w:t>
            </w:r>
          </w:p>
        </w:tc>
        <w:tc>
          <w:tcPr>
            <w:tcW w:w="1700"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Year-Over-Year</w:t>
              <w:br/>
              <w:t>Change</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283"/>
              <w:jc w:val="left"/>
            </w:pPr>
            <w:r>
              <w:t> </w:t>
            </w:r>
            <w:r>
              <w:rPr>
                <w:b/>
              </w:rPr>
              <w:b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left"/>
            </w:pPr>
            <w:r>
              <w:t> </w:t>
            </w:r>
          </w:p>
        </w:tc>
        <w:tc>
          <w:tcPr>
            <w:tcW w:w="1520"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First 6 Months</w:t>
              <w:br/>
              <w:t>FY27</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283"/>
              <w:jc w:val="left"/>
              <w:rPr>
                <w:b/>
              </w:rPr>
            </w:pPr>
            <w:r>
              <w:rPr>
                <w:b/>
              </w:rPr>
              <w:b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left"/>
            </w:pPr>
            <w:r>
              <w:t> </w:t>
            </w:r>
          </w:p>
        </w:tc>
        <w:tc>
          <w:tcPr>
            <w:tcW w:w="1520"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First 6 Months</w:t>
              <w:br/>
              <w:t>FY26</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283"/>
              <w:jc w:val="left"/>
              <w:rPr>
                <w:b/>
              </w:rPr>
            </w:pPr>
            <w:r>
              <w:rPr>
                <w:b/>
              </w:rPr>
              <w:b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left"/>
            </w:pPr>
            <w:r>
              <w:t> </w:t>
            </w:r>
          </w:p>
        </w:tc>
        <w:tc>
          <w:tcPr>
            <w:tcW w:w="1700"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Year-Over-Year</w:t>
              <w:br/>
              <w:t>Change</w:t>
            </w:r>
          </w:p>
        </w:tc>
        <w:tc>
          <w:tcPr>
            <w:tcW w:w="60" w:type="dxa"/>
            <w:tcBorders>
              <w:top w:val="single" w:sz="2" w:space="0" w:color="000000"/>
              <w:bottom w:val="single" w:sz="2" w:space="0" w:color="000000"/>
              <w:right w:val="single" w:sz="2" w:space="0" w:color="000000"/>
            </w:tcBorders>
            <w:shd w:fill="D9D9D9" w:val="clear"/>
            <w:tcMar>
              <w:top w:w="28" w:type="dxa"/>
              <w:bottom w:w="28" w:type="dxa"/>
              <w:right w:w="40" w:type="dxa"/>
            </w:tcMar>
            <w:vAlign w:val="center"/>
          </w:tcPr>
          <w:p>
            <w:pPr>
              <w:pStyle w:val="TableContents"/>
              <w:bidi w:val="0"/>
              <w:spacing w:before="0" w:after="283"/>
              <w:jc w:val="left"/>
            </w:pPr>
            <w:r>
              <w:t> </w:t>
            </w:r>
            <w:r>
              <w:rPr>
                <w:b/>
              </w:rPr>
              <w:br/>
              <w:t> </w:t>
            </w:r>
          </w:p>
        </w:tc>
      </w:tr>
      <w:tr>
        <w:tc>
          <w:tcPr>
            <w:tcW w:w="1685" w:type="dxa"/>
            <w:tcBorders>
              <w:top w:val="single" w:sz="2" w:space="0" w:color="000000"/>
              <w:left w:val="single" w:sz="2" w:space="0" w:color="000000"/>
            </w:tcBorders>
            <w:tcMar>
              <w:top w:w="28" w:type="dxa"/>
              <w:left w:w="160" w:type="dxa"/>
            </w:tcMar>
            <w:vAlign w:val="bottom"/>
          </w:tcPr>
          <w:p>
            <w:pPr>
              <w:pStyle w:val="TableContents"/>
              <w:bidi w:val="0"/>
              <w:spacing w:before="0" w:after="0"/>
              <w:jc w:val="left"/>
              <w:rPr>
                <w:rFonts w:ascii="Arial" w:hAnsi="Arial"/>
                <w:b/>
                <w:sz w:val="22"/>
              </w:rPr>
            </w:pPr>
            <w:r>
              <w:rPr>
                <w:rFonts w:ascii="Arial" w:hAnsi="Arial"/>
                <w:b/>
                <w:sz w:val="22"/>
              </w:rPr>
              <w:t>Communication Services</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New contract awards (3)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$716.7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$1,031.0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(30)%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$1,490.8</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$1,785.4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(17)%</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Revenues</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$814.5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$836.7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(3)%</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$1,639.6</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$1,664.0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Operating profit (loss) (5)</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$23.5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$71.4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(67)%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$86.0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$112.3</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(23)%</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Adjusted EBITDA (8)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$294.1</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$336.5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(13)%</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$605.4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$658.0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(8)%</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shd w:fill="D9D9D9" w:val="clear"/>
            <w:tcMar>
              <w:top w:w="28" w:type="dxa"/>
              <w:left w:w="160" w:type="dxa"/>
            </w:tcMar>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vAlign w:val="bottom"/>
          </w:tcPr>
          <w:p>
            <w:pPr>
              <w:pStyle w:val="TableContents"/>
              <w:bidi w:val="0"/>
              <w:spacing w:before="0" w:after="0"/>
              <w:jc w:val="left"/>
              <w:rPr>
                <w:rFonts w:ascii="Arial" w:hAnsi="Arial"/>
                <w:b/>
                <w:sz w:val="22"/>
              </w:rPr>
            </w:pPr>
            <w:r>
              <w:rPr>
                <w:rFonts w:ascii="Arial" w:hAnsi="Arial"/>
                <w:b/>
                <w:sz w:val="22"/>
              </w:rPr>
              <w:t>Defense and Advanced Technologies</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New contract awards (3)</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$421.2</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$466.8</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$945.1</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$895.0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6%</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Revenues</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$365.5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$304.2</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20%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$696.9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$647.9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8%</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Operating profit (loss) (5)</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$48.6</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$29.5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65%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$98.5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$101.0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(2)%</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r>
        <w:tc>
          <w:tcPr>
            <w:tcW w:w="168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0"/>
              <w:jc w:val="left"/>
              <w:rPr>
                <w:rFonts w:ascii="Arial" w:hAnsi="Arial"/>
                <w:sz w:val="22"/>
              </w:rPr>
            </w:pPr>
            <w:r>
              <w:rPr>
                <w:rFonts w:ascii="Arial" w:hAnsi="Arial"/>
                <w:sz w:val="22"/>
              </w:rPr>
              <w:t>Adjusted EBITDA (8)</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$75.9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$48.2</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57%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$145.7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5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$135.2</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pPr>
            <w: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pPr>
            <w: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pPr>
            <w:r>
              <w:t> </w:t>
            </w:r>
          </w:p>
        </w:tc>
        <w:tc>
          <w:tcPr>
            <w:tcW w:w="17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pPr>
            <w:r>
              <w:t>8%</w:t>
            </w:r>
          </w:p>
        </w:tc>
        <w:tc>
          <w:tcPr>
            <w:tcW w:w="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305"/>
        <w:gridCol w:w="9900"/>
      </w:tblGrid>
      <w:tr>
        <w:tc>
          <w:tcPr>
            <w:tcW w:w="305" w:type="dxa"/>
            <w:tcBorders/>
          </w:tcPr>
          <w:p>
            <w:pPr>
              <w:pStyle w:val="TableContents"/>
              <w:bidi w:val="0"/>
              <w:spacing w:before="0" w:after="283"/>
              <w:jc w:val="left"/>
            </w:pPr>
            <w:r>
              <w:t>(1)</w:t>
            </w:r>
          </w:p>
        </w:tc>
        <w:tc>
          <w:tcPr>
            <w:tcW w:w="9900" w:type="dxa"/>
            <w:tcBorders/>
          </w:tcPr>
          <w:p>
            <w:pPr>
              <w:pStyle w:val="TableContents"/>
              <w:bidi w:val="0"/>
              <w:spacing w:before="0" w:after="0"/>
              <w:jc w:val="left"/>
              <w:rPr>
                <w:rFonts w:ascii="Arial" w:hAnsi="Arial"/>
                <w:sz w:val="16"/>
              </w:rPr>
            </w:pPr>
            <w:r>
              <w:rPr>
                <w:rFonts w:ascii="Arial" w:hAnsi="Arial"/>
                <w:sz w:val="16"/>
              </w:rPr>
              <w:t xml:space="preserve">Attributable to Viasat, Inc. common stockholders.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305"/>
        <w:gridCol w:w="9900"/>
      </w:tblGrid>
      <w:tr>
        <w:tc>
          <w:tcPr>
            <w:tcW w:w="305" w:type="dxa"/>
            <w:tcBorders/>
          </w:tcPr>
          <w:p>
            <w:pPr>
              <w:pStyle w:val="TableContents"/>
              <w:bidi w:val="0"/>
              <w:spacing w:before="0" w:after="283"/>
              <w:jc w:val="left"/>
            </w:pPr>
            <w:r>
              <w:t>(2)</w:t>
            </w:r>
          </w:p>
        </w:tc>
        <w:tc>
          <w:tcPr>
            <w:tcW w:w="9900" w:type="dxa"/>
            <w:tcBorders/>
          </w:tcPr>
          <w:p>
            <w:pPr>
              <w:pStyle w:val="TableContents"/>
              <w:bidi w:val="0"/>
              <w:spacing w:before="0" w:after="0"/>
              <w:jc w:val="left"/>
              <w:rPr>
                <w:rFonts w:ascii="Arial" w:hAnsi="Arial"/>
                <w:sz w:val="16"/>
              </w:rPr>
            </w:pPr>
            <w:r>
              <w:rPr>
                <w:rFonts w:ascii="Arial" w:hAnsi="Arial"/>
                <w:sz w:val="16"/>
              </w:rPr>
              <w:t xml:space="preserve">As the three and six months ended September 30, 2026 and September 30, 2025 financial information resulted in a net loss, the weighted average number of shares used to calculate basic and diluted net loss per share is the same, as diluted shares would be anti-dilutive. However, as the non-GAAP financial information for the three and six months ended September 30, 2025 resulted in non-GAAP net income, 137.5 million and 136.5 million, respectively, diluted weighted average number of shares were used instead to calculate non-GAAP diluted net income per share.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305"/>
        <w:gridCol w:w="9900"/>
      </w:tblGrid>
      <w:tr>
        <w:tc>
          <w:tcPr>
            <w:tcW w:w="305" w:type="dxa"/>
            <w:tcBorders/>
          </w:tcPr>
          <w:p>
            <w:pPr>
              <w:pStyle w:val="TableContents"/>
              <w:bidi w:val="0"/>
              <w:spacing w:before="0" w:after="283"/>
              <w:jc w:val="left"/>
            </w:pPr>
            <w:r>
              <w:t>(3)</w:t>
            </w:r>
          </w:p>
        </w:tc>
        <w:tc>
          <w:tcPr>
            <w:tcW w:w="9900" w:type="dxa"/>
            <w:tcBorders/>
          </w:tcPr>
          <w:p>
            <w:pPr>
              <w:pStyle w:val="TableContents"/>
              <w:bidi w:val="0"/>
              <w:spacing w:before="0" w:after="0"/>
              <w:jc w:val="left"/>
              <w:rPr>
                <w:rFonts w:ascii="Arial" w:hAnsi="Arial"/>
                <w:sz w:val="16"/>
              </w:rPr>
            </w:pPr>
            <w:r>
              <w:rPr>
                <w:rFonts w:ascii="Arial" w:hAnsi="Arial"/>
                <w:sz w:val="16"/>
              </w:rPr>
              <w:t xml:space="preserve">Awards exclude future revenue under recurring consumer commitment arrangements.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305"/>
        <w:gridCol w:w="9900"/>
      </w:tblGrid>
      <w:tr>
        <w:tc>
          <w:tcPr>
            <w:tcW w:w="305" w:type="dxa"/>
            <w:tcBorders/>
          </w:tcPr>
          <w:p>
            <w:pPr>
              <w:pStyle w:val="TableContents"/>
              <w:bidi w:val="0"/>
              <w:spacing w:before="0" w:after="283"/>
              <w:jc w:val="left"/>
            </w:pPr>
            <w:r>
              <w:t>(4) </w:t>
            </w:r>
          </w:p>
        </w:tc>
        <w:tc>
          <w:tcPr>
            <w:tcW w:w="9900" w:type="dxa"/>
            <w:tcBorders/>
          </w:tcPr>
          <w:p>
            <w:pPr>
              <w:pStyle w:val="TableContents"/>
              <w:bidi w:val="0"/>
              <w:spacing w:before="0" w:after="0"/>
              <w:jc w:val="left"/>
              <w:rPr>
                <w:rFonts w:ascii="Arial" w:hAnsi="Arial"/>
                <w:sz w:val="16"/>
              </w:rPr>
            </w:pPr>
            <w:r>
              <w:rPr>
                <w:rFonts w:ascii="Arial" w:hAnsi="Arial"/>
                <w:sz w:val="16"/>
              </w:rPr>
              <w:t xml:space="preserve">Amounts include certain backlog adjustments due to contract changes and amendments. Our backlog includes contracts with subscribers for fixed broadband services in our Communication Services segment. Backlog does not include anticipated purchase orders and requests for the installation of in-flight connectivity systems or future recurring in-flight internet service revenues under our commercial in-flight internet agreements in our Communication Services segment.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305"/>
        <w:gridCol w:w="9900"/>
      </w:tblGrid>
      <w:tr>
        <w:tc>
          <w:tcPr>
            <w:tcW w:w="305" w:type="dxa"/>
            <w:tcBorders/>
          </w:tcPr>
          <w:p>
            <w:pPr>
              <w:pStyle w:val="TableContents"/>
              <w:bidi w:val="0"/>
              <w:spacing w:before="0" w:after="283"/>
              <w:jc w:val="left"/>
            </w:pPr>
            <w:r>
              <w:t>(5) </w:t>
            </w:r>
          </w:p>
        </w:tc>
        <w:tc>
          <w:tcPr>
            <w:tcW w:w="9900" w:type="dxa"/>
            <w:tcBorders/>
          </w:tcPr>
          <w:p>
            <w:pPr>
              <w:pStyle w:val="TableContents"/>
              <w:bidi w:val="0"/>
              <w:spacing w:before="0" w:after="0"/>
              <w:jc w:val="left"/>
              <w:rPr>
                <w:rFonts w:ascii="Arial" w:hAnsi="Arial"/>
                <w:sz w:val="16"/>
              </w:rPr>
            </w:pPr>
            <w:r>
              <w:rPr>
                <w:rFonts w:ascii="Arial" w:hAnsi="Arial"/>
                <w:sz w:val="16"/>
              </w:rPr>
              <w:t xml:space="preserve">Before corporate.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305"/>
        <w:gridCol w:w="9900"/>
      </w:tblGrid>
      <w:tr>
        <w:tc>
          <w:tcPr>
            <w:tcW w:w="305" w:type="dxa"/>
            <w:tcBorders/>
          </w:tcPr>
          <w:p>
            <w:pPr>
              <w:pStyle w:val="TableContents"/>
              <w:bidi w:val="0"/>
              <w:spacing w:before="0" w:after="283"/>
              <w:jc w:val="left"/>
            </w:pPr>
            <w:r>
              <w:t>(6) </w:t>
            </w:r>
          </w:p>
        </w:tc>
        <w:tc>
          <w:tcPr>
            <w:tcW w:w="9900" w:type="dxa"/>
            <w:tcBorders/>
          </w:tcPr>
          <w:p>
            <w:pPr>
              <w:pStyle w:val="TableContents"/>
              <w:bidi w:val="0"/>
              <w:spacing w:before="0" w:after="0"/>
              <w:jc w:val="left"/>
              <w:rPr>
                <w:rFonts w:ascii="Arial" w:hAnsi="Arial"/>
                <w:sz w:val="16"/>
              </w:rPr>
            </w:pPr>
            <w:r>
              <w:rPr>
                <w:rFonts w:ascii="Arial" w:hAnsi="Arial"/>
                <w:sz w:val="16"/>
              </w:rPr>
              <w:t xml:space="preserve">Beginning in the first quarter of fiscal year 2027, the Company revised its calculation of Non-GAAP net income (loss) to exclude unrealized foreign currency loss (gain), net, which is included within “Other, net” in the reconciliation of net income (loss) attributable to Viasat, Inc. to Non-GAAP net income (loss) attributable to Viasat, Inc. This amount reflects non-cash period-end remeasurement of foreign currency-denominated monetary assets and liabilities and is not considered by management to be indicative of core operating performance. For the three months ended September 30, 2026 and September 30, 2025, unrealized foreign currency loss (gain), net was a gain of $1.4 million and a gain of $0.9 million, respectively. For the six months ended September 30, 2026 and September 30, 2025, unrealized foreign currency loss (gain), net was a gain of $2.3 million and a loss of $8.8 million, respectively. Prior period amounts have not been revised to conform to the current presentation because the overall effect for the fiscal year was not material. As a result, Non-GAAP net income (loss) for the three and six months ended September 30, 2025 includes unrealized foreign currency loss (gain), net, and had it been excluded, Non-GAAP net income (loss) attributable to Viasat, Inc., including the income tax effect, would have been $12.0 million and $42.3 million, respectively.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305"/>
        <w:gridCol w:w="9900"/>
      </w:tblGrid>
      <w:tr>
        <w:tc>
          <w:tcPr>
            <w:tcW w:w="305" w:type="dxa"/>
            <w:tcBorders/>
          </w:tcPr>
          <w:p>
            <w:pPr>
              <w:pStyle w:val="TableContents"/>
              <w:bidi w:val="0"/>
              <w:spacing w:before="0" w:after="283"/>
              <w:jc w:val="left"/>
            </w:pPr>
            <w:r>
              <w:t>(7) </w:t>
            </w:r>
          </w:p>
        </w:tc>
        <w:tc>
          <w:tcPr>
            <w:tcW w:w="9900" w:type="dxa"/>
            <w:tcBorders/>
          </w:tcPr>
          <w:p>
            <w:pPr>
              <w:pStyle w:val="TableContents"/>
              <w:bidi w:val="0"/>
              <w:spacing w:before="0" w:after="0"/>
              <w:jc w:val="left"/>
              <w:rPr>
                <w:rFonts w:ascii="Arial" w:hAnsi="Arial"/>
                <w:sz w:val="16"/>
              </w:rPr>
            </w:pPr>
            <w:r>
              <w:rPr>
                <w:rFonts w:ascii="Arial" w:hAnsi="Arial"/>
                <w:sz w:val="16"/>
              </w:rPr>
              <w:t xml:space="preserve">Beginning in the first quarter of fiscal year 2027, the Company revised its calculation of Adjusted EBITDA to exclude unrealized foreign currency loss (gain), net, which is included within “Other, net” in the reconciliation of net income (loss) attributable to Viasat, Inc. to Adjusted EBITDA. This amount reflects non-cash period-end remeasurement of foreign currency-denominated monetary assets and liabilities and is not considered by management to be indicative of core operating performance. For the three months ended September 30, 2026 and September 30, 2025, unrealized foreign currency loss (gain), net was a gain of $1.4 million and a gain of $0.9 million, respectively. For the six months ended September 30, 2026 and September 30, 2025, unrealized foreign currency loss (gain), net was a gain of $2.3 million and a loss of $8.8 million, respectively. Prior period amounts have not been revised to conform to the current presentation because the overall effect for the fiscal year was not material. As a result, Adjusted EBITDA for the three and six months ended September 30, 2025 includes unrealized foreign currency loss (gain), net, and had it been excluded, Adjusted EBITDA would have been $383.8 million and $801.9 million, respectively.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305"/>
        <w:gridCol w:w="9900"/>
      </w:tblGrid>
      <w:tr>
        <w:tc>
          <w:tcPr>
            <w:tcW w:w="305" w:type="dxa"/>
            <w:tcBorders/>
          </w:tcPr>
          <w:p>
            <w:pPr>
              <w:pStyle w:val="TableContents"/>
              <w:bidi w:val="0"/>
              <w:spacing w:before="0" w:after="283"/>
              <w:jc w:val="left"/>
            </w:pPr>
            <w:r>
              <w:t>(8) </w:t>
            </w:r>
          </w:p>
        </w:tc>
        <w:tc>
          <w:tcPr>
            <w:tcW w:w="9900" w:type="dxa"/>
            <w:tcBorders/>
          </w:tcPr>
          <w:p>
            <w:pPr>
              <w:pStyle w:val="TableContents"/>
              <w:bidi w:val="0"/>
              <w:spacing w:before="0" w:after="0"/>
              <w:jc w:val="left"/>
              <w:rPr>
                <w:rFonts w:ascii="Arial" w:hAnsi="Arial"/>
                <w:sz w:val="16"/>
              </w:rPr>
            </w:pPr>
            <w:r>
              <w:rPr>
                <w:rFonts w:ascii="Arial" w:hAnsi="Arial"/>
                <w:sz w:val="16"/>
              </w:rPr>
              <w:t xml:space="preserve">Beginning in the first quarter of fiscal year 2027, the Company excludes unrealized foreign currency loss (gain), net from Adjusted EBITDA for the Communication Services and Defense and Advanced Technologies segments. For the three months ended September 30, 2026 and September 30, 2025, unrealized foreign currency loss (gain), net for the Communication Services segment was a gain of $1.1 million and a gain of $0.9 million, respectively, and for the Defense and Advanced Technologies segment was a gain of $0.3 million and nil, respectively. For the six months ended September 30, 2026 and September 30, 2025, unrealized foreign currency loss (gain), net for the Communication Services segment was a gain of $2.0 million and a loss of $8.8 million, respectively, and for the Defense and Advanced Technologies segment was a gain of $0.3 million and nil, respectively. Prior period amounts have not been revised to conform to the current presentation because the overall effect for the fiscal year was not material. Accordingly, Adjusted EBITDA for the Communication Services and Defense and Advanced Technologies segments for the three and six months ended September 30, 2025 includes unrealized foreign currency loss (gain), net, and had it been excluded, Adjusted EBITDA would have been $335.6 million, $666.8 million and $48.2 million, $135.2 million, respectively.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304"/>
        <w:gridCol w:w="9901"/>
      </w:tblGrid>
      <w:tr>
        <w:tc>
          <w:tcPr>
            <w:tcW w:w="304" w:type="dxa"/>
            <w:tcBorders/>
          </w:tcPr>
          <w:p>
            <w:pPr>
              <w:pStyle w:val="TableContents"/>
              <w:bidi w:val="0"/>
              <w:spacing w:before="0" w:after="283"/>
              <w:jc w:val="left"/>
            </w:pPr>
            <w:r>
              <w:t>*</w:t>
            </w:r>
          </w:p>
        </w:tc>
        <w:tc>
          <w:tcPr>
            <w:tcW w:w="9901" w:type="dxa"/>
            <w:tcBorders/>
          </w:tcPr>
          <w:p>
            <w:pPr>
              <w:pStyle w:val="TableContents"/>
              <w:bidi w:val="0"/>
              <w:spacing w:before="0" w:after="0"/>
              <w:jc w:val="left"/>
              <w:rPr>
                <w:rFonts w:ascii="Arial" w:hAnsi="Arial"/>
                <w:sz w:val="16"/>
              </w:rPr>
            </w:pPr>
            <w:r>
              <w:rPr>
                <w:rFonts w:ascii="Arial" w:hAnsi="Arial"/>
                <w:sz w:val="16"/>
              </w:rPr>
              <w:t xml:space="preserve">Percentage not meaningful. </w:t>
            </w:r>
          </w:p>
        </w:tc>
      </w:tr>
    </w:tbl>
    <w:p>
      <w:pPr>
        <w:pStyle w:val="TextBody"/>
        <w:bidi w:val="0"/>
        <w:spacing w:before="0" w:after="0"/>
        <w:jc w:val="left"/>
        <w:rPr>
          <w:rFonts w:ascii="Arial" w:hAnsi="Arial"/>
          <w:sz w:val="16"/>
        </w:rPr>
      </w:pPr>
      <w:r>
        <w:rPr>
          <w:rFonts w:ascii="Arial" w:hAnsi="Arial"/>
          <w:sz w:val="16"/>
        </w:rPr>
        <w:t xml:space="preserve">Note: Some totals may not foot due to rounding. </w:t>
      </w:r>
    </w:p>
    <w:p>
      <w:pPr>
        <w:pStyle w:val="TextBody"/>
        <w:bidi w:val="0"/>
        <w:spacing w:before="0" w:after="0"/>
        <w:jc w:val="left"/>
      </w:pPr>
      <w:r>
        <w:t> </w:t>
      </w:r>
    </w:p>
    <w:p>
      <w:pPr>
        <w:pStyle w:val="TextBody"/>
        <w:bidi w:val="0"/>
        <w:spacing w:before="0" w:after="0"/>
        <w:jc w:val="center"/>
      </w:pPr>
      <w:r>
        <w:drawing>
          <wp:inline distT="0" distB="0" distL="0" distR="0">
            <wp:extent cx="7981950" cy="762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981950" cy="76200"/>
                    </a:xfrm>
                    <a:prstGeom prst="rect">
                      <a:avLst/>
                    </a:prstGeom>
                  </pic:spPr>
                </pic:pic>
              </a:graphicData>
            </a:graphic>
          </wp:inline>
        </w:drawing>
      </w:r>
      <w:r>
        <w:t xml:space="preserve"> </w:t>
      </w:r>
    </w:p>
    <w:p>
      <w:pPr>
        <w:pStyle w:val="TextBody"/>
        <w:bidi w:val="0"/>
        <w:spacing w:before="40" w:after="0"/>
        <w:jc w:val="right"/>
        <w:rPr>
          <w:rFonts w:ascii="Arial" w:hAnsi="Arial"/>
          <w:sz w:val="14"/>
        </w:rPr>
      </w:pPr>
      <w:r>
        <w:rPr>
          <w:rFonts w:ascii="Arial" w:hAnsi="Arial"/>
          <w:sz w:val="14"/>
        </w:rPr>
        <w:t xml:space="preserve">Shareholder Letter | Q2 Fiscal Year 2027   11 </w:t>
      </w:r>
      <w:r>
        <w:br w:type="page"/>
      </w:r>
    </w:p>
    <w:p>
      <w:pPr>
        <w:pStyle w:val="HorizontalLine"/>
        <w:pBdr>
          <w:bottom w:val="double" w:sz="6" w:space="0" w:color="808080"/>
        </w:pBdr>
        <w:bidi w:val="0"/>
        <w:jc w:val="left"/>
      </w:pPr>
      <w:r/>
    </w:p>
    <w:p>
      <w:pPr>
        <w:pStyle w:val="TextBody"/>
        <w:bidi w:val="0"/>
        <w:spacing w:before="0" w:after="0"/>
        <w:jc w:val="left"/>
        <w:rPr>
          <w:rFonts w:ascii="Arial" w:hAnsi="Arial"/>
          <w:sz w:val="40"/>
        </w:rPr>
      </w:pPr>
      <w:r>
        <w:rPr>
          <w:rFonts w:ascii="Arial" w:hAnsi="Arial"/>
          <w:sz w:val="40"/>
        </w:rPr>
        <w:t xml:space="preserve">Second Quarter Fiscal Year 2027 Results (cont.) </w:t>
      </w:r>
    </w:p>
    <w:p>
      <w:pPr>
        <w:pStyle w:val="TextBody"/>
        <w:bidi w:val="0"/>
        <w:spacing w:before="0" w:after="0"/>
        <w:jc w:val="left"/>
      </w:pPr>
      <w:r>
        <w:t> </w:t>
      </w:r>
    </w:p>
    <w:p>
      <w:pPr>
        <w:pStyle w:val="TextBody"/>
        <w:bidi w:val="0"/>
        <w:spacing w:before="0" w:after="0"/>
        <w:jc w:val="center"/>
        <w:rPr>
          <w:rFonts w:ascii="Arial" w:hAnsi="Arial"/>
          <w:b/>
          <w:sz w:val="16"/>
        </w:rPr>
      </w:pPr>
      <w:r>
        <w:rPr>
          <w:rFonts w:ascii="Arial" w:hAnsi="Arial"/>
          <w:b/>
          <w:sz w:val="16"/>
        </w:rPr>
        <w:t xml:space="preserve">Condensed Consolidated Statements of Operations </w:t>
      </w:r>
    </w:p>
    <w:p>
      <w:pPr>
        <w:pStyle w:val="TextBody"/>
        <w:bidi w:val="0"/>
        <w:spacing w:before="0" w:after="0"/>
        <w:jc w:val="center"/>
        <w:rPr>
          <w:rFonts w:ascii="Arial" w:hAnsi="Arial"/>
          <w:b/>
          <w:sz w:val="16"/>
        </w:rPr>
      </w:pPr>
      <w:r>
        <w:rPr>
          <w:rFonts w:ascii="Arial" w:hAnsi="Arial"/>
          <w:b/>
          <w:sz w:val="16"/>
        </w:rPr>
        <w:t xml:space="preserve">(Unaudited) </w:t>
      </w:r>
    </w:p>
    <w:p>
      <w:pPr>
        <w:pStyle w:val="TextBody"/>
        <w:bidi w:val="0"/>
        <w:spacing w:before="0" w:after="0"/>
        <w:jc w:val="center"/>
        <w:rPr>
          <w:rFonts w:ascii="Arial" w:hAnsi="Arial"/>
          <w:b/>
          <w:sz w:val="16"/>
        </w:rPr>
      </w:pPr>
      <w:r>
        <w:rPr>
          <w:rFonts w:ascii="Arial" w:hAnsi="Arial"/>
          <w:b/>
          <w:sz w:val="16"/>
        </w:rPr>
        <w:t xml:space="preserve">(In thousands, except per share data) </w:t>
      </w:r>
    </w:p>
    <w:p>
      <w:pPr>
        <w:pStyle w:val="TextBody"/>
        <w:bidi w:val="0"/>
        <w:spacing w:before="0" w:after="0"/>
        <w:jc w:val="left"/>
      </w:pPr>
      <w:r>
        <w:t> </w:t>
      </w:r>
    </w:p>
    <w:tbl>
      <w:tblPr>
        <w:tblW w:w="10395" w:type="dxa"/>
        <w:jc w:val="center"/>
        <w:tblInd w:w="0" w:type="dxa"/>
        <w:tblLayout w:type="fixed"/>
        <w:tblCellMar>
          <w:top w:w="0" w:type="dxa"/>
          <w:left w:w="0" w:type="dxa"/>
          <w:bottom w:w="0" w:type="dxa"/>
          <w:right w:w="0" w:type="dxa"/>
        </w:tblCellMar>
      </w:tblPr>
      <w:tblGrid>
        <w:gridCol w:w="1115"/>
        <w:gridCol w:w="60"/>
        <w:gridCol w:w="263"/>
        <w:gridCol w:w="1842"/>
        <w:gridCol w:w="155"/>
        <w:gridCol w:w="60"/>
        <w:gridCol w:w="263"/>
        <w:gridCol w:w="1842"/>
        <w:gridCol w:w="155"/>
        <w:gridCol w:w="60"/>
        <w:gridCol w:w="263"/>
        <w:gridCol w:w="1842"/>
        <w:gridCol w:w="155"/>
        <w:gridCol w:w="60"/>
        <w:gridCol w:w="263"/>
        <w:gridCol w:w="1842"/>
        <w:gridCol w:w="155"/>
      </w:tblGrid>
      <w:t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111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4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4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2025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2025 </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Revenues: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rPr>
                <w:sz w:val="4"/>
                <w:szCs w:val="4"/>
              </w:rPr>
            </w:pPr>
            <w:r>
              <w:rPr>
                <w:sz w:val="4"/>
                <w:szCs w:val="4"/>
              </w:rPr>
            </w:r>
          </w:p>
        </w:tc>
        <w:tc>
          <w:tcPr>
            <w:tcW w:w="18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rPr>
                <w:sz w:val="4"/>
                <w:szCs w:val="4"/>
              </w:rPr>
            </w:pPr>
            <w:r>
              <w:rPr>
                <w:sz w:val="4"/>
                <w:szCs w:val="4"/>
              </w:rPr>
            </w:r>
          </w:p>
        </w:tc>
        <w:tc>
          <w:tcPr>
            <w:tcW w:w="18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rPr>
                <w:sz w:val="4"/>
                <w:szCs w:val="4"/>
              </w:rPr>
            </w:pPr>
            <w:r>
              <w:rPr>
                <w:sz w:val="4"/>
                <w:szCs w:val="4"/>
              </w:rPr>
            </w:r>
          </w:p>
        </w:tc>
        <w:tc>
          <w:tcPr>
            <w:tcW w:w="18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rPr>
                <w:sz w:val="4"/>
                <w:szCs w:val="4"/>
              </w:rPr>
            </w:pPr>
            <w:r>
              <w:rPr>
                <w:sz w:val="4"/>
                <w:szCs w:val="4"/>
              </w:rPr>
            </w:r>
          </w:p>
        </w:tc>
        <w:tc>
          <w:tcPr>
            <w:tcW w:w="18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c>
          <w:tcPr>
            <w:tcW w:w="1115" w:type="dxa"/>
            <w:tcBorders/>
          </w:tcPr>
          <w:p>
            <w:pPr>
              <w:pStyle w:val="TableContents"/>
              <w:bidi w:val="0"/>
              <w:spacing w:before="0" w:after="0"/>
              <w:jc w:val="left"/>
              <w:rPr>
                <w:rFonts w:ascii="Arial" w:hAnsi="Arial"/>
                <w:sz w:val="16"/>
              </w:rPr>
            </w:pPr>
            <w:r>
              <w:rPr>
                <w:rFonts w:ascii="Arial" w:hAnsi="Arial"/>
                <w:sz w:val="16"/>
              </w:rPr>
              <w:t>Service revenues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w:t>
            </w:r>
          </w:p>
        </w:tc>
        <w:tc>
          <w:tcPr>
            <w:tcW w:w="1842" w:type="dxa"/>
            <w:tcBorders/>
            <w:vAlign w:val="bottom"/>
          </w:tcPr>
          <w:p>
            <w:pPr>
              <w:pStyle w:val="TableContents"/>
              <w:bidi w:val="0"/>
              <w:spacing w:before="0" w:after="283"/>
              <w:jc w:val="right"/>
            </w:pPr>
            <w:r>
              <w:t>820,595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w:t>
            </w:r>
          </w:p>
        </w:tc>
        <w:tc>
          <w:tcPr>
            <w:tcW w:w="1842" w:type="dxa"/>
            <w:tcBorders/>
            <w:vAlign w:val="bottom"/>
          </w:tcPr>
          <w:p>
            <w:pPr>
              <w:pStyle w:val="TableContents"/>
              <w:bidi w:val="0"/>
              <w:spacing w:before="0" w:after="283"/>
              <w:jc w:val="right"/>
            </w:pPr>
            <w:r>
              <w:t>821,510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1,653,033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1,647,880</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Product revenues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359,401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319,383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683,506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664,067</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Total revenues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1,179,996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1,140,893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2,336,539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2,311,947</w:t>
            </w:r>
          </w:p>
        </w:tc>
        <w:tc>
          <w:tcPr>
            <w:tcW w:w="155" w:type="dxa"/>
            <w:tcBorders/>
            <w:vAlign w:val="bottom"/>
          </w:tcPr>
          <w:p>
            <w:pPr>
              <w:pStyle w:val="TableContents"/>
              <w:bidi w:val="0"/>
              <w:spacing w:before="0" w:after="283"/>
              <w:jc w:val="left"/>
            </w:pPr>
            <w:r>
              <w:t> </w:t>
            </w:r>
          </w:p>
        </w:tc>
      </w:tr>
      <w:tr>
        <w:trPr>
          <w:trHeight w:val="120" w:hRule="atLeast"/>
        </w:trPr>
        <w:tc>
          <w:tcPr>
            <w:tcW w:w="1115" w:type="dxa"/>
            <w:tcBorders/>
            <w:vAlign w:val="center"/>
          </w:tcPr>
          <w:p>
            <w:pPr>
              <w:pStyle w:val="TableContents"/>
              <w:bidi w:val="0"/>
              <w:spacing w:before="0" w:after="283"/>
              <w:jc w:val="left"/>
              <w:rPr>
                <w:sz w:val="4"/>
                <w:szCs w:val="4"/>
              </w:rPr>
            </w:pPr>
            <w:r>
              <w:rPr>
                <w:sz w:val="4"/>
                <w:szCs w:val="4"/>
              </w:rPr>
            </w:r>
          </w:p>
        </w:tc>
        <w:tc>
          <w:tcPr>
            <w:tcW w:w="2320" w:type="dxa"/>
            <w:gridSpan w:val="4"/>
            <w:tcBorders/>
            <w:vAlign w:val="center"/>
          </w:tcPr>
          <w:p>
            <w:pPr>
              <w:pStyle w:val="TableContents"/>
              <w:bidi w:val="0"/>
              <w:spacing w:before="0" w:after="283"/>
              <w:jc w:val="left"/>
              <w:rPr>
                <w:sz w:val="4"/>
                <w:szCs w:val="4"/>
              </w:rPr>
            </w:pPr>
            <w:r>
              <w:rPr>
                <w:sz w:val="4"/>
                <w:szCs w:val="4"/>
              </w:rPr>
            </w:r>
          </w:p>
        </w:tc>
        <w:tc>
          <w:tcPr>
            <w:tcW w:w="2320" w:type="dxa"/>
            <w:gridSpan w:val="4"/>
            <w:tcBorders/>
            <w:vAlign w:val="center"/>
          </w:tcPr>
          <w:p>
            <w:pPr>
              <w:pStyle w:val="TableContents"/>
              <w:bidi w:val="0"/>
              <w:spacing w:before="0" w:after="283"/>
              <w:jc w:val="left"/>
              <w:rPr>
                <w:sz w:val="4"/>
                <w:szCs w:val="4"/>
              </w:rPr>
            </w:pPr>
            <w:r>
              <w:rPr>
                <w:sz w:val="4"/>
                <w:szCs w:val="4"/>
              </w:rPr>
            </w:r>
          </w:p>
        </w:tc>
        <w:tc>
          <w:tcPr>
            <w:tcW w:w="2320" w:type="dxa"/>
            <w:gridSpan w:val="4"/>
            <w:tcBorders/>
            <w:vAlign w:val="center"/>
          </w:tcPr>
          <w:p>
            <w:pPr>
              <w:pStyle w:val="TableContents"/>
              <w:bidi w:val="0"/>
              <w:spacing w:before="0" w:after="283"/>
              <w:jc w:val="left"/>
              <w:rPr>
                <w:sz w:val="4"/>
                <w:szCs w:val="4"/>
              </w:rPr>
            </w:pPr>
            <w:r>
              <w:rPr>
                <w:sz w:val="4"/>
                <w:szCs w:val="4"/>
              </w:rPr>
            </w:r>
          </w:p>
        </w:tc>
        <w:tc>
          <w:tcPr>
            <w:tcW w:w="2320" w:type="dxa"/>
            <w:gridSpan w:val="4"/>
            <w:tcBorders/>
            <w:vAlign w:val="center"/>
          </w:tcPr>
          <w:p>
            <w:pPr>
              <w:pStyle w:val="TableContents"/>
              <w:bidi w:val="0"/>
              <w:spacing w:before="0" w:after="283"/>
              <w:jc w:val="left"/>
              <w:rPr>
                <w:sz w:val="4"/>
                <w:szCs w:val="4"/>
              </w:rPr>
            </w:pPr>
            <w:r>
              <w:rPr>
                <w:sz w:val="4"/>
                <w:szCs w:val="4"/>
              </w:rPr>
            </w:r>
          </w:p>
        </w:tc>
      </w:tr>
      <w:tr>
        <w:tc>
          <w:tcPr>
            <w:tcW w:w="1115" w:type="dxa"/>
            <w:tcBorders/>
          </w:tcPr>
          <w:p>
            <w:pPr>
              <w:pStyle w:val="TableContents"/>
              <w:bidi w:val="0"/>
              <w:spacing w:before="0" w:after="0"/>
              <w:jc w:val="left"/>
              <w:rPr>
                <w:rFonts w:ascii="Arial" w:hAnsi="Arial"/>
                <w:sz w:val="16"/>
              </w:rPr>
            </w:pPr>
            <w:r>
              <w:rPr>
                <w:rFonts w:ascii="Arial" w:hAnsi="Arial"/>
                <w:sz w:val="16"/>
              </w:rPr>
              <w:t>Operating expenses: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rPr>
                <w:sz w:val="4"/>
                <w:szCs w:val="4"/>
              </w:rPr>
            </w:pPr>
            <w:r>
              <w:rPr>
                <w:sz w:val="4"/>
                <w:szCs w:val="4"/>
              </w:rPr>
            </w:r>
          </w:p>
        </w:tc>
        <w:tc>
          <w:tcPr>
            <w:tcW w:w="18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rPr>
                <w:sz w:val="4"/>
                <w:szCs w:val="4"/>
              </w:rPr>
            </w:pPr>
            <w:r>
              <w:rPr>
                <w:sz w:val="4"/>
                <w:szCs w:val="4"/>
              </w:rPr>
            </w:r>
          </w:p>
        </w:tc>
        <w:tc>
          <w:tcPr>
            <w:tcW w:w="18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rPr>
                <w:sz w:val="4"/>
                <w:szCs w:val="4"/>
              </w:rPr>
            </w:pPr>
            <w:r>
              <w:rPr>
                <w:sz w:val="4"/>
                <w:szCs w:val="4"/>
              </w:rPr>
            </w:r>
          </w:p>
        </w:tc>
        <w:tc>
          <w:tcPr>
            <w:tcW w:w="18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rPr>
                <w:sz w:val="4"/>
                <w:szCs w:val="4"/>
              </w:rPr>
            </w:pPr>
            <w:r>
              <w:rPr>
                <w:sz w:val="4"/>
                <w:szCs w:val="4"/>
              </w:rPr>
            </w:r>
          </w:p>
        </w:tc>
        <w:tc>
          <w:tcPr>
            <w:tcW w:w="18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c>
          <w:tcPr>
            <w:tcW w:w="1115" w:type="dxa"/>
            <w:tcBorders/>
          </w:tcPr>
          <w:p>
            <w:pPr>
              <w:pStyle w:val="TableContents"/>
              <w:bidi w:val="0"/>
              <w:spacing w:before="0" w:after="0"/>
              <w:jc w:val="left"/>
              <w:rPr>
                <w:rFonts w:ascii="Arial" w:hAnsi="Arial"/>
                <w:sz w:val="16"/>
              </w:rPr>
            </w:pPr>
            <w:r>
              <w:rPr>
                <w:rFonts w:ascii="Arial" w:hAnsi="Arial"/>
                <w:sz w:val="16"/>
              </w:rPr>
              <w:t>Cost of service revenues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526,197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514,893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1,039,331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1,043,127</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Cost of product revenues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274,853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241,108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505,421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474,490</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Selling, general and administrative</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247,022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241,785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502,046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504,617</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Independent research and development</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59,768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42,263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105,259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76,456</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Amortization of acquired intangible assets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65,007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65,069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130,025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130,810</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Income (loss) from operations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7,149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35,775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54,457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82,447</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Interest (expense) income, net</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(86,595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(80,962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(153,508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(167,029</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(Loss) gain on extinguishment of debt, net</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(288</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Other income (expense), net</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92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(214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(5,164</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Income (loss) before income taxes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(79,354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(45,187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(99,265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(90,034</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(Provision for) benefit from income taxes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(40,786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(10,862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(63,897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(17,472</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Equity in income (loss) of unconsolidated affiliates, net</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263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4,222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491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7,955</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Net income (loss)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(119,877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(51,827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(162,671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(99,551</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Less: net income (loss) attributable to noncontrolling interest, net of tax</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8,778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9,617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17,725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18,327</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Net income (loss) attributable to Viasat, Inc.</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(128,655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(61,444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(180,396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(117,878</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Diluted net income (loss) per share attributable to Viasat, Inc. common stockholders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(0.93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(0.45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(1.31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(0.88</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Diluted common equivalent shares (1)</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138,641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135,119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137,893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133,356</w:t>
            </w:r>
          </w:p>
        </w:tc>
        <w:tc>
          <w:tcPr>
            <w:tcW w:w="155" w:type="dxa"/>
            <w:tcBorders/>
            <w:vAlign w:val="bottom"/>
          </w:tcPr>
          <w:p>
            <w:pPr>
              <w:pStyle w:val="TableContents"/>
              <w:bidi w:val="0"/>
              <w:spacing w:before="0" w:after="283"/>
              <w:jc w:val="left"/>
            </w:pPr>
            <w:r>
              <w:t> </w:t>
            </w:r>
          </w:p>
        </w:tc>
      </w:tr>
      <w:tr>
        <w:tc>
          <w:tcPr>
            <w:tcW w:w="10240" w:type="dxa"/>
            <w:gridSpan w:val="16"/>
            <w:tcBorders/>
            <w:vAlign w:val="bottom"/>
          </w:tcPr>
          <w:p>
            <w:pPr>
              <w:pStyle w:val="TableContents"/>
              <w:bidi w:val="0"/>
              <w:spacing w:before="0" w:after="0"/>
              <w:jc w:val="left"/>
            </w:pPr>
            <w:r>
              <w:t> </w:t>
            </w:r>
          </w:p>
          <w:p>
            <w:pPr>
              <w:pStyle w:val="TableContents"/>
              <w:bidi w:val="0"/>
              <w:spacing w:before="0" w:after="0"/>
              <w:jc w:val="left"/>
              <w:rPr>
                <w:rFonts w:ascii="Arial" w:hAnsi="Arial"/>
                <w:b/>
                <w:sz w:val="16"/>
              </w:rPr>
            </w:pPr>
            <w:r>
              <w:rPr>
                <w:rFonts w:ascii="Arial" w:hAnsi="Arial"/>
                <w:b/>
                <w:sz w:val="16"/>
              </w:rPr>
              <w:t>AN ITEMIZED RECONCILIATION BETWEEN NET INCOME (LOSS) ATTRIBUTABLE TO VIASAT, INC.</w:t>
            </w:r>
          </w:p>
          <w:p>
            <w:pPr>
              <w:pStyle w:val="TableContents"/>
              <w:bidi w:val="0"/>
              <w:spacing w:before="0" w:after="0"/>
              <w:jc w:val="left"/>
              <w:rPr>
                <w:rFonts w:ascii="Arial" w:hAnsi="Arial"/>
                <w:b/>
                <w:sz w:val="16"/>
              </w:rPr>
            </w:pPr>
            <w:r>
              <w:rPr>
                <w:rFonts w:ascii="Arial" w:hAnsi="Arial"/>
                <w:b/>
                <w:sz w:val="16"/>
              </w:rPr>
              <w:t>ON A GAAP BASIS AND NON-GAAP BASIS IS AS FOLLOWS:</w:t>
            </w:r>
          </w:p>
          <w:p>
            <w:pPr>
              <w:pStyle w:val="TableContents"/>
              <w:bidi w:val="0"/>
              <w:spacing w:before="0" w:after="20"/>
              <w:jc w:val="left"/>
              <w:rPr>
                <w:rFonts w:ascii="Arial" w:hAnsi="Arial"/>
                <w:b/>
                <w:sz w:val="16"/>
              </w:rPr>
            </w:pPr>
            <w:r>
              <w:rPr>
                <w:rFonts w:ascii="Arial" w:hAnsi="Arial"/>
                <w:b/>
                <w:sz w:val="16"/>
              </w:rPr>
              <w:t>(Unaudited)</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b/>
              </w:rPr>
            </w:pPr>
            <w:r>
              <w:rPr>
                <w:b/>
              </w:rPr>
              <w:t>(In thousands, except per share data)</w:t>
            </w:r>
          </w:p>
        </w:tc>
        <w:tc>
          <w:tcPr>
            <w:tcW w:w="60" w:type="dxa"/>
            <w:tcBorders/>
            <w:vAlign w:val="bottom"/>
          </w:tcPr>
          <w:p>
            <w:pPr>
              <w:pStyle w:val="TableContents"/>
              <w:bidi w:val="0"/>
              <w:spacing w:before="0" w:after="283"/>
              <w:jc w:val="left"/>
            </w:pPr>
            <w:r>
              <w:t> </w:t>
            </w:r>
          </w:p>
        </w:tc>
        <w:tc>
          <w:tcPr>
            <w:tcW w:w="44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4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2025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2025 </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GAAP net income (loss) attributable to Viasat, Inc.</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(128,655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(61,444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(180,396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(117,878</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Amortization of acquired intangible assets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65,007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65,069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130,025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130,810</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Stock-based compensation expense</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34,168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20,122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58,359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34,829</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Acquisition and transaction related expenses (2)</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3,133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5,080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7,189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14,805</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Loss (gain) on extinguishment of debt, net</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288</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Other, net (5)</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(1,479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(2,104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5,164</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Income tax effect (3)</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(17,038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(16,196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(33,427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(32,293</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Non-GAAP net income (loss) attributable to Viasat, Inc. (6)</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(44,864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12,631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(20,354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35,725</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Non-GAAP diluted net income (loss) per share attributable to Viasat, Inc. common stockholders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(0.32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0.09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(0.15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0.26</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Diluted common equivalent shares (1)</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138,641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137,528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137,893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136,465</w:t>
            </w:r>
          </w:p>
        </w:tc>
        <w:tc>
          <w:tcPr>
            <w:tcW w:w="155" w:type="dxa"/>
            <w:tcBorders/>
            <w:vAlign w:val="bottom"/>
          </w:tcPr>
          <w:p>
            <w:pPr>
              <w:pStyle w:val="TableContents"/>
              <w:bidi w:val="0"/>
              <w:spacing w:before="0" w:after="283"/>
              <w:jc w:val="left"/>
            </w:pPr>
            <w:r>
              <w:t> </w:t>
            </w:r>
          </w:p>
        </w:tc>
      </w:tr>
      <w:tr>
        <w:tc>
          <w:tcPr>
            <w:tcW w:w="10240" w:type="dxa"/>
            <w:gridSpan w:val="16"/>
            <w:tcBorders/>
            <w:vAlign w:val="bottom"/>
          </w:tcPr>
          <w:p>
            <w:pPr>
              <w:pStyle w:val="TableContents"/>
              <w:bidi w:val="0"/>
              <w:spacing w:before="0" w:after="0"/>
              <w:jc w:val="left"/>
            </w:pPr>
            <w:r>
              <w:t> </w:t>
            </w:r>
          </w:p>
          <w:p>
            <w:pPr>
              <w:pStyle w:val="TableContents"/>
              <w:bidi w:val="0"/>
              <w:spacing w:before="0" w:after="0"/>
              <w:jc w:val="left"/>
              <w:rPr>
                <w:rFonts w:ascii="Arial" w:hAnsi="Arial"/>
                <w:b/>
                <w:sz w:val="16"/>
              </w:rPr>
            </w:pPr>
            <w:r>
              <w:rPr>
                <w:rFonts w:ascii="Arial" w:hAnsi="Arial"/>
                <w:b/>
                <w:sz w:val="16"/>
              </w:rPr>
              <w:t>AN ITEMIZED RECONCILIATION BETWEEN NET INCOME (LOSS) ATTRIBUTABLE TO VIASAT, INC.</w:t>
            </w:r>
          </w:p>
          <w:p>
            <w:pPr>
              <w:pStyle w:val="TableContents"/>
              <w:bidi w:val="0"/>
              <w:spacing w:before="0" w:after="0"/>
              <w:jc w:val="left"/>
              <w:rPr>
                <w:rFonts w:ascii="Arial" w:hAnsi="Arial"/>
                <w:b/>
                <w:sz w:val="16"/>
              </w:rPr>
            </w:pPr>
            <w:r>
              <w:rPr>
                <w:rFonts w:ascii="Arial" w:hAnsi="Arial"/>
                <w:b/>
                <w:sz w:val="16"/>
              </w:rPr>
              <w:t>AND ADJUSTED EBITDA IS AS FOLLOWS:</w:t>
            </w:r>
          </w:p>
          <w:p>
            <w:pPr>
              <w:pStyle w:val="TableContents"/>
              <w:bidi w:val="0"/>
              <w:spacing w:before="0" w:after="20"/>
              <w:jc w:val="left"/>
              <w:rPr>
                <w:rFonts w:ascii="Arial" w:hAnsi="Arial"/>
                <w:b/>
                <w:sz w:val="16"/>
              </w:rPr>
            </w:pPr>
            <w:r>
              <w:rPr>
                <w:rFonts w:ascii="Arial" w:hAnsi="Arial"/>
                <w:b/>
                <w:sz w:val="16"/>
              </w:rPr>
              <w:t>(Unaudited)</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b/>
              </w:rPr>
            </w:pPr>
            <w:r>
              <w:rPr>
                <w:b/>
              </w:rPr>
              <w:t>(In thousands)</w:t>
            </w:r>
          </w:p>
        </w:tc>
        <w:tc>
          <w:tcPr>
            <w:tcW w:w="60" w:type="dxa"/>
            <w:tcBorders/>
            <w:vAlign w:val="bottom"/>
          </w:tcPr>
          <w:p>
            <w:pPr>
              <w:pStyle w:val="TableContents"/>
              <w:bidi w:val="0"/>
              <w:spacing w:before="0" w:after="283"/>
              <w:jc w:val="left"/>
            </w:pPr>
            <w:r>
              <w:t> </w:t>
            </w:r>
          </w:p>
        </w:tc>
        <w:tc>
          <w:tcPr>
            <w:tcW w:w="44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44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2025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2025 </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GAAP net income (loss) attributable to Viasat, Inc.</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(128,655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w:t>
            </w:r>
          </w:p>
        </w:tc>
        <w:tc>
          <w:tcPr>
            <w:tcW w:w="1842" w:type="dxa"/>
            <w:tcBorders/>
            <w:vAlign w:val="bottom"/>
          </w:tcPr>
          <w:p>
            <w:pPr>
              <w:pStyle w:val="TableContents"/>
              <w:bidi w:val="0"/>
              <w:spacing w:before="0" w:after="283"/>
              <w:jc w:val="right"/>
            </w:pPr>
            <w:r>
              <w:t>(61,444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(180,396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(117,878</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Provision for (benefit from) income taxes</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40,786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10,862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63,897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17,472</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Interest expense (income), net</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86,595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80,962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153,508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167,029</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Depreciation and amortization (4)</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335,379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329,128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650,620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671,472</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Stock-based compensation expense</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34,168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20,122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58,359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34,829</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Acquisition and transaction related expenses (2)</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3,133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5,080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7,189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14,805</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Loss (gain) on extinguishment of debt, net</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288</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Other, net (5)</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(1,479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(2,104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p>
        </w:tc>
        <w:tc>
          <w:tcPr>
            <w:tcW w:w="1842" w:type="dxa"/>
            <w:tcBorders/>
            <w:vAlign w:val="bottom"/>
          </w:tcPr>
          <w:p>
            <w:pPr>
              <w:pStyle w:val="TableContents"/>
              <w:bidi w:val="0"/>
              <w:spacing w:before="0" w:after="283"/>
              <w:jc w:val="right"/>
            </w:pPr>
            <w:r>
              <w:t>5,164</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single" w:sz="2" w:space="1" w:color="000000"/>
              </w:pBdr>
              <w:bidi w:val="0"/>
              <w:spacing w:before="0" w:after="0"/>
              <w:jc w:val="left"/>
            </w:pPr>
            <w:r>
              <w:t> </w:t>
            </w:r>
          </w:p>
        </w:tc>
        <w:tc>
          <w:tcPr>
            <w:tcW w:w="184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Adjusted EBITDA (7)</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369,927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384,710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751,073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bidi w:val="0"/>
              <w:spacing w:before="0" w:after="283"/>
              <w:jc w:val="left"/>
            </w:pPr>
            <w:r>
              <w:t> </w:t>
            </w:r>
            <w:r>
              <w:t>$</w:t>
            </w:r>
          </w:p>
        </w:tc>
        <w:tc>
          <w:tcPr>
            <w:tcW w:w="1842" w:type="dxa"/>
            <w:tcBorders/>
            <w:vAlign w:val="bottom"/>
          </w:tcPr>
          <w:p>
            <w:pPr>
              <w:pStyle w:val="TableContents"/>
              <w:bidi w:val="0"/>
              <w:spacing w:before="0" w:after="283"/>
              <w:jc w:val="right"/>
            </w:pPr>
            <w:r>
              <w:t>793,181</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3" w:type="dxa"/>
            <w:tcBorders/>
            <w:vAlign w:val="bottom"/>
          </w:tcPr>
          <w:p>
            <w:pPr>
              <w:pStyle w:val="TableContents"/>
              <w:pBdr>
                <w:top w:val="double" w:sz="6" w:space="1" w:color="000000"/>
              </w:pBdr>
              <w:bidi w:val="0"/>
              <w:spacing w:before="0" w:after="0"/>
              <w:jc w:val="left"/>
            </w:pPr>
            <w:r>
              <w:t> </w:t>
            </w:r>
          </w:p>
        </w:tc>
        <w:tc>
          <w:tcPr>
            <w:tcW w:w="184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14"/>
        <w:gridCol w:w="9991"/>
      </w:tblGrid>
      <w:tr>
        <w:tc>
          <w:tcPr>
            <w:tcW w:w="214" w:type="dxa"/>
            <w:tcBorders/>
          </w:tcPr>
          <w:p>
            <w:pPr>
              <w:pStyle w:val="TableContents"/>
              <w:bidi w:val="0"/>
              <w:spacing w:before="0" w:after="283"/>
              <w:jc w:val="left"/>
            </w:pPr>
            <w:r>
              <w:t>(1) </w:t>
            </w:r>
          </w:p>
        </w:tc>
        <w:tc>
          <w:tcPr>
            <w:tcW w:w="9991" w:type="dxa"/>
            <w:tcBorders/>
          </w:tcPr>
          <w:p>
            <w:pPr>
              <w:pStyle w:val="TableContents"/>
              <w:bidi w:val="0"/>
              <w:spacing w:before="0" w:after="0"/>
              <w:jc w:val="left"/>
              <w:rPr>
                <w:rFonts w:ascii="Arial" w:hAnsi="Arial"/>
                <w:sz w:val="16"/>
              </w:rPr>
            </w:pPr>
            <w:r>
              <w:rPr>
                <w:rFonts w:ascii="Arial" w:hAnsi="Arial"/>
                <w:sz w:val="16"/>
              </w:rPr>
              <w:t xml:space="preserve">As the three and six months ended September 30, 2026 and September 30, 2025 financial information resulted in a net loss, the weighted average number of shares used to calculate basic and diluted net loss per share is the same, as diluted shares would be anti-dilutive. However, as the non-GAAP financial information for the three and six months ended September 30, 2025 resulted in non-GAAP net income, diluted weighted average number of shares were used instead to calculate non-GAAP diluted net income per share.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28"/>
        <w:gridCol w:w="9977"/>
      </w:tblGrid>
      <w:tr>
        <w:tc>
          <w:tcPr>
            <w:tcW w:w="228" w:type="dxa"/>
            <w:tcBorders/>
          </w:tcPr>
          <w:p>
            <w:pPr>
              <w:pStyle w:val="TableContents"/>
              <w:bidi w:val="0"/>
              <w:spacing w:before="0" w:after="283"/>
              <w:jc w:val="left"/>
            </w:pPr>
            <w:r>
              <w:t>(2) </w:t>
            </w:r>
          </w:p>
        </w:tc>
        <w:tc>
          <w:tcPr>
            <w:tcW w:w="9977" w:type="dxa"/>
            <w:tcBorders/>
          </w:tcPr>
          <w:p>
            <w:pPr>
              <w:pStyle w:val="TableContents"/>
              <w:bidi w:val="0"/>
              <w:spacing w:before="0" w:after="0"/>
              <w:jc w:val="left"/>
              <w:rPr>
                <w:rFonts w:ascii="Arial" w:hAnsi="Arial"/>
                <w:sz w:val="16"/>
              </w:rPr>
            </w:pPr>
            <w:r>
              <w:rPr>
                <w:rFonts w:ascii="Arial" w:hAnsi="Arial"/>
                <w:sz w:val="16"/>
              </w:rPr>
              <w:t xml:space="preserve">Costs typically consist of acquisition, integration, and disposition related costs.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29"/>
        <w:gridCol w:w="9976"/>
      </w:tblGrid>
      <w:tr>
        <w:tc>
          <w:tcPr>
            <w:tcW w:w="229" w:type="dxa"/>
            <w:tcBorders/>
          </w:tcPr>
          <w:p>
            <w:pPr>
              <w:pStyle w:val="TableContents"/>
              <w:bidi w:val="0"/>
              <w:spacing w:before="0" w:after="283"/>
              <w:jc w:val="left"/>
            </w:pPr>
            <w:r>
              <w:t>(3) </w:t>
            </w:r>
          </w:p>
        </w:tc>
        <w:tc>
          <w:tcPr>
            <w:tcW w:w="9976" w:type="dxa"/>
            <w:tcBorders/>
          </w:tcPr>
          <w:p>
            <w:pPr>
              <w:pStyle w:val="TableContents"/>
              <w:bidi w:val="0"/>
              <w:spacing w:before="0" w:after="0"/>
              <w:jc w:val="left"/>
              <w:rPr>
                <w:rFonts w:ascii="Arial" w:hAnsi="Arial"/>
                <w:sz w:val="16"/>
              </w:rPr>
            </w:pPr>
            <w:r>
              <w:rPr>
                <w:rFonts w:ascii="Arial" w:hAnsi="Arial"/>
                <w:sz w:val="16"/>
              </w:rPr>
              <w:t xml:space="preserve">The income tax effect is calculated using the tax rate applicable for the non-GAAP adjustments.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17"/>
        <w:gridCol w:w="9988"/>
      </w:tblGrid>
      <w:tr>
        <w:tc>
          <w:tcPr>
            <w:tcW w:w="217" w:type="dxa"/>
            <w:tcBorders/>
          </w:tcPr>
          <w:p>
            <w:pPr>
              <w:pStyle w:val="TableContents"/>
              <w:bidi w:val="0"/>
              <w:spacing w:before="0" w:after="283"/>
              <w:jc w:val="left"/>
            </w:pPr>
            <w:r>
              <w:t>(4) </w:t>
            </w:r>
          </w:p>
        </w:tc>
        <w:tc>
          <w:tcPr>
            <w:tcW w:w="9988" w:type="dxa"/>
            <w:tcBorders/>
          </w:tcPr>
          <w:p>
            <w:pPr>
              <w:pStyle w:val="TableContents"/>
              <w:bidi w:val="0"/>
              <w:spacing w:before="0" w:after="0"/>
              <w:jc w:val="left"/>
              <w:rPr>
                <w:rFonts w:ascii="Arial" w:hAnsi="Arial"/>
                <w:sz w:val="16"/>
              </w:rPr>
            </w:pPr>
            <w:r>
              <w:rPr>
                <w:rFonts w:ascii="Arial" w:hAnsi="Arial"/>
                <w:sz w:val="16"/>
              </w:rPr>
              <w:t xml:space="preserve">Including amortization of capitalized cloud computing implementation costs.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19"/>
        <w:gridCol w:w="9986"/>
      </w:tblGrid>
      <w:tr>
        <w:tc>
          <w:tcPr>
            <w:tcW w:w="219" w:type="dxa"/>
            <w:tcBorders/>
          </w:tcPr>
          <w:p>
            <w:pPr>
              <w:pStyle w:val="TableContents"/>
              <w:bidi w:val="0"/>
              <w:spacing w:before="0" w:after="283"/>
              <w:jc w:val="left"/>
            </w:pPr>
            <w:r>
              <w:t>(5) </w:t>
            </w:r>
          </w:p>
        </w:tc>
        <w:tc>
          <w:tcPr>
            <w:tcW w:w="9986" w:type="dxa"/>
            <w:tcBorders/>
          </w:tcPr>
          <w:p>
            <w:pPr>
              <w:pStyle w:val="TableContents"/>
              <w:bidi w:val="0"/>
              <w:spacing w:before="0" w:after="0"/>
              <w:jc w:val="left"/>
              <w:rPr>
                <w:rFonts w:ascii="Arial" w:hAnsi="Arial"/>
                <w:sz w:val="16"/>
              </w:rPr>
            </w:pPr>
            <w:r>
              <w:rPr>
                <w:rFonts w:ascii="Arial" w:hAnsi="Arial"/>
                <w:sz w:val="16"/>
              </w:rPr>
              <w:t xml:space="preserve">For the three and six months ended September 30, 2026, “Other, net” primarily consists of unrealized foreign currency loss (gain), net. Beginning in the first quarter of fiscal year 2027, the Company excludes unrealized foreign currency loss (gain), net from Non-GAAP net income (loss) attributable to Viasat, Inc. and Adjusted EBITDA because this item reflects non-cash period-end remeasurement of foreign currency-denominated monetary assets and liabilities and is not considered by management to be indicative of core operating performance. Prior period amounts have not been revised to conform to the current presentation because the overall effect for the fiscal year was not material. For the three months ended September 30, 2026 and September 30, 2025, unrealized foreign currency loss (gain), net was a gain of $1.4 million and a gain of $0.9 million, respectively. For the six months ended September 30, 2026 and September 30, 2025, unrealized foreign currency loss (gain), net was a gain of $2.3 million and a loss of $8.8 million, respectively.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14"/>
        <w:gridCol w:w="9991"/>
      </w:tblGrid>
      <w:tr>
        <w:tc>
          <w:tcPr>
            <w:tcW w:w="214" w:type="dxa"/>
            <w:tcBorders/>
          </w:tcPr>
          <w:p>
            <w:pPr>
              <w:pStyle w:val="TableContents"/>
              <w:bidi w:val="0"/>
              <w:spacing w:before="0" w:after="283"/>
              <w:jc w:val="left"/>
            </w:pPr>
            <w:r>
              <w:t>(6) </w:t>
            </w:r>
          </w:p>
        </w:tc>
        <w:tc>
          <w:tcPr>
            <w:tcW w:w="9991" w:type="dxa"/>
            <w:tcBorders/>
          </w:tcPr>
          <w:p>
            <w:pPr>
              <w:pStyle w:val="TableContents"/>
              <w:bidi w:val="0"/>
              <w:spacing w:before="0" w:after="0"/>
              <w:jc w:val="left"/>
              <w:rPr>
                <w:rFonts w:ascii="Arial" w:hAnsi="Arial"/>
                <w:sz w:val="16"/>
              </w:rPr>
            </w:pPr>
            <w:r>
              <w:rPr>
                <w:rFonts w:ascii="Arial" w:hAnsi="Arial"/>
                <w:sz w:val="16"/>
              </w:rPr>
              <w:t xml:space="preserve">Non-GAAP net income (loss) for the three and six months ended September 30, 2025 includes unrealized foreign currency loss (gain), net, and had it been excluded, Non-GAAP net income (loss) attributable to Viasat, Inc., including the income tax effect, would have been $12.0 million and $42.3 million, respectively. See endnote (6) to the shareholder letter for a definition of Non-GAAP net income (loss).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14"/>
        <w:gridCol w:w="9991"/>
      </w:tblGrid>
      <w:tr>
        <w:tc>
          <w:tcPr>
            <w:tcW w:w="214" w:type="dxa"/>
            <w:tcBorders/>
          </w:tcPr>
          <w:p>
            <w:pPr>
              <w:pStyle w:val="TableContents"/>
              <w:bidi w:val="0"/>
              <w:spacing w:before="0" w:after="283"/>
              <w:jc w:val="left"/>
            </w:pPr>
            <w:r>
              <w:t>(7) </w:t>
            </w:r>
          </w:p>
        </w:tc>
        <w:tc>
          <w:tcPr>
            <w:tcW w:w="9991" w:type="dxa"/>
            <w:tcBorders/>
          </w:tcPr>
          <w:p>
            <w:pPr>
              <w:pStyle w:val="TableContents"/>
              <w:bidi w:val="0"/>
              <w:spacing w:before="0" w:after="0"/>
              <w:jc w:val="left"/>
              <w:rPr>
                <w:rFonts w:ascii="Arial" w:hAnsi="Arial"/>
                <w:sz w:val="16"/>
              </w:rPr>
            </w:pPr>
            <w:r>
              <w:rPr>
                <w:rFonts w:ascii="Arial" w:hAnsi="Arial"/>
                <w:sz w:val="16"/>
              </w:rPr>
              <w:t xml:space="preserve">Adjusted EBITDA for the three and six months ended September 30, 2025 includes unrealized foreign currency loss (gain), net, and had it been excluded, Adjusted EBITDA would have been $383.8 million and $801.9 million, respectively. </w:t>
            </w:r>
          </w:p>
        </w:tc>
      </w:tr>
    </w:tbl>
    <w:p>
      <w:pPr>
        <w:pStyle w:val="TextBody"/>
        <w:bidi w:val="0"/>
        <w:spacing w:before="0" w:after="0"/>
        <w:jc w:val="left"/>
      </w:pPr>
      <w:r>
        <w:t> </w:t>
      </w:r>
    </w:p>
    <w:p>
      <w:pPr>
        <w:pStyle w:val="TextBody"/>
        <w:bidi w:val="0"/>
        <w:spacing w:before="0" w:after="0"/>
        <w:jc w:val="center"/>
      </w:pPr>
      <w:r>
        <w:drawing>
          <wp:inline distT="0" distB="0" distL="0" distR="0">
            <wp:extent cx="8100060" cy="7683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100060" cy="76835"/>
                    </a:xfrm>
                    <a:prstGeom prst="rect">
                      <a:avLst/>
                    </a:prstGeom>
                  </pic:spPr>
                </pic:pic>
              </a:graphicData>
            </a:graphic>
          </wp:inline>
        </w:drawing>
      </w:r>
      <w:r>
        <w:t xml:space="preserve"> </w:t>
      </w:r>
    </w:p>
    <w:p>
      <w:pPr>
        <w:pStyle w:val="TextBody"/>
        <w:bidi w:val="0"/>
        <w:spacing w:before="40" w:after="0"/>
        <w:jc w:val="right"/>
        <w:rPr>
          <w:rFonts w:ascii="Arial" w:hAnsi="Arial"/>
          <w:sz w:val="14"/>
        </w:rPr>
      </w:pPr>
      <w:r>
        <w:rPr>
          <w:rFonts w:ascii="Arial" w:hAnsi="Arial"/>
          <w:sz w:val="14"/>
        </w:rPr>
        <w:t xml:space="preserve">Shareholder Letter | Q2 Fiscal Year 2027   12 </w:t>
      </w:r>
      <w:r>
        <w:br w:type="page"/>
      </w:r>
    </w:p>
    <w:p>
      <w:pPr>
        <w:pStyle w:val="HorizontalLine"/>
        <w:pBdr>
          <w:bottom w:val="double" w:sz="6" w:space="0" w:color="808080"/>
        </w:pBdr>
        <w:bidi w:val="0"/>
        <w:jc w:val="left"/>
      </w:pPr>
      <w:r/>
    </w:p>
    <w:p>
      <w:pPr>
        <w:pStyle w:val="TextBody"/>
        <w:bidi w:val="0"/>
        <w:spacing w:before="0" w:after="0"/>
        <w:jc w:val="left"/>
        <w:rPr>
          <w:rFonts w:ascii="Arial" w:hAnsi="Arial"/>
          <w:sz w:val="40"/>
        </w:rPr>
      </w:pPr>
      <w:r>
        <w:rPr>
          <w:rFonts w:ascii="Arial" w:hAnsi="Arial"/>
          <w:sz w:val="40"/>
        </w:rPr>
        <w:t xml:space="preserve">Second Quarter Fiscal Year 2027 Results (cont.) </w:t>
      </w:r>
    </w:p>
    <w:p>
      <w:pPr>
        <w:pStyle w:val="TextBody"/>
        <w:bidi w:val="0"/>
        <w:spacing w:before="0" w:after="0"/>
        <w:jc w:val="left"/>
      </w:pPr>
      <w:r>
        <w:t> </w:t>
      </w:r>
    </w:p>
    <w:p>
      <w:pPr>
        <w:pStyle w:val="TextBody"/>
        <w:bidi w:val="0"/>
        <w:spacing w:before="0" w:after="0"/>
        <w:jc w:val="left"/>
        <w:rPr>
          <w:rFonts w:ascii="Arial" w:hAnsi="Arial"/>
          <w:b/>
          <w:sz w:val="16"/>
        </w:rPr>
      </w:pPr>
      <w:r>
        <w:rPr>
          <w:rFonts w:ascii="Arial" w:hAnsi="Arial"/>
          <w:b/>
          <w:sz w:val="16"/>
        </w:rPr>
        <w:t xml:space="preserve">AN ITEMIZED RECONCILIATION BETWEEN SEGMENT OPERATING PROFIT (LOSS) BEFORE CORPORATE  </w:t>
      </w:r>
    </w:p>
    <w:p>
      <w:pPr>
        <w:pStyle w:val="TextBody"/>
        <w:bidi w:val="0"/>
        <w:spacing w:before="0" w:after="0"/>
        <w:jc w:val="left"/>
        <w:rPr>
          <w:rFonts w:ascii="Arial" w:hAnsi="Arial"/>
          <w:b/>
          <w:sz w:val="16"/>
        </w:rPr>
      </w:pPr>
      <w:r>
        <w:rPr>
          <w:rFonts w:ascii="Arial" w:hAnsi="Arial"/>
          <w:b/>
          <w:sz w:val="16"/>
        </w:rPr>
        <w:t xml:space="preserve">AND ADJUSTED EBITDA IS AS FOLLOWS:  </w:t>
      </w:r>
    </w:p>
    <w:p>
      <w:pPr>
        <w:pStyle w:val="TextBody"/>
        <w:bidi w:val="0"/>
        <w:spacing w:before="0" w:after="0"/>
        <w:jc w:val="left"/>
        <w:rPr>
          <w:rFonts w:ascii="Arial" w:hAnsi="Arial"/>
          <w:b/>
          <w:sz w:val="16"/>
        </w:rPr>
      </w:pPr>
      <w:r>
        <w:rPr>
          <w:rFonts w:ascii="Arial" w:hAnsi="Arial"/>
          <w:b/>
          <w:sz w:val="16"/>
        </w:rPr>
        <w:t xml:space="preserve">(Unaudited)  </w:t>
      </w:r>
    </w:p>
    <w:p>
      <w:pPr>
        <w:pStyle w:val="TextBody"/>
        <w:bidi w:val="0"/>
        <w:spacing w:before="0" w:after="0"/>
        <w:jc w:val="left"/>
        <w:rPr>
          <w:rFonts w:ascii="Arial" w:hAnsi="Arial"/>
          <w:b/>
          <w:sz w:val="16"/>
        </w:rPr>
      </w:pPr>
      <w:r>
        <w:rPr>
          <w:rFonts w:ascii="Arial" w:hAnsi="Arial"/>
          <w:b/>
          <w:sz w:val="16"/>
        </w:rPr>
        <w:t xml:space="preserve">(In thousands)  </w:t>
      </w:r>
    </w:p>
    <w:p>
      <w:pPr>
        <w:pStyle w:val="TextBody"/>
        <w:bidi w:val="0"/>
        <w:spacing w:before="0" w:after="0"/>
        <w:jc w:val="left"/>
      </w:pPr>
      <w:r>
        <w:t> </w:t>
      </w:r>
    </w:p>
    <w:tbl>
      <w:tblPr>
        <w:tblW w:w="13115" w:type="dxa"/>
        <w:jc w:val="center"/>
        <w:tblInd w:w="0" w:type="dxa"/>
        <w:tblLayout w:type="fixed"/>
        <w:tblCellMar>
          <w:top w:w="0" w:type="dxa"/>
          <w:left w:w="0" w:type="dxa"/>
          <w:bottom w:w="0" w:type="dxa"/>
          <w:right w:w="0" w:type="dxa"/>
        </w:tblCellMar>
      </w:tblPr>
      <w:tblGrid>
        <w:gridCol w:w="1115"/>
        <w:gridCol w:w="120"/>
        <w:gridCol w:w="155"/>
        <w:gridCol w:w="1620"/>
        <w:gridCol w:w="155"/>
        <w:gridCol w:w="60"/>
        <w:gridCol w:w="155"/>
        <w:gridCol w:w="1620"/>
        <w:gridCol w:w="155"/>
        <w:gridCol w:w="60"/>
        <w:gridCol w:w="155"/>
        <w:gridCol w:w="1620"/>
        <w:gridCol w:w="155"/>
        <w:gridCol w:w="60"/>
        <w:gridCol w:w="155"/>
        <w:gridCol w:w="1620"/>
        <w:gridCol w:w="155"/>
        <w:gridCol w:w="60"/>
        <w:gridCol w:w="155"/>
        <w:gridCol w:w="1620"/>
        <w:gridCol w:w="155"/>
        <w:gridCol w:w="60"/>
        <w:gridCol w:w="155"/>
        <w:gridCol w:w="1620"/>
        <w:gridCol w:w="155"/>
      </w:tblGrid>
      <w:t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pPr>
            <w:r>
              <w:t>$</w:t>
            </w:r>
          </w:p>
        </w:tc>
        <w:tc>
          <w:tcPr>
            <w:tcW w:w="1620" w:type="dxa"/>
            <w:tcBorders/>
            <w:vAlign w:val="center"/>
          </w:tcPr>
          <w:p>
            <w:pPr>
              <w:pStyle w:val="TableContents"/>
              <w:bidi w:val="0"/>
              <w:spacing w:before="0" w:after="283"/>
              <w:jc w:val="left"/>
            </w:pPr>
            <w: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pPr>
            <w:r>
              <w:t>$</w:t>
            </w:r>
          </w:p>
        </w:tc>
        <w:tc>
          <w:tcPr>
            <w:tcW w:w="1620" w:type="dxa"/>
            <w:tcBorders/>
            <w:vAlign w:val="center"/>
          </w:tcPr>
          <w:p>
            <w:pPr>
              <w:pStyle w:val="TableContents"/>
              <w:bidi w:val="0"/>
              <w:spacing w:before="0" w:after="283"/>
              <w:jc w:val="left"/>
            </w:pPr>
            <w: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pPr>
            <w:r>
              <w:t>$</w:t>
            </w:r>
          </w:p>
        </w:tc>
        <w:tc>
          <w:tcPr>
            <w:tcW w:w="1620" w:type="dxa"/>
            <w:tcBorders/>
            <w:vAlign w:val="center"/>
          </w:tcPr>
          <w:p>
            <w:pPr>
              <w:pStyle w:val="TableContents"/>
              <w:bidi w:val="0"/>
              <w:spacing w:before="0" w:after="283"/>
              <w:jc w:val="left"/>
            </w:pPr>
            <w: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pPr>
            <w:r>
              <w:t>$</w:t>
            </w:r>
          </w:p>
        </w:tc>
        <w:tc>
          <w:tcPr>
            <w:tcW w:w="1620" w:type="dxa"/>
            <w:tcBorders/>
            <w:vAlign w:val="center"/>
          </w:tcPr>
          <w:p>
            <w:pPr>
              <w:pStyle w:val="TableContents"/>
              <w:bidi w:val="0"/>
              <w:spacing w:before="0" w:after="283"/>
              <w:jc w:val="left"/>
            </w:pPr>
            <w: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pPr>
            <w:r>
              <w:t>$</w:t>
            </w:r>
          </w:p>
        </w:tc>
        <w:tc>
          <w:tcPr>
            <w:tcW w:w="1620" w:type="dxa"/>
            <w:tcBorders/>
            <w:vAlign w:val="center"/>
          </w:tcPr>
          <w:p>
            <w:pPr>
              <w:pStyle w:val="TableContents"/>
              <w:bidi w:val="0"/>
              <w:spacing w:before="0" w:after="283"/>
              <w:jc w:val="left"/>
            </w:pPr>
            <w: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pPr>
            <w:r>
              <w:t>$</w:t>
            </w:r>
          </w:p>
        </w:tc>
        <w:tc>
          <w:tcPr>
            <w:tcW w:w="1620" w:type="dxa"/>
            <w:tcBorders/>
            <w:vAlign w:val="center"/>
          </w:tcPr>
          <w:p>
            <w:pPr>
              <w:pStyle w:val="TableContents"/>
              <w:bidi w:val="0"/>
              <w:spacing w:before="0" w:after="283"/>
              <w:jc w:val="left"/>
            </w:pPr>
            <w:r>
              <w:t>                           </w:t>
            </w:r>
          </w:p>
        </w:tc>
        <w:tc>
          <w:tcPr>
            <w:tcW w:w="155" w:type="dxa"/>
            <w:tcBorders/>
            <w:vAlign w:val="center"/>
          </w:tcPr>
          <w:p>
            <w:pPr>
              <w:pStyle w:val="TableContents"/>
              <w:bidi w:val="0"/>
              <w:spacing w:before="0" w:after="283"/>
              <w:jc w:val="left"/>
              <w:rPr>
                <w:sz w:val="4"/>
                <w:szCs w:val="4"/>
              </w:rPr>
            </w:pPr>
            <w:r>
              <w:rPr>
                <w:sz w:val="4"/>
                <w:szCs w:val="4"/>
              </w:rPr>
            </w:r>
          </w:p>
        </w:tc>
      </w:tr>
      <w:tr>
        <w:tc>
          <w:tcPr>
            <w:tcW w:w="1115"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5910" w:type="dxa"/>
            <w:gridSpan w:val="11"/>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Three months ended September 30, 2026</w:t>
            </w:r>
          </w:p>
        </w:tc>
        <w:tc>
          <w:tcPr>
            <w:tcW w:w="60" w:type="dxa"/>
            <w:tcBorders/>
            <w:vAlign w:val="bottom"/>
          </w:tcPr>
          <w:p>
            <w:pPr>
              <w:pStyle w:val="TableContents"/>
              <w:bidi w:val="0"/>
              <w:spacing w:before="0" w:after="283"/>
              <w:jc w:val="left"/>
            </w:pPr>
            <w:r>
              <w:t> </w:t>
            </w:r>
          </w:p>
        </w:tc>
        <w:tc>
          <w:tcPr>
            <w:tcW w:w="5910" w:type="dxa"/>
            <w:gridSpan w:val="11"/>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Three months ended September 30, 2025</w:t>
            </w:r>
          </w:p>
        </w:tc>
      </w:tr>
      <w:tr>
        <w:tc>
          <w:tcPr>
            <w:tcW w:w="1115"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930" w:type="dxa"/>
            <w:gridSpan w:val="3"/>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Communication</w:t>
              <w:br/>
              <w:t>Services</w:t>
              <w:br/>
              <w:t>Segment</w:t>
            </w:r>
          </w:p>
        </w:tc>
        <w:tc>
          <w:tcPr>
            <w:tcW w:w="60" w:type="dxa"/>
            <w:tcBorders/>
            <w:vAlign w:val="bottom"/>
          </w:tcPr>
          <w:p>
            <w:pPr>
              <w:pStyle w:val="TableContents"/>
              <w:bidi w:val="0"/>
              <w:spacing w:before="0" w:after="283"/>
              <w:jc w:val="left"/>
            </w:pPr>
            <w:r>
              <w:t> </w:t>
            </w:r>
          </w:p>
        </w:tc>
        <w:tc>
          <w:tcPr>
            <w:tcW w:w="1930" w:type="dxa"/>
            <w:gridSpan w:val="3"/>
            <w:tcBorders>
              <w:bottom w:val="single" w:sz="8" w:space="0" w:color="000000"/>
            </w:tcBorders>
            <w:tcMar>
              <w:bottom w:w="28" w:type="dxa"/>
            </w:tcMar>
            <w:vAlign w:val="bottom"/>
          </w:tcPr>
          <w:p>
            <w:pPr>
              <w:pStyle w:val="TableContents"/>
              <w:bidi w:val="0"/>
              <w:spacing w:before="0" w:after="283"/>
              <w:jc w:val="center"/>
            </w:pPr>
            <w:r>
              <w:rPr>
                <w:rFonts w:ascii="Arial" w:hAnsi="Arial"/>
                <w:b/>
              </w:rPr>
              <w:t>Defense and</w:t>
              <w:br/>
              <w:t>Advanced</w:t>
              <w:br/>
              <w:t> Technologies </w:t>
            </w:r>
            <w:r>
              <w:br/>
            </w:r>
            <w:r>
              <w:rPr>
                <w:rFonts w:ascii="Arial" w:hAnsi="Arial"/>
                <w:b/>
              </w:rPr>
              <w:t>Segment</w:t>
            </w:r>
          </w:p>
        </w:tc>
        <w:tc>
          <w:tcPr>
            <w:tcW w:w="60" w:type="dxa"/>
            <w:tcBorders/>
            <w:vAlign w:val="bottom"/>
          </w:tcPr>
          <w:p>
            <w:pPr>
              <w:pStyle w:val="TableContents"/>
              <w:bidi w:val="0"/>
              <w:spacing w:before="0" w:after="283"/>
              <w:jc w:val="left"/>
            </w:pPr>
            <w:r>
              <w:t> </w:t>
            </w:r>
          </w:p>
        </w:tc>
        <w:tc>
          <w:tcPr>
            <w:tcW w:w="1930" w:type="dxa"/>
            <w:gridSpan w:val="3"/>
            <w:tcBorders>
              <w:bottom w:val="single" w:sz="8" w:space="0" w:color="000000"/>
            </w:tcBorders>
            <w:tcMar>
              <w:bottom w:w="28" w:type="dxa"/>
            </w:tcMar>
            <w:vAlign w:val="bottom"/>
          </w:tcPr>
          <w:p>
            <w:pPr>
              <w:pStyle w:val="TableContents"/>
              <w:bidi w:val="0"/>
              <w:spacing w:before="0" w:after="283"/>
              <w:jc w:val="center"/>
            </w:pPr>
            <w:r>
              <w:t> </w:t>
            </w:r>
            <w:r>
              <w:rPr>
                <w:rFonts w:ascii="Arial" w:hAnsi="Arial"/>
                <w:b/>
              </w:rPr>
              <w:t>Total </w:t>
            </w:r>
          </w:p>
        </w:tc>
        <w:tc>
          <w:tcPr>
            <w:tcW w:w="60" w:type="dxa"/>
            <w:tcBorders/>
            <w:vAlign w:val="bottom"/>
          </w:tcPr>
          <w:p>
            <w:pPr>
              <w:pStyle w:val="TableContents"/>
              <w:bidi w:val="0"/>
              <w:spacing w:before="0" w:after="283"/>
              <w:jc w:val="left"/>
            </w:pPr>
            <w:r>
              <w:t> </w:t>
            </w:r>
          </w:p>
        </w:tc>
        <w:tc>
          <w:tcPr>
            <w:tcW w:w="1930" w:type="dxa"/>
            <w:gridSpan w:val="3"/>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Communication</w:t>
              <w:br/>
              <w:t>Services</w:t>
              <w:br/>
              <w:t>Segment</w:t>
            </w:r>
          </w:p>
        </w:tc>
        <w:tc>
          <w:tcPr>
            <w:tcW w:w="60" w:type="dxa"/>
            <w:tcBorders/>
            <w:vAlign w:val="bottom"/>
          </w:tcPr>
          <w:p>
            <w:pPr>
              <w:pStyle w:val="TableContents"/>
              <w:bidi w:val="0"/>
              <w:spacing w:before="0" w:after="283"/>
              <w:jc w:val="left"/>
            </w:pPr>
            <w:r>
              <w:t> </w:t>
            </w:r>
          </w:p>
        </w:tc>
        <w:tc>
          <w:tcPr>
            <w:tcW w:w="1930" w:type="dxa"/>
            <w:gridSpan w:val="3"/>
            <w:tcBorders>
              <w:bottom w:val="single" w:sz="8" w:space="0" w:color="000000"/>
            </w:tcBorders>
            <w:tcMar>
              <w:bottom w:w="28" w:type="dxa"/>
            </w:tcMar>
            <w:vAlign w:val="bottom"/>
          </w:tcPr>
          <w:p>
            <w:pPr>
              <w:pStyle w:val="TableContents"/>
              <w:bidi w:val="0"/>
              <w:spacing w:before="0" w:after="283"/>
              <w:jc w:val="center"/>
            </w:pPr>
            <w:r>
              <w:rPr>
                <w:rFonts w:ascii="Arial" w:hAnsi="Arial"/>
                <w:b/>
              </w:rPr>
              <w:t>Defense and</w:t>
              <w:br/>
              <w:t>Advanced</w:t>
              <w:br/>
              <w:t> Technologies </w:t>
            </w:r>
            <w:r>
              <w:br/>
            </w:r>
            <w:r>
              <w:rPr>
                <w:rFonts w:ascii="Arial" w:hAnsi="Arial"/>
                <w:b/>
              </w:rPr>
              <w:t>Segment</w:t>
            </w:r>
          </w:p>
        </w:tc>
        <w:tc>
          <w:tcPr>
            <w:tcW w:w="60" w:type="dxa"/>
            <w:tcBorders/>
            <w:vAlign w:val="bottom"/>
          </w:tcPr>
          <w:p>
            <w:pPr>
              <w:pStyle w:val="TableContents"/>
              <w:bidi w:val="0"/>
              <w:spacing w:before="0" w:after="283"/>
              <w:jc w:val="left"/>
            </w:pPr>
            <w:r>
              <w:t> </w:t>
            </w:r>
          </w:p>
        </w:tc>
        <w:tc>
          <w:tcPr>
            <w:tcW w:w="1930" w:type="dxa"/>
            <w:gridSpan w:val="3"/>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Total</w:t>
            </w:r>
          </w:p>
        </w:tc>
      </w:tr>
      <w:tr>
        <w:tc>
          <w:tcPr>
            <w:tcW w:w="1115" w:type="dxa"/>
            <w:tcBorders/>
          </w:tcPr>
          <w:p>
            <w:pPr>
              <w:pStyle w:val="TableContents"/>
              <w:bidi w:val="0"/>
              <w:spacing w:before="0" w:after="0"/>
              <w:jc w:val="left"/>
              <w:rPr>
                <w:rFonts w:ascii="Arial" w:hAnsi="Arial"/>
                <w:sz w:val="16"/>
              </w:rPr>
            </w:pPr>
            <w:r>
              <w:rPr>
                <w:rFonts w:ascii="Arial" w:hAnsi="Arial"/>
                <w:sz w:val="16"/>
              </w:rPr>
              <w:t>Segment operating profit (loss) before corporate</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23,539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48,617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72,156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71,385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29,459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100,844</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Depreciation (8)</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234,762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13,754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248,516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240,219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12,451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252,670</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Stock-based compensation expense</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19,128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15,040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34,168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12,490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7,632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20,122</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Other than acquired intangible assets amortization (4)</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15,172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6,684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21,856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4,739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6,650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11,389</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Acquisition and transaction related expenses (2)</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2,184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949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3,133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3,480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1,600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5,080</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Equity in income (loss) of unconsolidated affiliates, net</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263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263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4,222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4,222</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Noncontrolling interest and other (9)</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(980</w:t>
            </w:r>
          </w:p>
        </w:tc>
        <w:tc>
          <w:tcPr>
            <w:tcW w:w="155" w:type="dxa"/>
            <w:tcBorders/>
            <w:vAlign w:val="bottom"/>
          </w:tcPr>
          <w:p>
            <w:pPr>
              <w:pStyle w:val="TableContents"/>
              <w:bidi w:val="0"/>
              <w:spacing w:before="0" w:after="283"/>
              <w:jc w:val="left"/>
              <w:rPr>
                <w:rFonts w:ascii="Arial" w:hAnsi="Arial"/>
              </w:rPr>
            </w:pPr>
            <w:r>
              <w:rPr>
                <w:rFonts w:ascii="Arial" w:hAnsi="Arial"/>
              </w:rP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(9,185</w:t>
            </w:r>
          </w:p>
        </w:tc>
        <w:tc>
          <w:tcPr>
            <w:tcW w:w="155" w:type="dxa"/>
            <w:tcBorders/>
            <w:vAlign w:val="bottom"/>
          </w:tcPr>
          <w:p>
            <w:pPr>
              <w:pStyle w:val="TableContents"/>
              <w:bidi w:val="0"/>
              <w:spacing w:before="0" w:after="283"/>
              <w:jc w:val="left"/>
              <w:rPr>
                <w:rFonts w:ascii="Arial" w:hAnsi="Arial"/>
              </w:rPr>
            </w:pPr>
            <w:r>
              <w:rPr>
                <w:rFonts w:ascii="Arial" w:hAnsi="Arial"/>
              </w:rP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(10,165</w:t>
            </w:r>
          </w:p>
        </w:tc>
        <w:tc>
          <w:tcPr>
            <w:tcW w:w="155" w:type="dxa"/>
            <w:tcBorders/>
            <w:vAlign w:val="bottom"/>
          </w:tcPr>
          <w:p>
            <w:pPr>
              <w:pStyle w:val="TableContents"/>
              <w:bidi w:val="0"/>
              <w:spacing w:before="0" w:after="283"/>
              <w:jc w:val="left"/>
              <w:rPr>
                <w:rFonts w:ascii="Arial" w:hAnsi="Arial"/>
              </w:rPr>
            </w:pPr>
            <w:r>
              <w:rPr>
                <w:rFonts w:ascii="Arial" w:hAnsi="Arial"/>
              </w:rP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(30</w:t>
            </w:r>
          </w:p>
        </w:tc>
        <w:tc>
          <w:tcPr>
            <w:tcW w:w="155" w:type="dxa"/>
            <w:tcBorders/>
            <w:vAlign w:val="bottom"/>
          </w:tcPr>
          <w:p>
            <w:pPr>
              <w:pStyle w:val="TableContents"/>
              <w:bidi w:val="0"/>
              <w:spacing w:before="0" w:after="283"/>
              <w:jc w:val="left"/>
              <w:rPr>
                <w:rFonts w:ascii="Arial" w:hAnsi="Arial"/>
              </w:rPr>
            </w:pPr>
            <w:r>
              <w:rPr>
                <w:rFonts w:ascii="Arial" w:hAnsi="Arial"/>
              </w:rP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(9,587</w:t>
            </w:r>
          </w:p>
        </w:tc>
        <w:tc>
          <w:tcPr>
            <w:tcW w:w="155" w:type="dxa"/>
            <w:tcBorders/>
            <w:vAlign w:val="bottom"/>
          </w:tcPr>
          <w:p>
            <w:pPr>
              <w:pStyle w:val="TableContents"/>
              <w:bidi w:val="0"/>
              <w:spacing w:before="0" w:after="283"/>
              <w:jc w:val="left"/>
              <w:rPr>
                <w:rFonts w:ascii="Arial" w:hAnsi="Arial"/>
              </w:rPr>
            </w:pPr>
            <w:r>
              <w:rPr>
                <w:rFonts w:ascii="Arial" w:hAnsi="Arial"/>
              </w:rP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(9,617</w:t>
            </w:r>
          </w:p>
        </w:tc>
        <w:tc>
          <w:tcPr>
            <w:tcW w:w="155" w:type="dxa"/>
            <w:tcBorders/>
            <w:vAlign w:val="bottom"/>
          </w:tcPr>
          <w:p>
            <w:pPr>
              <w:pStyle w:val="TableContents"/>
              <w:bidi w:val="0"/>
              <w:spacing w:before="0" w:after="283"/>
              <w:jc w:val="left"/>
              <w:rPr>
                <w:rFonts w:ascii="Arial" w:hAnsi="Arial"/>
              </w:rPr>
            </w:pPr>
            <w:r>
              <w:rPr>
                <w:rFonts w:ascii="Arial" w:hAnsi="Arial"/>
              </w:rPr>
              <w:t>) </w:t>
            </w:r>
          </w:p>
        </w:tc>
      </w:tr>
      <w:tr>
        <w:tc>
          <w:tcPr>
            <w:tcW w:w="11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1620" w:type="dxa"/>
            <w:tcBorders/>
            <w:vAlign w:val="bottom"/>
          </w:tcPr>
          <w:p>
            <w:pPr>
              <w:pStyle w:val="TableContents"/>
              <w:pBdr>
                <w:top w:val="single" w:sz="2" w:space="1" w:color="000000"/>
              </w:pBdr>
              <w:bidi w:val="0"/>
              <w:spacing w:before="0" w:after="0"/>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1620" w:type="dxa"/>
            <w:tcBorders/>
            <w:vAlign w:val="bottom"/>
          </w:tcPr>
          <w:p>
            <w:pPr>
              <w:pStyle w:val="TableContents"/>
              <w:pBdr>
                <w:top w:val="single" w:sz="2" w:space="1" w:color="000000"/>
              </w:pBdr>
              <w:bidi w:val="0"/>
              <w:spacing w:before="0" w:after="0"/>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1620" w:type="dxa"/>
            <w:tcBorders/>
            <w:vAlign w:val="bottom"/>
          </w:tcPr>
          <w:p>
            <w:pPr>
              <w:pStyle w:val="TableContents"/>
              <w:pBdr>
                <w:top w:val="single" w:sz="2" w:space="1" w:color="000000"/>
              </w:pBdr>
              <w:bidi w:val="0"/>
              <w:spacing w:before="0" w:after="0"/>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1620" w:type="dxa"/>
            <w:tcBorders/>
            <w:vAlign w:val="bottom"/>
          </w:tcPr>
          <w:p>
            <w:pPr>
              <w:pStyle w:val="TableContents"/>
              <w:pBdr>
                <w:top w:val="single" w:sz="2" w:space="1" w:color="000000"/>
              </w:pBdr>
              <w:bidi w:val="0"/>
              <w:spacing w:before="0" w:after="0"/>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1620" w:type="dxa"/>
            <w:tcBorders/>
            <w:vAlign w:val="bottom"/>
          </w:tcPr>
          <w:p>
            <w:pPr>
              <w:pStyle w:val="TableContents"/>
              <w:pBdr>
                <w:top w:val="single" w:sz="2" w:space="1" w:color="000000"/>
              </w:pBdr>
              <w:bidi w:val="0"/>
              <w:spacing w:before="0" w:after="0"/>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1620" w:type="dxa"/>
            <w:tcBorders/>
            <w:vAlign w:val="bottom"/>
          </w:tcPr>
          <w:p>
            <w:pPr>
              <w:pStyle w:val="TableContents"/>
              <w:pBdr>
                <w:top w:val="single" w:sz="2" w:space="1" w:color="000000"/>
              </w:pBdr>
              <w:bidi w:val="0"/>
              <w:spacing w:before="0" w:after="0"/>
              <w:jc w:val="left"/>
            </w:pPr>
            <w:r>
              <w:t> </w:t>
            </w:r>
          </w:p>
        </w:tc>
        <w:tc>
          <w:tcPr>
            <w:tcW w:w="155" w:type="dxa"/>
            <w:tcBorders/>
            <w:vAlign w:val="bottom"/>
          </w:tcPr>
          <w:p>
            <w:pPr>
              <w:pStyle w:val="TableContents"/>
              <w:pBdr>
                <w:top w:val="single" w:sz="2" w:space="1" w:color="000000"/>
              </w:pBdr>
              <w:bidi w:val="0"/>
              <w:spacing w:before="0" w:after="0"/>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Adjusted EBITDA (10)</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294,068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75,859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369,927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336,505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48,205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384,710</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1620" w:type="dxa"/>
            <w:tcBorders/>
            <w:vAlign w:val="bottom"/>
          </w:tcPr>
          <w:p>
            <w:pPr>
              <w:pStyle w:val="TableContents"/>
              <w:pBdr>
                <w:top w:val="double" w:sz="6" w:space="1" w:color="000000"/>
              </w:pBdr>
              <w:bidi w:val="0"/>
              <w:spacing w:before="0" w:after="0"/>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1620" w:type="dxa"/>
            <w:tcBorders/>
            <w:vAlign w:val="bottom"/>
          </w:tcPr>
          <w:p>
            <w:pPr>
              <w:pStyle w:val="TableContents"/>
              <w:pBdr>
                <w:top w:val="double" w:sz="6" w:space="1" w:color="000000"/>
              </w:pBdr>
              <w:bidi w:val="0"/>
              <w:spacing w:before="0" w:after="0"/>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1620" w:type="dxa"/>
            <w:tcBorders/>
            <w:vAlign w:val="bottom"/>
          </w:tcPr>
          <w:p>
            <w:pPr>
              <w:pStyle w:val="TableContents"/>
              <w:pBdr>
                <w:top w:val="double" w:sz="6" w:space="1" w:color="000000"/>
              </w:pBdr>
              <w:bidi w:val="0"/>
              <w:spacing w:before="0" w:after="0"/>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1620" w:type="dxa"/>
            <w:tcBorders/>
            <w:vAlign w:val="bottom"/>
          </w:tcPr>
          <w:p>
            <w:pPr>
              <w:pStyle w:val="TableContents"/>
              <w:pBdr>
                <w:top w:val="double" w:sz="6" w:space="1" w:color="000000"/>
              </w:pBdr>
              <w:bidi w:val="0"/>
              <w:spacing w:before="0" w:after="0"/>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1620" w:type="dxa"/>
            <w:tcBorders/>
            <w:vAlign w:val="bottom"/>
          </w:tcPr>
          <w:p>
            <w:pPr>
              <w:pStyle w:val="TableContents"/>
              <w:pBdr>
                <w:top w:val="double" w:sz="6" w:space="1" w:color="000000"/>
              </w:pBdr>
              <w:bidi w:val="0"/>
              <w:spacing w:before="0" w:after="0"/>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1620" w:type="dxa"/>
            <w:tcBorders/>
            <w:vAlign w:val="bottom"/>
          </w:tcPr>
          <w:p>
            <w:pPr>
              <w:pStyle w:val="TableContents"/>
              <w:pBdr>
                <w:top w:val="double" w:sz="6" w:space="1" w:color="000000"/>
              </w:pBdr>
              <w:bidi w:val="0"/>
              <w:spacing w:before="0" w:after="0"/>
              <w:jc w:val="left"/>
            </w:pPr>
            <w:r>
              <w:t> </w:t>
            </w:r>
          </w:p>
        </w:tc>
        <w:tc>
          <w:tcPr>
            <w:tcW w:w="155" w:type="dxa"/>
            <w:tcBorders/>
            <w:vAlign w:val="bottom"/>
          </w:tcPr>
          <w:p>
            <w:pPr>
              <w:pStyle w:val="TableContents"/>
              <w:pBdr>
                <w:top w:val="double" w:sz="6" w:space="1" w:color="000000"/>
              </w:pBdr>
              <w:bidi w:val="0"/>
              <w:spacing w:before="0" w:after="0"/>
              <w:jc w:val="left"/>
            </w:pPr>
            <w:r>
              <w:t> </w:t>
            </w:r>
          </w:p>
        </w:tc>
      </w:tr>
      <w:tr>
        <w:trPr>
          <w:trHeight w:val="240" w:hRule="atLeast"/>
        </w:trPr>
        <w:tc>
          <w:tcPr>
            <w:tcW w:w="1115" w:type="dxa"/>
            <w:tcBorders/>
            <w:vAlign w:val="center"/>
          </w:tcPr>
          <w:p>
            <w:pPr>
              <w:pStyle w:val="TableContents"/>
              <w:bidi w:val="0"/>
              <w:spacing w:before="0" w:after="283"/>
              <w:jc w:val="left"/>
              <w:rPr>
                <w:sz w:val="4"/>
                <w:szCs w:val="4"/>
              </w:rPr>
            </w:pPr>
            <w:r>
              <w:rPr>
                <w:sz w:val="4"/>
                <w:szCs w:val="4"/>
              </w:rPr>
            </w:r>
          </w:p>
        </w:tc>
        <w:tc>
          <w:tcPr>
            <w:tcW w:w="6030" w:type="dxa"/>
            <w:gridSpan w:val="12"/>
            <w:tcBorders/>
            <w:vAlign w:val="center"/>
          </w:tcPr>
          <w:p>
            <w:pPr>
              <w:pStyle w:val="TableContents"/>
              <w:bidi w:val="0"/>
              <w:spacing w:before="0" w:after="283"/>
              <w:jc w:val="left"/>
              <w:rPr>
                <w:sz w:val="4"/>
                <w:szCs w:val="4"/>
              </w:rPr>
            </w:pPr>
            <w:r>
              <w:rPr>
                <w:sz w:val="4"/>
                <w:szCs w:val="4"/>
              </w:rPr>
            </w:r>
          </w:p>
        </w:tc>
        <w:tc>
          <w:tcPr>
            <w:tcW w:w="5970" w:type="dxa"/>
            <w:gridSpan w:val="12"/>
            <w:tcBorders/>
            <w:vAlign w:val="center"/>
          </w:tcPr>
          <w:p>
            <w:pPr>
              <w:pStyle w:val="TableContents"/>
              <w:bidi w:val="0"/>
              <w:spacing w:before="0" w:after="283"/>
              <w:jc w:val="left"/>
              <w:rPr>
                <w:sz w:val="4"/>
                <w:szCs w:val="4"/>
              </w:rPr>
            </w:pPr>
            <w:r>
              <w:rPr>
                <w:sz w:val="4"/>
                <w:szCs w:val="4"/>
              </w:rPr>
            </w:r>
          </w:p>
        </w:tc>
      </w:tr>
      <w:tr>
        <w:tc>
          <w:tcPr>
            <w:tcW w:w="1115"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5910" w:type="dxa"/>
            <w:gridSpan w:val="11"/>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Six months ended September 30, 2026</w:t>
            </w:r>
          </w:p>
        </w:tc>
        <w:tc>
          <w:tcPr>
            <w:tcW w:w="60" w:type="dxa"/>
            <w:tcBorders/>
            <w:vAlign w:val="bottom"/>
          </w:tcPr>
          <w:p>
            <w:pPr>
              <w:pStyle w:val="TableContents"/>
              <w:bidi w:val="0"/>
              <w:spacing w:before="0" w:after="283"/>
              <w:jc w:val="left"/>
            </w:pPr>
            <w:r>
              <w:t> </w:t>
            </w:r>
          </w:p>
        </w:tc>
        <w:tc>
          <w:tcPr>
            <w:tcW w:w="5910" w:type="dxa"/>
            <w:gridSpan w:val="11"/>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Six months ended September 30, 2025</w:t>
            </w:r>
          </w:p>
        </w:tc>
      </w:tr>
      <w:tr>
        <w:tc>
          <w:tcPr>
            <w:tcW w:w="1115"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930" w:type="dxa"/>
            <w:gridSpan w:val="3"/>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Communication</w:t>
              <w:br/>
              <w:t>Services</w:t>
              <w:br/>
              <w:t>Segment</w:t>
            </w:r>
          </w:p>
        </w:tc>
        <w:tc>
          <w:tcPr>
            <w:tcW w:w="60" w:type="dxa"/>
            <w:tcBorders/>
            <w:vAlign w:val="bottom"/>
          </w:tcPr>
          <w:p>
            <w:pPr>
              <w:pStyle w:val="TableContents"/>
              <w:bidi w:val="0"/>
              <w:spacing w:before="0" w:after="283"/>
              <w:jc w:val="left"/>
            </w:pPr>
            <w:r>
              <w:t> </w:t>
            </w:r>
          </w:p>
        </w:tc>
        <w:tc>
          <w:tcPr>
            <w:tcW w:w="1930" w:type="dxa"/>
            <w:gridSpan w:val="3"/>
            <w:tcBorders>
              <w:bottom w:val="single" w:sz="8" w:space="0" w:color="000000"/>
            </w:tcBorders>
            <w:tcMar>
              <w:bottom w:w="28" w:type="dxa"/>
            </w:tcMar>
            <w:vAlign w:val="bottom"/>
          </w:tcPr>
          <w:p>
            <w:pPr>
              <w:pStyle w:val="TableContents"/>
              <w:bidi w:val="0"/>
              <w:spacing w:before="0" w:after="283"/>
              <w:jc w:val="center"/>
            </w:pPr>
            <w:r>
              <w:rPr>
                <w:rFonts w:ascii="Arial" w:hAnsi="Arial"/>
                <w:b/>
              </w:rPr>
              <w:t>Defense and</w:t>
              <w:br/>
              <w:t>Advanced</w:t>
              <w:br/>
              <w:t> Technologies </w:t>
            </w:r>
            <w:r>
              <w:br/>
            </w:r>
            <w:r>
              <w:rPr>
                <w:rFonts w:ascii="Arial" w:hAnsi="Arial"/>
                <w:b/>
              </w:rPr>
              <w:t>Segment</w:t>
            </w:r>
          </w:p>
        </w:tc>
        <w:tc>
          <w:tcPr>
            <w:tcW w:w="60" w:type="dxa"/>
            <w:tcBorders/>
            <w:vAlign w:val="bottom"/>
          </w:tcPr>
          <w:p>
            <w:pPr>
              <w:pStyle w:val="TableContents"/>
              <w:bidi w:val="0"/>
              <w:spacing w:before="0" w:after="283"/>
              <w:jc w:val="left"/>
            </w:pPr>
            <w:r>
              <w:t> </w:t>
            </w:r>
          </w:p>
        </w:tc>
        <w:tc>
          <w:tcPr>
            <w:tcW w:w="1930" w:type="dxa"/>
            <w:gridSpan w:val="3"/>
            <w:tcBorders>
              <w:bottom w:val="single" w:sz="8" w:space="0" w:color="000000"/>
            </w:tcBorders>
            <w:tcMar>
              <w:bottom w:w="28" w:type="dxa"/>
            </w:tcMar>
            <w:vAlign w:val="bottom"/>
          </w:tcPr>
          <w:p>
            <w:pPr>
              <w:pStyle w:val="TableContents"/>
              <w:bidi w:val="0"/>
              <w:spacing w:before="0" w:after="283"/>
              <w:jc w:val="center"/>
            </w:pPr>
            <w:r>
              <w:t> </w:t>
            </w:r>
            <w:r>
              <w:rPr>
                <w:rFonts w:ascii="Arial" w:hAnsi="Arial"/>
                <w:b/>
              </w:rPr>
              <w:t>Total </w:t>
            </w:r>
          </w:p>
        </w:tc>
        <w:tc>
          <w:tcPr>
            <w:tcW w:w="60" w:type="dxa"/>
            <w:tcBorders/>
            <w:vAlign w:val="bottom"/>
          </w:tcPr>
          <w:p>
            <w:pPr>
              <w:pStyle w:val="TableContents"/>
              <w:bidi w:val="0"/>
              <w:spacing w:before="0" w:after="283"/>
              <w:jc w:val="left"/>
            </w:pPr>
            <w:r>
              <w:t> </w:t>
            </w:r>
          </w:p>
        </w:tc>
        <w:tc>
          <w:tcPr>
            <w:tcW w:w="1930" w:type="dxa"/>
            <w:gridSpan w:val="3"/>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Communication</w:t>
              <w:br/>
              <w:t>Services</w:t>
              <w:br/>
              <w:t>Segment</w:t>
            </w:r>
          </w:p>
        </w:tc>
        <w:tc>
          <w:tcPr>
            <w:tcW w:w="60" w:type="dxa"/>
            <w:tcBorders/>
            <w:vAlign w:val="bottom"/>
          </w:tcPr>
          <w:p>
            <w:pPr>
              <w:pStyle w:val="TableContents"/>
              <w:bidi w:val="0"/>
              <w:spacing w:before="0" w:after="283"/>
              <w:jc w:val="left"/>
            </w:pPr>
            <w:r>
              <w:t> </w:t>
            </w:r>
          </w:p>
        </w:tc>
        <w:tc>
          <w:tcPr>
            <w:tcW w:w="1930" w:type="dxa"/>
            <w:gridSpan w:val="3"/>
            <w:tcBorders>
              <w:bottom w:val="single" w:sz="8" w:space="0" w:color="000000"/>
            </w:tcBorders>
            <w:tcMar>
              <w:bottom w:w="28" w:type="dxa"/>
            </w:tcMar>
            <w:vAlign w:val="bottom"/>
          </w:tcPr>
          <w:p>
            <w:pPr>
              <w:pStyle w:val="TableContents"/>
              <w:bidi w:val="0"/>
              <w:spacing w:before="0" w:after="283"/>
              <w:jc w:val="center"/>
            </w:pPr>
            <w:r>
              <w:rPr>
                <w:rFonts w:ascii="Arial" w:hAnsi="Arial"/>
                <w:b/>
              </w:rPr>
              <w:t>Defense and</w:t>
              <w:br/>
              <w:t>Advanced</w:t>
              <w:br/>
              <w:t> Technologies </w:t>
            </w:r>
            <w:r>
              <w:br/>
            </w:r>
            <w:r>
              <w:rPr>
                <w:rFonts w:ascii="Arial" w:hAnsi="Arial"/>
                <w:b/>
              </w:rPr>
              <w:t>Segment</w:t>
            </w:r>
          </w:p>
        </w:tc>
        <w:tc>
          <w:tcPr>
            <w:tcW w:w="60" w:type="dxa"/>
            <w:tcBorders/>
            <w:vAlign w:val="bottom"/>
          </w:tcPr>
          <w:p>
            <w:pPr>
              <w:pStyle w:val="TableContents"/>
              <w:bidi w:val="0"/>
              <w:spacing w:before="0" w:after="283"/>
              <w:jc w:val="left"/>
            </w:pPr>
            <w:r>
              <w:t> </w:t>
            </w:r>
          </w:p>
        </w:tc>
        <w:tc>
          <w:tcPr>
            <w:tcW w:w="1930" w:type="dxa"/>
            <w:gridSpan w:val="3"/>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Total</w:t>
            </w:r>
          </w:p>
        </w:tc>
      </w:tr>
      <w:tr>
        <w:tc>
          <w:tcPr>
            <w:tcW w:w="1115" w:type="dxa"/>
            <w:tcBorders/>
          </w:tcPr>
          <w:p>
            <w:pPr>
              <w:pStyle w:val="TableContents"/>
              <w:bidi w:val="0"/>
              <w:spacing w:before="0" w:after="0"/>
              <w:jc w:val="left"/>
              <w:rPr>
                <w:rFonts w:ascii="Arial" w:hAnsi="Arial"/>
                <w:sz w:val="16"/>
              </w:rPr>
            </w:pPr>
            <w:r>
              <w:rPr>
                <w:rFonts w:ascii="Arial" w:hAnsi="Arial"/>
                <w:sz w:val="16"/>
              </w:rPr>
              <w:t>Segment operating profit (loss) before corporate</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85,968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98,514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184,482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112,261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100,996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213,257</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Depreciation (8)</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455,955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26,269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482,224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486,968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23,403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510,371</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Stock-based compensation expense</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33,281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25,078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58,359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20,802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14,027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34,829</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Other than acquired intangible assets amortization (4)</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26,406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11,965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38,371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18,748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11,543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30,291</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Acquisition and transaction related expenses (2)</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5,074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2,115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7,189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11,354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3,451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14,805</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Equity in income (loss) of unconsolidated affiliates, net</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491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491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7,955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pPr>
            <w:r>
              <w:t>—</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7,955</w:t>
            </w:r>
          </w:p>
        </w:tc>
        <w:tc>
          <w:tcPr>
            <w:tcW w:w="15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Noncontrolling interest and other (9)</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(1,815</w:t>
            </w:r>
          </w:p>
        </w:tc>
        <w:tc>
          <w:tcPr>
            <w:tcW w:w="155" w:type="dxa"/>
            <w:tcBorders/>
            <w:vAlign w:val="bottom"/>
          </w:tcPr>
          <w:p>
            <w:pPr>
              <w:pStyle w:val="TableContents"/>
              <w:bidi w:val="0"/>
              <w:spacing w:before="0" w:after="283"/>
              <w:jc w:val="left"/>
              <w:rPr>
                <w:rFonts w:ascii="Arial" w:hAnsi="Arial"/>
              </w:rPr>
            </w:pPr>
            <w:r>
              <w:rPr>
                <w:rFonts w:ascii="Arial" w:hAnsi="Arial"/>
              </w:rP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(18,228</w:t>
            </w:r>
          </w:p>
        </w:tc>
        <w:tc>
          <w:tcPr>
            <w:tcW w:w="155" w:type="dxa"/>
            <w:tcBorders/>
            <w:vAlign w:val="bottom"/>
          </w:tcPr>
          <w:p>
            <w:pPr>
              <w:pStyle w:val="TableContents"/>
              <w:bidi w:val="0"/>
              <w:spacing w:before="0" w:after="283"/>
              <w:jc w:val="left"/>
              <w:rPr>
                <w:rFonts w:ascii="Arial" w:hAnsi="Arial"/>
              </w:rPr>
            </w:pPr>
            <w:r>
              <w:rPr>
                <w:rFonts w:ascii="Arial" w:hAnsi="Arial"/>
              </w:rP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(20,043</w:t>
            </w:r>
          </w:p>
        </w:tc>
        <w:tc>
          <w:tcPr>
            <w:tcW w:w="155" w:type="dxa"/>
            <w:tcBorders/>
            <w:vAlign w:val="bottom"/>
          </w:tcPr>
          <w:p>
            <w:pPr>
              <w:pStyle w:val="TableContents"/>
              <w:bidi w:val="0"/>
              <w:spacing w:before="0" w:after="283"/>
              <w:jc w:val="left"/>
              <w:rPr>
                <w:rFonts w:ascii="Arial" w:hAnsi="Arial"/>
              </w:rPr>
            </w:pPr>
            <w:r>
              <w:rPr>
                <w:rFonts w:ascii="Arial" w:hAnsi="Arial"/>
              </w:rP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(60</w:t>
            </w:r>
          </w:p>
        </w:tc>
        <w:tc>
          <w:tcPr>
            <w:tcW w:w="155" w:type="dxa"/>
            <w:tcBorders/>
            <w:vAlign w:val="bottom"/>
          </w:tcPr>
          <w:p>
            <w:pPr>
              <w:pStyle w:val="TableContents"/>
              <w:bidi w:val="0"/>
              <w:spacing w:before="0" w:after="283"/>
              <w:jc w:val="left"/>
              <w:rPr>
                <w:rFonts w:ascii="Arial" w:hAnsi="Arial"/>
              </w:rPr>
            </w:pPr>
            <w:r>
              <w:rPr>
                <w:rFonts w:ascii="Arial" w:hAnsi="Arial"/>
              </w:rP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(18,267</w:t>
            </w:r>
          </w:p>
        </w:tc>
        <w:tc>
          <w:tcPr>
            <w:tcW w:w="155" w:type="dxa"/>
            <w:tcBorders/>
            <w:vAlign w:val="bottom"/>
          </w:tcPr>
          <w:p>
            <w:pPr>
              <w:pStyle w:val="TableContents"/>
              <w:bidi w:val="0"/>
              <w:spacing w:before="0" w:after="283"/>
              <w:jc w:val="left"/>
              <w:rPr>
                <w:rFonts w:ascii="Arial" w:hAnsi="Arial"/>
              </w:rPr>
            </w:pPr>
            <w:r>
              <w:rPr>
                <w:rFonts w:ascii="Arial" w:hAnsi="Arial"/>
              </w:rP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620" w:type="dxa"/>
            <w:tcBorders/>
            <w:vAlign w:val="bottom"/>
          </w:tcPr>
          <w:p>
            <w:pPr>
              <w:pStyle w:val="TableContents"/>
              <w:bidi w:val="0"/>
              <w:spacing w:before="0" w:after="283"/>
              <w:jc w:val="right"/>
              <w:rPr>
                <w:rFonts w:ascii="Arial" w:hAnsi="Arial"/>
              </w:rPr>
            </w:pPr>
            <w:r>
              <w:rPr>
                <w:rFonts w:ascii="Arial" w:hAnsi="Arial"/>
              </w:rPr>
              <w:t>(18,327</w:t>
            </w:r>
          </w:p>
        </w:tc>
        <w:tc>
          <w:tcPr>
            <w:tcW w:w="155" w:type="dxa"/>
            <w:tcBorders/>
            <w:vAlign w:val="bottom"/>
          </w:tcPr>
          <w:p>
            <w:pPr>
              <w:pStyle w:val="TableContents"/>
              <w:bidi w:val="0"/>
              <w:spacing w:before="0" w:after="283"/>
              <w:jc w:val="left"/>
              <w:rPr>
                <w:rFonts w:ascii="Arial" w:hAnsi="Arial"/>
              </w:rPr>
            </w:pPr>
            <w:r>
              <w:rPr>
                <w:rFonts w:ascii="Arial" w:hAnsi="Arial"/>
              </w:rPr>
              <w:t>) </w:t>
            </w:r>
          </w:p>
        </w:tc>
      </w:tr>
      <w:tr>
        <w:tc>
          <w:tcPr>
            <w:tcW w:w="11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1620" w:type="dxa"/>
            <w:tcBorders/>
            <w:vAlign w:val="bottom"/>
          </w:tcPr>
          <w:p>
            <w:pPr>
              <w:pStyle w:val="TableContents"/>
              <w:pBdr>
                <w:top w:val="single" w:sz="2" w:space="1" w:color="000000"/>
              </w:pBdr>
              <w:bidi w:val="0"/>
              <w:spacing w:before="0" w:after="0"/>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1620" w:type="dxa"/>
            <w:tcBorders/>
            <w:vAlign w:val="bottom"/>
          </w:tcPr>
          <w:p>
            <w:pPr>
              <w:pStyle w:val="TableContents"/>
              <w:pBdr>
                <w:top w:val="single" w:sz="2" w:space="1" w:color="000000"/>
              </w:pBdr>
              <w:bidi w:val="0"/>
              <w:spacing w:before="0" w:after="0"/>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1620" w:type="dxa"/>
            <w:tcBorders/>
            <w:vAlign w:val="bottom"/>
          </w:tcPr>
          <w:p>
            <w:pPr>
              <w:pStyle w:val="TableContents"/>
              <w:pBdr>
                <w:top w:val="single" w:sz="2" w:space="1" w:color="000000"/>
              </w:pBdr>
              <w:bidi w:val="0"/>
              <w:spacing w:before="0" w:after="0"/>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1620" w:type="dxa"/>
            <w:tcBorders/>
            <w:vAlign w:val="bottom"/>
          </w:tcPr>
          <w:p>
            <w:pPr>
              <w:pStyle w:val="TableContents"/>
              <w:pBdr>
                <w:top w:val="single" w:sz="2" w:space="1" w:color="000000"/>
              </w:pBdr>
              <w:bidi w:val="0"/>
              <w:spacing w:before="0" w:after="0"/>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1620" w:type="dxa"/>
            <w:tcBorders/>
            <w:vAlign w:val="bottom"/>
          </w:tcPr>
          <w:p>
            <w:pPr>
              <w:pStyle w:val="TableContents"/>
              <w:pBdr>
                <w:top w:val="single" w:sz="2" w:space="1" w:color="000000"/>
              </w:pBdr>
              <w:bidi w:val="0"/>
              <w:spacing w:before="0" w:after="0"/>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single" w:sz="2" w:space="1" w:color="000000"/>
              </w:pBdr>
              <w:bidi w:val="0"/>
              <w:spacing w:before="0" w:after="0"/>
              <w:jc w:val="left"/>
            </w:pPr>
            <w:r>
              <w:t> </w:t>
            </w:r>
          </w:p>
        </w:tc>
        <w:tc>
          <w:tcPr>
            <w:tcW w:w="1620" w:type="dxa"/>
            <w:tcBorders/>
            <w:vAlign w:val="bottom"/>
          </w:tcPr>
          <w:p>
            <w:pPr>
              <w:pStyle w:val="TableContents"/>
              <w:pBdr>
                <w:top w:val="single" w:sz="2" w:space="1" w:color="000000"/>
              </w:pBdr>
              <w:bidi w:val="0"/>
              <w:spacing w:before="0" w:after="0"/>
              <w:jc w:val="left"/>
            </w:pPr>
            <w:r>
              <w:t> </w:t>
            </w:r>
          </w:p>
        </w:tc>
        <w:tc>
          <w:tcPr>
            <w:tcW w:w="155" w:type="dxa"/>
            <w:tcBorders/>
            <w:vAlign w:val="bottom"/>
          </w:tcPr>
          <w:p>
            <w:pPr>
              <w:pStyle w:val="TableContents"/>
              <w:pBdr>
                <w:top w:val="single" w:sz="2" w:space="1" w:color="000000"/>
              </w:pBdr>
              <w:bidi w:val="0"/>
              <w:spacing w:before="0" w:after="0"/>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Adjusted EBITDA (10)</w:t>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605,360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145,713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751,073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658,028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135,153</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rPr>
                <w:rFonts w:ascii="Arial" w:hAnsi="Arial"/>
              </w:rPr>
            </w:pPr>
            <w:r>
              <w:rPr>
                <w:rFonts w:ascii="Arial" w:hAnsi="Arial"/>
              </w:rPr>
              <w:t>$</w:t>
            </w:r>
          </w:p>
        </w:tc>
        <w:tc>
          <w:tcPr>
            <w:tcW w:w="1620" w:type="dxa"/>
            <w:tcBorders/>
            <w:vAlign w:val="bottom"/>
          </w:tcPr>
          <w:p>
            <w:pPr>
              <w:pStyle w:val="TableContents"/>
              <w:bidi w:val="0"/>
              <w:spacing w:before="0" w:after="283"/>
              <w:jc w:val="right"/>
              <w:rPr>
                <w:rFonts w:ascii="Arial" w:hAnsi="Arial"/>
              </w:rPr>
            </w:pPr>
            <w:r>
              <w:rPr>
                <w:rFonts w:ascii="Arial" w:hAnsi="Arial"/>
              </w:rPr>
              <w:t>793,181</w:t>
            </w:r>
          </w:p>
        </w:tc>
        <w:tc>
          <w:tcPr>
            <w:tcW w:w="15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1620" w:type="dxa"/>
            <w:tcBorders/>
            <w:vAlign w:val="bottom"/>
          </w:tcPr>
          <w:p>
            <w:pPr>
              <w:pStyle w:val="TableContents"/>
              <w:pBdr>
                <w:top w:val="double" w:sz="6" w:space="1" w:color="000000"/>
              </w:pBdr>
              <w:bidi w:val="0"/>
              <w:spacing w:before="0" w:after="0"/>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1620" w:type="dxa"/>
            <w:tcBorders/>
            <w:vAlign w:val="bottom"/>
          </w:tcPr>
          <w:p>
            <w:pPr>
              <w:pStyle w:val="TableContents"/>
              <w:pBdr>
                <w:top w:val="double" w:sz="6" w:space="1" w:color="000000"/>
              </w:pBdr>
              <w:bidi w:val="0"/>
              <w:spacing w:before="0" w:after="0"/>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1620" w:type="dxa"/>
            <w:tcBorders/>
            <w:vAlign w:val="bottom"/>
          </w:tcPr>
          <w:p>
            <w:pPr>
              <w:pStyle w:val="TableContents"/>
              <w:pBdr>
                <w:top w:val="double" w:sz="6" w:space="1" w:color="000000"/>
              </w:pBdr>
              <w:bidi w:val="0"/>
              <w:spacing w:before="0" w:after="0"/>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1620" w:type="dxa"/>
            <w:tcBorders/>
            <w:vAlign w:val="bottom"/>
          </w:tcPr>
          <w:p>
            <w:pPr>
              <w:pStyle w:val="TableContents"/>
              <w:pBdr>
                <w:top w:val="double" w:sz="6" w:space="1" w:color="000000"/>
              </w:pBdr>
              <w:bidi w:val="0"/>
              <w:spacing w:before="0" w:after="0"/>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1620" w:type="dxa"/>
            <w:tcBorders/>
            <w:vAlign w:val="bottom"/>
          </w:tcPr>
          <w:p>
            <w:pPr>
              <w:pStyle w:val="TableContents"/>
              <w:pBdr>
                <w:top w:val="double" w:sz="6" w:space="1" w:color="000000"/>
              </w:pBdr>
              <w:bidi w:val="0"/>
              <w:spacing w:before="0" w:after="0"/>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155" w:type="dxa"/>
            <w:tcBorders/>
            <w:vAlign w:val="bottom"/>
          </w:tcPr>
          <w:p>
            <w:pPr>
              <w:pStyle w:val="TableContents"/>
              <w:pBdr>
                <w:top w:val="double" w:sz="6" w:space="1" w:color="000000"/>
              </w:pBdr>
              <w:bidi w:val="0"/>
              <w:spacing w:before="0" w:after="0"/>
              <w:jc w:val="left"/>
            </w:pPr>
            <w:r>
              <w:t> </w:t>
            </w:r>
          </w:p>
        </w:tc>
        <w:tc>
          <w:tcPr>
            <w:tcW w:w="1620" w:type="dxa"/>
            <w:tcBorders/>
            <w:vAlign w:val="bottom"/>
          </w:tcPr>
          <w:p>
            <w:pPr>
              <w:pStyle w:val="TableContents"/>
              <w:pBdr>
                <w:top w:val="double" w:sz="6" w:space="1" w:color="000000"/>
              </w:pBdr>
              <w:bidi w:val="0"/>
              <w:spacing w:before="0" w:after="0"/>
              <w:jc w:val="left"/>
            </w:pPr>
            <w:r>
              <w:t> </w:t>
            </w:r>
          </w:p>
        </w:tc>
        <w:tc>
          <w:tcPr>
            <w:tcW w:w="155" w:type="dxa"/>
            <w:tcBorders/>
            <w:vAlign w:val="bottom"/>
          </w:tcPr>
          <w:p>
            <w:pPr>
              <w:pStyle w:val="TableContents"/>
              <w:pBdr>
                <w:top w:val="double" w:sz="6" w:space="1" w:color="000000"/>
              </w:pBdr>
              <w:bidi w:val="0"/>
              <w:spacing w:before="0" w:after="0"/>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31"/>
        <w:gridCol w:w="9974"/>
      </w:tblGrid>
      <w:tr>
        <w:tc>
          <w:tcPr>
            <w:tcW w:w="231" w:type="dxa"/>
            <w:tcBorders/>
          </w:tcPr>
          <w:p>
            <w:pPr>
              <w:pStyle w:val="TableContents"/>
              <w:bidi w:val="0"/>
              <w:spacing w:before="0" w:after="283"/>
              <w:jc w:val="left"/>
            </w:pPr>
            <w:r>
              <w:t>(8) </w:t>
            </w:r>
          </w:p>
        </w:tc>
        <w:tc>
          <w:tcPr>
            <w:tcW w:w="9974" w:type="dxa"/>
            <w:tcBorders/>
          </w:tcPr>
          <w:p>
            <w:pPr>
              <w:pStyle w:val="TableContents"/>
              <w:bidi w:val="0"/>
              <w:spacing w:before="0" w:after="0"/>
              <w:jc w:val="left"/>
              <w:rPr>
                <w:rFonts w:ascii="Arial" w:hAnsi="Arial"/>
                <w:sz w:val="16"/>
              </w:rPr>
            </w:pPr>
            <w:r>
              <w:rPr>
                <w:rFonts w:ascii="Arial" w:hAnsi="Arial"/>
                <w:sz w:val="16"/>
              </w:rPr>
              <w:t xml:space="preserve">Depreciation expenses not specifically recorded in a particular segment have been allocated based on other indirect allocable costs, which management believes is a reasonable method.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223"/>
        <w:gridCol w:w="9982"/>
      </w:tblGrid>
      <w:tr>
        <w:tc>
          <w:tcPr>
            <w:tcW w:w="223" w:type="dxa"/>
            <w:tcBorders/>
          </w:tcPr>
          <w:p>
            <w:pPr>
              <w:pStyle w:val="TableContents"/>
              <w:bidi w:val="0"/>
              <w:spacing w:before="0" w:after="283"/>
              <w:jc w:val="left"/>
            </w:pPr>
            <w:r>
              <w:t>(9) </w:t>
            </w:r>
          </w:p>
        </w:tc>
        <w:tc>
          <w:tcPr>
            <w:tcW w:w="9982" w:type="dxa"/>
            <w:tcBorders/>
          </w:tcPr>
          <w:p>
            <w:pPr>
              <w:pStyle w:val="TableContents"/>
              <w:bidi w:val="0"/>
              <w:spacing w:before="0" w:after="0"/>
              <w:jc w:val="left"/>
              <w:rPr>
                <w:rFonts w:ascii="Arial" w:hAnsi="Arial"/>
                <w:sz w:val="16"/>
              </w:rPr>
            </w:pPr>
            <w:r>
              <w:rPr>
                <w:rFonts w:ascii="Arial" w:hAnsi="Arial"/>
                <w:sz w:val="16"/>
              </w:rPr>
              <w:t xml:space="preserve">Beginning in the first quarter of fiscal year 2027, the Company excludes unrealized foreign currency loss (gain), net from Adjusted EBITDA, which is included within “Noncontrolling interest and other” in the reconciliation of segment operating profit (loss) before corporate to Adjusted EBITDA. Prior period amounts have not been revised to conform to the current presentation because the overall effect for the fiscal year was not material. For the three months ended September 30, 2026 and September 30, 2025, unrealized foreign currency loss (gain), net for the Communication Services segment was a gain of $1.1 million and a gain of $0.9 million, respectively, and for the Defense and Advanced Technologies segment was a gain of $0.3 million and nil, respectively. For the six months ended September 30, 2026 and September 30, 2025, unrealized foreign currency loss (gain), net for the Communication Services segment was a gain of $2.0 million and a loss of $8.8 million, respectively, and for the Defense and Advanced Technologies segment was a gain of $0.3 million and nil, respectively.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351"/>
        <w:gridCol w:w="9854"/>
      </w:tblGrid>
      <w:tr>
        <w:tc>
          <w:tcPr>
            <w:tcW w:w="351" w:type="dxa"/>
            <w:tcBorders/>
          </w:tcPr>
          <w:p>
            <w:pPr>
              <w:pStyle w:val="TableContents"/>
              <w:bidi w:val="0"/>
              <w:spacing w:before="0" w:after="283"/>
              <w:jc w:val="left"/>
            </w:pPr>
            <w:r>
              <w:t>(10)</w:t>
            </w:r>
          </w:p>
        </w:tc>
        <w:tc>
          <w:tcPr>
            <w:tcW w:w="9854" w:type="dxa"/>
            <w:tcBorders/>
          </w:tcPr>
          <w:p>
            <w:pPr>
              <w:pStyle w:val="TableContents"/>
              <w:bidi w:val="0"/>
              <w:spacing w:before="0" w:after="0"/>
              <w:jc w:val="left"/>
              <w:rPr>
                <w:rFonts w:ascii="Arial" w:hAnsi="Arial"/>
                <w:sz w:val="16"/>
              </w:rPr>
            </w:pPr>
            <w:r>
              <w:rPr>
                <w:rFonts w:ascii="Arial" w:hAnsi="Arial"/>
                <w:sz w:val="16"/>
              </w:rPr>
              <w:t xml:space="preserve">Adjusted EBITDA for the Communication Services segment for the three and six months ended September 30, 2025 includes unrealized foreign currency loss (gain), net, and had it been excluded, Adjusted EBITDA would have been $335.6 million and $666.8 million, respectively. Adjusted EBITDA for the Defense and Advanced Technologies segment for the three and six months ended September 30, 2025 includes unrealized foreign currency loss (gain), net, and had it been excluded, Adjusted EBITDA would have been $48.2 million and $135.2 million, respectively. </w:t>
            </w:r>
          </w:p>
        </w:tc>
      </w:tr>
    </w:tbl>
    <w:p>
      <w:pPr>
        <w:pStyle w:val="TextBody"/>
        <w:bidi w:val="0"/>
        <w:spacing w:before="0" w:after="0"/>
        <w:jc w:val="left"/>
      </w:pPr>
      <w:r>
        <w:t> </w:t>
      </w:r>
    </w:p>
    <w:p>
      <w:pPr>
        <w:pStyle w:val="TextBody"/>
        <w:bidi w:val="0"/>
        <w:spacing w:before="0" w:after="0"/>
        <w:jc w:val="center"/>
      </w:pPr>
      <w:r>
        <w:drawing>
          <wp:inline distT="0" distB="0" distL="0" distR="0">
            <wp:extent cx="8100060" cy="7683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100060" cy="76835"/>
                    </a:xfrm>
                    <a:prstGeom prst="rect">
                      <a:avLst/>
                    </a:prstGeom>
                  </pic:spPr>
                </pic:pic>
              </a:graphicData>
            </a:graphic>
          </wp:inline>
        </w:drawing>
      </w:r>
      <w:r>
        <w:t xml:space="preserve"> </w:t>
      </w:r>
    </w:p>
    <w:p>
      <w:pPr>
        <w:pStyle w:val="TextBody"/>
        <w:bidi w:val="0"/>
        <w:spacing w:before="40" w:after="0"/>
        <w:jc w:val="right"/>
        <w:rPr>
          <w:rFonts w:ascii="Arial" w:hAnsi="Arial"/>
          <w:sz w:val="14"/>
        </w:rPr>
      </w:pPr>
      <w:r>
        <w:rPr>
          <w:rFonts w:ascii="Arial" w:hAnsi="Arial"/>
          <w:sz w:val="14"/>
        </w:rPr>
        <w:t xml:space="preserve">Shareholder Letter | Q2 Fiscal Year 2027   13 </w:t>
      </w:r>
      <w:r>
        <w:br w:type="page"/>
      </w:r>
    </w:p>
    <w:p>
      <w:pPr>
        <w:pStyle w:val="HorizontalLine"/>
        <w:pBdr>
          <w:bottom w:val="double" w:sz="6" w:space="0" w:color="808080"/>
        </w:pBdr>
        <w:bidi w:val="0"/>
        <w:jc w:val="left"/>
      </w:pPr>
      <w:r/>
    </w:p>
    <w:p>
      <w:pPr>
        <w:pStyle w:val="TextBody"/>
        <w:bidi w:val="0"/>
        <w:spacing w:before="0" w:after="0"/>
        <w:jc w:val="left"/>
        <w:rPr>
          <w:rFonts w:ascii="Arial" w:hAnsi="Arial"/>
          <w:sz w:val="40"/>
        </w:rPr>
      </w:pPr>
      <w:r>
        <w:rPr>
          <w:rFonts w:ascii="Arial" w:hAnsi="Arial"/>
          <w:sz w:val="40"/>
        </w:rPr>
        <w:t xml:space="preserve">Second Quarter Fiscal Year 2027 Results (cont.) </w:t>
      </w:r>
    </w:p>
    <w:p>
      <w:pPr>
        <w:pStyle w:val="TextBody"/>
        <w:bidi w:val="0"/>
        <w:spacing w:before="0" w:after="0"/>
        <w:jc w:val="left"/>
      </w:pPr>
      <w:r>
        <w:t> </w:t>
      </w:r>
    </w:p>
    <w:p>
      <w:pPr>
        <w:pStyle w:val="TextBody"/>
        <w:bidi w:val="0"/>
        <w:spacing w:before="0" w:after="0"/>
        <w:jc w:val="center"/>
        <w:rPr>
          <w:rFonts w:ascii="Arial" w:hAnsi="Arial"/>
          <w:b/>
          <w:sz w:val="16"/>
        </w:rPr>
      </w:pPr>
      <w:r>
        <w:rPr>
          <w:rFonts w:ascii="Arial" w:hAnsi="Arial"/>
          <w:b/>
          <w:sz w:val="16"/>
        </w:rPr>
        <w:t xml:space="preserve">Condensed Consolidated Balance Sheets </w:t>
      </w:r>
    </w:p>
    <w:p>
      <w:pPr>
        <w:pStyle w:val="TextBody"/>
        <w:bidi w:val="0"/>
        <w:spacing w:before="0" w:after="0"/>
        <w:jc w:val="center"/>
        <w:rPr>
          <w:rFonts w:ascii="Arial" w:hAnsi="Arial"/>
          <w:b/>
          <w:sz w:val="16"/>
        </w:rPr>
      </w:pPr>
      <w:r>
        <w:rPr>
          <w:rFonts w:ascii="Arial" w:hAnsi="Arial"/>
          <w:b/>
          <w:sz w:val="16"/>
        </w:rPr>
        <w:t xml:space="preserve">(Unaudited) </w:t>
      </w:r>
    </w:p>
    <w:p>
      <w:pPr>
        <w:pStyle w:val="TextBody"/>
        <w:bidi w:val="0"/>
        <w:spacing w:before="0" w:after="0"/>
        <w:jc w:val="center"/>
        <w:rPr>
          <w:rFonts w:ascii="Arial" w:hAnsi="Arial"/>
          <w:b/>
          <w:sz w:val="16"/>
        </w:rPr>
      </w:pPr>
      <w:r>
        <w:rPr>
          <w:rFonts w:ascii="Arial" w:hAnsi="Arial"/>
          <w:b/>
          <w:sz w:val="16"/>
        </w:rPr>
        <w:t xml:space="preserve">(In thousands) </w:t>
      </w:r>
    </w:p>
    <w:p>
      <w:pPr>
        <w:pStyle w:val="TextBody"/>
        <w:bidi w:val="0"/>
        <w:spacing w:before="0" w:after="0"/>
        <w:jc w:val="left"/>
      </w:pPr>
      <w:r>
        <w:t> </w:t>
      </w:r>
    </w:p>
    <w:p>
      <w:pPr>
        <w:pStyle w:val="TextBody"/>
        <w:bidi w:val="0"/>
        <w:jc w:val="left"/>
      </w:pPr>
      <w: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10230" cy="9972040"/>
                <wp:effectExtent l="0" t="0" r="0" b="0"/>
                <wp:wrapSquare wrapText="right"/>
                <wp:docPr id="17"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2740"/>
                              <w:gridCol w:w="81"/>
                              <w:gridCol w:w="116"/>
                              <w:gridCol w:w="938"/>
                              <w:gridCol w:w="50"/>
                              <w:gridCol w:w="81"/>
                              <w:gridCol w:w="95"/>
                              <w:gridCol w:w="754"/>
                              <w:gridCol w:w="43"/>
                            </w:tblGrid>
                            <w:tr>
                              <w:tc>
                                <w:tcPr>
                                  <w:tcW w:w="274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r>
                            <w:tr>
                              <w:tc>
                                <w:tcPr>
                                  <w:tcW w:w="274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104" w:type="dxa"/>
                                  <w:gridSpan w:val="3"/>
                                  <w:tcBorders/>
                                  <w:vAlign w:val="bottom"/>
                                </w:tcPr>
                                <w:p>
                                  <w:pPr>
                                    <w:pStyle w:val="TableContents"/>
                                    <w:bidi w:val="0"/>
                                    <w:spacing w:before="0" w:after="283"/>
                                    <w:jc w:val="center"/>
                                    <w:rPr>
                                      <w:b/>
                                    </w:rPr>
                                  </w:pPr>
                                  <w:r>
                                    <w:rPr>
                                      <w:b/>
                                    </w:rPr>
                                    <w:t>As of</w:t>
                                  </w:r>
                                </w:p>
                              </w:tc>
                              <w:tc>
                                <w:tcPr>
                                  <w:tcW w:w="81" w:type="dxa"/>
                                  <w:tcBorders/>
                                  <w:vAlign w:val="bottom"/>
                                </w:tcPr>
                                <w:p>
                                  <w:pPr>
                                    <w:pStyle w:val="TableContents"/>
                                    <w:bidi w:val="0"/>
                                    <w:spacing w:before="0" w:after="283"/>
                                    <w:jc w:val="left"/>
                                  </w:pPr>
                                  <w:r>
                                    <w:t>  </w:t>
                                  </w:r>
                                </w:p>
                              </w:tc>
                              <w:tc>
                                <w:tcPr>
                                  <w:tcW w:w="892" w:type="dxa"/>
                                  <w:gridSpan w:val="3"/>
                                  <w:tcBorders/>
                                  <w:vAlign w:val="bottom"/>
                                </w:tcPr>
                                <w:p>
                                  <w:pPr>
                                    <w:pStyle w:val="TableContents"/>
                                    <w:bidi w:val="0"/>
                                    <w:spacing w:before="0" w:after="283"/>
                                    <w:jc w:val="center"/>
                                    <w:rPr>
                                      <w:b/>
                                    </w:rPr>
                                  </w:pPr>
                                  <w:r>
                                    <w:rPr>
                                      <w:b/>
                                    </w:rPr>
                                    <w:t>As of</w:t>
                                  </w:r>
                                </w:p>
                              </w:tc>
                            </w:tr>
                            <w:tr>
                              <w:tc>
                                <w:tcPr>
                                  <w:tcW w:w="2740" w:type="dxa"/>
                                  <w:tcBorders/>
                                  <w:vAlign w:val="bottom"/>
                                </w:tcPr>
                                <w:p>
                                  <w:pPr>
                                    <w:pStyle w:val="TableContents"/>
                                    <w:bidi w:val="0"/>
                                    <w:spacing w:before="0" w:after="283"/>
                                    <w:jc w:val="left"/>
                                    <w:rPr>
                                      <w:b/>
                                    </w:rPr>
                                  </w:pPr>
                                  <w:r>
                                    <w:rPr>
                                      <w:b/>
                                    </w:rPr>
                                    <w:t>Assets</w:t>
                                  </w:r>
                                </w:p>
                              </w:tc>
                              <w:tc>
                                <w:tcPr>
                                  <w:tcW w:w="81" w:type="dxa"/>
                                  <w:tcBorders/>
                                  <w:vAlign w:val="bottom"/>
                                </w:tcPr>
                                <w:p>
                                  <w:pPr>
                                    <w:pStyle w:val="TableContents"/>
                                    <w:bidi w:val="0"/>
                                    <w:spacing w:before="0" w:after="283"/>
                                    <w:jc w:val="left"/>
                                  </w:pPr>
                                  <w:r>
                                    <w:t>  </w:t>
                                  </w:r>
                                </w:p>
                              </w:tc>
                              <w:tc>
                                <w:tcPr>
                                  <w:tcW w:w="1104" w:type="dxa"/>
                                  <w:gridSpan w:val="3"/>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81" w:type="dxa"/>
                                  <w:tcBorders/>
                                  <w:vAlign w:val="bottom"/>
                                </w:tcPr>
                                <w:p>
                                  <w:pPr>
                                    <w:pStyle w:val="TableContents"/>
                                    <w:bidi w:val="0"/>
                                    <w:spacing w:before="0" w:after="283"/>
                                    <w:jc w:val="left"/>
                                  </w:pPr>
                                  <w:r>
                                    <w:t>  </w:t>
                                  </w:r>
                                </w:p>
                              </w:tc>
                              <w:tc>
                                <w:tcPr>
                                  <w:tcW w:w="892" w:type="dxa"/>
                                  <w:gridSpan w:val="3"/>
                                  <w:tcBorders>
                                    <w:bottom w:val="single" w:sz="8" w:space="0" w:color="000000"/>
                                  </w:tcBorders>
                                  <w:tcMar>
                                    <w:bottom w:w="28" w:type="dxa"/>
                                  </w:tcMar>
                                  <w:vAlign w:val="bottom"/>
                                </w:tcPr>
                                <w:p>
                                  <w:pPr>
                                    <w:pStyle w:val="TableContents"/>
                                    <w:bidi w:val="0"/>
                                    <w:spacing w:before="0" w:after="283"/>
                                    <w:jc w:val="center"/>
                                  </w:pPr>
                                  <w:r>
                                    <w:t> </w:t>
                                  </w:r>
                                  <w:r>
                                    <w:rPr>
                                      <w:b/>
                                    </w:rPr>
                                    <w:t>March 31, 2026 </w:t>
                                  </w:r>
                                </w:p>
                              </w:tc>
                            </w:tr>
                            <w:tr>
                              <w:trPr>
                                <w:trHeight w:val="120" w:hRule="atLeast"/>
                              </w:trPr>
                              <w:tc>
                                <w:tcPr>
                                  <w:tcW w:w="2740" w:type="dxa"/>
                                  <w:tcBorders/>
                                  <w:vAlign w:val="center"/>
                                </w:tcPr>
                                <w:p>
                                  <w:pPr>
                                    <w:pStyle w:val="TableContents"/>
                                    <w:bidi w:val="0"/>
                                    <w:spacing w:before="0" w:after="283"/>
                                    <w:jc w:val="left"/>
                                    <w:rPr>
                                      <w:sz w:val="4"/>
                                      <w:szCs w:val="4"/>
                                    </w:rPr>
                                  </w:pPr>
                                  <w:r>
                                    <w:rPr>
                                      <w:sz w:val="4"/>
                                      <w:szCs w:val="4"/>
                                    </w:rPr>
                                  </w:r>
                                </w:p>
                              </w:tc>
                              <w:tc>
                                <w:tcPr>
                                  <w:tcW w:w="1185" w:type="dxa"/>
                                  <w:gridSpan w:val="4"/>
                                  <w:tcBorders/>
                                  <w:vAlign w:val="center"/>
                                </w:tcPr>
                                <w:p>
                                  <w:pPr>
                                    <w:pStyle w:val="TableContents"/>
                                    <w:bidi w:val="0"/>
                                    <w:spacing w:before="0" w:after="283"/>
                                    <w:jc w:val="left"/>
                                    <w:rPr>
                                      <w:sz w:val="4"/>
                                      <w:szCs w:val="4"/>
                                    </w:rPr>
                                  </w:pPr>
                                  <w:r>
                                    <w:rPr>
                                      <w:sz w:val="4"/>
                                      <w:szCs w:val="4"/>
                                    </w:rPr>
                                  </w:r>
                                </w:p>
                              </w:tc>
                              <w:tc>
                                <w:tcPr>
                                  <w:tcW w:w="973" w:type="dxa"/>
                                  <w:gridSpan w:val="4"/>
                                  <w:tcBorders/>
                                  <w:vAlign w:val="center"/>
                                </w:tcPr>
                                <w:p>
                                  <w:pPr>
                                    <w:pStyle w:val="TableContents"/>
                                    <w:bidi w:val="0"/>
                                    <w:spacing w:before="0" w:after="283"/>
                                    <w:jc w:val="left"/>
                                    <w:rPr>
                                      <w:sz w:val="4"/>
                                      <w:szCs w:val="4"/>
                                    </w:rPr>
                                  </w:pPr>
                                  <w:r>
                                    <w:rPr>
                                      <w:sz w:val="4"/>
                                      <w:szCs w:val="4"/>
                                    </w:rPr>
                                  </w:r>
                                </w:p>
                              </w:tc>
                            </w:tr>
                            <w:tr>
                              <w:tc>
                                <w:tcPr>
                                  <w:tcW w:w="2740" w:type="dxa"/>
                                  <w:tcBorders/>
                                </w:tcPr>
                                <w:p>
                                  <w:pPr>
                                    <w:pStyle w:val="TableContents"/>
                                    <w:bidi w:val="0"/>
                                    <w:spacing w:before="0" w:after="0"/>
                                    <w:jc w:val="left"/>
                                    <w:rPr>
                                      <w:rFonts w:ascii="Arial" w:hAnsi="Arial"/>
                                      <w:sz w:val="16"/>
                                    </w:rPr>
                                  </w:pPr>
                                  <w:r>
                                    <w:rPr>
                                      <w:rFonts w:ascii="Arial" w:hAnsi="Arial"/>
                                      <w:sz w:val="16"/>
                                    </w:rPr>
                                    <w:t>Current assets: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rPr>
                                      <w:sz w:val="4"/>
                                      <w:szCs w:val="4"/>
                                    </w:rPr>
                                  </w:pPr>
                                  <w:r>
                                    <w:rPr>
                                      <w:sz w:val="4"/>
                                      <w:szCs w:val="4"/>
                                    </w:rPr>
                                  </w:r>
                                </w:p>
                              </w:tc>
                              <w:tc>
                                <w:tcPr>
                                  <w:tcW w:w="938" w:type="dxa"/>
                                  <w:tcBorders/>
                                  <w:vAlign w:val="bottom"/>
                                </w:tcPr>
                                <w:p>
                                  <w:pPr>
                                    <w:pStyle w:val="TableContents"/>
                                    <w:bidi w:val="0"/>
                                    <w:spacing w:before="0" w:after="283"/>
                                    <w:jc w:val="left"/>
                                    <w:rPr>
                                      <w:sz w:val="4"/>
                                      <w:szCs w:val="4"/>
                                    </w:rPr>
                                  </w:pPr>
                                  <w:r>
                                    <w:rPr>
                                      <w:sz w:val="4"/>
                                      <w:szCs w:val="4"/>
                                    </w:rPr>
                                  </w:r>
                                </w:p>
                              </w:tc>
                              <w:tc>
                                <w:tcPr>
                                  <w:tcW w:w="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c>
                                <w:tcPr>
                                  <w:tcW w:w="2740" w:type="dxa"/>
                                  <w:tcBorders/>
                                </w:tcPr>
                                <w:p>
                                  <w:pPr>
                                    <w:pStyle w:val="TableContents"/>
                                    <w:bidi w:val="0"/>
                                    <w:spacing w:before="0" w:after="0"/>
                                    <w:jc w:val="left"/>
                                    <w:rPr>
                                      <w:rFonts w:ascii="Arial" w:hAnsi="Arial"/>
                                      <w:sz w:val="16"/>
                                    </w:rPr>
                                  </w:pPr>
                                  <w:r>
                                    <w:rPr>
                                      <w:rFonts w:ascii="Arial" w:hAnsi="Arial"/>
                                      <w:sz w:val="16"/>
                                    </w:rPr>
                                    <w:t>Cash and cash equivalents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r>
                                    <w:t>$</w:t>
                                  </w:r>
                                </w:p>
                              </w:tc>
                              <w:tc>
                                <w:tcPr>
                                  <w:tcW w:w="938" w:type="dxa"/>
                                  <w:tcBorders/>
                                  <w:vAlign w:val="bottom"/>
                                </w:tcPr>
                                <w:p>
                                  <w:pPr>
                                    <w:pStyle w:val="TableContents"/>
                                    <w:bidi w:val="0"/>
                                    <w:spacing w:before="0" w:after="283"/>
                                    <w:jc w:val="right"/>
                                  </w:pPr>
                                  <w:r>
                                    <w:t>1,758,947</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r>
                                    <w:t>$</w:t>
                                  </w:r>
                                </w:p>
                              </w:tc>
                              <w:tc>
                                <w:tcPr>
                                  <w:tcW w:w="754" w:type="dxa"/>
                                  <w:tcBorders/>
                                  <w:vAlign w:val="bottom"/>
                                </w:tcPr>
                                <w:p>
                                  <w:pPr>
                                    <w:pStyle w:val="TableContents"/>
                                    <w:bidi w:val="0"/>
                                    <w:spacing w:before="0" w:after="283"/>
                                    <w:jc w:val="right"/>
                                  </w:pPr>
                                  <w:r>
                                    <w:t>1,746,835</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Accounts receivable, net</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735,410</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753,430</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Inventories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308,784</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281,220</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Prepaid expenses and other current assets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334,595</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342,522</w:t>
                                  </w:r>
                                </w:p>
                              </w:tc>
                              <w:tc>
                                <w:tcPr>
                                  <w:tcW w:w="43" w:type="dxa"/>
                                  <w:tcBorders/>
                                  <w:vAlign w:val="bottom"/>
                                </w:tcPr>
                                <w:p>
                                  <w:pPr>
                                    <w:pStyle w:val="TableContents"/>
                                    <w:bidi w:val="0"/>
                                    <w:spacing w:before="0" w:after="283"/>
                                    <w:jc w:val="left"/>
                                  </w:pPr>
                                  <w:r>
                                    <w:t> </w:t>
                                  </w:r>
                                </w:p>
                              </w:tc>
                            </w:tr>
                            <w:tr>
                              <w:tc>
                                <w:tcPr>
                                  <w:tcW w:w="274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pBdr>
                                      <w:top w:val="single" w:sz="2" w:space="1" w:color="000000"/>
                                    </w:pBdr>
                                    <w:bidi w:val="0"/>
                                    <w:spacing w:before="0" w:after="0"/>
                                    <w:jc w:val="left"/>
                                  </w:pPr>
                                  <w:r>
                                    <w:t> </w:t>
                                  </w:r>
                                </w:p>
                              </w:tc>
                              <w:tc>
                                <w:tcPr>
                                  <w:tcW w:w="938" w:type="dxa"/>
                                  <w:tcBorders/>
                                  <w:vAlign w:val="bottom"/>
                                </w:tcPr>
                                <w:p>
                                  <w:pPr>
                                    <w:pStyle w:val="TableContents"/>
                                    <w:pBdr>
                                      <w:top w:val="single" w:sz="2" w:space="1" w:color="000000"/>
                                    </w:pBdr>
                                    <w:bidi w:val="0"/>
                                    <w:spacing w:before="0" w:after="0"/>
                                    <w:jc w:val="left"/>
                                  </w:pPr>
                                  <w:r>
                                    <w:t> </w:t>
                                  </w:r>
                                </w:p>
                              </w:tc>
                              <w:tc>
                                <w:tcPr>
                                  <w:tcW w:w="50" w:type="dxa"/>
                                  <w:tcBorders/>
                                  <w:vAlign w:val="bottom"/>
                                </w:tcPr>
                                <w:p>
                                  <w:pPr>
                                    <w:pStyle w:val="TableContents"/>
                                    <w:pBdr>
                                      <w:top w:val="single" w:sz="2" w:space="1" w:color="000000"/>
                                    </w:pBdr>
                                    <w:bidi w:val="0"/>
                                    <w:spacing w:before="0" w:after="0"/>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pBdr>
                                      <w:top w:val="single" w:sz="2" w:space="1" w:color="000000"/>
                                    </w:pBdr>
                                    <w:bidi w:val="0"/>
                                    <w:spacing w:before="0" w:after="0"/>
                                    <w:jc w:val="left"/>
                                  </w:pPr>
                                  <w:r>
                                    <w:t> </w:t>
                                  </w:r>
                                </w:p>
                              </w:tc>
                              <w:tc>
                                <w:tcPr>
                                  <w:tcW w:w="754" w:type="dxa"/>
                                  <w:tcBorders/>
                                  <w:vAlign w:val="bottom"/>
                                </w:tcPr>
                                <w:p>
                                  <w:pPr>
                                    <w:pStyle w:val="TableContents"/>
                                    <w:pBdr>
                                      <w:top w:val="single" w:sz="2" w:space="1" w:color="000000"/>
                                    </w:pBdr>
                                    <w:bidi w:val="0"/>
                                    <w:spacing w:before="0" w:after="0"/>
                                    <w:jc w:val="left"/>
                                  </w:pPr>
                                  <w:r>
                                    <w:t> </w:t>
                                  </w:r>
                                </w:p>
                              </w:tc>
                              <w:tc>
                                <w:tcPr>
                                  <w:tcW w:w="43" w:type="dxa"/>
                                  <w:tcBorders/>
                                  <w:vAlign w:val="bottom"/>
                                </w:tcPr>
                                <w:p>
                                  <w:pPr>
                                    <w:pStyle w:val="TableContents"/>
                                    <w:pBdr>
                                      <w:top w:val="single" w:sz="2" w:space="1" w:color="000000"/>
                                    </w:pBdr>
                                    <w:bidi w:val="0"/>
                                    <w:spacing w:before="0" w:after="0"/>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Total current assets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3,137,736</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3,124,007</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rPr>
                                      <w:sz w:val="4"/>
                                      <w:szCs w:val="4"/>
                                    </w:rPr>
                                  </w:pPr>
                                  <w:r>
                                    <w:rPr>
                                      <w:sz w:val="4"/>
                                      <w:szCs w:val="4"/>
                                    </w:rPr>
                                  </w:r>
                                </w:p>
                              </w:tc>
                              <w:tc>
                                <w:tcPr>
                                  <w:tcW w:w="938" w:type="dxa"/>
                                  <w:tcBorders/>
                                  <w:vAlign w:val="bottom"/>
                                </w:tcPr>
                                <w:p>
                                  <w:pPr>
                                    <w:pStyle w:val="TableContents"/>
                                    <w:bidi w:val="0"/>
                                    <w:spacing w:before="0" w:after="283"/>
                                    <w:jc w:val="left"/>
                                    <w:rPr>
                                      <w:sz w:val="4"/>
                                      <w:szCs w:val="4"/>
                                    </w:rPr>
                                  </w:pPr>
                                  <w:r>
                                    <w:rPr>
                                      <w:sz w:val="4"/>
                                      <w:szCs w:val="4"/>
                                    </w:rPr>
                                  </w:r>
                                </w:p>
                              </w:tc>
                              <w:tc>
                                <w:tcPr>
                                  <w:tcW w:w="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c>
                                <w:tcPr>
                                  <w:tcW w:w="2740"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rPr>
                                      <w:sz w:val="4"/>
                                      <w:szCs w:val="4"/>
                                    </w:rPr>
                                  </w:pPr>
                                  <w:r>
                                    <w:rPr>
                                      <w:sz w:val="4"/>
                                      <w:szCs w:val="4"/>
                                    </w:rPr>
                                  </w:r>
                                </w:p>
                              </w:tc>
                              <w:tc>
                                <w:tcPr>
                                  <w:tcW w:w="938" w:type="dxa"/>
                                  <w:tcBorders/>
                                  <w:vAlign w:val="bottom"/>
                                </w:tcPr>
                                <w:p>
                                  <w:pPr>
                                    <w:pStyle w:val="TableContents"/>
                                    <w:bidi w:val="0"/>
                                    <w:spacing w:before="0" w:after="283"/>
                                    <w:jc w:val="left"/>
                                    <w:rPr>
                                      <w:sz w:val="4"/>
                                      <w:szCs w:val="4"/>
                                    </w:rPr>
                                  </w:pPr>
                                  <w:r>
                                    <w:rPr>
                                      <w:sz w:val="4"/>
                                      <w:szCs w:val="4"/>
                                    </w:rPr>
                                  </w:r>
                                </w:p>
                              </w:tc>
                              <w:tc>
                                <w:tcPr>
                                  <w:tcW w:w="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740" w:type="dxa"/>
                                  <w:tcBorders/>
                                  <w:vAlign w:val="center"/>
                                </w:tcPr>
                                <w:p>
                                  <w:pPr>
                                    <w:pStyle w:val="TableContents"/>
                                    <w:bidi w:val="0"/>
                                    <w:spacing w:before="0" w:after="283"/>
                                    <w:jc w:val="left"/>
                                    <w:rPr>
                                      <w:sz w:val="4"/>
                                      <w:szCs w:val="4"/>
                                    </w:rPr>
                                  </w:pPr>
                                  <w:r>
                                    <w:rPr>
                                      <w:sz w:val="4"/>
                                      <w:szCs w:val="4"/>
                                    </w:rPr>
                                  </w:r>
                                </w:p>
                              </w:tc>
                              <w:tc>
                                <w:tcPr>
                                  <w:tcW w:w="1185" w:type="dxa"/>
                                  <w:gridSpan w:val="4"/>
                                  <w:tcBorders/>
                                  <w:vAlign w:val="center"/>
                                </w:tcPr>
                                <w:p>
                                  <w:pPr>
                                    <w:pStyle w:val="TableContents"/>
                                    <w:bidi w:val="0"/>
                                    <w:spacing w:before="0" w:after="283"/>
                                    <w:jc w:val="left"/>
                                    <w:rPr>
                                      <w:sz w:val="4"/>
                                      <w:szCs w:val="4"/>
                                    </w:rPr>
                                  </w:pPr>
                                  <w:r>
                                    <w:rPr>
                                      <w:sz w:val="4"/>
                                      <w:szCs w:val="4"/>
                                    </w:rPr>
                                  </w:r>
                                </w:p>
                              </w:tc>
                              <w:tc>
                                <w:tcPr>
                                  <w:tcW w:w="973" w:type="dxa"/>
                                  <w:gridSpan w:val="4"/>
                                  <w:tcBorders/>
                                  <w:vAlign w:val="center"/>
                                </w:tcPr>
                                <w:p>
                                  <w:pPr>
                                    <w:pStyle w:val="TableContents"/>
                                    <w:bidi w:val="0"/>
                                    <w:spacing w:before="0" w:after="283"/>
                                    <w:jc w:val="left"/>
                                    <w:rPr>
                                      <w:sz w:val="4"/>
                                      <w:szCs w:val="4"/>
                                    </w:rPr>
                                  </w:pPr>
                                  <w:r>
                                    <w:rPr>
                                      <w:sz w:val="4"/>
                                      <w:szCs w:val="4"/>
                                    </w:rPr>
                                  </w:r>
                                </w:p>
                              </w:tc>
                            </w:tr>
                            <w:tr>
                              <w:tc>
                                <w:tcPr>
                                  <w:tcW w:w="2740"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rPr>
                                      <w:sz w:val="4"/>
                                      <w:szCs w:val="4"/>
                                    </w:rPr>
                                  </w:pPr>
                                  <w:r>
                                    <w:rPr>
                                      <w:sz w:val="4"/>
                                      <w:szCs w:val="4"/>
                                    </w:rPr>
                                  </w:r>
                                </w:p>
                              </w:tc>
                              <w:tc>
                                <w:tcPr>
                                  <w:tcW w:w="938" w:type="dxa"/>
                                  <w:tcBorders/>
                                  <w:vAlign w:val="bottom"/>
                                </w:tcPr>
                                <w:p>
                                  <w:pPr>
                                    <w:pStyle w:val="TableContents"/>
                                    <w:bidi w:val="0"/>
                                    <w:spacing w:before="0" w:after="283"/>
                                    <w:jc w:val="left"/>
                                    <w:rPr>
                                      <w:sz w:val="4"/>
                                      <w:szCs w:val="4"/>
                                    </w:rPr>
                                  </w:pPr>
                                  <w:r>
                                    <w:rPr>
                                      <w:sz w:val="4"/>
                                      <w:szCs w:val="4"/>
                                    </w:rPr>
                                  </w:r>
                                </w:p>
                              </w:tc>
                              <w:tc>
                                <w:tcPr>
                                  <w:tcW w:w="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c>
                                <w:tcPr>
                                  <w:tcW w:w="2740" w:type="dxa"/>
                                  <w:tcBorders/>
                                </w:tcPr>
                                <w:p>
                                  <w:pPr>
                                    <w:pStyle w:val="TableContents"/>
                                    <w:bidi w:val="0"/>
                                    <w:spacing w:before="0" w:after="0"/>
                                    <w:jc w:val="left"/>
                                    <w:rPr>
                                      <w:rFonts w:ascii="Arial" w:hAnsi="Arial"/>
                                      <w:sz w:val="16"/>
                                    </w:rPr>
                                  </w:pPr>
                                  <w:r>
                                    <w:rPr>
                                      <w:rFonts w:ascii="Arial" w:hAnsi="Arial"/>
                                      <w:sz w:val="16"/>
                                    </w:rPr>
                                    <w:t>Property, equipment and satellites, net</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7,178,352</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7,272,637</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Operating lease right-of-use assets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428,228</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427,994</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Acquired intangible assets, net</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1,866,896</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1,997,436</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Goodwill</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1,624,401</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1,625,013</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Other assets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793,382</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779,509</w:t>
                                  </w:r>
                                </w:p>
                              </w:tc>
                              <w:tc>
                                <w:tcPr>
                                  <w:tcW w:w="43" w:type="dxa"/>
                                  <w:tcBorders/>
                                  <w:vAlign w:val="bottom"/>
                                </w:tcPr>
                                <w:p>
                                  <w:pPr>
                                    <w:pStyle w:val="TableContents"/>
                                    <w:bidi w:val="0"/>
                                    <w:spacing w:before="0" w:after="283"/>
                                    <w:jc w:val="left"/>
                                  </w:pPr>
                                  <w:r>
                                    <w:t> </w:t>
                                  </w:r>
                                </w:p>
                              </w:tc>
                            </w:tr>
                            <w:tr>
                              <w:tc>
                                <w:tcPr>
                                  <w:tcW w:w="274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pBdr>
                                      <w:top w:val="single" w:sz="2" w:space="1" w:color="000000"/>
                                    </w:pBdr>
                                    <w:bidi w:val="0"/>
                                    <w:spacing w:before="0" w:after="0"/>
                                    <w:jc w:val="left"/>
                                  </w:pPr>
                                  <w:r>
                                    <w:t> </w:t>
                                  </w:r>
                                </w:p>
                              </w:tc>
                              <w:tc>
                                <w:tcPr>
                                  <w:tcW w:w="938" w:type="dxa"/>
                                  <w:tcBorders/>
                                  <w:vAlign w:val="bottom"/>
                                </w:tcPr>
                                <w:p>
                                  <w:pPr>
                                    <w:pStyle w:val="TableContents"/>
                                    <w:pBdr>
                                      <w:top w:val="single" w:sz="2" w:space="1" w:color="000000"/>
                                    </w:pBdr>
                                    <w:bidi w:val="0"/>
                                    <w:spacing w:before="0" w:after="0"/>
                                    <w:jc w:val="left"/>
                                  </w:pPr>
                                  <w:r>
                                    <w:t> </w:t>
                                  </w:r>
                                </w:p>
                              </w:tc>
                              <w:tc>
                                <w:tcPr>
                                  <w:tcW w:w="50" w:type="dxa"/>
                                  <w:tcBorders/>
                                  <w:vAlign w:val="bottom"/>
                                </w:tcPr>
                                <w:p>
                                  <w:pPr>
                                    <w:pStyle w:val="TableContents"/>
                                    <w:pBdr>
                                      <w:top w:val="single" w:sz="2" w:space="1" w:color="000000"/>
                                    </w:pBdr>
                                    <w:bidi w:val="0"/>
                                    <w:spacing w:before="0" w:after="0"/>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pBdr>
                                      <w:top w:val="single" w:sz="2" w:space="1" w:color="000000"/>
                                    </w:pBdr>
                                    <w:bidi w:val="0"/>
                                    <w:spacing w:before="0" w:after="0"/>
                                    <w:jc w:val="left"/>
                                  </w:pPr>
                                  <w:r>
                                    <w:t> </w:t>
                                  </w:r>
                                </w:p>
                              </w:tc>
                              <w:tc>
                                <w:tcPr>
                                  <w:tcW w:w="754" w:type="dxa"/>
                                  <w:tcBorders/>
                                  <w:vAlign w:val="bottom"/>
                                </w:tcPr>
                                <w:p>
                                  <w:pPr>
                                    <w:pStyle w:val="TableContents"/>
                                    <w:pBdr>
                                      <w:top w:val="single" w:sz="2" w:space="1" w:color="000000"/>
                                    </w:pBdr>
                                    <w:bidi w:val="0"/>
                                    <w:spacing w:before="0" w:after="0"/>
                                    <w:jc w:val="left"/>
                                  </w:pPr>
                                  <w:r>
                                    <w:t> </w:t>
                                  </w:r>
                                </w:p>
                              </w:tc>
                              <w:tc>
                                <w:tcPr>
                                  <w:tcW w:w="43" w:type="dxa"/>
                                  <w:tcBorders/>
                                  <w:vAlign w:val="bottom"/>
                                </w:tcPr>
                                <w:p>
                                  <w:pPr>
                                    <w:pStyle w:val="TableContents"/>
                                    <w:pBdr>
                                      <w:top w:val="single" w:sz="2" w:space="1" w:color="000000"/>
                                    </w:pBdr>
                                    <w:bidi w:val="0"/>
                                    <w:spacing w:before="0" w:after="0"/>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Total assets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r>
                                    <w:t>$</w:t>
                                  </w:r>
                                </w:p>
                              </w:tc>
                              <w:tc>
                                <w:tcPr>
                                  <w:tcW w:w="938" w:type="dxa"/>
                                  <w:tcBorders/>
                                  <w:vAlign w:val="bottom"/>
                                </w:tcPr>
                                <w:p>
                                  <w:pPr>
                                    <w:pStyle w:val="TableContents"/>
                                    <w:bidi w:val="0"/>
                                    <w:spacing w:before="0" w:after="283"/>
                                    <w:jc w:val="right"/>
                                  </w:pPr>
                                  <w:r>
                                    <w:t>15,028,995</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r>
                                    <w:t>$</w:t>
                                  </w:r>
                                </w:p>
                              </w:tc>
                              <w:tc>
                                <w:tcPr>
                                  <w:tcW w:w="754" w:type="dxa"/>
                                  <w:tcBorders/>
                                  <w:vAlign w:val="bottom"/>
                                </w:tcPr>
                                <w:p>
                                  <w:pPr>
                                    <w:pStyle w:val="TableContents"/>
                                    <w:bidi w:val="0"/>
                                    <w:spacing w:before="0" w:after="283"/>
                                    <w:jc w:val="right"/>
                                  </w:pPr>
                                  <w:r>
                                    <w:t>15,226,596</w:t>
                                  </w:r>
                                </w:p>
                              </w:tc>
                              <w:tc>
                                <w:tcPr>
                                  <w:tcW w:w="43" w:type="dxa"/>
                                  <w:tcBorders/>
                                  <w:vAlign w:val="bottom"/>
                                </w:tcPr>
                                <w:p>
                                  <w:pPr>
                                    <w:pStyle w:val="TableContents"/>
                                    <w:bidi w:val="0"/>
                                    <w:spacing w:before="0" w:after="283"/>
                                    <w:jc w:val="left"/>
                                  </w:pPr>
                                  <w:r>
                                    <w:t> </w:t>
                                  </w:r>
                                </w:p>
                              </w:tc>
                            </w:tr>
                            <w:tr>
                              <w:tc>
                                <w:tcPr>
                                  <w:tcW w:w="274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pBdr>
                                      <w:top w:val="double" w:sz="6" w:space="1" w:color="000000"/>
                                    </w:pBdr>
                                    <w:bidi w:val="0"/>
                                    <w:spacing w:before="0" w:after="0"/>
                                    <w:jc w:val="left"/>
                                  </w:pPr>
                                  <w:r>
                                    <w:t> </w:t>
                                  </w:r>
                                </w:p>
                              </w:tc>
                              <w:tc>
                                <w:tcPr>
                                  <w:tcW w:w="938" w:type="dxa"/>
                                  <w:tcBorders/>
                                  <w:vAlign w:val="bottom"/>
                                </w:tcPr>
                                <w:p>
                                  <w:pPr>
                                    <w:pStyle w:val="TableContents"/>
                                    <w:pBdr>
                                      <w:top w:val="double" w:sz="6" w:space="1" w:color="000000"/>
                                    </w:pBdr>
                                    <w:bidi w:val="0"/>
                                    <w:spacing w:before="0" w:after="0"/>
                                    <w:jc w:val="left"/>
                                  </w:pPr>
                                  <w:r>
                                    <w:t> </w:t>
                                  </w:r>
                                </w:p>
                              </w:tc>
                              <w:tc>
                                <w:tcPr>
                                  <w:tcW w:w="50" w:type="dxa"/>
                                  <w:tcBorders/>
                                  <w:vAlign w:val="bottom"/>
                                </w:tcPr>
                                <w:p>
                                  <w:pPr>
                                    <w:pStyle w:val="TableContents"/>
                                    <w:pBdr>
                                      <w:top w:val="double" w:sz="6" w:space="1" w:color="000000"/>
                                    </w:pBdr>
                                    <w:bidi w:val="0"/>
                                    <w:spacing w:before="0" w:after="0"/>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pBdr>
                                      <w:top w:val="double" w:sz="6" w:space="1" w:color="000000"/>
                                    </w:pBdr>
                                    <w:bidi w:val="0"/>
                                    <w:spacing w:before="0" w:after="0"/>
                                    <w:jc w:val="left"/>
                                  </w:pPr>
                                  <w:r>
                                    <w:t> </w:t>
                                  </w:r>
                                </w:p>
                              </w:tc>
                              <w:tc>
                                <w:tcPr>
                                  <w:tcW w:w="754" w:type="dxa"/>
                                  <w:tcBorders/>
                                  <w:vAlign w:val="bottom"/>
                                </w:tcPr>
                                <w:p>
                                  <w:pPr>
                                    <w:pStyle w:val="TableContents"/>
                                    <w:pBdr>
                                      <w:top w:val="double" w:sz="6" w:space="1" w:color="000000"/>
                                    </w:pBdr>
                                    <w:bidi w:val="0"/>
                                    <w:spacing w:before="0" w:after="0"/>
                                    <w:jc w:val="left"/>
                                  </w:pPr>
                                  <w:r>
                                    <w:t> </w:t>
                                  </w:r>
                                </w:p>
                              </w:tc>
                              <w:tc>
                                <w:tcPr>
                                  <w:tcW w:w="43" w:type="dxa"/>
                                  <w:tcBorders/>
                                  <w:vAlign w:val="bottom"/>
                                </w:tcPr>
                                <w:p>
                                  <w:pPr>
                                    <w:pStyle w:val="TableContents"/>
                                    <w:pBdr>
                                      <w:top w:val="double" w:sz="6" w:space="1" w:color="000000"/>
                                    </w:pBdr>
                                    <w:bidi w:val="0"/>
                                    <w:spacing w:before="0" w:after="0"/>
                                    <w:jc w:val="left"/>
                                  </w:pPr>
                                  <w:r>
                                    <w:t> </w:t>
                                  </w:r>
                                </w:p>
                              </w:tc>
                            </w:tr>
                          </w:tbl>
                          <w:p>
                            <w:pPr>
                              <w:pStyle w:val="TextBody"/>
                              <w:bidi w:val="0"/>
                              <w:spacing w:before="0" w:after="283"/>
                              <w:jc w:val="left"/>
                            </w:p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2740"/>
                        <w:gridCol w:w="81"/>
                        <w:gridCol w:w="116"/>
                        <w:gridCol w:w="938"/>
                        <w:gridCol w:w="50"/>
                        <w:gridCol w:w="81"/>
                        <w:gridCol w:w="95"/>
                        <w:gridCol w:w="754"/>
                        <w:gridCol w:w="43"/>
                      </w:tblGrid>
                      <w:tr>
                        <w:tc>
                          <w:tcPr>
                            <w:tcW w:w="274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r>
                      <w:tr>
                        <w:tc>
                          <w:tcPr>
                            <w:tcW w:w="274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104" w:type="dxa"/>
                            <w:gridSpan w:val="3"/>
                            <w:tcBorders/>
                            <w:vAlign w:val="bottom"/>
                          </w:tcPr>
                          <w:p>
                            <w:pPr>
                              <w:pStyle w:val="TableContents"/>
                              <w:bidi w:val="0"/>
                              <w:spacing w:before="0" w:after="283"/>
                              <w:jc w:val="center"/>
                              <w:rPr>
                                <w:b/>
                              </w:rPr>
                            </w:pPr>
                            <w:r>
                              <w:rPr>
                                <w:b/>
                              </w:rPr>
                              <w:t>As of</w:t>
                            </w:r>
                          </w:p>
                        </w:tc>
                        <w:tc>
                          <w:tcPr>
                            <w:tcW w:w="81" w:type="dxa"/>
                            <w:tcBorders/>
                            <w:vAlign w:val="bottom"/>
                          </w:tcPr>
                          <w:p>
                            <w:pPr>
                              <w:pStyle w:val="TableContents"/>
                              <w:bidi w:val="0"/>
                              <w:spacing w:before="0" w:after="283"/>
                              <w:jc w:val="left"/>
                            </w:pPr>
                            <w:r>
                              <w:t>  </w:t>
                            </w:r>
                          </w:p>
                        </w:tc>
                        <w:tc>
                          <w:tcPr>
                            <w:tcW w:w="892" w:type="dxa"/>
                            <w:gridSpan w:val="3"/>
                            <w:tcBorders/>
                            <w:vAlign w:val="bottom"/>
                          </w:tcPr>
                          <w:p>
                            <w:pPr>
                              <w:pStyle w:val="TableContents"/>
                              <w:bidi w:val="0"/>
                              <w:spacing w:before="0" w:after="283"/>
                              <w:jc w:val="center"/>
                              <w:rPr>
                                <w:b/>
                              </w:rPr>
                            </w:pPr>
                            <w:r>
                              <w:rPr>
                                <w:b/>
                              </w:rPr>
                              <w:t>As of</w:t>
                            </w:r>
                          </w:p>
                        </w:tc>
                      </w:tr>
                      <w:tr>
                        <w:tc>
                          <w:tcPr>
                            <w:tcW w:w="2740" w:type="dxa"/>
                            <w:tcBorders/>
                            <w:vAlign w:val="bottom"/>
                          </w:tcPr>
                          <w:p>
                            <w:pPr>
                              <w:pStyle w:val="TableContents"/>
                              <w:bidi w:val="0"/>
                              <w:spacing w:before="0" w:after="283"/>
                              <w:jc w:val="left"/>
                              <w:rPr>
                                <w:b/>
                              </w:rPr>
                            </w:pPr>
                            <w:r>
                              <w:rPr>
                                <w:b/>
                              </w:rPr>
                              <w:t>Assets</w:t>
                            </w:r>
                          </w:p>
                        </w:tc>
                        <w:tc>
                          <w:tcPr>
                            <w:tcW w:w="81" w:type="dxa"/>
                            <w:tcBorders/>
                            <w:vAlign w:val="bottom"/>
                          </w:tcPr>
                          <w:p>
                            <w:pPr>
                              <w:pStyle w:val="TableContents"/>
                              <w:bidi w:val="0"/>
                              <w:spacing w:before="0" w:after="283"/>
                              <w:jc w:val="left"/>
                            </w:pPr>
                            <w:r>
                              <w:t>  </w:t>
                            </w:r>
                          </w:p>
                        </w:tc>
                        <w:tc>
                          <w:tcPr>
                            <w:tcW w:w="1104" w:type="dxa"/>
                            <w:gridSpan w:val="3"/>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81" w:type="dxa"/>
                            <w:tcBorders/>
                            <w:vAlign w:val="bottom"/>
                          </w:tcPr>
                          <w:p>
                            <w:pPr>
                              <w:pStyle w:val="TableContents"/>
                              <w:bidi w:val="0"/>
                              <w:spacing w:before="0" w:after="283"/>
                              <w:jc w:val="left"/>
                            </w:pPr>
                            <w:r>
                              <w:t>  </w:t>
                            </w:r>
                          </w:p>
                        </w:tc>
                        <w:tc>
                          <w:tcPr>
                            <w:tcW w:w="892" w:type="dxa"/>
                            <w:gridSpan w:val="3"/>
                            <w:tcBorders>
                              <w:bottom w:val="single" w:sz="8" w:space="0" w:color="000000"/>
                            </w:tcBorders>
                            <w:tcMar>
                              <w:bottom w:w="28" w:type="dxa"/>
                            </w:tcMar>
                            <w:vAlign w:val="bottom"/>
                          </w:tcPr>
                          <w:p>
                            <w:pPr>
                              <w:pStyle w:val="TableContents"/>
                              <w:bidi w:val="0"/>
                              <w:spacing w:before="0" w:after="283"/>
                              <w:jc w:val="center"/>
                            </w:pPr>
                            <w:r>
                              <w:t> </w:t>
                            </w:r>
                            <w:r>
                              <w:rPr>
                                <w:b/>
                              </w:rPr>
                              <w:t>March 31, 2026 </w:t>
                            </w:r>
                          </w:p>
                        </w:tc>
                      </w:tr>
                      <w:tr>
                        <w:trPr>
                          <w:trHeight w:val="120" w:hRule="atLeast"/>
                        </w:trPr>
                        <w:tc>
                          <w:tcPr>
                            <w:tcW w:w="2740" w:type="dxa"/>
                            <w:tcBorders/>
                            <w:vAlign w:val="center"/>
                          </w:tcPr>
                          <w:p>
                            <w:pPr>
                              <w:pStyle w:val="TableContents"/>
                              <w:bidi w:val="0"/>
                              <w:spacing w:before="0" w:after="283"/>
                              <w:jc w:val="left"/>
                              <w:rPr>
                                <w:sz w:val="4"/>
                                <w:szCs w:val="4"/>
                              </w:rPr>
                            </w:pPr>
                            <w:r>
                              <w:rPr>
                                <w:sz w:val="4"/>
                                <w:szCs w:val="4"/>
                              </w:rPr>
                            </w:r>
                          </w:p>
                        </w:tc>
                        <w:tc>
                          <w:tcPr>
                            <w:tcW w:w="1185" w:type="dxa"/>
                            <w:gridSpan w:val="4"/>
                            <w:tcBorders/>
                            <w:vAlign w:val="center"/>
                          </w:tcPr>
                          <w:p>
                            <w:pPr>
                              <w:pStyle w:val="TableContents"/>
                              <w:bidi w:val="0"/>
                              <w:spacing w:before="0" w:after="283"/>
                              <w:jc w:val="left"/>
                              <w:rPr>
                                <w:sz w:val="4"/>
                                <w:szCs w:val="4"/>
                              </w:rPr>
                            </w:pPr>
                            <w:r>
                              <w:rPr>
                                <w:sz w:val="4"/>
                                <w:szCs w:val="4"/>
                              </w:rPr>
                            </w:r>
                          </w:p>
                        </w:tc>
                        <w:tc>
                          <w:tcPr>
                            <w:tcW w:w="973" w:type="dxa"/>
                            <w:gridSpan w:val="4"/>
                            <w:tcBorders/>
                            <w:vAlign w:val="center"/>
                          </w:tcPr>
                          <w:p>
                            <w:pPr>
                              <w:pStyle w:val="TableContents"/>
                              <w:bidi w:val="0"/>
                              <w:spacing w:before="0" w:after="283"/>
                              <w:jc w:val="left"/>
                              <w:rPr>
                                <w:sz w:val="4"/>
                                <w:szCs w:val="4"/>
                              </w:rPr>
                            </w:pPr>
                            <w:r>
                              <w:rPr>
                                <w:sz w:val="4"/>
                                <w:szCs w:val="4"/>
                              </w:rPr>
                            </w:r>
                          </w:p>
                        </w:tc>
                      </w:tr>
                      <w:tr>
                        <w:tc>
                          <w:tcPr>
                            <w:tcW w:w="2740" w:type="dxa"/>
                            <w:tcBorders/>
                          </w:tcPr>
                          <w:p>
                            <w:pPr>
                              <w:pStyle w:val="TableContents"/>
                              <w:bidi w:val="0"/>
                              <w:spacing w:before="0" w:after="0"/>
                              <w:jc w:val="left"/>
                              <w:rPr>
                                <w:rFonts w:ascii="Arial" w:hAnsi="Arial"/>
                                <w:sz w:val="16"/>
                              </w:rPr>
                            </w:pPr>
                            <w:r>
                              <w:rPr>
                                <w:rFonts w:ascii="Arial" w:hAnsi="Arial"/>
                                <w:sz w:val="16"/>
                              </w:rPr>
                              <w:t>Current assets: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rPr>
                                <w:sz w:val="4"/>
                                <w:szCs w:val="4"/>
                              </w:rPr>
                            </w:pPr>
                            <w:r>
                              <w:rPr>
                                <w:sz w:val="4"/>
                                <w:szCs w:val="4"/>
                              </w:rPr>
                            </w:r>
                          </w:p>
                        </w:tc>
                        <w:tc>
                          <w:tcPr>
                            <w:tcW w:w="938" w:type="dxa"/>
                            <w:tcBorders/>
                            <w:vAlign w:val="bottom"/>
                          </w:tcPr>
                          <w:p>
                            <w:pPr>
                              <w:pStyle w:val="TableContents"/>
                              <w:bidi w:val="0"/>
                              <w:spacing w:before="0" w:after="283"/>
                              <w:jc w:val="left"/>
                              <w:rPr>
                                <w:sz w:val="4"/>
                                <w:szCs w:val="4"/>
                              </w:rPr>
                            </w:pPr>
                            <w:r>
                              <w:rPr>
                                <w:sz w:val="4"/>
                                <w:szCs w:val="4"/>
                              </w:rPr>
                            </w:r>
                          </w:p>
                        </w:tc>
                        <w:tc>
                          <w:tcPr>
                            <w:tcW w:w="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c>
                          <w:tcPr>
                            <w:tcW w:w="2740" w:type="dxa"/>
                            <w:tcBorders/>
                          </w:tcPr>
                          <w:p>
                            <w:pPr>
                              <w:pStyle w:val="TableContents"/>
                              <w:bidi w:val="0"/>
                              <w:spacing w:before="0" w:after="0"/>
                              <w:jc w:val="left"/>
                              <w:rPr>
                                <w:rFonts w:ascii="Arial" w:hAnsi="Arial"/>
                                <w:sz w:val="16"/>
                              </w:rPr>
                            </w:pPr>
                            <w:r>
                              <w:rPr>
                                <w:rFonts w:ascii="Arial" w:hAnsi="Arial"/>
                                <w:sz w:val="16"/>
                              </w:rPr>
                              <w:t>Cash and cash equivalents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r>
                              <w:t>$</w:t>
                            </w:r>
                          </w:p>
                        </w:tc>
                        <w:tc>
                          <w:tcPr>
                            <w:tcW w:w="938" w:type="dxa"/>
                            <w:tcBorders/>
                            <w:vAlign w:val="bottom"/>
                          </w:tcPr>
                          <w:p>
                            <w:pPr>
                              <w:pStyle w:val="TableContents"/>
                              <w:bidi w:val="0"/>
                              <w:spacing w:before="0" w:after="283"/>
                              <w:jc w:val="right"/>
                            </w:pPr>
                            <w:r>
                              <w:t>1,758,947</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r>
                              <w:t>$</w:t>
                            </w:r>
                          </w:p>
                        </w:tc>
                        <w:tc>
                          <w:tcPr>
                            <w:tcW w:w="754" w:type="dxa"/>
                            <w:tcBorders/>
                            <w:vAlign w:val="bottom"/>
                          </w:tcPr>
                          <w:p>
                            <w:pPr>
                              <w:pStyle w:val="TableContents"/>
                              <w:bidi w:val="0"/>
                              <w:spacing w:before="0" w:after="283"/>
                              <w:jc w:val="right"/>
                            </w:pPr>
                            <w:r>
                              <w:t>1,746,835</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Accounts receivable, net</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735,410</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753,430</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Inventories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308,784</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281,220</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Prepaid expenses and other current assets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334,595</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342,522</w:t>
                            </w:r>
                          </w:p>
                        </w:tc>
                        <w:tc>
                          <w:tcPr>
                            <w:tcW w:w="43" w:type="dxa"/>
                            <w:tcBorders/>
                            <w:vAlign w:val="bottom"/>
                          </w:tcPr>
                          <w:p>
                            <w:pPr>
                              <w:pStyle w:val="TableContents"/>
                              <w:bidi w:val="0"/>
                              <w:spacing w:before="0" w:after="283"/>
                              <w:jc w:val="left"/>
                            </w:pPr>
                            <w:r>
                              <w:t> </w:t>
                            </w:r>
                          </w:p>
                        </w:tc>
                      </w:tr>
                      <w:tr>
                        <w:tc>
                          <w:tcPr>
                            <w:tcW w:w="274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pBdr>
                                <w:top w:val="single" w:sz="2" w:space="1" w:color="000000"/>
                              </w:pBdr>
                              <w:bidi w:val="0"/>
                              <w:spacing w:before="0" w:after="0"/>
                              <w:jc w:val="left"/>
                            </w:pPr>
                            <w:r>
                              <w:t> </w:t>
                            </w:r>
                          </w:p>
                        </w:tc>
                        <w:tc>
                          <w:tcPr>
                            <w:tcW w:w="938" w:type="dxa"/>
                            <w:tcBorders/>
                            <w:vAlign w:val="bottom"/>
                          </w:tcPr>
                          <w:p>
                            <w:pPr>
                              <w:pStyle w:val="TableContents"/>
                              <w:pBdr>
                                <w:top w:val="single" w:sz="2" w:space="1" w:color="000000"/>
                              </w:pBdr>
                              <w:bidi w:val="0"/>
                              <w:spacing w:before="0" w:after="0"/>
                              <w:jc w:val="left"/>
                            </w:pPr>
                            <w:r>
                              <w:t> </w:t>
                            </w:r>
                          </w:p>
                        </w:tc>
                        <w:tc>
                          <w:tcPr>
                            <w:tcW w:w="50" w:type="dxa"/>
                            <w:tcBorders/>
                            <w:vAlign w:val="bottom"/>
                          </w:tcPr>
                          <w:p>
                            <w:pPr>
                              <w:pStyle w:val="TableContents"/>
                              <w:pBdr>
                                <w:top w:val="single" w:sz="2" w:space="1" w:color="000000"/>
                              </w:pBdr>
                              <w:bidi w:val="0"/>
                              <w:spacing w:before="0" w:after="0"/>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pBdr>
                                <w:top w:val="single" w:sz="2" w:space="1" w:color="000000"/>
                              </w:pBdr>
                              <w:bidi w:val="0"/>
                              <w:spacing w:before="0" w:after="0"/>
                              <w:jc w:val="left"/>
                            </w:pPr>
                            <w:r>
                              <w:t> </w:t>
                            </w:r>
                          </w:p>
                        </w:tc>
                        <w:tc>
                          <w:tcPr>
                            <w:tcW w:w="754" w:type="dxa"/>
                            <w:tcBorders/>
                            <w:vAlign w:val="bottom"/>
                          </w:tcPr>
                          <w:p>
                            <w:pPr>
                              <w:pStyle w:val="TableContents"/>
                              <w:pBdr>
                                <w:top w:val="single" w:sz="2" w:space="1" w:color="000000"/>
                              </w:pBdr>
                              <w:bidi w:val="0"/>
                              <w:spacing w:before="0" w:after="0"/>
                              <w:jc w:val="left"/>
                            </w:pPr>
                            <w:r>
                              <w:t> </w:t>
                            </w:r>
                          </w:p>
                        </w:tc>
                        <w:tc>
                          <w:tcPr>
                            <w:tcW w:w="43" w:type="dxa"/>
                            <w:tcBorders/>
                            <w:vAlign w:val="bottom"/>
                          </w:tcPr>
                          <w:p>
                            <w:pPr>
                              <w:pStyle w:val="TableContents"/>
                              <w:pBdr>
                                <w:top w:val="single" w:sz="2" w:space="1" w:color="000000"/>
                              </w:pBdr>
                              <w:bidi w:val="0"/>
                              <w:spacing w:before="0" w:after="0"/>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Total current assets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3,137,736</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3,124,007</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rPr>
                                <w:sz w:val="4"/>
                                <w:szCs w:val="4"/>
                              </w:rPr>
                            </w:pPr>
                            <w:r>
                              <w:rPr>
                                <w:sz w:val="4"/>
                                <w:szCs w:val="4"/>
                              </w:rPr>
                            </w:r>
                          </w:p>
                        </w:tc>
                        <w:tc>
                          <w:tcPr>
                            <w:tcW w:w="938" w:type="dxa"/>
                            <w:tcBorders/>
                            <w:vAlign w:val="bottom"/>
                          </w:tcPr>
                          <w:p>
                            <w:pPr>
                              <w:pStyle w:val="TableContents"/>
                              <w:bidi w:val="0"/>
                              <w:spacing w:before="0" w:after="283"/>
                              <w:jc w:val="left"/>
                              <w:rPr>
                                <w:sz w:val="4"/>
                                <w:szCs w:val="4"/>
                              </w:rPr>
                            </w:pPr>
                            <w:r>
                              <w:rPr>
                                <w:sz w:val="4"/>
                                <w:szCs w:val="4"/>
                              </w:rPr>
                            </w:r>
                          </w:p>
                        </w:tc>
                        <w:tc>
                          <w:tcPr>
                            <w:tcW w:w="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c>
                          <w:tcPr>
                            <w:tcW w:w="2740"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rPr>
                                <w:sz w:val="4"/>
                                <w:szCs w:val="4"/>
                              </w:rPr>
                            </w:pPr>
                            <w:r>
                              <w:rPr>
                                <w:sz w:val="4"/>
                                <w:szCs w:val="4"/>
                              </w:rPr>
                            </w:r>
                          </w:p>
                        </w:tc>
                        <w:tc>
                          <w:tcPr>
                            <w:tcW w:w="938" w:type="dxa"/>
                            <w:tcBorders/>
                            <w:vAlign w:val="bottom"/>
                          </w:tcPr>
                          <w:p>
                            <w:pPr>
                              <w:pStyle w:val="TableContents"/>
                              <w:bidi w:val="0"/>
                              <w:spacing w:before="0" w:after="283"/>
                              <w:jc w:val="left"/>
                              <w:rPr>
                                <w:sz w:val="4"/>
                                <w:szCs w:val="4"/>
                              </w:rPr>
                            </w:pPr>
                            <w:r>
                              <w:rPr>
                                <w:sz w:val="4"/>
                                <w:szCs w:val="4"/>
                              </w:rPr>
                            </w:r>
                          </w:p>
                        </w:tc>
                        <w:tc>
                          <w:tcPr>
                            <w:tcW w:w="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740" w:type="dxa"/>
                            <w:tcBorders/>
                            <w:vAlign w:val="center"/>
                          </w:tcPr>
                          <w:p>
                            <w:pPr>
                              <w:pStyle w:val="TableContents"/>
                              <w:bidi w:val="0"/>
                              <w:spacing w:before="0" w:after="283"/>
                              <w:jc w:val="left"/>
                              <w:rPr>
                                <w:sz w:val="4"/>
                                <w:szCs w:val="4"/>
                              </w:rPr>
                            </w:pPr>
                            <w:r>
                              <w:rPr>
                                <w:sz w:val="4"/>
                                <w:szCs w:val="4"/>
                              </w:rPr>
                            </w:r>
                          </w:p>
                        </w:tc>
                        <w:tc>
                          <w:tcPr>
                            <w:tcW w:w="1185" w:type="dxa"/>
                            <w:gridSpan w:val="4"/>
                            <w:tcBorders/>
                            <w:vAlign w:val="center"/>
                          </w:tcPr>
                          <w:p>
                            <w:pPr>
                              <w:pStyle w:val="TableContents"/>
                              <w:bidi w:val="0"/>
                              <w:spacing w:before="0" w:after="283"/>
                              <w:jc w:val="left"/>
                              <w:rPr>
                                <w:sz w:val="4"/>
                                <w:szCs w:val="4"/>
                              </w:rPr>
                            </w:pPr>
                            <w:r>
                              <w:rPr>
                                <w:sz w:val="4"/>
                                <w:szCs w:val="4"/>
                              </w:rPr>
                            </w:r>
                          </w:p>
                        </w:tc>
                        <w:tc>
                          <w:tcPr>
                            <w:tcW w:w="973" w:type="dxa"/>
                            <w:gridSpan w:val="4"/>
                            <w:tcBorders/>
                            <w:vAlign w:val="center"/>
                          </w:tcPr>
                          <w:p>
                            <w:pPr>
                              <w:pStyle w:val="TableContents"/>
                              <w:bidi w:val="0"/>
                              <w:spacing w:before="0" w:after="283"/>
                              <w:jc w:val="left"/>
                              <w:rPr>
                                <w:sz w:val="4"/>
                                <w:szCs w:val="4"/>
                              </w:rPr>
                            </w:pPr>
                            <w:r>
                              <w:rPr>
                                <w:sz w:val="4"/>
                                <w:szCs w:val="4"/>
                              </w:rPr>
                            </w:r>
                          </w:p>
                        </w:tc>
                      </w:tr>
                      <w:tr>
                        <w:tc>
                          <w:tcPr>
                            <w:tcW w:w="2740"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rPr>
                                <w:sz w:val="4"/>
                                <w:szCs w:val="4"/>
                              </w:rPr>
                            </w:pPr>
                            <w:r>
                              <w:rPr>
                                <w:sz w:val="4"/>
                                <w:szCs w:val="4"/>
                              </w:rPr>
                            </w:r>
                          </w:p>
                        </w:tc>
                        <w:tc>
                          <w:tcPr>
                            <w:tcW w:w="938" w:type="dxa"/>
                            <w:tcBorders/>
                            <w:vAlign w:val="bottom"/>
                          </w:tcPr>
                          <w:p>
                            <w:pPr>
                              <w:pStyle w:val="TableContents"/>
                              <w:bidi w:val="0"/>
                              <w:spacing w:before="0" w:after="283"/>
                              <w:jc w:val="left"/>
                              <w:rPr>
                                <w:sz w:val="4"/>
                                <w:szCs w:val="4"/>
                              </w:rPr>
                            </w:pPr>
                            <w:r>
                              <w:rPr>
                                <w:sz w:val="4"/>
                                <w:szCs w:val="4"/>
                              </w:rPr>
                            </w:r>
                          </w:p>
                        </w:tc>
                        <w:tc>
                          <w:tcPr>
                            <w:tcW w:w="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c>
                          <w:tcPr>
                            <w:tcW w:w="2740" w:type="dxa"/>
                            <w:tcBorders/>
                          </w:tcPr>
                          <w:p>
                            <w:pPr>
                              <w:pStyle w:val="TableContents"/>
                              <w:bidi w:val="0"/>
                              <w:spacing w:before="0" w:after="0"/>
                              <w:jc w:val="left"/>
                              <w:rPr>
                                <w:rFonts w:ascii="Arial" w:hAnsi="Arial"/>
                                <w:sz w:val="16"/>
                              </w:rPr>
                            </w:pPr>
                            <w:r>
                              <w:rPr>
                                <w:rFonts w:ascii="Arial" w:hAnsi="Arial"/>
                                <w:sz w:val="16"/>
                              </w:rPr>
                              <w:t>Property, equipment and satellites, net</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7,178,352</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7,272,637</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Operating lease right-of-use assets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428,228</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427,994</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Acquired intangible assets, net</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1,866,896</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1,997,436</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Goodwill</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1,624,401</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1,625,013</w:t>
                            </w:r>
                          </w:p>
                        </w:tc>
                        <w:tc>
                          <w:tcPr>
                            <w:tcW w:w="43" w:type="dxa"/>
                            <w:tcBorders/>
                            <w:vAlign w:val="bottom"/>
                          </w:tcPr>
                          <w:p>
                            <w:pPr>
                              <w:pStyle w:val="TableContents"/>
                              <w:bidi w:val="0"/>
                              <w:spacing w:before="0" w:after="283"/>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Other assets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p>
                        </w:tc>
                        <w:tc>
                          <w:tcPr>
                            <w:tcW w:w="938" w:type="dxa"/>
                            <w:tcBorders/>
                            <w:vAlign w:val="bottom"/>
                          </w:tcPr>
                          <w:p>
                            <w:pPr>
                              <w:pStyle w:val="TableContents"/>
                              <w:bidi w:val="0"/>
                              <w:spacing w:before="0" w:after="283"/>
                              <w:jc w:val="right"/>
                            </w:pPr>
                            <w:r>
                              <w:t>793,382</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p>
                        </w:tc>
                        <w:tc>
                          <w:tcPr>
                            <w:tcW w:w="754" w:type="dxa"/>
                            <w:tcBorders/>
                            <w:vAlign w:val="bottom"/>
                          </w:tcPr>
                          <w:p>
                            <w:pPr>
                              <w:pStyle w:val="TableContents"/>
                              <w:bidi w:val="0"/>
                              <w:spacing w:before="0" w:after="283"/>
                              <w:jc w:val="right"/>
                            </w:pPr>
                            <w:r>
                              <w:t>779,509</w:t>
                            </w:r>
                          </w:p>
                        </w:tc>
                        <w:tc>
                          <w:tcPr>
                            <w:tcW w:w="43" w:type="dxa"/>
                            <w:tcBorders/>
                            <w:vAlign w:val="bottom"/>
                          </w:tcPr>
                          <w:p>
                            <w:pPr>
                              <w:pStyle w:val="TableContents"/>
                              <w:bidi w:val="0"/>
                              <w:spacing w:before="0" w:after="283"/>
                              <w:jc w:val="left"/>
                            </w:pPr>
                            <w:r>
                              <w:t> </w:t>
                            </w:r>
                          </w:p>
                        </w:tc>
                      </w:tr>
                      <w:tr>
                        <w:tc>
                          <w:tcPr>
                            <w:tcW w:w="274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pBdr>
                                <w:top w:val="single" w:sz="2" w:space="1" w:color="000000"/>
                              </w:pBdr>
                              <w:bidi w:val="0"/>
                              <w:spacing w:before="0" w:after="0"/>
                              <w:jc w:val="left"/>
                            </w:pPr>
                            <w:r>
                              <w:t> </w:t>
                            </w:r>
                          </w:p>
                        </w:tc>
                        <w:tc>
                          <w:tcPr>
                            <w:tcW w:w="938" w:type="dxa"/>
                            <w:tcBorders/>
                            <w:vAlign w:val="bottom"/>
                          </w:tcPr>
                          <w:p>
                            <w:pPr>
                              <w:pStyle w:val="TableContents"/>
                              <w:pBdr>
                                <w:top w:val="single" w:sz="2" w:space="1" w:color="000000"/>
                              </w:pBdr>
                              <w:bidi w:val="0"/>
                              <w:spacing w:before="0" w:after="0"/>
                              <w:jc w:val="left"/>
                            </w:pPr>
                            <w:r>
                              <w:t> </w:t>
                            </w:r>
                          </w:p>
                        </w:tc>
                        <w:tc>
                          <w:tcPr>
                            <w:tcW w:w="50" w:type="dxa"/>
                            <w:tcBorders/>
                            <w:vAlign w:val="bottom"/>
                          </w:tcPr>
                          <w:p>
                            <w:pPr>
                              <w:pStyle w:val="TableContents"/>
                              <w:pBdr>
                                <w:top w:val="single" w:sz="2" w:space="1" w:color="000000"/>
                              </w:pBdr>
                              <w:bidi w:val="0"/>
                              <w:spacing w:before="0" w:after="0"/>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pBdr>
                                <w:top w:val="single" w:sz="2" w:space="1" w:color="000000"/>
                              </w:pBdr>
                              <w:bidi w:val="0"/>
                              <w:spacing w:before="0" w:after="0"/>
                              <w:jc w:val="left"/>
                            </w:pPr>
                            <w:r>
                              <w:t> </w:t>
                            </w:r>
                          </w:p>
                        </w:tc>
                        <w:tc>
                          <w:tcPr>
                            <w:tcW w:w="754" w:type="dxa"/>
                            <w:tcBorders/>
                            <w:vAlign w:val="bottom"/>
                          </w:tcPr>
                          <w:p>
                            <w:pPr>
                              <w:pStyle w:val="TableContents"/>
                              <w:pBdr>
                                <w:top w:val="single" w:sz="2" w:space="1" w:color="000000"/>
                              </w:pBdr>
                              <w:bidi w:val="0"/>
                              <w:spacing w:before="0" w:after="0"/>
                              <w:jc w:val="left"/>
                            </w:pPr>
                            <w:r>
                              <w:t> </w:t>
                            </w:r>
                          </w:p>
                        </w:tc>
                        <w:tc>
                          <w:tcPr>
                            <w:tcW w:w="43" w:type="dxa"/>
                            <w:tcBorders/>
                            <w:vAlign w:val="bottom"/>
                          </w:tcPr>
                          <w:p>
                            <w:pPr>
                              <w:pStyle w:val="TableContents"/>
                              <w:pBdr>
                                <w:top w:val="single" w:sz="2" w:space="1" w:color="000000"/>
                              </w:pBdr>
                              <w:bidi w:val="0"/>
                              <w:spacing w:before="0" w:after="0"/>
                              <w:jc w:val="left"/>
                            </w:pPr>
                            <w:r>
                              <w:t> </w:t>
                            </w:r>
                          </w:p>
                        </w:tc>
                      </w:tr>
                      <w:tr>
                        <w:tc>
                          <w:tcPr>
                            <w:tcW w:w="2740" w:type="dxa"/>
                            <w:tcBorders/>
                          </w:tcPr>
                          <w:p>
                            <w:pPr>
                              <w:pStyle w:val="TableContents"/>
                              <w:bidi w:val="0"/>
                              <w:spacing w:before="0" w:after="0"/>
                              <w:jc w:val="left"/>
                              <w:rPr>
                                <w:rFonts w:ascii="Arial" w:hAnsi="Arial"/>
                                <w:sz w:val="16"/>
                              </w:rPr>
                            </w:pPr>
                            <w:r>
                              <w:rPr>
                                <w:rFonts w:ascii="Arial" w:hAnsi="Arial"/>
                                <w:sz w:val="16"/>
                              </w:rPr>
                              <w:t>Total assets</w:t>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bidi w:val="0"/>
                              <w:spacing w:before="0" w:after="283"/>
                              <w:jc w:val="left"/>
                            </w:pPr>
                            <w:r>
                              <w:t> </w:t>
                            </w:r>
                            <w:r>
                              <w:t>$</w:t>
                            </w:r>
                          </w:p>
                        </w:tc>
                        <w:tc>
                          <w:tcPr>
                            <w:tcW w:w="938" w:type="dxa"/>
                            <w:tcBorders/>
                            <w:vAlign w:val="bottom"/>
                          </w:tcPr>
                          <w:p>
                            <w:pPr>
                              <w:pStyle w:val="TableContents"/>
                              <w:bidi w:val="0"/>
                              <w:spacing w:before="0" w:after="283"/>
                              <w:jc w:val="right"/>
                            </w:pPr>
                            <w:r>
                              <w:t>15,028,995</w:t>
                            </w:r>
                          </w:p>
                        </w:tc>
                        <w:tc>
                          <w:tcPr>
                            <w:tcW w:w="50"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bidi w:val="0"/>
                              <w:spacing w:before="0" w:after="283"/>
                              <w:jc w:val="left"/>
                            </w:pPr>
                            <w:r>
                              <w:t> </w:t>
                            </w:r>
                            <w:r>
                              <w:t>$</w:t>
                            </w:r>
                          </w:p>
                        </w:tc>
                        <w:tc>
                          <w:tcPr>
                            <w:tcW w:w="754" w:type="dxa"/>
                            <w:tcBorders/>
                            <w:vAlign w:val="bottom"/>
                          </w:tcPr>
                          <w:p>
                            <w:pPr>
                              <w:pStyle w:val="TableContents"/>
                              <w:bidi w:val="0"/>
                              <w:spacing w:before="0" w:after="283"/>
                              <w:jc w:val="right"/>
                            </w:pPr>
                            <w:r>
                              <w:t>15,226,596</w:t>
                            </w:r>
                          </w:p>
                        </w:tc>
                        <w:tc>
                          <w:tcPr>
                            <w:tcW w:w="43" w:type="dxa"/>
                            <w:tcBorders/>
                            <w:vAlign w:val="bottom"/>
                          </w:tcPr>
                          <w:p>
                            <w:pPr>
                              <w:pStyle w:val="TableContents"/>
                              <w:bidi w:val="0"/>
                              <w:spacing w:before="0" w:after="283"/>
                              <w:jc w:val="left"/>
                            </w:pPr>
                            <w:r>
                              <w:t> </w:t>
                            </w:r>
                          </w:p>
                        </w:tc>
                      </w:tr>
                      <w:tr>
                        <w:tc>
                          <w:tcPr>
                            <w:tcW w:w="274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6" w:type="dxa"/>
                            <w:tcBorders/>
                            <w:vAlign w:val="bottom"/>
                          </w:tcPr>
                          <w:p>
                            <w:pPr>
                              <w:pStyle w:val="TableContents"/>
                              <w:pBdr>
                                <w:top w:val="double" w:sz="6" w:space="1" w:color="000000"/>
                              </w:pBdr>
                              <w:bidi w:val="0"/>
                              <w:spacing w:before="0" w:after="0"/>
                              <w:jc w:val="left"/>
                            </w:pPr>
                            <w:r>
                              <w:t> </w:t>
                            </w:r>
                          </w:p>
                        </w:tc>
                        <w:tc>
                          <w:tcPr>
                            <w:tcW w:w="938" w:type="dxa"/>
                            <w:tcBorders/>
                            <w:vAlign w:val="bottom"/>
                          </w:tcPr>
                          <w:p>
                            <w:pPr>
                              <w:pStyle w:val="TableContents"/>
                              <w:pBdr>
                                <w:top w:val="double" w:sz="6" w:space="1" w:color="000000"/>
                              </w:pBdr>
                              <w:bidi w:val="0"/>
                              <w:spacing w:before="0" w:after="0"/>
                              <w:jc w:val="left"/>
                            </w:pPr>
                            <w:r>
                              <w:t> </w:t>
                            </w:r>
                          </w:p>
                        </w:tc>
                        <w:tc>
                          <w:tcPr>
                            <w:tcW w:w="50" w:type="dxa"/>
                            <w:tcBorders/>
                            <w:vAlign w:val="bottom"/>
                          </w:tcPr>
                          <w:p>
                            <w:pPr>
                              <w:pStyle w:val="TableContents"/>
                              <w:pBdr>
                                <w:top w:val="double" w:sz="6" w:space="1" w:color="000000"/>
                              </w:pBdr>
                              <w:bidi w:val="0"/>
                              <w:spacing w:before="0" w:after="0"/>
                              <w:jc w:val="left"/>
                            </w:pPr>
                            <w:r>
                              <w:t> </w:t>
                            </w:r>
                          </w:p>
                        </w:tc>
                        <w:tc>
                          <w:tcPr>
                            <w:tcW w:w="81" w:type="dxa"/>
                            <w:tcBorders/>
                            <w:vAlign w:val="bottom"/>
                          </w:tcPr>
                          <w:p>
                            <w:pPr>
                              <w:pStyle w:val="TableContents"/>
                              <w:bidi w:val="0"/>
                              <w:spacing w:before="0" w:after="283"/>
                              <w:jc w:val="left"/>
                            </w:pPr>
                            <w:r>
                              <w:t>  </w:t>
                            </w:r>
                          </w:p>
                        </w:tc>
                        <w:tc>
                          <w:tcPr>
                            <w:tcW w:w="95" w:type="dxa"/>
                            <w:tcBorders/>
                            <w:vAlign w:val="bottom"/>
                          </w:tcPr>
                          <w:p>
                            <w:pPr>
                              <w:pStyle w:val="TableContents"/>
                              <w:pBdr>
                                <w:top w:val="double" w:sz="6" w:space="1" w:color="000000"/>
                              </w:pBdr>
                              <w:bidi w:val="0"/>
                              <w:spacing w:before="0" w:after="0"/>
                              <w:jc w:val="left"/>
                            </w:pPr>
                            <w:r>
                              <w:t> </w:t>
                            </w:r>
                          </w:p>
                        </w:tc>
                        <w:tc>
                          <w:tcPr>
                            <w:tcW w:w="754" w:type="dxa"/>
                            <w:tcBorders/>
                            <w:vAlign w:val="bottom"/>
                          </w:tcPr>
                          <w:p>
                            <w:pPr>
                              <w:pStyle w:val="TableContents"/>
                              <w:pBdr>
                                <w:top w:val="double" w:sz="6" w:space="1" w:color="000000"/>
                              </w:pBdr>
                              <w:bidi w:val="0"/>
                              <w:spacing w:before="0" w:after="0"/>
                              <w:jc w:val="left"/>
                            </w:pPr>
                            <w:r>
                              <w:t> </w:t>
                            </w:r>
                          </w:p>
                        </w:tc>
                        <w:tc>
                          <w:tcPr>
                            <w:tcW w:w="43" w:type="dxa"/>
                            <w:tcBorders/>
                            <w:vAlign w:val="bottom"/>
                          </w:tcPr>
                          <w:p>
                            <w:pPr>
                              <w:pStyle w:val="TableContents"/>
                              <w:pBdr>
                                <w:top w:val="double" w:sz="6" w:space="1" w:color="000000"/>
                              </w:pBdr>
                              <w:bidi w:val="0"/>
                              <w:spacing w:before="0" w:after="0"/>
                              <w:jc w:val="left"/>
                            </w:pPr>
                            <w:r>
                              <w:t> </w:t>
                            </w:r>
                          </w:p>
                        </w:tc>
                      </w:tr>
                    </w:tbl>
                    <w:p>
                      <w:pPr>
                        <w:pStyle w:val="TextBody"/>
                        <w:bidi w:val="0"/>
                        <w:spacing w:before="0" w:after="283"/>
                        <w:jc w:val="left"/>
                      </w:pPr>
                      <w:r/>
                    </w:p>
                  </w:txbxContent>
                </v:textbox>
                <w10:wrap type="square" side="right"/>
              </v:rect>
            </w:pict>
          </mc:Fallback>
        </mc:AlternateConten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3175000" cy="9972040"/>
                <wp:effectExtent l="0" t="0" r="0" b="0"/>
                <wp:wrapSquare wrapText="right"/>
                <wp:docPr id="18"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2798"/>
                              <w:gridCol w:w="81"/>
                              <w:gridCol w:w="119"/>
                              <w:gridCol w:w="958"/>
                              <w:gridCol w:w="51"/>
                              <w:gridCol w:w="82"/>
                              <w:gridCol w:w="97"/>
                              <w:gridCol w:w="770"/>
                              <w:gridCol w:w="44"/>
                            </w:tblGrid>
                            <w:tr>
                              <w:tc>
                                <w:tcPr>
                                  <w:tcW w:w="2798"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r>
                            <w:tr>
                              <w:tc>
                                <w:tcPr>
                                  <w:tcW w:w="2798"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128" w:type="dxa"/>
                                  <w:gridSpan w:val="3"/>
                                  <w:tcBorders/>
                                  <w:vAlign w:val="bottom"/>
                                </w:tcPr>
                                <w:p>
                                  <w:pPr>
                                    <w:pStyle w:val="TableContents"/>
                                    <w:bidi w:val="0"/>
                                    <w:spacing w:before="0" w:after="283"/>
                                    <w:jc w:val="center"/>
                                    <w:rPr>
                                      <w:b/>
                                    </w:rPr>
                                  </w:pPr>
                                  <w:r>
                                    <w:rPr>
                                      <w:b/>
                                    </w:rPr>
                                    <w:t>As of</w:t>
                                  </w:r>
                                </w:p>
                              </w:tc>
                              <w:tc>
                                <w:tcPr>
                                  <w:tcW w:w="82" w:type="dxa"/>
                                  <w:tcBorders/>
                                  <w:vAlign w:val="bottom"/>
                                </w:tcPr>
                                <w:p>
                                  <w:pPr>
                                    <w:pStyle w:val="TableContents"/>
                                    <w:bidi w:val="0"/>
                                    <w:spacing w:before="0" w:after="283"/>
                                    <w:jc w:val="left"/>
                                  </w:pPr>
                                  <w:r>
                                    <w:t>  </w:t>
                                  </w:r>
                                </w:p>
                              </w:tc>
                              <w:tc>
                                <w:tcPr>
                                  <w:tcW w:w="911" w:type="dxa"/>
                                  <w:gridSpan w:val="3"/>
                                  <w:tcBorders/>
                                  <w:vAlign w:val="bottom"/>
                                </w:tcPr>
                                <w:p>
                                  <w:pPr>
                                    <w:pStyle w:val="TableContents"/>
                                    <w:bidi w:val="0"/>
                                    <w:spacing w:before="0" w:after="283"/>
                                    <w:jc w:val="center"/>
                                    <w:rPr>
                                      <w:b/>
                                    </w:rPr>
                                  </w:pPr>
                                  <w:r>
                                    <w:rPr>
                                      <w:b/>
                                    </w:rPr>
                                    <w:t>As of</w:t>
                                  </w:r>
                                </w:p>
                              </w:tc>
                            </w:tr>
                            <w:tr>
                              <w:tc>
                                <w:tcPr>
                                  <w:tcW w:w="2798" w:type="dxa"/>
                                  <w:tcBorders/>
                                  <w:vAlign w:val="bottom"/>
                                </w:tcPr>
                                <w:p>
                                  <w:pPr>
                                    <w:pStyle w:val="TableContents"/>
                                    <w:bidi w:val="0"/>
                                    <w:spacing w:before="0" w:after="283"/>
                                    <w:jc w:val="left"/>
                                    <w:rPr>
                                      <w:b/>
                                    </w:rPr>
                                  </w:pPr>
                                  <w:r>
                                    <w:rPr>
                                      <w:b/>
                                    </w:rPr>
                                    <w:t>Liabilities and Equity</w:t>
                                  </w:r>
                                </w:p>
                              </w:tc>
                              <w:tc>
                                <w:tcPr>
                                  <w:tcW w:w="81" w:type="dxa"/>
                                  <w:tcBorders/>
                                  <w:vAlign w:val="bottom"/>
                                </w:tcPr>
                                <w:p>
                                  <w:pPr>
                                    <w:pStyle w:val="TableContents"/>
                                    <w:bidi w:val="0"/>
                                    <w:spacing w:before="0" w:after="283"/>
                                    <w:jc w:val="left"/>
                                  </w:pPr>
                                  <w:r>
                                    <w:t>  </w:t>
                                  </w:r>
                                </w:p>
                              </w:tc>
                              <w:tc>
                                <w:tcPr>
                                  <w:tcW w:w="1128" w:type="dxa"/>
                                  <w:gridSpan w:val="3"/>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82" w:type="dxa"/>
                                  <w:tcBorders/>
                                  <w:vAlign w:val="bottom"/>
                                </w:tcPr>
                                <w:p>
                                  <w:pPr>
                                    <w:pStyle w:val="TableContents"/>
                                    <w:bidi w:val="0"/>
                                    <w:spacing w:before="0" w:after="283"/>
                                    <w:jc w:val="left"/>
                                  </w:pPr>
                                  <w:r>
                                    <w:t>  </w:t>
                                  </w:r>
                                </w:p>
                              </w:tc>
                              <w:tc>
                                <w:tcPr>
                                  <w:tcW w:w="911" w:type="dxa"/>
                                  <w:gridSpan w:val="3"/>
                                  <w:tcBorders>
                                    <w:bottom w:val="single" w:sz="8" w:space="0" w:color="000000"/>
                                  </w:tcBorders>
                                  <w:tcMar>
                                    <w:bottom w:w="28" w:type="dxa"/>
                                  </w:tcMar>
                                  <w:vAlign w:val="bottom"/>
                                </w:tcPr>
                                <w:p>
                                  <w:pPr>
                                    <w:pStyle w:val="TableContents"/>
                                    <w:bidi w:val="0"/>
                                    <w:spacing w:before="0" w:after="283"/>
                                    <w:jc w:val="center"/>
                                  </w:pPr>
                                  <w:r>
                                    <w:t> </w:t>
                                  </w:r>
                                  <w:r>
                                    <w:rPr>
                                      <w:b/>
                                    </w:rPr>
                                    <w:t>March 31, 2026 </w:t>
                                  </w:r>
                                </w:p>
                              </w:tc>
                            </w:tr>
                            <w:tr>
                              <w:trPr>
                                <w:trHeight w:val="120" w:hRule="atLeast"/>
                              </w:trPr>
                              <w:tc>
                                <w:tcPr>
                                  <w:tcW w:w="2798" w:type="dxa"/>
                                  <w:tcBorders/>
                                  <w:vAlign w:val="center"/>
                                </w:tcPr>
                                <w:p>
                                  <w:pPr>
                                    <w:pStyle w:val="TableContents"/>
                                    <w:bidi w:val="0"/>
                                    <w:spacing w:before="0" w:after="283"/>
                                    <w:jc w:val="left"/>
                                    <w:rPr>
                                      <w:sz w:val="4"/>
                                      <w:szCs w:val="4"/>
                                    </w:rPr>
                                  </w:pPr>
                                  <w:r>
                                    <w:rPr>
                                      <w:sz w:val="4"/>
                                      <w:szCs w:val="4"/>
                                    </w:rPr>
                                  </w:r>
                                </w:p>
                              </w:tc>
                              <w:tc>
                                <w:tcPr>
                                  <w:tcW w:w="1209" w:type="dxa"/>
                                  <w:gridSpan w:val="4"/>
                                  <w:tcBorders/>
                                  <w:vAlign w:val="center"/>
                                </w:tcPr>
                                <w:p>
                                  <w:pPr>
                                    <w:pStyle w:val="TableContents"/>
                                    <w:bidi w:val="0"/>
                                    <w:spacing w:before="0" w:after="283"/>
                                    <w:jc w:val="left"/>
                                    <w:rPr>
                                      <w:sz w:val="4"/>
                                      <w:szCs w:val="4"/>
                                    </w:rPr>
                                  </w:pPr>
                                  <w:r>
                                    <w:rPr>
                                      <w:sz w:val="4"/>
                                      <w:szCs w:val="4"/>
                                    </w:rPr>
                                  </w:r>
                                </w:p>
                              </w:tc>
                              <w:tc>
                                <w:tcPr>
                                  <w:tcW w:w="993" w:type="dxa"/>
                                  <w:gridSpan w:val="4"/>
                                  <w:tcBorders/>
                                  <w:vAlign w:val="center"/>
                                </w:tcPr>
                                <w:p>
                                  <w:pPr>
                                    <w:pStyle w:val="TableContents"/>
                                    <w:bidi w:val="0"/>
                                    <w:spacing w:before="0" w:after="283"/>
                                    <w:jc w:val="left"/>
                                    <w:rPr>
                                      <w:sz w:val="4"/>
                                      <w:szCs w:val="4"/>
                                    </w:rPr>
                                  </w:pPr>
                                  <w:r>
                                    <w:rPr>
                                      <w:sz w:val="4"/>
                                      <w:szCs w:val="4"/>
                                    </w:rPr>
                                  </w:r>
                                </w:p>
                              </w:tc>
                            </w:tr>
                            <w:tr>
                              <w:tc>
                                <w:tcPr>
                                  <w:tcW w:w="2798" w:type="dxa"/>
                                  <w:tcBorders/>
                                </w:tcPr>
                                <w:p>
                                  <w:pPr>
                                    <w:pStyle w:val="TableContents"/>
                                    <w:bidi w:val="0"/>
                                    <w:spacing w:before="0" w:after="0"/>
                                    <w:jc w:val="left"/>
                                    <w:rPr>
                                      <w:rFonts w:ascii="Arial" w:hAnsi="Arial"/>
                                      <w:sz w:val="16"/>
                                    </w:rPr>
                                  </w:pPr>
                                  <w:r>
                                    <w:rPr>
                                      <w:rFonts w:ascii="Arial" w:hAnsi="Arial"/>
                                      <w:sz w:val="16"/>
                                    </w:rPr>
                                    <w:t>Current liabilities: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44" w:type="dxa"/>
                                  <w:tcBorders/>
                                  <w:vAlign w:val="bottom"/>
                                </w:tcPr>
                                <w:p>
                                  <w:pPr>
                                    <w:pStyle w:val="TableContents"/>
                                    <w:bidi w:val="0"/>
                                    <w:spacing w:before="0" w:after="283"/>
                                    <w:jc w:val="left"/>
                                    <w:rPr>
                                      <w:sz w:val="4"/>
                                      <w:szCs w:val="4"/>
                                    </w:rPr>
                                  </w:pPr>
                                  <w:r>
                                    <w:rPr>
                                      <w:sz w:val="4"/>
                                      <w:szCs w:val="4"/>
                                    </w:rPr>
                                  </w:r>
                                </w:p>
                              </w:tc>
                            </w:tr>
                            <w:tr>
                              <w:tc>
                                <w:tcPr>
                                  <w:tcW w:w="2798" w:type="dxa"/>
                                  <w:tcBorders/>
                                </w:tcPr>
                                <w:p>
                                  <w:pPr>
                                    <w:pStyle w:val="TableContents"/>
                                    <w:bidi w:val="0"/>
                                    <w:spacing w:before="0" w:after="0"/>
                                    <w:jc w:val="left"/>
                                    <w:rPr>
                                      <w:rFonts w:ascii="Arial" w:hAnsi="Arial"/>
                                      <w:sz w:val="16"/>
                                    </w:rPr>
                                  </w:pPr>
                                  <w:r>
                                    <w:rPr>
                                      <w:rFonts w:ascii="Arial" w:hAnsi="Arial"/>
                                      <w:sz w:val="16"/>
                                    </w:rPr>
                                    <w:t>Accounts payable</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r>
                                    <w:t>$</w:t>
                                  </w:r>
                                </w:p>
                              </w:tc>
                              <w:tc>
                                <w:tcPr>
                                  <w:tcW w:w="958" w:type="dxa"/>
                                  <w:tcBorders/>
                                  <w:vAlign w:val="bottom"/>
                                </w:tcPr>
                                <w:p>
                                  <w:pPr>
                                    <w:pStyle w:val="TableContents"/>
                                    <w:bidi w:val="0"/>
                                    <w:spacing w:before="0" w:after="283"/>
                                    <w:jc w:val="right"/>
                                  </w:pPr>
                                  <w:r>
                                    <w:t>278,600</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r>
                                    <w:t>$</w:t>
                                  </w:r>
                                </w:p>
                              </w:tc>
                              <w:tc>
                                <w:tcPr>
                                  <w:tcW w:w="770" w:type="dxa"/>
                                  <w:tcBorders/>
                                  <w:vAlign w:val="bottom"/>
                                </w:tcPr>
                                <w:p>
                                  <w:pPr>
                                    <w:pStyle w:val="TableContents"/>
                                    <w:bidi w:val="0"/>
                                    <w:spacing w:before="0" w:after="283"/>
                                    <w:jc w:val="right"/>
                                  </w:pPr>
                                  <w:r>
                                    <w:t>288,154</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Accrued and other liabilities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961,676</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951,192</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Current portion of long-term debt</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659,078</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57,753</w:t>
                                  </w:r>
                                </w:p>
                              </w:tc>
                              <w:tc>
                                <w:tcPr>
                                  <w:tcW w:w="44" w:type="dxa"/>
                                  <w:tcBorders/>
                                  <w:vAlign w:val="bottom"/>
                                </w:tcPr>
                                <w:p>
                                  <w:pPr>
                                    <w:pStyle w:val="TableContents"/>
                                    <w:bidi w:val="0"/>
                                    <w:spacing w:before="0" w:after="283"/>
                                    <w:jc w:val="left"/>
                                  </w:pPr>
                                  <w:r>
                                    <w:t> </w:t>
                                  </w:r>
                                </w:p>
                              </w:tc>
                            </w:tr>
                            <w:tr>
                              <w:tc>
                                <w:tcPr>
                                  <w:tcW w:w="2798"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pBdr>
                                      <w:top w:val="single" w:sz="2" w:space="1" w:color="000000"/>
                                    </w:pBdr>
                                    <w:bidi w:val="0"/>
                                    <w:spacing w:before="0" w:after="0"/>
                                    <w:jc w:val="left"/>
                                  </w:pPr>
                                  <w:r>
                                    <w:t> </w:t>
                                  </w:r>
                                </w:p>
                              </w:tc>
                              <w:tc>
                                <w:tcPr>
                                  <w:tcW w:w="958" w:type="dxa"/>
                                  <w:tcBorders/>
                                  <w:vAlign w:val="bottom"/>
                                </w:tcPr>
                                <w:p>
                                  <w:pPr>
                                    <w:pStyle w:val="TableContents"/>
                                    <w:pBdr>
                                      <w:top w:val="single" w:sz="2" w:space="1" w:color="000000"/>
                                    </w:pBdr>
                                    <w:bidi w:val="0"/>
                                    <w:spacing w:before="0" w:after="0"/>
                                    <w:jc w:val="left"/>
                                  </w:pPr>
                                  <w:r>
                                    <w:t> </w:t>
                                  </w:r>
                                </w:p>
                              </w:tc>
                              <w:tc>
                                <w:tcPr>
                                  <w:tcW w:w="51" w:type="dxa"/>
                                  <w:tcBorders/>
                                  <w:vAlign w:val="bottom"/>
                                </w:tcPr>
                                <w:p>
                                  <w:pPr>
                                    <w:pStyle w:val="TableContents"/>
                                    <w:pBdr>
                                      <w:top w:val="single" w:sz="2" w:space="1" w:color="000000"/>
                                    </w:pBdr>
                                    <w:bidi w:val="0"/>
                                    <w:spacing w:before="0" w:after="0"/>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pBdr>
                                      <w:top w:val="single" w:sz="2" w:space="1" w:color="000000"/>
                                    </w:pBdr>
                                    <w:bidi w:val="0"/>
                                    <w:spacing w:before="0" w:after="0"/>
                                    <w:jc w:val="left"/>
                                  </w:pPr>
                                  <w:r>
                                    <w:t> </w:t>
                                  </w:r>
                                </w:p>
                              </w:tc>
                              <w:tc>
                                <w:tcPr>
                                  <w:tcW w:w="770" w:type="dxa"/>
                                  <w:tcBorders/>
                                  <w:vAlign w:val="bottom"/>
                                </w:tcPr>
                                <w:p>
                                  <w:pPr>
                                    <w:pStyle w:val="TableContents"/>
                                    <w:pBdr>
                                      <w:top w:val="single" w:sz="2" w:space="1" w:color="000000"/>
                                    </w:pBdr>
                                    <w:bidi w:val="0"/>
                                    <w:spacing w:before="0" w:after="0"/>
                                    <w:jc w:val="left"/>
                                  </w:pPr>
                                  <w:r>
                                    <w:t> </w:t>
                                  </w:r>
                                </w:p>
                              </w:tc>
                              <w:tc>
                                <w:tcPr>
                                  <w:tcW w:w="44" w:type="dxa"/>
                                  <w:tcBorders/>
                                  <w:vAlign w:val="bottom"/>
                                </w:tcPr>
                                <w:p>
                                  <w:pPr>
                                    <w:pStyle w:val="TableContents"/>
                                    <w:pBdr>
                                      <w:top w:val="single" w:sz="2" w:space="1" w:color="000000"/>
                                    </w:pBdr>
                                    <w:bidi w:val="0"/>
                                    <w:spacing w:before="0" w:after="0"/>
                                    <w:jc w:val="left"/>
                                  </w:pPr>
                                  <w:r>
                                    <w:t> </w:t>
                                  </w:r>
                                </w:p>
                              </w:tc>
                            </w:tr>
                            <w:tr>
                              <w:tc>
                                <w:tcPr>
                                  <w:tcW w:w="2798" w:type="dxa"/>
                                  <w:tcBorders/>
                                  <w:vAlign w:val="bottom"/>
                                </w:tcPr>
                                <w:p>
                                  <w:pPr>
                                    <w:pStyle w:val="TableContents"/>
                                    <w:bidi w:val="0"/>
                                    <w:spacing w:before="0" w:after="283"/>
                                    <w:jc w:val="left"/>
                                  </w:pPr>
                                  <w:r>
                                    <w:t>Total current liabilities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1,899,354</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1,297,099</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44"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2798" w:type="dxa"/>
                                  <w:tcBorders/>
                                  <w:vAlign w:val="center"/>
                                </w:tcPr>
                                <w:p>
                                  <w:pPr>
                                    <w:pStyle w:val="TableContents"/>
                                    <w:bidi w:val="0"/>
                                    <w:spacing w:before="0" w:after="283"/>
                                    <w:jc w:val="left"/>
                                    <w:rPr>
                                      <w:sz w:val="4"/>
                                      <w:szCs w:val="4"/>
                                    </w:rPr>
                                  </w:pPr>
                                  <w:r>
                                    <w:rPr>
                                      <w:sz w:val="4"/>
                                      <w:szCs w:val="4"/>
                                    </w:rPr>
                                  </w:r>
                                </w:p>
                              </w:tc>
                              <w:tc>
                                <w:tcPr>
                                  <w:tcW w:w="1209" w:type="dxa"/>
                                  <w:gridSpan w:val="4"/>
                                  <w:tcBorders/>
                                  <w:vAlign w:val="center"/>
                                </w:tcPr>
                                <w:p>
                                  <w:pPr>
                                    <w:pStyle w:val="TableContents"/>
                                    <w:bidi w:val="0"/>
                                    <w:spacing w:before="0" w:after="283"/>
                                    <w:jc w:val="left"/>
                                    <w:rPr>
                                      <w:sz w:val="4"/>
                                      <w:szCs w:val="4"/>
                                    </w:rPr>
                                  </w:pPr>
                                  <w:r>
                                    <w:rPr>
                                      <w:sz w:val="4"/>
                                      <w:szCs w:val="4"/>
                                    </w:rPr>
                                  </w:r>
                                </w:p>
                              </w:tc>
                              <w:tc>
                                <w:tcPr>
                                  <w:tcW w:w="993" w:type="dxa"/>
                                  <w:gridSpan w:val="4"/>
                                  <w:tcBorders/>
                                  <w:vAlign w:val="center"/>
                                </w:tcPr>
                                <w:p>
                                  <w:pPr>
                                    <w:pStyle w:val="TableContents"/>
                                    <w:bidi w:val="0"/>
                                    <w:spacing w:before="0" w:after="283"/>
                                    <w:jc w:val="left"/>
                                    <w:rPr>
                                      <w:sz w:val="4"/>
                                      <w:szCs w:val="4"/>
                                    </w:rPr>
                                  </w:pPr>
                                  <w:r>
                                    <w:rPr>
                                      <w:sz w:val="4"/>
                                      <w:szCs w:val="4"/>
                                    </w:rPr>
                                  </w:r>
                                </w:p>
                              </w:tc>
                            </w:tr>
                            <w:tr>
                              <w:tc>
                                <w:tcPr>
                                  <w:tcW w:w="2798"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44" w:type="dxa"/>
                                  <w:tcBorders/>
                                  <w:vAlign w:val="bottom"/>
                                </w:tcPr>
                                <w:p>
                                  <w:pPr>
                                    <w:pStyle w:val="TableContents"/>
                                    <w:bidi w:val="0"/>
                                    <w:spacing w:before="0" w:after="283"/>
                                    <w:jc w:val="left"/>
                                    <w:rPr>
                                      <w:sz w:val="4"/>
                                      <w:szCs w:val="4"/>
                                    </w:rPr>
                                  </w:pPr>
                                  <w:r>
                                    <w:rPr>
                                      <w:sz w:val="4"/>
                                      <w:szCs w:val="4"/>
                                    </w:rPr>
                                  </w:r>
                                </w:p>
                              </w:tc>
                            </w:tr>
                            <w:tr>
                              <w:tc>
                                <w:tcPr>
                                  <w:tcW w:w="2798" w:type="dxa"/>
                                  <w:tcBorders/>
                                </w:tcPr>
                                <w:p>
                                  <w:pPr>
                                    <w:pStyle w:val="TableContents"/>
                                    <w:bidi w:val="0"/>
                                    <w:spacing w:before="0" w:after="0"/>
                                    <w:jc w:val="left"/>
                                    <w:rPr>
                                      <w:rFonts w:ascii="Arial" w:hAnsi="Arial"/>
                                      <w:sz w:val="16"/>
                                    </w:rPr>
                                  </w:pPr>
                                  <w:r>
                                    <w:rPr>
                                      <w:rFonts w:ascii="Arial" w:hAnsi="Arial"/>
                                      <w:sz w:val="16"/>
                                    </w:rPr>
                                    <w:t>Senior notes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3,071,712</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3,664,848</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Other long-term debt</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2,709,289</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2,726,004</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Non-current operating lease liabilities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426,948</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430,082</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Other liabilities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2,330,061</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2,379,301</w:t>
                                  </w:r>
                                </w:p>
                              </w:tc>
                              <w:tc>
                                <w:tcPr>
                                  <w:tcW w:w="44" w:type="dxa"/>
                                  <w:tcBorders/>
                                  <w:vAlign w:val="bottom"/>
                                </w:tcPr>
                                <w:p>
                                  <w:pPr>
                                    <w:pStyle w:val="TableContents"/>
                                    <w:bidi w:val="0"/>
                                    <w:spacing w:before="0" w:after="283"/>
                                    <w:jc w:val="left"/>
                                  </w:pPr>
                                  <w:r>
                                    <w:t> </w:t>
                                  </w:r>
                                </w:p>
                              </w:tc>
                            </w:tr>
                            <w:tr>
                              <w:tc>
                                <w:tcPr>
                                  <w:tcW w:w="2798"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pBdr>
                                      <w:top w:val="single" w:sz="2" w:space="1" w:color="000000"/>
                                    </w:pBdr>
                                    <w:bidi w:val="0"/>
                                    <w:spacing w:before="0" w:after="0"/>
                                    <w:jc w:val="left"/>
                                  </w:pPr>
                                  <w:r>
                                    <w:t> </w:t>
                                  </w:r>
                                </w:p>
                              </w:tc>
                              <w:tc>
                                <w:tcPr>
                                  <w:tcW w:w="958" w:type="dxa"/>
                                  <w:tcBorders/>
                                  <w:vAlign w:val="bottom"/>
                                </w:tcPr>
                                <w:p>
                                  <w:pPr>
                                    <w:pStyle w:val="TableContents"/>
                                    <w:pBdr>
                                      <w:top w:val="single" w:sz="2" w:space="1" w:color="000000"/>
                                    </w:pBdr>
                                    <w:bidi w:val="0"/>
                                    <w:spacing w:before="0" w:after="0"/>
                                    <w:jc w:val="left"/>
                                  </w:pPr>
                                  <w:r>
                                    <w:t> </w:t>
                                  </w:r>
                                </w:p>
                              </w:tc>
                              <w:tc>
                                <w:tcPr>
                                  <w:tcW w:w="51" w:type="dxa"/>
                                  <w:tcBorders/>
                                  <w:vAlign w:val="bottom"/>
                                </w:tcPr>
                                <w:p>
                                  <w:pPr>
                                    <w:pStyle w:val="TableContents"/>
                                    <w:pBdr>
                                      <w:top w:val="single" w:sz="2" w:space="1" w:color="000000"/>
                                    </w:pBdr>
                                    <w:bidi w:val="0"/>
                                    <w:spacing w:before="0" w:after="0"/>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pBdr>
                                      <w:top w:val="single" w:sz="2" w:space="1" w:color="000000"/>
                                    </w:pBdr>
                                    <w:bidi w:val="0"/>
                                    <w:spacing w:before="0" w:after="0"/>
                                    <w:jc w:val="left"/>
                                  </w:pPr>
                                  <w:r>
                                    <w:t> </w:t>
                                  </w:r>
                                </w:p>
                              </w:tc>
                              <w:tc>
                                <w:tcPr>
                                  <w:tcW w:w="770" w:type="dxa"/>
                                  <w:tcBorders/>
                                  <w:vAlign w:val="bottom"/>
                                </w:tcPr>
                                <w:p>
                                  <w:pPr>
                                    <w:pStyle w:val="TableContents"/>
                                    <w:pBdr>
                                      <w:top w:val="single" w:sz="2" w:space="1" w:color="000000"/>
                                    </w:pBdr>
                                    <w:bidi w:val="0"/>
                                    <w:spacing w:before="0" w:after="0"/>
                                    <w:jc w:val="left"/>
                                  </w:pPr>
                                  <w:r>
                                    <w:t> </w:t>
                                  </w:r>
                                </w:p>
                              </w:tc>
                              <w:tc>
                                <w:tcPr>
                                  <w:tcW w:w="44" w:type="dxa"/>
                                  <w:tcBorders/>
                                  <w:vAlign w:val="bottom"/>
                                </w:tcPr>
                                <w:p>
                                  <w:pPr>
                                    <w:pStyle w:val="TableContents"/>
                                    <w:pBdr>
                                      <w:top w:val="single" w:sz="2" w:space="1" w:color="000000"/>
                                    </w:pBdr>
                                    <w:bidi w:val="0"/>
                                    <w:spacing w:before="0" w:after="0"/>
                                    <w:jc w:val="left"/>
                                  </w:pPr>
                                  <w:r>
                                    <w:t> </w:t>
                                  </w:r>
                                </w:p>
                              </w:tc>
                            </w:tr>
                            <w:tr>
                              <w:tc>
                                <w:tcPr>
                                  <w:tcW w:w="2798" w:type="dxa"/>
                                  <w:tcBorders/>
                                  <w:vAlign w:val="bottom"/>
                                </w:tcPr>
                                <w:p>
                                  <w:pPr>
                                    <w:pStyle w:val="TableContents"/>
                                    <w:bidi w:val="0"/>
                                    <w:spacing w:before="0" w:after="283"/>
                                    <w:jc w:val="left"/>
                                  </w:pPr>
                                  <w:r>
                                    <w:t>Total liabilities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10,437,364</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10,497,334</w:t>
                                  </w:r>
                                </w:p>
                              </w:tc>
                              <w:tc>
                                <w:tcPr>
                                  <w:tcW w:w="44" w:type="dxa"/>
                                  <w:tcBorders/>
                                  <w:vAlign w:val="bottom"/>
                                </w:tcPr>
                                <w:p>
                                  <w:pPr>
                                    <w:pStyle w:val="TableContents"/>
                                    <w:bidi w:val="0"/>
                                    <w:spacing w:before="0" w:after="283"/>
                                    <w:jc w:val="left"/>
                                  </w:pPr>
                                  <w:r>
                                    <w:t> </w:t>
                                  </w:r>
                                </w:p>
                              </w:tc>
                            </w:tr>
                            <w:tr>
                              <w:tc>
                                <w:tcPr>
                                  <w:tcW w:w="2798"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pBdr>
                                      <w:top w:val="single" w:sz="2" w:space="1" w:color="000000"/>
                                    </w:pBdr>
                                    <w:bidi w:val="0"/>
                                    <w:spacing w:before="0" w:after="0"/>
                                    <w:jc w:val="left"/>
                                  </w:pPr>
                                  <w:r>
                                    <w:t> </w:t>
                                  </w:r>
                                </w:p>
                              </w:tc>
                              <w:tc>
                                <w:tcPr>
                                  <w:tcW w:w="958" w:type="dxa"/>
                                  <w:tcBorders/>
                                  <w:vAlign w:val="bottom"/>
                                </w:tcPr>
                                <w:p>
                                  <w:pPr>
                                    <w:pStyle w:val="TableContents"/>
                                    <w:pBdr>
                                      <w:top w:val="single" w:sz="2" w:space="1" w:color="000000"/>
                                    </w:pBdr>
                                    <w:bidi w:val="0"/>
                                    <w:spacing w:before="0" w:after="0"/>
                                    <w:jc w:val="left"/>
                                  </w:pPr>
                                  <w:r>
                                    <w:t> </w:t>
                                  </w:r>
                                </w:p>
                              </w:tc>
                              <w:tc>
                                <w:tcPr>
                                  <w:tcW w:w="51" w:type="dxa"/>
                                  <w:tcBorders/>
                                  <w:vAlign w:val="bottom"/>
                                </w:tcPr>
                                <w:p>
                                  <w:pPr>
                                    <w:pStyle w:val="TableContents"/>
                                    <w:pBdr>
                                      <w:top w:val="single" w:sz="2" w:space="1" w:color="000000"/>
                                    </w:pBdr>
                                    <w:bidi w:val="0"/>
                                    <w:spacing w:before="0" w:after="0"/>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pBdr>
                                      <w:top w:val="single" w:sz="2" w:space="1" w:color="000000"/>
                                    </w:pBdr>
                                    <w:bidi w:val="0"/>
                                    <w:spacing w:before="0" w:after="0"/>
                                    <w:jc w:val="left"/>
                                  </w:pPr>
                                  <w:r>
                                    <w:t> </w:t>
                                  </w:r>
                                </w:p>
                              </w:tc>
                              <w:tc>
                                <w:tcPr>
                                  <w:tcW w:w="770" w:type="dxa"/>
                                  <w:tcBorders/>
                                  <w:vAlign w:val="bottom"/>
                                </w:tcPr>
                                <w:p>
                                  <w:pPr>
                                    <w:pStyle w:val="TableContents"/>
                                    <w:pBdr>
                                      <w:top w:val="single" w:sz="2" w:space="1" w:color="000000"/>
                                    </w:pBdr>
                                    <w:bidi w:val="0"/>
                                    <w:spacing w:before="0" w:after="0"/>
                                    <w:jc w:val="left"/>
                                  </w:pPr>
                                  <w:r>
                                    <w:t> </w:t>
                                  </w:r>
                                </w:p>
                              </w:tc>
                              <w:tc>
                                <w:tcPr>
                                  <w:tcW w:w="44" w:type="dxa"/>
                                  <w:tcBorders/>
                                  <w:vAlign w:val="bottom"/>
                                </w:tcPr>
                                <w:p>
                                  <w:pPr>
                                    <w:pStyle w:val="TableContents"/>
                                    <w:pBdr>
                                      <w:top w:val="single" w:sz="2" w:space="1" w:color="000000"/>
                                    </w:pBdr>
                                    <w:bidi w:val="0"/>
                                    <w:spacing w:before="0" w:after="0"/>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Total Viasat, Inc. stockholders’ equity</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4,505,104</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4,660,301</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Noncontrolling interest in subsidiary</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86,527</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68,961</w:t>
                                  </w:r>
                                </w:p>
                              </w:tc>
                              <w:tc>
                                <w:tcPr>
                                  <w:tcW w:w="44" w:type="dxa"/>
                                  <w:tcBorders/>
                                  <w:vAlign w:val="bottom"/>
                                </w:tcPr>
                                <w:p>
                                  <w:pPr>
                                    <w:pStyle w:val="TableContents"/>
                                    <w:bidi w:val="0"/>
                                    <w:spacing w:before="0" w:after="283"/>
                                    <w:jc w:val="left"/>
                                  </w:pPr>
                                  <w:r>
                                    <w:t> </w:t>
                                  </w:r>
                                </w:p>
                              </w:tc>
                            </w:tr>
                            <w:tr>
                              <w:tc>
                                <w:tcPr>
                                  <w:tcW w:w="2798"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pBdr>
                                      <w:top w:val="single" w:sz="2" w:space="1" w:color="000000"/>
                                    </w:pBdr>
                                    <w:bidi w:val="0"/>
                                    <w:spacing w:before="0" w:after="0"/>
                                    <w:jc w:val="left"/>
                                  </w:pPr>
                                  <w:r>
                                    <w:t> </w:t>
                                  </w:r>
                                </w:p>
                              </w:tc>
                              <w:tc>
                                <w:tcPr>
                                  <w:tcW w:w="958" w:type="dxa"/>
                                  <w:tcBorders/>
                                  <w:vAlign w:val="bottom"/>
                                </w:tcPr>
                                <w:p>
                                  <w:pPr>
                                    <w:pStyle w:val="TableContents"/>
                                    <w:pBdr>
                                      <w:top w:val="single" w:sz="2" w:space="1" w:color="000000"/>
                                    </w:pBdr>
                                    <w:bidi w:val="0"/>
                                    <w:spacing w:before="0" w:after="0"/>
                                    <w:jc w:val="left"/>
                                  </w:pPr>
                                  <w:r>
                                    <w:t> </w:t>
                                  </w:r>
                                </w:p>
                              </w:tc>
                              <w:tc>
                                <w:tcPr>
                                  <w:tcW w:w="51" w:type="dxa"/>
                                  <w:tcBorders/>
                                  <w:vAlign w:val="bottom"/>
                                </w:tcPr>
                                <w:p>
                                  <w:pPr>
                                    <w:pStyle w:val="TableContents"/>
                                    <w:pBdr>
                                      <w:top w:val="single" w:sz="2" w:space="1" w:color="000000"/>
                                    </w:pBdr>
                                    <w:bidi w:val="0"/>
                                    <w:spacing w:before="0" w:after="0"/>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pBdr>
                                      <w:top w:val="single" w:sz="2" w:space="1" w:color="000000"/>
                                    </w:pBdr>
                                    <w:bidi w:val="0"/>
                                    <w:spacing w:before="0" w:after="0"/>
                                    <w:jc w:val="left"/>
                                  </w:pPr>
                                  <w:r>
                                    <w:t> </w:t>
                                  </w:r>
                                </w:p>
                              </w:tc>
                              <w:tc>
                                <w:tcPr>
                                  <w:tcW w:w="770" w:type="dxa"/>
                                  <w:tcBorders/>
                                  <w:vAlign w:val="bottom"/>
                                </w:tcPr>
                                <w:p>
                                  <w:pPr>
                                    <w:pStyle w:val="TableContents"/>
                                    <w:pBdr>
                                      <w:top w:val="single" w:sz="2" w:space="1" w:color="000000"/>
                                    </w:pBdr>
                                    <w:bidi w:val="0"/>
                                    <w:spacing w:before="0" w:after="0"/>
                                    <w:jc w:val="left"/>
                                  </w:pPr>
                                  <w:r>
                                    <w:t> </w:t>
                                  </w:r>
                                </w:p>
                              </w:tc>
                              <w:tc>
                                <w:tcPr>
                                  <w:tcW w:w="44" w:type="dxa"/>
                                  <w:tcBorders/>
                                  <w:vAlign w:val="bottom"/>
                                </w:tcPr>
                                <w:p>
                                  <w:pPr>
                                    <w:pStyle w:val="TableContents"/>
                                    <w:pBdr>
                                      <w:top w:val="single" w:sz="2" w:space="1" w:color="000000"/>
                                    </w:pBdr>
                                    <w:bidi w:val="0"/>
                                    <w:spacing w:before="0" w:after="0"/>
                                    <w:jc w:val="left"/>
                                  </w:pPr>
                                  <w:r>
                                    <w:t> </w:t>
                                  </w:r>
                                </w:p>
                              </w:tc>
                            </w:tr>
                            <w:tr>
                              <w:tc>
                                <w:tcPr>
                                  <w:tcW w:w="2798" w:type="dxa"/>
                                  <w:tcBorders/>
                                  <w:vAlign w:val="bottom"/>
                                </w:tcPr>
                                <w:p>
                                  <w:pPr>
                                    <w:pStyle w:val="TableContents"/>
                                    <w:bidi w:val="0"/>
                                    <w:spacing w:before="0" w:after="283"/>
                                    <w:jc w:val="left"/>
                                  </w:pPr>
                                  <w:r>
                                    <w:t>Total equity</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4,591,631</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4,729,262</w:t>
                                  </w:r>
                                </w:p>
                              </w:tc>
                              <w:tc>
                                <w:tcPr>
                                  <w:tcW w:w="44" w:type="dxa"/>
                                  <w:tcBorders/>
                                  <w:vAlign w:val="bottom"/>
                                </w:tcPr>
                                <w:p>
                                  <w:pPr>
                                    <w:pStyle w:val="TableContents"/>
                                    <w:bidi w:val="0"/>
                                    <w:spacing w:before="0" w:after="283"/>
                                    <w:jc w:val="left"/>
                                  </w:pPr>
                                  <w:r>
                                    <w:t> </w:t>
                                  </w:r>
                                </w:p>
                              </w:tc>
                            </w:tr>
                            <w:tr>
                              <w:tc>
                                <w:tcPr>
                                  <w:tcW w:w="2798"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pBdr>
                                      <w:top w:val="single" w:sz="2" w:space="1" w:color="000000"/>
                                    </w:pBdr>
                                    <w:bidi w:val="0"/>
                                    <w:spacing w:before="0" w:after="0"/>
                                    <w:jc w:val="left"/>
                                  </w:pPr>
                                  <w:r>
                                    <w:t> </w:t>
                                  </w:r>
                                </w:p>
                              </w:tc>
                              <w:tc>
                                <w:tcPr>
                                  <w:tcW w:w="958" w:type="dxa"/>
                                  <w:tcBorders/>
                                  <w:vAlign w:val="bottom"/>
                                </w:tcPr>
                                <w:p>
                                  <w:pPr>
                                    <w:pStyle w:val="TableContents"/>
                                    <w:pBdr>
                                      <w:top w:val="single" w:sz="2" w:space="1" w:color="000000"/>
                                    </w:pBdr>
                                    <w:bidi w:val="0"/>
                                    <w:spacing w:before="0" w:after="0"/>
                                    <w:jc w:val="left"/>
                                  </w:pPr>
                                  <w:r>
                                    <w:t> </w:t>
                                  </w:r>
                                </w:p>
                              </w:tc>
                              <w:tc>
                                <w:tcPr>
                                  <w:tcW w:w="51" w:type="dxa"/>
                                  <w:tcBorders/>
                                  <w:vAlign w:val="bottom"/>
                                </w:tcPr>
                                <w:p>
                                  <w:pPr>
                                    <w:pStyle w:val="TableContents"/>
                                    <w:pBdr>
                                      <w:top w:val="single" w:sz="2" w:space="1" w:color="000000"/>
                                    </w:pBdr>
                                    <w:bidi w:val="0"/>
                                    <w:spacing w:before="0" w:after="0"/>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pBdr>
                                      <w:top w:val="single" w:sz="2" w:space="1" w:color="000000"/>
                                    </w:pBdr>
                                    <w:bidi w:val="0"/>
                                    <w:spacing w:before="0" w:after="0"/>
                                    <w:jc w:val="left"/>
                                  </w:pPr>
                                  <w:r>
                                    <w:t> </w:t>
                                  </w:r>
                                </w:p>
                              </w:tc>
                              <w:tc>
                                <w:tcPr>
                                  <w:tcW w:w="770" w:type="dxa"/>
                                  <w:tcBorders/>
                                  <w:vAlign w:val="bottom"/>
                                </w:tcPr>
                                <w:p>
                                  <w:pPr>
                                    <w:pStyle w:val="TableContents"/>
                                    <w:pBdr>
                                      <w:top w:val="single" w:sz="2" w:space="1" w:color="000000"/>
                                    </w:pBdr>
                                    <w:bidi w:val="0"/>
                                    <w:spacing w:before="0" w:after="0"/>
                                    <w:jc w:val="left"/>
                                  </w:pPr>
                                  <w:r>
                                    <w:t> </w:t>
                                  </w:r>
                                </w:p>
                              </w:tc>
                              <w:tc>
                                <w:tcPr>
                                  <w:tcW w:w="44" w:type="dxa"/>
                                  <w:tcBorders/>
                                  <w:vAlign w:val="bottom"/>
                                </w:tcPr>
                                <w:p>
                                  <w:pPr>
                                    <w:pStyle w:val="TableContents"/>
                                    <w:pBdr>
                                      <w:top w:val="single" w:sz="2" w:space="1" w:color="000000"/>
                                    </w:pBdr>
                                    <w:bidi w:val="0"/>
                                    <w:spacing w:before="0" w:after="0"/>
                                    <w:jc w:val="left"/>
                                  </w:pPr>
                                  <w:r>
                                    <w:t> </w:t>
                                  </w:r>
                                </w:p>
                              </w:tc>
                            </w:tr>
                            <w:tr>
                              <w:tc>
                                <w:tcPr>
                                  <w:tcW w:w="2798" w:type="dxa"/>
                                  <w:tcBorders/>
                                  <w:vAlign w:val="bottom"/>
                                </w:tcPr>
                                <w:p>
                                  <w:pPr>
                                    <w:pStyle w:val="TableContents"/>
                                    <w:bidi w:val="0"/>
                                    <w:spacing w:before="0" w:after="283"/>
                                    <w:jc w:val="left"/>
                                  </w:pPr>
                                  <w:r>
                                    <w:t>Total liabilities and equity</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r>
                                    <w:t>$</w:t>
                                  </w:r>
                                </w:p>
                              </w:tc>
                              <w:tc>
                                <w:tcPr>
                                  <w:tcW w:w="958" w:type="dxa"/>
                                  <w:tcBorders/>
                                  <w:vAlign w:val="bottom"/>
                                </w:tcPr>
                                <w:p>
                                  <w:pPr>
                                    <w:pStyle w:val="TableContents"/>
                                    <w:bidi w:val="0"/>
                                    <w:spacing w:before="0" w:after="283"/>
                                    <w:jc w:val="right"/>
                                  </w:pPr>
                                  <w:r>
                                    <w:t>15,028,995</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r>
                                    <w:t>$</w:t>
                                  </w:r>
                                </w:p>
                              </w:tc>
                              <w:tc>
                                <w:tcPr>
                                  <w:tcW w:w="770" w:type="dxa"/>
                                  <w:tcBorders/>
                                  <w:vAlign w:val="bottom"/>
                                </w:tcPr>
                                <w:p>
                                  <w:pPr>
                                    <w:pStyle w:val="TableContents"/>
                                    <w:bidi w:val="0"/>
                                    <w:spacing w:before="0" w:after="283"/>
                                    <w:jc w:val="right"/>
                                  </w:pPr>
                                  <w:r>
                                    <w:t>15,226,596</w:t>
                                  </w:r>
                                </w:p>
                              </w:tc>
                              <w:tc>
                                <w:tcPr>
                                  <w:tcW w:w="44" w:type="dxa"/>
                                  <w:tcBorders/>
                                  <w:vAlign w:val="bottom"/>
                                </w:tcPr>
                                <w:p>
                                  <w:pPr>
                                    <w:pStyle w:val="TableContents"/>
                                    <w:bidi w:val="0"/>
                                    <w:spacing w:before="0" w:after="283"/>
                                    <w:jc w:val="left"/>
                                  </w:pPr>
                                  <w:r>
                                    <w:t> </w:t>
                                  </w:r>
                                </w:p>
                              </w:tc>
                            </w:tr>
                            <w:tr>
                              <w:tc>
                                <w:tcPr>
                                  <w:tcW w:w="2798"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pBdr>
                                      <w:top w:val="double" w:sz="6" w:space="1" w:color="000000"/>
                                    </w:pBdr>
                                    <w:bidi w:val="0"/>
                                    <w:spacing w:before="0" w:after="0"/>
                                    <w:jc w:val="left"/>
                                  </w:pPr>
                                  <w:r>
                                    <w:t> </w:t>
                                  </w:r>
                                </w:p>
                              </w:tc>
                              <w:tc>
                                <w:tcPr>
                                  <w:tcW w:w="958" w:type="dxa"/>
                                  <w:tcBorders/>
                                  <w:vAlign w:val="bottom"/>
                                </w:tcPr>
                                <w:p>
                                  <w:pPr>
                                    <w:pStyle w:val="TableContents"/>
                                    <w:pBdr>
                                      <w:top w:val="double" w:sz="6" w:space="1" w:color="000000"/>
                                    </w:pBdr>
                                    <w:bidi w:val="0"/>
                                    <w:spacing w:before="0" w:after="0"/>
                                    <w:jc w:val="left"/>
                                  </w:pPr>
                                  <w:r>
                                    <w:t> </w:t>
                                  </w:r>
                                </w:p>
                              </w:tc>
                              <w:tc>
                                <w:tcPr>
                                  <w:tcW w:w="51" w:type="dxa"/>
                                  <w:tcBorders/>
                                  <w:vAlign w:val="bottom"/>
                                </w:tcPr>
                                <w:p>
                                  <w:pPr>
                                    <w:pStyle w:val="TableContents"/>
                                    <w:pBdr>
                                      <w:top w:val="double" w:sz="6" w:space="1" w:color="000000"/>
                                    </w:pBdr>
                                    <w:bidi w:val="0"/>
                                    <w:spacing w:before="0" w:after="0"/>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pBdr>
                                      <w:top w:val="double" w:sz="6" w:space="1" w:color="000000"/>
                                    </w:pBdr>
                                    <w:bidi w:val="0"/>
                                    <w:spacing w:before="0" w:after="0"/>
                                    <w:jc w:val="left"/>
                                  </w:pPr>
                                  <w:r>
                                    <w:t> </w:t>
                                  </w:r>
                                </w:p>
                              </w:tc>
                              <w:tc>
                                <w:tcPr>
                                  <w:tcW w:w="770" w:type="dxa"/>
                                  <w:tcBorders/>
                                  <w:vAlign w:val="bottom"/>
                                </w:tcPr>
                                <w:p>
                                  <w:pPr>
                                    <w:pStyle w:val="TableContents"/>
                                    <w:pBdr>
                                      <w:top w:val="double" w:sz="6" w:space="1" w:color="000000"/>
                                    </w:pBdr>
                                    <w:bidi w:val="0"/>
                                    <w:spacing w:before="0" w:after="0"/>
                                    <w:jc w:val="left"/>
                                  </w:pPr>
                                  <w:r>
                                    <w:t> </w:t>
                                  </w:r>
                                </w:p>
                              </w:tc>
                              <w:tc>
                                <w:tcPr>
                                  <w:tcW w:w="44" w:type="dxa"/>
                                  <w:tcBorders/>
                                  <w:vAlign w:val="bottom"/>
                                </w:tcPr>
                                <w:p>
                                  <w:pPr>
                                    <w:pStyle w:val="TableContents"/>
                                    <w:pBdr>
                                      <w:top w:val="double" w:sz="6" w:space="1" w:color="000000"/>
                                    </w:pBdr>
                                    <w:bidi w:val="0"/>
                                    <w:spacing w:before="0" w:after="0"/>
                                    <w:jc w:val="left"/>
                                  </w:pPr>
                                  <w:r>
                                    <w:t> </w:t>
                                  </w:r>
                                </w:p>
                              </w:tc>
                            </w:tr>
                          </w:tbl>
                          <w:p>
                            <w:pPr>
                              <w:pStyle w:val="TextBody"/>
                              <w:bidi w:val="0"/>
                              <w:spacing w:before="0" w:after="283"/>
                              <w:jc w:val="left"/>
                            </w:p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2798"/>
                        <w:gridCol w:w="81"/>
                        <w:gridCol w:w="119"/>
                        <w:gridCol w:w="958"/>
                        <w:gridCol w:w="51"/>
                        <w:gridCol w:w="82"/>
                        <w:gridCol w:w="97"/>
                        <w:gridCol w:w="770"/>
                        <w:gridCol w:w="44"/>
                      </w:tblGrid>
                      <w:tr>
                        <w:tc>
                          <w:tcPr>
                            <w:tcW w:w="2798"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r>
                      <w:tr>
                        <w:tc>
                          <w:tcPr>
                            <w:tcW w:w="2798" w:type="dxa"/>
                            <w:tcBorders/>
                            <w:vAlign w:val="bottom"/>
                          </w:tcPr>
                          <w:p>
                            <w:pPr>
                              <w:pStyle w:val="TableContents"/>
                              <w:bidi w:val="0"/>
                              <w:spacing w:before="0" w:after="283"/>
                              <w:jc w:val="left"/>
                            </w:pPr>
                            <w:r>
                              <w:t> </w:t>
                            </w:r>
                          </w:p>
                        </w:tc>
                        <w:tc>
                          <w:tcPr>
                            <w:tcW w:w="81" w:type="dxa"/>
                            <w:tcBorders/>
                            <w:vAlign w:val="bottom"/>
                          </w:tcPr>
                          <w:p>
                            <w:pPr>
                              <w:pStyle w:val="TableContents"/>
                              <w:bidi w:val="0"/>
                              <w:spacing w:before="0" w:after="283"/>
                              <w:jc w:val="left"/>
                            </w:pPr>
                            <w:r>
                              <w:t>  </w:t>
                            </w:r>
                          </w:p>
                        </w:tc>
                        <w:tc>
                          <w:tcPr>
                            <w:tcW w:w="1128" w:type="dxa"/>
                            <w:gridSpan w:val="3"/>
                            <w:tcBorders/>
                            <w:vAlign w:val="bottom"/>
                          </w:tcPr>
                          <w:p>
                            <w:pPr>
                              <w:pStyle w:val="TableContents"/>
                              <w:bidi w:val="0"/>
                              <w:spacing w:before="0" w:after="283"/>
                              <w:jc w:val="center"/>
                              <w:rPr>
                                <w:b/>
                              </w:rPr>
                            </w:pPr>
                            <w:r>
                              <w:rPr>
                                <w:b/>
                              </w:rPr>
                              <w:t>As of</w:t>
                            </w:r>
                          </w:p>
                        </w:tc>
                        <w:tc>
                          <w:tcPr>
                            <w:tcW w:w="82" w:type="dxa"/>
                            <w:tcBorders/>
                            <w:vAlign w:val="bottom"/>
                          </w:tcPr>
                          <w:p>
                            <w:pPr>
                              <w:pStyle w:val="TableContents"/>
                              <w:bidi w:val="0"/>
                              <w:spacing w:before="0" w:after="283"/>
                              <w:jc w:val="left"/>
                            </w:pPr>
                            <w:r>
                              <w:t>  </w:t>
                            </w:r>
                          </w:p>
                        </w:tc>
                        <w:tc>
                          <w:tcPr>
                            <w:tcW w:w="911" w:type="dxa"/>
                            <w:gridSpan w:val="3"/>
                            <w:tcBorders/>
                            <w:vAlign w:val="bottom"/>
                          </w:tcPr>
                          <w:p>
                            <w:pPr>
                              <w:pStyle w:val="TableContents"/>
                              <w:bidi w:val="0"/>
                              <w:spacing w:before="0" w:after="283"/>
                              <w:jc w:val="center"/>
                              <w:rPr>
                                <w:b/>
                              </w:rPr>
                            </w:pPr>
                            <w:r>
                              <w:rPr>
                                <w:b/>
                              </w:rPr>
                              <w:t>As of</w:t>
                            </w:r>
                          </w:p>
                        </w:tc>
                      </w:tr>
                      <w:tr>
                        <w:tc>
                          <w:tcPr>
                            <w:tcW w:w="2798" w:type="dxa"/>
                            <w:tcBorders/>
                            <w:vAlign w:val="bottom"/>
                          </w:tcPr>
                          <w:p>
                            <w:pPr>
                              <w:pStyle w:val="TableContents"/>
                              <w:bidi w:val="0"/>
                              <w:spacing w:before="0" w:after="283"/>
                              <w:jc w:val="left"/>
                              <w:rPr>
                                <w:b/>
                              </w:rPr>
                            </w:pPr>
                            <w:r>
                              <w:rPr>
                                <w:b/>
                              </w:rPr>
                              <w:t>Liabilities and Equity</w:t>
                            </w:r>
                          </w:p>
                        </w:tc>
                        <w:tc>
                          <w:tcPr>
                            <w:tcW w:w="81" w:type="dxa"/>
                            <w:tcBorders/>
                            <w:vAlign w:val="bottom"/>
                          </w:tcPr>
                          <w:p>
                            <w:pPr>
                              <w:pStyle w:val="TableContents"/>
                              <w:bidi w:val="0"/>
                              <w:spacing w:before="0" w:after="283"/>
                              <w:jc w:val="left"/>
                            </w:pPr>
                            <w:r>
                              <w:t>  </w:t>
                            </w:r>
                          </w:p>
                        </w:tc>
                        <w:tc>
                          <w:tcPr>
                            <w:tcW w:w="1128" w:type="dxa"/>
                            <w:gridSpan w:val="3"/>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82" w:type="dxa"/>
                            <w:tcBorders/>
                            <w:vAlign w:val="bottom"/>
                          </w:tcPr>
                          <w:p>
                            <w:pPr>
                              <w:pStyle w:val="TableContents"/>
                              <w:bidi w:val="0"/>
                              <w:spacing w:before="0" w:after="283"/>
                              <w:jc w:val="left"/>
                            </w:pPr>
                            <w:r>
                              <w:t>  </w:t>
                            </w:r>
                          </w:p>
                        </w:tc>
                        <w:tc>
                          <w:tcPr>
                            <w:tcW w:w="911" w:type="dxa"/>
                            <w:gridSpan w:val="3"/>
                            <w:tcBorders>
                              <w:bottom w:val="single" w:sz="8" w:space="0" w:color="000000"/>
                            </w:tcBorders>
                            <w:tcMar>
                              <w:bottom w:w="28" w:type="dxa"/>
                            </w:tcMar>
                            <w:vAlign w:val="bottom"/>
                          </w:tcPr>
                          <w:p>
                            <w:pPr>
                              <w:pStyle w:val="TableContents"/>
                              <w:bidi w:val="0"/>
                              <w:spacing w:before="0" w:after="283"/>
                              <w:jc w:val="center"/>
                            </w:pPr>
                            <w:r>
                              <w:t> </w:t>
                            </w:r>
                            <w:r>
                              <w:rPr>
                                <w:b/>
                              </w:rPr>
                              <w:t>March 31, 2026 </w:t>
                            </w:r>
                          </w:p>
                        </w:tc>
                      </w:tr>
                      <w:tr>
                        <w:trPr>
                          <w:trHeight w:val="120" w:hRule="atLeast"/>
                        </w:trPr>
                        <w:tc>
                          <w:tcPr>
                            <w:tcW w:w="2798" w:type="dxa"/>
                            <w:tcBorders/>
                            <w:vAlign w:val="center"/>
                          </w:tcPr>
                          <w:p>
                            <w:pPr>
                              <w:pStyle w:val="TableContents"/>
                              <w:bidi w:val="0"/>
                              <w:spacing w:before="0" w:after="283"/>
                              <w:jc w:val="left"/>
                              <w:rPr>
                                <w:sz w:val="4"/>
                                <w:szCs w:val="4"/>
                              </w:rPr>
                            </w:pPr>
                            <w:r>
                              <w:rPr>
                                <w:sz w:val="4"/>
                                <w:szCs w:val="4"/>
                              </w:rPr>
                            </w:r>
                          </w:p>
                        </w:tc>
                        <w:tc>
                          <w:tcPr>
                            <w:tcW w:w="1209" w:type="dxa"/>
                            <w:gridSpan w:val="4"/>
                            <w:tcBorders/>
                            <w:vAlign w:val="center"/>
                          </w:tcPr>
                          <w:p>
                            <w:pPr>
                              <w:pStyle w:val="TableContents"/>
                              <w:bidi w:val="0"/>
                              <w:spacing w:before="0" w:after="283"/>
                              <w:jc w:val="left"/>
                              <w:rPr>
                                <w:sz w:val="4"/>
                                <w:szCs w:val="4"/>
                              </w:rPr>
                            </w:pPr>
                            <w:r>
                              <w:rPr>
                                <w:sz w:val="4"/>
                                <w:szCs w:val="4"/>
                              </w:rPr>
                            </w:r>
                          </w:p>
                        </w:tc>
                        <w:tc>
                          <w:tcPr>
                            <w:tcW w:w="993" w:type="dxa"/>
                            <w:gridSpan w:val="4"/>
                            <w:tcBorders/>
                            <w:vAlign w:val="center"/>
                          </w:tcPr>
                          <w:p>
                            <w:pPr>
                              <w:pStyle w:val="TableContents"/>
                              <w:bidi w:val="0"/>
                              <w:spacing w:before="0" w:after="283"/>
                              <w:jc w:val="left"/>
                              <w:rPr>
                                <w:sz w:val="4"/>
                                <w:szCs w:val="4"/>
                              </w:rPr>
                            </w:pPr>
                            <w:r>
                              <w:rPr>
                                <w:sz w:val="4"/>
                                <w:szCs w:val="4"/>
                              </w:rPr>
                            </w:r>
                          </w:p>
                        </w:tc>
                      </w:tr>
                      <w:tr>
                        <w:tc>
                          <w:tcPr>
                            <w:tcW w:w="2798" w:type="dxa"/>
                            <w:tcBorders/>
                          </w:tcPr>
                          <w:p>
                            <w:pPr>
                              <w:pStyle w:val="TableContents"/>
                              <w:bidi w:val="0"/>
                              <w:spacing w:before="0" w:after="0"/>
                              <w:jc w:val="left"/>
                              <w:rPr>
                                <w:rFonts w:ascii="Arial" w:hAnsi="Arial"/>
                                <w:sz w:val="16"/>
                              </w:rPr>
                            </w:pPr>
                            <w:r>
                              <w:rPr>
                                <w:rFonts w:ascii="Arial" w:hAnsi="Arial"/>
                                <w:sz w:val="16"/>
                              </w:rPr>
                              <w:t>Current liabilities: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44" w:type="dxa"/>
                            <w:tcBorders/>
                            <w:vAlign w:val="bottom"/>
                          </w:tcPr>
                          <w:p>
                            <w:pPr>
                              <w:pStyle w:val="TableContents"/>
                              <w:bidi w:val="0"/>
                              <w:spacing w:before="0" w:after="283"/>
                              <w:jc w:val="left"/>
                              <w:rPr>
                                <w:sz w:val="4"/>
                                <w:szCs w:val="4"/>
                              </w:rPr>
                            </w:pPr>
                            <w:r>
                              <w:rPr>
                                <w:sz w:val="4"/>
                                <w:szCs w:val="4"/>
                              </w:rPr>
                            </w:r>
                          </w:p>
                        </w:tc>
                      </w:tr>
                      <w:tr>
                        <w:tc>
                          <w:tcPr>
                            <w:tcW w:w="2798" w:type="dxa"/>
                            <w:tcBorders/>
                          </w:tcPr>
                          <w:p>
                            <w:pPr>
                              <w:pStyle w:val="TableContents"/>
                              <w:bidi w:val="0"/>
                              <w:spacing w:before="0" w:after="0"/>
                              <w:jc w:val="left"/>
                              <w:rPr>
                                <w:rFonts w:ascii="Arial" w:hAnsi="Arial"/>
                                <w:sz w:val="16"/>
                              </w:rPr>
                            </w:pPr>
                            <w:r>
                              <w:rPr>
                                <w:rFonts w:ascii="Arial" w:hAnsi="Arial"/>
                                <w:sz w:val="16"/>
                              </w:rPr>
                              <w:t>Accounts payable</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r>
                              <w:t>$</w:t>
                            </w:r>
                          </w:p>
                        </w:tc>
                        <w:tc>
                          <w:tcPr>
                            <w:tcW w:w="958" w:type="dxa"/>
                            <w:tcBorders/>
                            <w:vAlign w:val="bottom"/>
                          </w:tcPr>
                          <w:p>
                            <w:pPr>
                              <w:pStyle w:val="TableContents"/>
                              <w:bidi w:val="0"/>
                              <w:spacing w:before="0" w:after="283"/>
                              <w:jc w:val="right"/>
                            </w:pPr>
                            <w:r>
                              <w:t>278,600</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r>
                              <w:t>$</w:t>
                            </w:r>
                          </w:p>
                        </w:tc>
                        <w:tc>
                          <w:tcPr>
                            <w:tcW w:w="770" w:type="dxa"/>
                            <w:tcBorders/>
                            <w:vAlign w:val="bottom"/>
                          </w:tcPr>
                          <w:p>
                            <w:pPr>
                              <w:pStyle w:val="TableContents"/>
                              <w:bidi w:val="0"/>
                              <w:spacing w:before="0" w:after="283"/>
                              <w:jc w:val="right"/>
                            </w:pPr>
                            <w:r>
                              <w:t>288,154</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Accrued and other liabilities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961,676</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951,192</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Current portion of long-term debt</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659,078</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57,753</w:t>
                            </w:r>
                          </w:p>
                        </w:tc>
                        <w:tc>
                          <w:tcPr>
                            <w:tcW w:w="44" w:type="dxa"/>
                            <w:tcBorders/>
                            <w:vAlign w:val="bottom"/>
                          </w:tcPr>
                          <w:p>
                            <w:pPr>
                              <w:pStyle w:val="TableContents"/>
                              <w:bidi w:val="0"/>
                              <w:spacing w:before="0" w:after="283"/>
                              <w:jc w:val="left"/>
                            </w:pPr>
                            <w:r>
                              <w:t> </w:t>
                            </w:r>
                          </w:p>
                        </w:tc>
                      </w:tr>
                      <w:tr>
                        <w:tc>
                          <w:tcPr>
                            <w:tcW w:w="2798"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pBdr>
                                <w:top w:val="single" w:sz="2" w:space="1" w:color="000000"/>
                              </w:pBdr>
                              <w:bidi w:val="0"/>
                              <w:spacing w:before="0" w:after="0"/>
                              <w:jc w:val="left"/>
                            </w:pPr>
                            <w:r>
                              <w:t> </w:t>
                            </w:r>
                          </w:p>
                        </w:tc>
                        <w:tc>
                          <w:tcPr>
                            <w:tcW w:w="958" w:type="dxa"/>
                            <w:tcBorders/>
                            <w:vAlign w:val="bottom"/>
                          </w:tcPr>
                          <w:p>
                            <w:pPr>
                              <w:pStyle w:val="TableContents"/>
                              <w:pBdr>
                                <w:top w:val="single" w:sz="2" w:space="1" w:color="000000"/>
                              </w:pBdr>
                              <w:bidi w:val="0"/>
                              <w:spacing w:before="0" w:after="0"/>
                              <w:jc w:val="left"/>
                            </w:pPr>
                            <w:r>
                              <w:t> </w:t>
                            </w:r>
                          </w:p>
                        </w:tc>
                        <w:tc>
                          <w:tcPr>
                            <w:tcW w:w="51" w:type="dxa"/>
                            <w:tcBorders/>
                            <w:vAlign w:val="bottom"/>
                          </w:tcPr>
                          <w:p>
                            <w:pPr>
                              <w:pStyle w:val="TableContents"/>
                              <w:pBdr>
                                <w:top w:val="single" w:sz="2" w:space="1" w:color="000000"/>
                              </w:pBdr>
                              <w:bidi w:val="0"/>
                              <w:spacing w:before="0" w:after="0"/>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pBdr>
                                <w:top w:val="single" w:sz="2" w:space="1" w:color="000000"/>
                              </w:pBdr>
                              <w:bidi w:val="0"/>
                              <w:spacing w:before="0" w:after="0"/>
                              <w:jc w:val="left"/>
                            </w:pPr>
                            <w:r>
                              <w:t> </w:t>
                            </w:r>
                          </w:p>
                        </w:tc>
                        <w:tc>
                          <w:tcPr>
                            <w:tcW w:w="770" w:type="dxa"/>
                            <w:tcBorders/>
                            <w:vAlign w:val="bottom"/>
                          </w:tcPr>
                          <w:p>
                            <w:pPr>
                              <w:pStyle w:val="TableContents"/>
                              <w:pBdr>
                                <w:top w:val="single" w:sz="2" w:space="1" w:color="000000"/>
                              </w:pBdr>
                              <w:bidi w:val="0"/>
                              <w:spacing w:before="0" w:after="0"/>
                              <w:jc w:val="left"/>
                            </w:pPr>
                            <w:r>
                              <w:t> </w:t>
                            </w:r>
                          </w:p>
                        </w:tc>
                        <w:tc>
                          <w:tcPr>
                            <w:tcW w:w="44" w:type="dxa"/>
                            <w:tcBorders/>
                            <w:vAlign w:val="bottom"/>
                          </w:tcPr>
                          <w:p>
                            <w:pPr>
                              <w:pStyle w:val="TableContents"/>
                              <w:pBdr>
                                <w:top w:val="single" w:sz="2" w:space="1" w:color="000000"/>
                              </w:pBdr>
                              <w:bidi w:val="0"/>
                              <w:spacing w:before="0" w:after="0"/>
                              <w:jc w:val="left"/>
                            </w:pPr>
                            <w:r>
                              <w:t> </w:t>
                            </w:r>
                          </w:p>
                        </w:tc>
                      </w:tr>
                      <w:tr>
                        <w:tc>
                          <w:tcPr>
                            <w:tcW w:w="2798" w:type="dxa"/>
                            <w:tcBorders/>
                            <w:vAlign w:val="bottom"/>
                          </w:tcPr>
                          <w:p>
                            <w:pPr>
                              <w:pStyle w:val="TableContents"/>
                              <w:bidi w:val="0"/>
                              <w:spacing w:before="0" w:after="283"/>
                              <w:jc w:val="left"/>
                            </w:pPr>
                            <w:r>
                              <w:t>Total current liabilities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1,899,354</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1,297,099</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44"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2798" w:type="dxa"/>
                            <w:tcBorders/>
                            <w:vAlign w:val="center"/>
                          </w:tcPr>
                          <w:p>
                            <w:pPr>
                              <w:pStyle w:val="TableContents"/>
                              <w:bidi w:val="0"/>
                              <w:spacing w:before="0" w:after="283"/>
                              <w:jc w:val="left"/>
                              <w:rPr>
                                <w:sz w:val="4"/>
                                <w:szCs w:val="4"/>
                              </w:rPr>
                            </w:pPr>
                            <w:r>
                              <w:rPr>
                                <w:sz w:val="4"/>
                                <w:szCs w:val="4"/>
                              </w:rPr>
                            </w:r>
                          </w:p>
                        </w:tc>
                        <w:tc>
                          <w:tcPr>
                            <w:tcW w:w="1209" w:type="dxa"/>
                            <w:gridSpan w:val="4"/>
                            <w:tcBorders/>
                            <w:vAlign w:val="center"/>
                          </w:tcPr>
                          <w:p>
                            <w:pPr>
                              <w:pStyle w:val="TableContents"/>
                              <w:bidi w:val="0"/>
                              <w:spacing w:before="0" w:after="283"/>
                              <w:jc w:val="left"/>
                              <w:rPr>
                                <w:sz w:val="4"/>
                                <w:szCs w:val="4"/>
                              </w:rPr>
                            </w:pPr>
                            <w:r>
                              <w:rPr>
                                <w:sz w:val="4"/>
                                <w:szCs w:val="4"/>
                              </w:rPr>
                            </w:r>
                          </w:p>
                        </w:tc>
                        <w:tc>
                          <w:tcPr>
                            <w:tcW w:w="993" w:type="dxa"/>
                            <w:gridSpan w:val="4"/>
                            <w:tcBorders/>
                            <w:vAlign w:val="center"/>
                          </w:tcPr>
                          <w:p>
                            <w:pPr>
                              <w:pStyle w:val="TableContents"/>
                              <w:bidi w:val="0"/>
                              <w:spacing w:before="0" w:after="283"/>
                              <w:jc w:val="left"/>
                              <w:rPr>
                                <w:sz w:val="4"/>
                                <w:szCs w:val="4"/>
                              </w:rPr>
                            </w:pPr>
                            <w:r>
                              <w:rPr>
                                <w:sz w:val="4"/>
                                <w:szCs w:val="4"/>
                              </w:rPr>
                            </w:r>
                          </w:p>
                        </w:tc>
                      </w:tr>
                      <w:tr>
                        <w:tc>
                          <w:tcPr>
                            <w:tcW w:w="2798" w:type="dxa"/>
                            <w:tcBorders/>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44" w:type="dxa"/>
                            <w:tcBorders/>
                            <w:vAlign w:val="bottom"/>
                          </w:tcPr>
                          <w:p>
                            <w:pPr>
                              <w:pStyle w:val="TableContents"/>
                              <w:bidi w:val="0"/>
                              <w:spacing w:before="0" w:after="283"/>
                              <w:jc w:val="left"/>
                              <w:rPr>
                                <w:sz w:val="4"/>
                                <w:szCs w:val="4"/>
                              </w:rPr>
                            </w:pPr>
                            <w:r>
                              <w:rPr>
                                <w:sz w:val="4"/>
                                <w:szCs w:val="4"/>
                              </w:rPr>
                            </w:r>
                          </w:p>
                        </w:tc>
                      </w:tr>
                      <w:tr>
                        <w:tc>
                          <w:tcPr>
                            <w:tcW w:w="2798" w:type="dxa"/>
                            <w:tcBorders/>
                          </w:tcPr>
                          <w:p>
                            <w:pPr>
                              <w:pStyle w:val="TableContents"/>
                              <w:bidi w:val="0"/>
                              <w:spacing w:before="0" w:after="0"/>
                              <w:jc w:val="left"/>
                              <w:rPr>
                                <w:rFonts w:ascii="Arial" w:hAnsi="Arial"/>
                                <w:sz w:val="16"/>
                              </w:rPr>
                            </w:pPr>
                            <w:r>
                              <w:rPr>
                                <w:rFonts w:ascii="Arial" w:hAnsi="Arial"/>
                                <w:sz w:val="16"/>
                              </w:rPr>
                              <w:t>Senior notes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3,071,712</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3,664,848</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Other long-term debt</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2,709,289</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2,726,004</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Non-current operating lease liabilities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426,948</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430,082</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Other liabilities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2,330,061</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2,379,301</w:t>
                            </w:r>
                          </w:p>
                        </w:tc>
                        <w:tc>
                          <w:tcPr>
                            <w:tcW w:w="44" w:type="dxa"/>
                            <w:tcBorders/>
                            <w:vAlign w:val="bottom"/>
                          </w:tcPr>
                          <w:p>
                            <w:pPr>
                              <w:pStyle w:val="TableContents"/>
                              <w:bidi w:val="0"/>
                              <w:spacing w:before="0" w:after="283"/>
                              <w:jc w:val="left"/>
                            </w:pPr>
                            <w:r>
                              <w:t> </w:t>
                            </w:r>
                          </w:p>
                        </w:tc>
                      </w:tr>
                      <w:tr>
                        <w:tc>
                          <w:tcPr>
                            <w:tcW w:w="2798"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pBdr>
                                <w:top w:val="single" w:sz="2" w:space="1" w:color="000000"/>
                              </w:pBdr>
                              <w:bidi w:val="0"/>
                              <w:spacing w:before="0" w:after="0"/>
                              <w:jc w:val="left"/>
                            </w:pPr>
                            <w:r>
                              <w:t> </w:t>
                            </w:r>
                          </w:p>
                        </w:tc>
                        <w:tc>
                          <w:tcPr>
                            <w:tcW w:w="958" w:type="dxa"/>
                            <w:tcBorders/>
                            <w:vAlign w:val="bottom"/>
                          </w:tcPr>
                          <w:p>
                            <w:pPr>
                              <w:pStyle w:val="TableContents"/>
                              <w:pBdr>
                                <w:top w:val="single" w:sz="2" w:space="1" w:color="000000"/>
                              </w:pBdr>
                              <w:bidi w:val="0"/>
                              <w:spacing w:before="0" w:after="0"/>
                              <w:jc w:val="left"/>
                            </w:pPr>
                            <w:r>
                              <w:t> </w:t>
                            </w:r>
                          </w:p>
                        </w:tc>
                        <w:tc>
                          <w:tcPr>
                            <w:tcW w:w="51" w:type="dxa"/>
                            <w:tcBorders/>
                            <w:vAlign w:val="bottom"/>
                          </w:tcPr>
                          <w:p>
                            <w:pPr>
                              <w:pStyle w:val="TableContents"/>
                              <w:pBdr>
                                <w:top w:val="single" w:sz="2" w:space="1" w:color="000000"/>
                              </w:pBdr>
                              <w:bidi w:val="0"/>
                              <w:spacing w:before="0" w:after="0"/>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pBdr>
                                <w:top w:val="single" w:sz="2" w:space="1" w:color="000000"/>
                              </w:pBdr>
                              <w:bidi w:val="0"/>
                              <w:spacing w:before="0" w:after="0"/>
                              <w:jc w:val="left"/>
                            </w:pPr>
                            <w:r>
                              <w:t> </w:t>
                            </w:r>
                          </w:p>
                        </w:tc>
                        <w:tc>
                          <w:tcPr>
                            <w:tcW w:w="770" w:type="dxa"/>
                            <w:tcBorders/>
                            <w:vAlign w:val="bottom"/>
                          </w:tcPr>
                          <w:p>
                            <w:pPr>
                              <w:pStyle w:val="TableContents"/>
                              <w:pBdr>
                                <w:top w:val="single" w:sz="2" w:space="1" w:color="000000"/>
                              </w:pBdr>
                              <w:bidi w:val="0"/>
                              <w:spacing w:before="0" w:after="0"/>
                              <w:jc w:val="left"/>
                            </w:pPr>
                            <w:r>
                              <w:t> </w:t>
                            </w:r>
                          </w:p>
                        </w:tc>
                        <w:tc>
                          <w:tcPr>
                            <w:tcW w:w="44" w:type="dxa"/>
                            <w:tcBorders/>
                            <w:vAlign w:val="bottom"/>
                          </w:tcPr>
                          <w:p>
                            <w:pPr>
                              <w:pStyle w:val="TableContents"/>
                              <w:pBdr>
                                <w:top w:val="single" w:sz="2" w:space="1" w:color="000000"/>
                              </w:pBdr>
                              <w:bidi w:val="0"/>
                              <w:spacing w:before="0" w:after="0"/>
                              <w:jc w:val="left"/>
                            </w:pPr>
                            <w:r>
                              <w:t> </w:t>
                            </w:r>
                          </w:p>
                        </w:tc>
                      </w:tr>
                      <w:tr>
                        <w:tc>
                          <w:tcPr>
                            <w:tcW w:w="2798" w:type="dxa"/>
                            <w:tcBorders/>
                            <w:vAlign w:val="bottom"/>
                          </w:tcPr>
                          <w:p>
                            <w:pPr>
                              <w:pStyle w:val="TableContents"/>
                              <w:bidi w:val="0"/>
                              <w:spacing w:before="0" w:after="283"/>
                              <w:jc w:val="left"/>
                            </w:pPr>
                            <w:r>
                              <w:t>Total liabilities</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10,437,364</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10,497,334</w:t>
                            </w:r>
                          </w:p>
                        </w:tc>
                        <w:tc>
                          <w:tcPr>
                            <w:tcW w:w="44" w:type="dxa"/>
                            <w:tcBorders/>
                            <w:vAlign w:val="bottom"/>
                          </w:tcPr>
                          <w:p>
                            <w:pPr>
                              <w:pStyle w:val="TableContents"/>
                              <w:bidi w:val="0"/>
                              <w:spacing w:before="0" w:after="283"/>
                              <w:jc w:val="left"/>
                            </w:pPr>
                            <w:r>
                              <w:t> </w:t>
                            </w:r>
                          </w:p>
                        </w:tc>
                      </w:tr>
                      <w:tr>
                        <w:tc>
                          <w:tcPr>
                            <w:tcW w:w="2798"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pBdr>
                                <w:top w:val="single" w:sz="2" w:space="1" w:color="000000"/>
                              </w:pBdr>
                              <w:bidi w:val="0"/>
                              <w:spacing w:before="0" w:after="0"/>
                              <w:jc w:val="left"/>
                            </w:pPr>
                            <w:r>
                              <w:t> </w:t>
                            </w:r>
                          </w:p>
                        </w:tc>
                        <w:tc>
                          <w:tcPr>
                            <w:tcW w:w="958" w:type="dxa"/>
                            <w:tcBorders/>
                            <w:vAlign w:val="bottom"/>
                          </w:tcPr>
                          <w:p>
                            <w:pPr>
                              <w:pStyle w:val="TableContents"/>
                              <w:pBdr>
                                <w:top w:val="single" w:sz="2" w:space="1" w:color="000000"/>
                              </w:pBdr>
                              <w:bidi w:val="0"/>
                              <w:spacing w:before="0" w:after="0"/>
                              <w:jc w:val="left"/>
                            </w:pPr>
                            <w:r>
                              <w:t> </w:t>
                            </w:r>
                          </w:p>
                        </w:tc>
                        <w:tc>
                          <w:tcPr>
                            <w:tcW w:w="51" w:type="dxa"/>
                            <w:tcBorders/>
                            <w:vAlign w:val="bottom"/>
                          </w:tcPr>
                          <w:p>
                            <w:pPr>
                              <w:pStyle w:val="TableContents"/>
                              <w:pBdr>
                                <w:top w:val="single" w:sz="2" w:space="1" w:color="000000"/>
                              </w:pBdr>
                              <w:bidi w:val="0"/>
                              <w:spacing w:before="0" w:after="0"/>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pBdr>
                                <w:top w:val="single" w:sz="2" w:space="1" w:color="000000"/>
                              </w:pBdr>
                              <w:bidi w:val="0"/>
                              <w:spacing w:before="0" w:after="0"/>
                              <w:jc w:val="left"/>
                            </w:pPr>
                            <w:r>
                              <w:t> </w:t>
                            </w:r>
                          </w:p>
                        </w:tc>
                        <w:tc>
                          <w:tcPr>
                            <w:tcW w:w="770" w:type="dxa"/>
                            <w:tcBorders/>
                            <w:vAlign w:val="bottom"/>
                          </w:tcPr>
                          <w:p>
                            <w:pPr>
                              <w:pStyle w:val="TableContents"/>
                              <w:pBdr>
                                <w:top w:val="single" w:sz="2" w:space="1" w:color="000000"/>
                              </w:pBdr>
                              <w:bidi w:val="0"/>
                              <w:spacing w:before="0" w:after="0"/>
                              <w:jc w:val="left"/>
                            </w:pPr>
                            <w:r>
                              <w:t> </w:t>
                            </w:r>
                          </w:p>
                        </w:tc>
                        <w:tc>
                          <w:tcPr>
                            <w:tcW w:w="44" w:type="dxa"/>
                            <w:tcBorders/>
                            <w:vAlign w:val="bottom"/>
                          </w:tcPr>
                          <w:p>
                            <w:pPr>
                              <w:pStyle w:val="TableContents"/>
                              <w:pBdr>
                                <w:top w:val="single" w:sz="2" w:space="1" w:color="000000"/>
                              </w:pBdr>
                              <w:bidi w:val="0"/>
                              <w:spacing w:before="0" w:after="0"/>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Total Viasat, Inc. stockholders’ equity</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4,505,104</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4,660,301</w:t>
                            </w:r>
                          </w:p>
                        </w:tc>
                        <w:tc>
                          <w:tcPr>
                            <w:tcW w:w="44" w:type="dxa"/>
                            <w:tcBorders/>
                            <w:vAlign w:val="bottom"/>
                          </w:tcPr>
                          <w:p>
                            <w:pPr>
                              <w:pStyle w:val="TableContents"/>
                              <w:bidi w:val="0"/>
                              <w:spacing w:before="0" w:after="283"/>
                              <w:jc w:val="left"/>
                            </w:pPr>
                            <w:r>
                              <w:t> </w:t>
                            </w:r>
                          </w:p>
                        </w:tc>
                      </w:tr>
                      <w:tr>
                        <w:tc>
                          <w:tcPr>
                            <w:tcW w:w="2798" w:type="dxa"/>
                            <w:tcBorders/>
                          </w:tcPr>
                          <w:p>
                            <w:pPr>
                              <w:pStyle w:val="TableContents"/>
                              <w:bidi w:val="0"/>
                              <w:spacing w:before="0" w:after="0"/>
                              <w:jc w:val="left"/>
                              <w:rPr>
                                <w:rFonts w:ascii="Arial" w:hAnsi="Arial"/>
                                <w:sz w:val="16"/>
                              </w:rPr>
                            </w:pPr>
                            <w:r>
                              <w:rPr>
                                <w:rFonts w:ascii="Arial" w:hAnsi="Arial"/>
                                <w:sz w:val="16"/>
                              </w:rPr>
                              <w:t>Noncontrolling interest in subsidiary</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86,527</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68,961</w:t>
                            </w:r>
                          </w:p>
                        </w:tc>
                        <w:tc>
                          <w:tcPr>
                            <w:tcW w:w="44" w:type="dxa"/>
                            <w:tcBorders/>
                            <w:vAlign w:val="bottom"/>
                          </w:tcPr>
                          <w:p>
                            <w:pPr>
                              <w:pStyle w:val="TableContents"/>
                              <w:bidi w:val="0"/>
                              <w:spacing w:before="0" w:after="283"/>
                              <w:jc w:val="left"/>
                            </w:pPr>
                            <w:r>
                              <w:t> </w:t>
                            </w:r>
                          </w:p>
                        </w:tc>
                      </w:tr>
                      <w:tr>
                        <w:tc>
                          <w:tcPr>
                            <w:tcW w:w="2798"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pBdr>
                                <w:top w:val="single" w:sz="2" w:space="1" w:color="000000"/>
                              </w:pBdr>
                              <w:bidi w:val="0"/>
                              <w:spacing w:before="0" w:after="0"/>
                              <w:jc w:val="left"/>
                            </w:pPr>
                            <w:r>
                              <w:t> </w:t>
                            </w:r>
                          </w:p>
                        </w:tc>
                        <w:tc>
                          <w:tcPr>
                            <w:tcW w:w="958" w:type="dxa"/>
                            <w:tcBorders/>
                            <w:vAlign w:val="bottom"/>
                          </w:tcPr>
                          <w:p>
                            <w:pPr>
                              <w:pStyle w:val="TableContents"/>
                              <w:pBdr>
                                <w:top w:val="single" w:sz="2" w:space="1" w:color="000000"/>
                              </w:pBdr>
                              <w:bidi w:val="0"/>
                              <w:spacing w:before="0" w:after="0"/>
                              <w:jc w:val="left"/>
                            </w:pPr>
                            <w:r>
                              <w:t> </w:t>
                            </w:r>
                          </w:p>
                        </w:tc>
                        <w:tc>
                          <w:tcPr>
                            <w:tcW w:w="51" w:type="dxa"/>
                            <w:tcBorders/>
                            <w:vAlign w:val="bottom"/>
                          </w:tcPr>
                          <w:p>
                            <w:pPr>
                              <w:pStyle w:val="TableContents"/>
                              <w:pBdr>
                                <w:top w:val="single" w:sz="2" w:space="1" w:color="000000"/>
                              </w:pBdr>
                              <w:bidi w:val="0"/>
                              <w:spacing w:before="0" w:after="0"/>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pBdr>
                                <w:top w:val="single" w:sz="2" w:space="1" w:color="000000"/>
                              </w:pBdr>
                              <w:bidi w:val="0"/>
                              <w:spacing w:before="0" w:after="0"/>
                              <w:jc w:val="left"/>
                            </w:pPr>
                            <w:r>
                              <w:t> </w:t>
                            </w:r>
                          </w:p>
                        </w:tc>
                        <w:tc>
                          <w:tcPr>
                            <w:tcW w:w="770" w:type="dxa"/>
                            <w:tcBorders/>
                            <w:vAlign w:val="bottom"/>
                          </w:tcPr>
                          <w:p>
                            <w:pPr>
                              <w:pStyle w:val="TableContents"/>
                              <w:pBdr>
                                <w:top w:val="single" w:sz="2" w:space="1" w:color="000000"/>
                              </w:pBdr>
                              <w:bidi w:val="0"/>
                              <w:spacing w:before="0" w:after="0"/>
                              <w:jc w:val="left"/>
                            </w:pPr>
                            <w:r>
                              <w:t> </w:t>
                            </w:r>
                          </w:p>
                        </w:tc>
                        <w:tc>
                          <w:tcPr>
                            <w:tcW w:w="44" w:type="dxa"/>
                            <w:tcBorders/>
                            <w:vAlign w:val="bottom"/>
                          </w:tcPr>
                          <w:p>
                            <w:pPr>
                              <w:pStyle w:val="TableContents"/>
                              <w:pBdr>
                                <w:top w:val="single" w:sz="2" w:space="1" w:color="000000"/>
                              </w:pBdr>
                              <w:bidi w:val="0"/>
                              <w:spacing w:before="0" w:after="0"/>
                              <w:jc w:val="left"/>
                            </w:pPr>
                            <w:r>
                              <w:t> </w:t>
                            </w:r>
                          </w:p>
                        </w:tc>
                      </w:tr>
                      <w:tr>
                        <w:tc>
                          <w:tcPr>
                            <w:tcW w:w="2798" w:type="dxa"/>
                            <w:tcBorders/>
                            <w:vAlign w:val="bottom"/>
                          </w:tcPr>
                          <w:p>
                            <w:pPr>
                              <w:pStyle w:val="TableContents"/>
                              <w:bidi w:val="0"/>
                              <w:spacing w:before="0" w:after="283"/>
                              <w:jc w:val="left"/>
                            </w:pPr>
                            <w:r>
                              <w:t>Total equity</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p>
                        </w:tc>
                        <w:tc>
                          <w:tcPr>
                            <w:tcW w:w="958" w:type="dxa"/>
                            <w:tcBorders/>
                            <w:vAlign w:val="bottom"/>
                          </w:tcPr>
                          <w:p>
                            <w:pPr>
                              <w:pStyle w:val="TableContents"/>
                              <w:bidi w:val="0"/>
                              <w:spacing w:before="0" w:after="283"/>
                              <w:jc w:val="right"/>
                            </w:pPr>
                            <w:r>
                              <w:t>4,591,631</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p>
                        </w:tc>
                        <w:tc>
                          <w:tcPr>
                            <w:tcW w:w="770" w:type="dxa"/>
                            <w:tcBorders/>
                            <w:vAlign w:val="bottom"/>
                          </w:tcPr>
                          <w:p>
                            <w:pPr>
                              <w:pStyle w:val="TableContents"/>
                              <w:bidi w:val="0"/>
                              <w:spacing w:before="0" w:after="283"/>
                              <w:jc w:val="right"/>
                            </w:pPr>
                            <w:r>
                              <w:t>4,729,262</w:t>
                            </w:r>
                          </w:p>
                        </w:tc>
                        <w:tc>
                          <w:tcPr>
                            <w:tcW w:w="44" w:type="dxa"/>
                            <w:tcBorders/>
                            <w:vAlign w:val="bottom"/>
                          </w:tcPr>
                          <w:p>
                            <w:pPr>
                              <w:pStyle w:val="TableContents"/>
                              <w:bidi w:val="0"/>
                              <w:spacing w:before="0" w:after="283"/>
                              <w:jc w:val="left"/>
                            </w:pPr>
                            <w:r>
                              <w:t> </w:t>
                            </w:r>
                          </w:p>
                        </w:tc>
                      </w:tr>
                      <w:tr>
                        <w:tc>
                          <w:tcPr>
                            <w:tcW w:w="2798"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pBdr>
                                <w:top w:val="single" w:sz="2" w:space="1" w:color="000000"/>
                              </w:pBdr>
                              <w:bidi w:val="0"/>
                              <w:spacing w:before="0" w:after="0"/>
                              <w:jc w:val="left"/>
                            </w:pPr>
                            <w:r>
                              <w:t> </w:t>
                            </w:r>
                          </w:p>
                        </w:tc>
                        <w:tc>
                          <w:tcPr>
                            <w:tcW w:w="958" w:type="dxa"/>
                            <w:tcBorders/>
                            <w:vAlign w:val="bottom"/>
                          </w:tcPr>
                          <w:p>
                            <w:pPr>
                              <w:pStyle w:val="TableContents"/>
                              <w:pBdr>
                                <w:top w:val="single" w:sz="2" w:space="1" w:color="000000"/>
                              </w:pBdr>
                              <w:bidi w:val="0"/>
                              <w:spacing w:before="0" w:after="0"/>
                              <w:jc w:val="left"/>
                            </w:pPr>
                            <w:r>
                              <w:t> </w:t>
                            </w:r>
                          </w:p>
                        </w:tc>
                        <w:tc>
                          <w:tcPr>
                            <w:tcW w:w="51" w:type="dxa"/>
                            <w:tcBorders/>
                            <w:vAlign w:val="bottom"/>
                          </w:tcPr>
                          <w:p>
                            <w:pPr>
                              <w:pStyle w:val="TableContents"/>
                              <w:pBdr>
                                <w:top w:val="single" w:sz="2" w:space="1" w:color="000000"/>
                              </w:pBdr>
                              <w:bidi w:val="0"/>
                              <w:spacing w:before="0" w:after="0"/>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pBdr>
                                <w:top w:val="single" w:sz="2" w:space="1" w:color="000000"/>
                              </w:pBdr>
                              <w:bidi w:val="0"/>
                              <w:spacing w:before="0" w:after="0"/>
                              <w:jc w:val="left"/>
                            </w:pPr>
                            <w:r>
                              <w:t> </w:t>
                            </w:r>
                          </w:p>
                        </w:tc>
                        <w:tc>
                          <w:tcPr>
                            <w:tcW w:w="770" w:type="dxa"/>
                            <w:tcBorders/>
                            <w:vAlign w:val="bottom"/>
                          </w:tcPr>
                          <w:p>
                            <w:pPr>
                              <w:pStyle w:val="TableContents"/>
                              <w:pBdr>
                                <w:top w:val="single" w:sz="2" w:space="1" w:color="000000"/>
                              </w:pBdr>
                              <w:bidi w:val="0"/>
                              <w:spacing w:before="0" w:after="0"/>
                              <w:jc w:val="left"/>
                            </w:pPr>
                            <w:r>
                              <w:t> </w:t>
                            </w:r>
                          </w:p>
                        </w:tc>
                        <w:tc>
                          <w:tcPr>
                            <w:tcW w:w="44" w:type="dxa"/>
                            <w:tcBorders/>
                            <w:vAlign w:val="bottom"/>
                          </w:tcPr>
                          <w:p>
                            <w:pPr>
                              <w:pStyle w:val="TableContents"/>
                              <w:pBdr>
                                <w:top w:val="single" w:sz="2" w:space="1" w:color="000000"/>
                              </w:pBdr>
                              <w:bidi w:val="0"/>
                              <w:spacing w:before="0" w:after="0"/>
                              <w:jc w:val="left"/>
                            </w:pPr>
                            <w:r>
                              <w:t> </w:t>
                            </w:r>
                          </w:p>
                        </w:tc>
                      </w:tr>
                      <w:tr>
                        <w:tc>
                          <w:tcPr>
                            <w:tcW w:w="2798" w:type="dxa"/>
                            <w:tcBorders/>
                            <w:vAlign w:val="bottom"/>
                          </w:tcPr>
                          <w:p>
                            <w:pPr>
                              <w:pStyle w:val="TableContents"/>
                              <w:bidi w:val="0"/>
                              <w:spacing w:before="0" w:after="283"/>
                              <w:jc w:val="left"/>
                            </w:pPr>
                            <w:r>
                              <w:t>Total liabilities and equity</w:t>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bidi w:val="0"/>
                              <w:spacing w:before="0" w:after="283"/>
                              <w:jc w:val="left"/>
                            </w:pPr>
                            <w:r>
                              <w:t> </w:t>
                            </w:r>
                            <w:r>
                              <w:t>$</w:t>
                            </w:r>
                          </w:p>
                        </w:tc>
                        <w:tc>
                          <w:tcPr>
                            <w:tcW w:w="958" w:type="dxa"/>
                            <w:tcBorders/>
                            <w:vAlign w:val="bottom"/>
                          </w:tcPr>
                          <w:p>
                            <w:pPr>
                              <w:pStyle w:val="TableContents"/>
                              <w:bidi w:val="0"/>
                              <w:spacing w:before="0" w:after="283"/>
                              <w:jc w:val="right"/>
                            </w:pPr>
                            <w:r>
                              <w:t>15,028,995</w:t>
                            </w:r>
                          </w:p>
                        </w:tc>
                        <w:tc>
                          <w:tcPr>
                            <w:tcW w:w="51" w:type="dxa"/>
                            <w:tcBorders/>
                            <w:vAlign w:val="bottom"/>
                          </w:tcPr>
                          <w:p>
                            <w:pPr>
                              <w:pStyle w:val="TableContents"/>
                              <w:bidi w:val="0"/>
                              <w:spacing w:before="0" w:after="283"/>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bidi w:val="0"/>
                              <w:spacing w:before="0" w:after="283"/>
                              <w:jc w:val="left"/>
                            </w:pPr>
                            <w:r>
                              <w:t> </w:t>
                            </w:r>
                            <w:r>
                              <w:t>$</w:t>
                            </w:r>
                          </w:p>
                        </w:tc>
                        <w:tc>
                          <w:tcPr>
                            <w:tcW w:w="770" w:type="dxa"/>
                            <w:tcBorders/>
                            <w:vAlign w:val="bottom"/>
                          </w:tcPr>
                          <w:p>
                            <w:pPr>
                              <w:pStyle w:val="TableContents"/>
                              <w:bidi w:val="0"/>
                              <w:spacing w:before="0" w:after="283"/>
                              <w:jc w:val="right"/>
                            </w:pPr>
                            <w:r>
                              <w:t>15,226,596</w:t>
                            </w:r>
                          </w:p>
                        </w:tc>
                        <w:tc>
                          <w:tcPr>
                            <w:tcW w:w="44" w:type="dxa"/>
                            <w:tcBorders/>
                            <w:vAlign w:val="bottom"/>
                          </w:tcPr>
                          <w:p>
                            <w:pPr>
                              <w:pStyle w:val="TableContents"/>
                              <w:bidi w:val="0"/>
                              <w:spacing w:before="0" w:after="283"/>
                              <w:jc w:val="left"/>
                            </w:pPr>
                            <w:r>
                              <w:t> </w:t>
                            </w:r>
                          </w:p>
                        </w:tc>
                      </w:tr>
                      <w:tr>
                        <w:tc>
                          <w:tcPr>
                            <w:tcW w:w="2798"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pPr>
                            <w:r>
                              <w:t>  </w:t>
                            </w:r>
                          </w:p>
                        </w:tc>
                        <w:tc>
                          <w:tcPr>
                            <w:tcW w:w="119" w:type="dxa"/>
                            <w:tcBorders/>
                            <w:vAlign w:val="bottom"/>
                          </w:tcPr>
                          <w:p>
                            <w:pPr>
                              <w:pStyle w:val="TableContents"/>
                              <w:pBdr>
                                <w:top w:val="double" w:sz="6" w:space="1" w:color="000000"/>
                              </w:pBdr>
                              <w:bidi w:val="0"/>
                              <w:spacing w:before="0" w:after="0"/>
                              <w:jc w:val="left"/>
                            </w:pPr>
                            <w:r>
                              <w:t> </w:t>
                            </w:r>
                          </w:p>
                        </w:tc>
                        <w:tc>
                          <w:tcPr>
                            <w:tcW w:w="958" w:type="dxa"/>
                            <w:tcBorders/>
                            <w:vAlign w:val="bottom"/>
                          </w:tcPr>
                          <w:p>
                            <w:pPr>
                              <w:pStyle w:val="TableContents"/>
                              <w:pBdr>
                                <w:top w:val="double" w:sz="6" w:space="1" w:color="000000"/>
                              </w:pBdr>
                              <w:bidi w:val="0"/>
                              <w:spacing w:before="0" w:after="0"/>
                              <w:jc w:val="left"/>
                            </w:pPr>
                            <w:r>
                              <w:t> </w:t>
                            </w:r>
                          </w:p>
                        </w:tc>
                        <w:tc>
                          <w:tcPr>
                            <w:tcW w:w="51" w:type="dxa"/>
                            <w:tcBorders/>
                            <w:vAlign w:val="bottom"/>
                          </w:tcPr>
                          <w:p>
                            <w:pPr>
                              <w:pStyle w:val="TableContents"/>
                              <w:pBdr>
                                <w:top w:val="double" w:sz="6" w:space="1" w:color="000000"/>
                              </w:pBdr>
                              <w:bidi w:val="0"/>
                              <w:spacing w:before="0" w:after="0"/>
                              <w:jc w:val="left"/>
                            </w:pPr>
                            <w:r>
                              <w:t> </w:t>
                            </w:r>
                          </w:p>
                        </w:tc>
                        <w:tc>
                          <w:tcPr>
                            <w:tcW w:w="82" w:type="dxa"/>
                            <w:tcBorders/>
                            <w:vAlign w:val="bottom"/>
                          </w:tcPr>
                          <w:p>
                            <w:pPr>
                              <w:pStyle w:val="TableContents"/>
                              <w:bidi w:val="0"/>
                              <w:spacing w:before="0" w:after="283"/>
                              <w:jc w:val="left"/>
                            </w:pPr>
                            <w:r>
                              <w:t>  </w:t>
                            </w:r>
                          </w:p>
                        </w:tc>
                        <w:tc>
                          <w:tcPr>
                            <w:tcW w:w="97" w:type="dxa"/>
                            <w:tcBorders/>
                            <w:vAlign w:val="bottom"/>
                          </w:tcPr>
                          <w:p>
                            <w:pPr>
                              <w:pStyle w:val="TableContents"/>
                              <w:pBdr>
                                <w:top w:val="double" w:sz="6" w:space="1" w:color="000000"/>
                              </w:pBdr>
                              <w:bidi w:val="0"/>
                              <w:spacing w:before="0" w:after="0"/>
                              <w:jc w:val="left"/>
                            </w:pPr>
                            <w:r>
                              <w:t> </w:t>
                            </w:r>
                          </w:p>
                        </w:tc>
                        <w:tc>
                          <w:tcPr>
                            <w:tcW w:w="770" w:type="dxa"/>
                            <w:tcBorders/>
                            <w:vAlign w:val="bottom"/>
                          </w:tcPr>
                          <w:p>
                            <w:pPr>
                              <w:pStyle w:val="TableContents"/>
                              <w:pBdr>
                                <w:top w:val="double" w:sz="6" w:space="1" w:color="000000"/>
                              </w:pBdr>
                              <w:bidi w:val="0"/>
                              <w:spacing w:before="0" w:after="0"/>
                              <w:jc w:val="left"/>
                            </w:pPr>
                            <w:r>
                              <w:t> </w:t>
                            </w:r>
                          </w:p>
                        </w:tc>
                        <w:tc>
                          <w:tcPr>
                            <w:tcW w:w="44" w:type="dxa"/>
                            <w:tcBorders/>
                            <w:vAlign w:val="bottom"/>
                          </w:tcPr>
                          <w:p>
                            <w:pPr>
                              <w:pStyle w:val="TableContents"/>
                              <w:pBdr>
                                <w:top w:val="double" w:sz="6" w:space="1" w:color="000000"/>
                              </w:pBdr>
                              <w:bidi w:val="0"/>
                              <w:spacing w:before="0" w:after="0"/>
                              <w:jc w:val="left"/>
                            </w:pPr>
                            <w:r>
                              <w:t> </w:t>
                            </w:r>
                          </w:p>
                        </w:tc>
                      </w:tr>
                    </w:tbl>
                    <w:p>
                      <w:pPr>
                        <w:pStyle w:val="TextBody"/>
                        <w:bidi w:val="0"/>
                        <w:spacing w:before="0" w:after="283"/>
                        <w:jc w:val="left"/>
                      </w:pPr>
                      <w:r/>
                    </w:p>
                  </w:txbxContent>
                </v:textbox>
                <w10:wrap type="square" side="right"/>
              </v:rect>
            </w:pict>
          </mc:Fallback>
        </mc:AlternateContent>
      </w:r>
    </w:p>
    <w:p>
      <w:pPr>
        <w:pStyle w:val="TextBody"/>
        <w:bidi w:val="0"/>
        <w:spacing w:before="0" w:after="0"/>
        <w:jc w:val="left"/>
      </w:pPr>
      <w:r>
        <w:t> </w:t>
      </w:r>
    </w:p>
    <w:p>
      <w:pPr>
        <w:pStyle w:val="TextBody"/>
        <w:bidi w:val="0"/>
        <w:spacing w:before="0" w:after="0"/>
        <w:jc w:val="center"/>
      </w:pPr>
      <w:r>
        <w:drawing>
          <wp:inline distT="0" distB="0" distL="0" distR="0">
            <wp:extent cx="8100060" cy="7683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8100060" cy="76835"/>
                    </a:xfrm>
                    <a:prstGeom prst="rect">
                      <a:avLst/>
                    </a:prstGeom>
                  </pic:spPr>
                </pic:pic>
              </a:graphicData>
            </a:graphic>
          </wp:inline>
        </w:drawing>
      </w:r>
      <w:r>
        <w:t xml:space="preserve"> </w:t>
      </w:r>
    </w:p>
    <w:p>
      <w:pPr>
        <w:pStyle w:val="TextBody"/>
        <w:bidi w:val="0"/>
        <w:spacing w:before="40" w:after="0"/>
        <w:jc w:val="right"/>
        <w:rPr>
          <w:rFonts w:ascii="Arial" w:hAnsi="Arial"/>
          <w:sz w:val="14"/>
        </w:rPr>
      </w:pPr>
      <w:r>
        <w:rPr>
          <w:rFonts w:ascii="Arial" w:hAnsi="Arial"/>
          <w:sz w:val="14"/>
        </w:rPr>
        <w:t xml:space="preserve">Shareholder Letter | Q2 Fiscal Year 2027   14 </w:t>
      </w:r>
      <w:r>
        <w:br w:type="page"/>
      </w:r>
    </w:p>
    <w:p>
      <w:pPr>
        <w:pStyle w:val="HorizontalLine"/>
        <w:pBdr>
          <w:bottom w:val="double" w:sz="6" w:space="0" w:color="808080"/>
        </w:pBdr>
        <w:bidi w:val="0"/>
        <w:jc w:val="left"/>
      </w:pPr>
      <w:r/>
    </w:p>
    <w:p>
      <w:pPr>
        <w:pStyle w:val="TextBody"/>
        <w:bidi w:val="0"/>
        <w:spacing w:before="0" w:after="0"/>
        <w:jc w:val="left"/>
        <w:rPr>
          <w:rFonts w:ascii="Arial" w:hAnsi="Arial"/>
          <w:sz w:val="40"/>
        </w:rPr>
      </w:pPr>
      <w:r>
        <w:rPr>
          <w:rFonts w:ascii="Arial" w:hAnsi="Arial"/>
          <w:sz w:val="40"/>
        </w:rPr>
        <w:t xml:space="preserve">Non-GAAP Financial Reconciliation </w:t>
      </w:r>
    </w:p>
    <w:p>
      <w:pPr>
        <w:pStyle w:val="TextBody"/>
        <w:bidi w:val="0"/>
        <w:spacing w:before="0" w:after="0"/>
        <w:jc w:val="left"/>
      </w:pPr>
      <w:r>
        <w:t> </w:t>
      </w:r>
    </w:p>
    <w:p>
      <w:pPr>
        <w:pStyle w:val="TextBody"/>
        <w:bidi w:val="0"/>
        <w:spacing w:before="0" w:after="0"/>
        <w:jc w:val="left"/>
        <w:rPr>
          <w:rFonts w:ascii="Arial" w:hAnsi="Arial"/>
          <w:b/>
          <w:sz w:val="16"/>
        </w:rPr>
      </w:pPr>
      <w:r>
        <w:rPr>
          <w:rFonts w:ascii="Arial" w:hAnsi="Arial"/>
          <w:b/>
          <w:sz w:val="16"/>
        </w:rPr>
        <w:t xml:space="preserve">AN ITEMIZED RECONCILIATION BETWEEN NET INCOME (LOSS) ATTRIBUTABLE TO VIASAT, INC.  </w:t>
      </w:r>
    </w:p>
    <w:p>
      <w:pPr>
        <w:pStyle w:val="TextBody"/>
        <w:bidi w:val="0"/>
        <w:spacing w:before="0" w:after="0"/>
        <w:jc w:val="left"/>
        <w:rPr>
          <w:rFonts w:ascii="Arial" w:hAnsi="Arial"/>
          <w:b/>
          <w:sz w:val="16"/>
        </w:rPr>
      </w:pPr>
      <w:r>
        <w:rPr>
          <w:rFonts w:ascii="Arial" w:hAnsi="Arial"/>
          <w:b/>
          <w:sz w:val="16"/>
        </w:rPr>
        <w:t xml:space="preserve">AND ADJUSTED EBITDA, AND TOTAL DEBT TO NET DEBT IS AS FOLLOWS:  </w:t>
      </w:r>
    </w:p>
    <w:p>
      <w:pPr>
        <w:pStyle w:val="TextBody"/>
        <w:bidi w:val="0"/>
        <w:spacing w:before="0" w:after="0"/>
        <w:jc w:val="left"/>
        <w:rPr>
          <w:rFonts w:ascii="Arial" w:hAnsi="Arial"/>
          <w:b/>
          <w:sz w:val="16"/>
        </w:rPr>
      </w:pPr>
      <w:r>
        <w:rPr>
          <w:rFonts w:ascii="Arial" w:hAnsi="Arial"/>
          <w:b/>
          <w:sz w:val="16"/>
        </w:rPr>
        <w:t xml:space="preserve">(Unaudited)  </w:t>
      </w:r>
    </w:p>
    <w:p>
      <w:pPr>
        <w:pStyle w:val="TextBody"/>
        <w:bidi w:val="0"/>
        <w:spacing w:before="0" w:after="0"/>
        <w:jc w:val="left"/>
        <w:rPr>
          <w:rFonts w:ascii="Arial" w:hAnsi="Arial"/>
          <w:b/>
          <w:sz w:val="16"/>
        </w:rPr>
      </w:pPr>
      <w:r>
        <w:rPr>
          <w:rFonts w:ascii="Arial" w:hAnsi="Arial"/>
          <w:b/>
          <w:sz w:val="16"/>
        </w:rPr>
        <w:t xml:space="preserve">(In thousands)  </w:t>
      </w:r>
    </w:p>
    <w:p>
      <w:pPr>
        <w:pStyle w:val="TextBody"/>
        <w:bidi w:val="0"/>
        <w:spacing w:before="0" w:after="0"/>
        <w:jc w:val="left"/>
      </w:pPr>
      <w:r>
        <w:t> </w:t>
      </w:r>
    </w:p>
    <w:tbl>
      <w:tblPr>
        <w:tblW w:w="11685" w:type="dxa"/>
        <w:jc w:val="center"/>
        <w:tblInd w:w="0" w:type="dxa"/>
        <w:tblLayout w:type="fixed"/>
        <w:tblCellMar>
          <w:top w:w="0" w:type="dxa"/>
          <w:left w:w="0" w:type="dxa"/>
          <w:bottom w:w="0" w:type="dxa"/>
          <w:right w:w="0" w:type="dxa"/>
        </w:tblCellMar>
      </w:tblPr>
      <w:tblGrid>
        <w:gridCol w:w="1115"/>
        <w:gridCol w:w="120"/>
        <w:gridCol w:w="316"/>
        <w:gridCol w:w="1674"/>
        <w:gridCol w:w="265"/>
        <w:gridCol w:w="60"/>
        <w:gridCol w:w="231"/>
        <w:gridCol w:w="1228"/>
        <w:gridCol w:w="196"/>
        <w:gridCol w:w="60"/>
        <w:gridCol w:w="259"/>
        <w:gridCol w:w="1373"/>
        <w:gridCol w:w="218"/>
        <w:gridCol w:w="60"/>
        <w:gridCol w:w="307"/>
        <w:gridCol w:w="1629"/>
        <w:gridCol w:w="259"/>
        <w:gridCol w:w="60"/>
        <w:gridCol w:w="316"/>
        <w:gridCol w:w="1674"/>
        <w:gridCol w:w="265"/>
      </w:tblGrid>
      <w:t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c>
          <w:tcPr>
            <w:tcW w:w="1115"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0450" w:type="dxa"/>
            <w:gridSpan w:val="19"/>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r>
      <w:tr>
        <w:tc>
          <w:tcPr>
            <w:tcW w:w="1115"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255" w:type="dxa"/>
            <w:gridSpan w:val="3"/>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60" w:type="dxa"/>
            <w:tcBorders/>
            <w:vAlign w:val="bottom"/>
          </w:tcPr>
          <w:p>
            <w:pPr>
              <w:pStyle w:val="TableContents"/>
              <w:bidi w:val="0"/>
              <w:spacing w:before="0" w:after="283"/>
              <w:jc w:val="left"/>
            </w:pPr>
            <w:r>
              <w:t> </w:t>
            </w:r>
          </w:p>
        </w:tc>
        <w:tc>
          <w:tcPr>
            <w:tcW w:w="1655" w:type="dxa"/>
            <w:gridSpan w:val="3"/>
            <w:tcBorders>
              <w:bottom w:val="single" w:sz="8" w:space="0" w:color="000000"/>
            </w:tcBorders>
            <w:tcMar>
              <w:bottom w:w="28" w:type="dxa"/>
            </w:tcMar>
            <w:vAlign w:val="bottom"/>
          </w:tcPr>
          <w:p>
            <w:pPr>
              <w:pStyle w:val="TableContents"/>
              <w:bidi w:val="0"/>
              <w:spacing w:before="0" w:after="283"/>
              <w:jc w:val="center"/>
            </w:pPr>
            <w:r>
              <w:t> </w:t>
            </w:r>
            <w:r>
              <w:rPr>
                <w:b/>
              </w:rPr>
              <w:t>June 30, 2026 </w:t>
            </w:r>
          </w:p>
        </w:tc>
        <w:tc>
          <w:tcPr>
            <w:tcW w:w="60" w:type="dxa"/>
            <w:tcBorders/>
            <w:vAlign w:val="bottom"/>
          </w:tcPr>
          <w:p>
            <w:pPr>
              <w:pStyle w:val="TableContents"/>
              <w:bidi w:val="0"/>
              <w:spacing w:before="0" w:after="283"/>
              <w:jc w:val="left"/>
            </w:pPr>
            <w:r>
              <w:t> </w:t>
            </w:r>
          </w:p>
        </w:tc>
        <w:tc>
          <w:tcPr>
            <w:tcW w:w="1850" w:type="dxa"/>
            <w:gridSpan w:val="3"/>
            <w:tcBorders>
              <w:bottom w:val="single" w:sz="8" w:space="0" w:color="000000"/>
            </w:tcBorders>
            <w:tcMar>
              <w:bottom w:w="28" w:type="dxa"/>
            </w:tcMar>
            <w:vAlign w:val="bottom"/>
          </w:tcPr>
          <w:p>
            <w:pPr>
              <w:pStyle w:val="TableContents"/>
              <w:bidi w:val="0"/>
              <w:spacing w:before="0" w:after="283"/>
              <w:jc w:val="center"/>
            </w:pPr>
            <w:r>
              <w:t> </w:t>
            </w:r>
            <w:r>
              <w:rPr>
                <w:b/>
              </w:rPr>
              <w:t>March 31, 2026 </w:t>
            </w:r>
          </w:p>
        </w:tc>
        <w:tc>
          <w:tcPr>
            <w:tcW w:w="60" w:type="dxa"/>
            <w:tcBorders/>
            <w:vAlign w:val="bottom"/>
          </w:tcPr>
          <w:p>
            <w:pPr>
              <w:pStyle w:val="TableContents"/>
              <w:bidi w:val="0"/>
              <w:spacing w:before="0" w:after="283"/>
              <w:jc w:val="left"/>
            </w:pPr>
            <w:r>
              <w:t> </w:t>
            </w:r>
          </w:p>
        </w:tc>
        <w:tc>
          <w:tcPr>
            <w:tcW w:w="2195" w:type="dxa"/>
            <w:gridSpan w:val="3"/>
            <w:tcBorders>
              <w:bottom w:val="single" w:sz="8" w:space="0" w:color="000000"/>
            </w:tcBorders>
            <w:tcMar>
              <w:bottom w:w="28" w:type="dxa"/>
            </w:tcMar>
            <w:vAlign w:val="bottom"/>
          </w:tcPr>
          <w:p>
            <w:pPr>
              <w:pStyle w:val="TableContents"/>
              <w:bidi w:val="0"/>
              <w:spacing w:before="0" w:after="283"/>
              <w:jc w:val="center"/>
            </w:pPr>
            <w:r>
              <w:t> </w:t>
            </w:r>
            <w:r>
              <w:rPr>
                <w:b/>
              </w:rPr>
              <w:t>December 31, 2025 </w:t>
            </w:r>
          </w:p>
        </w:tc>
        <w:tc>
          <w:tcPr>
            <w:tcW w:w="60" w:type="dxa"/>
            <w:tcBorders/>
            <w:vAlign w:val="bottom"/>
          </w:tcPr>
          <w:p>
            <w:pPr>
              <w:pStyle w:val="TableContents"/>
              <w:bidi w:val="0"/>
              <w:spacing w:before="0" w:after="283"/>
              <w:jc w:val="left"/>
            </w:pPr>
            <w:r>
              <w:t> </w:t>
            </w:r>
          </w:p>
        </w:tc>
        <w:tc>
          <w:tcPr>
            <w:tcW w:w="2255" w:type="dxa"/>
            <w:gridSpan w:val="3"/>
            <w:tcBorders>
              <w:bottom w:val="single" w:sz="8" w:space="0" w:color="000000"/>
            </w:tcBorders>
            <w:tcMar>
              <w:bottom w:w="28" w:type="dxa"/>
            </w:tcMar>
            <w:vAlign w:val="bottom"/>
          </w:tcPr>
          <w:p>
            <w:pPr>
              <w:pStyle w:val="TableContents"/>
              <w:bidi w:val="0"/>
              <w:spacing w:before="0" w:after="283"/>
              <w:jc w:val="center"/>
            </w:pPr>
            <w:r>
              <w:t> </w:t>
            </w:r>
            <w:r>
              <w:rPr>
                <w:b/>
              </w:rPr>
              <w:t>September 30, 2025 </w:t>
            </w:r>
          </w:p>
        </w:tc>
      </w:tr>
      <w:tr>
        <w:tc>
          <w:tcPr>
            <w:tcW w:w="1115" w:type="dxa"/>
            <w:tcBorders/>
          </w:tcPr>
          <w:p>
            <w:pPr>
              <w:pStyle w:val="TableContents"/>
              <w:bidi w:val="0"/>
              <w:spacing w:before="0" w:after="0"/>
              <w:jc w:val="left"/>
              <w:rPr>
                <w:rFonts w:ascii="Arial" w:hAnsi="Arial"/>
                <w:sz w:val="16"/>
              </w:rPr>
            </w:pPr>
            <w:r>
              <w:rPr>
                <w:rFonts w:ascii="Arial" w:hAnsi="Arial"/>
                <w:sz w:val="16"/>
              </w:rPr>
              <w:t>GAAP net income (loss) attributable to Viasat, Inc.</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r>
              <w:t>$</w:t>
            </w:r>
          </w:p>
        </w:tc>
        <w:tc>
          <w:tcPr>
            <w:tcW w:w="1674" w:type="dxa"/>
            <w:tcBorders/>
            <w:vAlign w:val="bottom"/>
          </w:tcPr>
          <w:p>
            <w:pPr>
              <w:pStyle w:val="TableContents"/>
              <w:bidi w:val="0"/>
              <w:spacing w:before="0" w:after="283"/>
              <w:jc w:val="right"/>
            </w:pPr>
            <w:r>
              <w:t>(128,655</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r>
              <w:t>$</w:t>
            </w:r>
          </w:p>
        </w:tc>
        <w:tc>
          <w:tcPr>
            <w:tcW w:w="1228" w:type="dxa"/>
            <w:tcBorders/>
            <w:vAlign w:val="bottom"/>
          </w:tcPr>
          <w:p>
            <w:pPr>
              <w:pStyle w:val="TableContents"/>
              <w:bidi w:val="0"/>
              <w:spacing w:before="0" w:after="283"/>
              <w:jc w:val="right"/>
            </w:pPr>
            <w:r>
              <w:t>(51,741</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r>
              <w:t>$</w:t>
            </w:r>
          </w:p>
        </w:tc>
        <w:tc>
          <w:tcPr>
            <w:tcW w:w="1373" w:type="dxa"/>
            <w:tcBorders/>
            <w:vAlign w:val="bottom"/>
          </w:tcPr>
          <w:p>
            <w:pPr>
              <w:pStyle w:val="TableContents"/>
              <w:bidi w:val="0"/>
              <w:spacing w:before="0" w:after="283"/>
              <w:jc w:val="right"/>
            </w:pPr>
            <w:r>
              <w:t>58,824</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r>
              <w:t>$</w:t>
            </w:r>
          </w:p>
        </w:tc>
        <w:tc>
          <w:tcPr>
            <w:tcW w:w="1629" w:type="dxa"/>
            <w:tcBorders/>
            <w:vAlign w:val="bottom"/>
          </w:tcPr>
          <w:p>
            <w:pPr>
              <w:pStyle w:val="TableContents"/>
              <w:bidi w:val="0"/>
              <w:spacing w:before="0" w:after="283"/>
              <w:jc w:val="right"/>
            </w:pPr>
            <w:r>
              <w:t>24,968</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r>
              <w:t>$</w:t>
            </w:r>
          </w:p>
        </w:tc>
        <w:tc>
          <w:tcPr>
            <w:tcW w:w="1674" w:type="dxa"/>
            <w:tcBorders/>
            <w:vAlign w:val="bottom"/>
          </w:tcPr>
          <w:p>
            <w:pPr>
              <w:pStyle w:val="TableContents"/>
              <w:bidi w:val="0"/>
              <w:spacing w:before="0" w:after="283"/>
              <w:jc w:val="right"/>
            </w:pPr>
            <w:r>
              <w:t>(61,444</w:t>
            </w:r>
          </w:p>
        </w:tc>
        <w:tc>
          <w:tcPr>
            <w:tcW w:w="26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Provision for (benefit from) income taxes</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40,786</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23,111</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373" w:type="dxa"/>
            <w:tcBorders/>
            <w:vAlign w:val="bottom"/>
          </w:tcPr>
          <w:p>
            <w:pPr>
              <w:pStyle w:val="TableContents"/>
              <w:bidi w:val="0"/>
              <w:spacing w:before="0" w:after="283"/>
              <w:jc w:val="right"/>
            </w:pPr>
            <w:r>
              <w:t>40,081</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629" w:type="dxa"/>
            <w:tcBorders/>
            <w:vAlign w:val="bottom"/>
          </w:tcPr>
          <w:p>
            <w:pPr>
              <w:pStyle w:val="TableContents"/>
              <w:bidi w:val="0"/>
              <w:spacing w:before="0" w:after="283"/>
              <w:jc w:val="right"/>
            </w:pPr>
            <w:r>
              <w:t>58,670</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10,862</w:t>
            </w:r>
          </w:p>
        </w:tc>
        <w:tc>
          <w:tcPr>
            <w:tcW w:w="26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Interest expense (income), net</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86,595</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66,913</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373" w:type="dxa"/>
            <w:tcBorders/>
            <w:vAlign w:val="bottom"/>
          </w:tcPr>
          <w:p>
            <w:pPr>
              <w:pStyle w:val="TableContents"/>
              <w:bidi w:val="0"/>
              <w:spacing w:before="0" w:after="283"/>
              <w:jc w:val="right"/>
            </w:pPr>
            <w:r>
              <w:t>65,484</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629" w:type="dxa"/>
            <w:tcBorders/>
            <w:vAlign w:val="bottom"/>
          </w:tcPr>
          <w:p>
            <w:pPr>
              <w:pStyle w:val="TableContents"/>
              <w:bidi w:val="0"/>
              <w:spacing w:before="0" w:after="283"/>
              <w:jc w:val="right"/>
            </w:pPr>
            <w:r>
              <w:t>(78,112</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80,962</w:t>
            </w:r>
          </w:p>
        </w:tc>
        <w:tc>
          <w:tcPr>
            <w:tcW w:w="26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Depreciation and amortization (4)</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335,379</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315,241</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373" w:type="dxa"/>
            <w:tcBorders/>
            <w:vAlign w:val="bottom"/>
          </w:tcPr>
          <w:p>
            <w:pPr>
              <w:pStyle w:val="TableContents"/>
              <w:bidi w:val="0"/>
              <w:spacing w:before="0" w:after="283"/>
              <w:jc w:val="right"/>
            </w:pPr>
            <w:r>
              <w:t>347,327</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629" w:type="dxa"/>
            <w:tcBorders/>
            <w:vAlign w:val="bottom"/>
          </w:tcPr>
          <w:p>
            <w:pPr>
              <w:pStyle w:val="TableContents"/>
              <w:bidi w:val="0"/>
              <w:spacing w:before="0" w:after="283"/>
              <w:jc w:val="right"/>
            </w:pPr>
            <w:r>
              <w:t>340,360</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329,128</w:t>
            </w:r>
          </w:p>
        </w:tc>
        <w:tc>
          <w:tcPr>
            <w:tcW w:w="26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Stock-based compensation expense</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34,168</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24,191</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373" w:type="dxa"/>
            <w:tcBorders/>
            <w:vAlign w:val="bottom"/>
          </w:tcPr>
          <w:p>
            <w:pPr>
              <w:pStyle w:val="TableContents"/>
              <w:bidi w:val="0"/>
              <w:spacing w:before="0" w:after="283"/>
              <w:jc w:val="right"/>
            </w:pPr>
            <w:r>
              <w:t>22,142</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629" w:type="dxa"/>
            <w:tcBorders/>
            <w:vAlign w:val="bottom"/>
          </w:tcPr>
          <w:p>
            <w:pPr>
              <w:pStyle w:val="TableContents"/>
              <w:bidi w:val="0"/>
              <w:spacing w:before="0" w:after="283"/>
              <w:jc w:val="right"/>
            </w:pPr>
            <w:r>
              <w:t>24,099</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20,122</w:t>
            </w:r>
          </w:p>
        </w:tc>
        <w:tc>
          <w:tcPr>
            <w:tcW w:w="26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Acquisition and transaction related expenses (2)</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3,133</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4,056</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373" w:type="dxa"/>
            <w:tcBorders/>
            <w:vAlign w:val="bottom"/>
          </w:tcPr>
          <w:p>
            <w:pPr>
              <w:pStyle w:val="TableContents"/>
              <w:bidi w:val="0"/>
              <w:spacing w:before="0" w:after="283"/>
              <w:jc w:val="right"/>
            </w:pPr>
            <w:r>
              <w:t>4,062</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629" w:type="dxa"/>
            <w:tcBorders/>
            <w:vAlign w:val="bottom"/>
          </w:tcPr>
          <w:p>
            <w:pPr>
              <w:pStyle w:val="TableContents"/>
              <w:bidi w:val="0"/>
              <w:spacing w:before="0" w:after="283"/>
              <w:jc w:val="right"/>
            </w:pPr>
            <w:r>
              <w:t>5,525</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5,080</w:t>
            </w:r>
          </w:p>
        </w:tc>
        <w:tc>
          <w:tcPr>
            <w:tcW w:w="26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Loss (gain) on extinguishment of debt, net</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373" w:type="dxa"/>
            <w:tcBorders/>
            <w:vAlign w:val="bottom"/>
          </w:tcPr>
          <w:p>
            <w:pPr>
              <w:pStyle w:val="TableContents"/>
              <w:bidi w:val="0"/>
              <w:spacing w:before="0" w:after="283"/>
              <w:jc w:val="right"/>
            </w:pPr>
            <w:r>
              <w:t>—</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629" w:type="dxa"/>
            <w:tcBorders/>
            <w:vAlign w:val="bottom"/>
          </w:tcPr>
          <w:p>
            <w:pPr>
              <w:pStyle w:val="TableContents"/>
              <w:bidi w:val="0"/>
              <w:spacing w:before="0" w:after="283"/>
              <w:jc w:val="right"/>
            </w:pPr>
            <w:r>
              <w:t>11,647</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w:t>
            </w:r>
          </w:p>
        </w:tc>
        <w:tc>
          <w:tcPr>
            <w:tcW w:w="26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Other, net (11)</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(1,479</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(625</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373" w:type="dxa"/>
            <w:tcBorders/>
            <w:vAlign w:val="bottom"/>
          </w:tcPr>
          <w:p>
            <w:pPr>
              <w:pStyle w:val="TableContents"/>
              <w:bidi w:val="0"/>
              <w:spacing w:before="0" w:after="283"/>
              <w:jc w:val="right"/>
            </w:pPr>
            <w:r>
              <w:t>(168,062</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629" w:type="dxa"/>
            <w:tcBorders/>
            <w:vAlign w:val="bottom"/>
          </w:tcPr>
          <w:p>
            <w:pPr>
              <w:pStyle w:val="TableContents"/>
              <w:bidi w:val="0"/>
              <w:spacing w:before="0" w:after="283"/>
              <w:jc w:val="right"/>
            </w:pPr>
            <w:r>
              <w:t>(114</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w:t>
            </w:r>
          </w:p>
        </w:tc>
        <w:tc>
          <w:tcPr>
            <w:tcW w:w="26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pBdr>
                <w:top w:val="single" w:sz="2" w:space="1" w:color="000000"/>
              </w:pBdr>
              <w:bidi w:val="0"/>
              <w:spacing w:before="0" w:after="0"/>
              <w:jc w:val="left"/>
            </w:pPr>
            <w:r>
              <w:t> </w:t>
            </w:r>
          </w:p>
        </w:tc>
        <w:tc>
          <w:tcPr>
            <w:tcW w:w="1674" w:type="dxa"/>
            <w:tcBorders/>
            <w:vAlign w:val="bottom"/>
          </w:tcPr>
          <w:p>
            <w:pPr>
              <w:pStyle w:val="TableContents"/>
              <w:pBdr>
                <w:top w:val="single" w:sz="2" w:space="1" w:color="000000"/>
              </w:pBdr>
              <w:bidi w:val="0"/>
              <w:spacing w:before="0" w:after="0"/>
              <w:jc w:val="left"/>
            </w:pPr>
            <w:r>
              <w:t> </w:t>
            </w:r>
          </w:p>
        </w:tc>
        <w:tc>
          <w:tcPr>
            <w:tcW w:w="265"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1228" w:type="dxa"/>
            <w:tcBorders/>
            <w:vAlign w:val="bottom"/>
          </w:tcPr>
          <w:p>
            <w:pPr>
              <w:pStyle w:val="TableContents"/>
              <w:pBdr>
                <w:top w:val="single" w:sz="2" w:space="1" w:color="000000"/>
              </w:pBdr>
              <w:bidi w:val="0"/>
              <w:spacing w:before="0" w:after="0"/>
              <w:jc w:val="left"/>
            </w:pPr>
            <w:r>
              <w:t> </w:t>
            </w:r>
          </w:p>
        </w:tc>
        <w:tc>
          <w:tcPr>
            <w:tcW w:w="196"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pBdr>
                <w:top w:val="single" w:sz="2" w:space="1" w:color="000000"/>
              </w:pBdr>
              <w:bidi w:val="0"/>
              <w:spacing w:before="0" w:after="0"/>
              <w:jc w:val="left"/>
            </w:pPr>
            <w:r>
              <w:t> </w:t>
            </w:r>
          </w:p>
        </w:tc>
        <w:tc>
          <w:tcPr>
            <w:tcW w:w="1373" w:type="dxa"/>
            <w:tcBorders/>
            <w:vAlign w:val="bottom"/>
          </w:tcPr>
          <w:p>
            <w:pPr>
              <w:pStyle w:val="TableContents"/>
              <w:pBdr>
                <w:top w:val="single" w:sz="2" w:space="1" w:color="000000"/>
              </w:pBdr>
              <w:bidi w:val="0"/>
              <w:spacing w:before="0" w:after="0"/>
              <w:jc w:val="left"/>
            </w:pPr>
            <w:r>
              <w:t> </w:t>
            </w:r>
          </w:p>
        </w:tc>
        <w:tc>
          <w:tcPr>
            <w:tcW w:w="218"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pBdr>
                <w:top w:val="single" w:sz="2" w:space="1" w:color="000000"/>
              </w:pBdr>
              <w:bidi w:val="0"/>
              <w:spacing w:before="0" w:after="0"/>
              <w:jc w:val="left"/>
            </w:pPr>
            <w:r>
              <w:t> </w:t>
            </w:r>
          </w:p>
        </w:tc>
        <w:tc>
          <w:tcPr>
            <w:tcW w:w="1629" w:type="dxa"/>
            <w:tcBorders/>
            <w:vAlign w:val="bottom"/>
          </w:tcPr>
          <w:p>
            <w:pPr>
              <w:pStyle w:val="TableContents"/>
              <w:pBdr>
                <w:top w:val="single" w:sz="2" w:space="1" w:color="000000"/>
              </w:pBdr>
              <w:bidi w:val="0"/>
              <w:spacing w:before="0" w:after="0"/>
              <w:jc w:val="left"/>
            </w:pPr>
            <w:r>
              <w:t> </w:t>
            </w:r>
          </w:p>
        </w:tc>
        <w:tc>
          <w:tcPr>
            <w:tcW w:w="259"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pBdr>
                <w:top w:val="single" w:sz="2" w:space="1" w:color="000000"/>
              </w:pBdr>
              <w:bidi w:val="0"/>
              <w:spacing w:before="0" w:after="0"/>
              <w:jc w:val="left"/>
            </w:pPr>
            <w:r>
              <w:t> </w:t>
            </w:r>
          </w:p>
        </w:tc>
        <w:tc>
          <w:tcPr>
            <w:tcW w:w="1674" w:type="dxa"/>
            <w:tcBorders/>
            <w:vAlign w:val="bottom"/>
          </w:tcPr>
          <w:p>
            <w:pPr>
              <w:pStyle w:val="TableContents"/>
              <w:pBdr>
                <w:top w:val="single" w:sz="2" w:space="1" w:color="000000"/>
              </w:pBdr>
              <w:bidi w:val="0"/>
              <w:spacing w:before="0" w:after="0"/>
              <w:jc w:val="left"/>
            </w:pPr>
            <w:r>
              <w:t> </w:t>
            </w:r>
          </w:p>
        </w:tc>
        <w:tc>
          <w:tcPr>
            <w:tcW w:w="265" w:type="dxa"/>
            <w:tcBorders/>
            <w:vAlign w:val="bottom"/>
          </w:tcPr>
          <w:p>
            <w:pPr>
              <w:pStyle w:val="TableContents"/>
              <w:pBdr>
                <w:top w:val="single" w:sz="2" w:space="1" w:color="000000"/>
              </w:pBdr>
              <w:bidi w:val="0"/>
              <w:spacing w:before="0" w:after="0"/>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Adjusted EBITDA (12)</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r>
              <w:t>$</w:t>
            </w:r>
          </w:p>
        </w:tc>
        <w:tc>
          <w:tcPr>
            <w:tcW w:w="1674" w:type="dxa"/>
            <w:tcBorders/>
            <w:vAlign w:val="bottom"/>
          </w:tcPr>
          <w:p>
            <w:pPr>
              <w:pStyle w:val="TableContents"/>
              <w:bidi w:val="0"/>
              <w:spacing w:before="0" w:after="283"/>
              <w:jc w:val="right"/>
            </w:pPr>
            <w:r>
              <w:t>369,927</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r>
              <w:t>$</w:t>
            </w:r>
          </w:p>
        </w:tc>
        <w:tc>
          <w:tcPr>
            <w:tcW w:w="1228" w:type="dxa"/>
            <w:tcBorders/>
            <w:vAlign w:val="bottom"/>
          </w:tcPr>
          <w:p>
            <w:pPr>
              <w:pStyle w:val="TableContents"/>
              <w:bidi w:val="0"/>
              <w:spacing w:before="0" w:after="283"/>
              <w:jc w:val="right"/>
            </w:pPr>
            <w:r>
              <w:t>381,146</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r>
              <w:t>$</w:t>
            </w:r>
          </w:p>
        </w:tc>
        <w:tc>
          <w:tcPr>
            <w:tcW w:w="1373" w:type="dxa"/>
            <w:tcBorders/>
            <w:vAlign w:val="bottom"/>
          </w:tcPr>
          <w:p>
            <w:pPr>
              <w:pStyle w:val="TableContents"/>
              <w:bidi w:val="0"/>
              <w:spacing w:before="0" w:after="283"/>
              <w:jc w:val="right"/>
            </w:pPr>
            <w:r>
              <w:t>369,858</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r>
              <w:t>$</w:t>
            </w:r>
          </w:p>
        </w:tc>
        <w:tc>
          <w:tcPr>
            <w:tcW w:w="1629" w:type="dxa"/>
            <w:tcBorders/>
            <w:vAlign w:val="bottom"/>
          </w:tcPr>
          <w:p>
            <w:pPr>
              <w:pStyle w:val="TableContents"/>
              <w:bidi w:val="0"/>
              <w:spacing w:before="0" w:after="283"/>
              <w:jc w:val="right"/>
            </w:pPr>
            <w:r>
              <w:t>387,043</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r>
              <w:t>$</w:t>
            </w:r>
          </w:p>
        </w:tc>
        <w:tc>
          <w:tcPr>
            <w:tcW w:w="1674" w:type="dxa"/>
            <w:tcBorders/>
            <w:vAlign w:val="bottom"/>
          </w:tcPr>
          <w:p>
            <w:pPr>
              <w:pStyle w:val="TableContents"/>
              <w:bidi w:val="0"/>
              <w:spacing w:before="0" w:after="283"/>
              <w:jc w:val="right"/>
            </w:pPr>
            <w:r>
              <w:t>384,710</w:t>
            </w:r>
          </w:p>
        </w:tc>
        <w:tc>
          <w:tcPr>
            <w:tcW w:w="26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pBdr>
                <w:top w:val="double" w:sz="6" w:space="1" w:color="000000"/>
              </w:pBdr>
              <w:bidi w:val="0"/>
              <w:spacing w:before="0" w:after="0"/>
              <w:jc w:val="left"/>
            </w:pPr>
            <w:r>
              <w:t> </w:t>
            </w:r>
          </w:p>
        </w:tc>
        <w:tc>
          <w:tcPr>
            <w:tcW w:w="1674" w:type="dxa"/>
            <w:tcBorders/>
            <w:vAlign w:val="bottom"/>
          </w:tcPr>
          <w:p>
            <w:pPr>
              <w:pStyle w:val="TableContents"/>
              <w:pBdr>
                <w:top w:val="double" w:sz="6" w:space="1" w:color="000000"/>
              </w:pBdr>
              <w:bidi w:val="0"/>
              <w:spacing w:before="0" w:after="0"/>
              <w:jc w:val="left"/>
            </w:pPr>
            <w:r>
              <w:t> </w:t>
            </w:r>
          </w:p>
        </w:tc>
        <w:tc>
          <w:tcPr>
            <w:tcW w:w="265"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pBdr>
                <w:top w:val="double" w:sz="6" w:space="1" w:color="000000"/>
              </w:pBdr>
              <w:bidi w:val="0"/>
              <w:spacing w:before="0" w:after="0"/>
              <w:jc w:val="left"/>
            </w:pPr>
            <w:r>
              <w:t> </w:t>
            </w:r>
          </w:p>
        </w:tc>
        <w:tc>
          <w:tcPr>
            <w:tcW w:w="1228" w:type="dxa"/>
            <w:tcBorders/>
            <w:vAlign w:val="bottom"/>
          </w:tcPr>
          <w:p>
            <w:pPr>
              <w:pStyle w:val="TableContents"/>
              <w:pBdr>
                <w:top w:val="double" w:sz="6" w:space="1" w:color="000000"/>
              </w:pBdr>
              <w:bidi w:val="0"/>
              <w:spacing w:before="0" w:after="0"/>
              <w:jc w:val="left"/>
            </w:pPr>
            <w:r>
              <w:t> </w:t>
            </w:r>
          </w:p>
        </w:tc>
        <w:tc>
          <w:tcPr>
            <w:tcW w:w="196"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pBdr>
                <w:top w:val="double" w:sz="6" w:space="1" w:color="000000"/>
              </w:pBdr>
              <w:bidi w:val="0"/>
              <w:spacing w:before="0" w:after="0"/>
              <w:jc w:val="left"/>
            </w:pPr>
            <w:r>
              <w:t> </w:t>
            </w:r>
          </w:p>
        </w:tc>
        <w:tc>
          <w:tcPr>
            <w:tcW w:w="1373" w:type="dxa"/>
            <w:tcBorders/>
            <w:vAlign w:val="bottom"/>
          </w:tcPr>
          <w:p>
            <w:pPr>
              <w:pStyle w:val="TableContents"/>
              <w:pBdr>
                <w:top w:val="double" w:sz="6" w:space="1" w:color="000000"/>
              </w:pBdr>
              <w:bidi w:val="0"/>
              <w:spacing w:before="0" w:after="0"/>
              <w:jc w:val="left"/>
            </w:pPr>
            <w:r>
              <w:t> </w:t>
            </w:r>
          </w:p>
        </w:tc>
        <w:tc>
          <w:tcPr>
            <w:tcW w:w="218"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pBdr>
                <w:top w:val="double" w:sz="6" w:space="1" w:color="000000"/>
              </w:pBdr>
              <w:bidi w:val="0"/>
              <w:spacing w:before="0" w:after="0"/>
              <w:jc w:val="left"/>
            </w:pPr>
            <w:r>
              <w:t> </w:t>
            </w:r>
          </w:p>
        </w:tc>
        <w:tc>
          <w:tcPr>
            <w:tcW w:w="1629" w:type="dxa"/>
            <w:tcBorders/>
            <w:vAlign w:val="bottom"/>
          </w:tcPr>
          <w:p>
            <w:pPr>
              <w:pStyle w:val="TableContents"/>
              <w:pBdr>
                <w:top w:val="double" w:sz="6" w:space="1" w:color="000000"/>
              </w:pBdr>
              <w:bidi w:val="0"/>
              <w:spacing w:before="0" w:after="0"/>
              <w:jc w:val="left"/>
            </w:pPr>
            <w:r>
              <w:t> </w:t>
            </w:r>
          </w:p>
        </w:tc>
        <w:tc>
          <w:tcPr>
            <w:tcW w:w="259"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pBdr>
                <w:top w:val="double" w:sz="6" w:space="1" w:color="000000"/>
              </w:pBdr>
              <w:bidi w:val="0"/>
              <w:spacing w:before="0" w:after="0"/>
              <w:jc w:val="left"/>
            </w:pPr>
            <w:r>
              <w:t> </w:t>
            </w:r>
          </w:p>
        </w:tc>
        <w:tc>
          <w:tcPr>
            <w:tcW w:w="1674" w:type="dxa"/>
            <w:tcBorders/>
            <w:vAlign w:val="bottom"/>
          </w:tcPr>
          <w:p>
            <w:pPr>
              <w:pStyle w:val="TableContents"/>
              <w:pBdr>
                <w:top w:val="double" w:sz="6" w:space="1" w:color="000000"/>
              </w:pBdr>
              <w:bidi w:val="0"/>
              <w:spacing w:before="0" w:after="0"/>
              <w:jc w:val="left"/>
            </w:pPr>
            <w:r>
              <w:t> </w:t>
            </w:r>
          </w:p>
        </w:tc>
        <w:tc>
          <w:tcPr>
            <w:tcW w:w="265" w:type="dxa"/>
            <w:tcBorders/>
            <w:vAlign w:val="bottom"/>
          </w:tcPr>
          <w:p>
            <w:pPr>
              <w:pStyle w:val="TableContents"/>
              <w:pBdr>
                <w:top w:val="double" w:sz="6" w:space="1" w:color="000000"/>
              </w:pBdr>
              <w:bidi w:val="0"/>
              <w:spacing w:before="0" w:after="0"/>
              <w:jc w:val="left"/>
            </w:pPr>
            <w:r>
              <w:t> </w:t>
            </w:r>
          </w:p>
        </w:tc>
      </w:tr>
      <w:tr>
        <w:trPr>
          <w:trHeight w:val="240" w:hRule="atLeast"/>
        </w:trPr>
        <w:tc>
          <w:tcPr>
            <w:tcW w:w="1115" w:type="dxa"/>
            <w:tcBorders/>
            <w:vAlign w:val="center"/>
          </w:tcPr>
          <w:p>
            <w:pPr>
              <w:pStyle w:val="TableContents"/>
              <w:bidi w:val="0"/>
              <w:spacing w:before="0" w:after="283"/>
              <w:jc w:val="left"/>
              <w:rPr>
                <w:sz w:val="4"/>
                <w:szCs w:val="4"/>
              </w:rPr>
            </w:pPr>
            <w:r>
              <w:rPr>
                <w:sz w:val="4"/>
                <w:szCs w:val="4"/>
              </w:rPr>
            </w:r>
          </w:p>
        </w:tc>
        <w:tc>
          <w:tcPr>
            <w:tcW w:w="10570" w:type="dxa"/>
            <w:gridSpan w:val="20"/>
            <w:tcBorders/>
            <w:vAlign w:val="center"/>
          </w:tcPr>
          <w:p>
            <w:pPr>
              <w:pStyle w:val="TableContents"/>
              <w:bidi w:val="0"/>
              <w:spacing w:before="0" w:after="283"/>
              <w:jc w:val="left"/>
              <w:rPr>
                <w:sz w:val="4"/>
                <w:szCs w:val="4"/>
              </w:rPr>
            </w:pPr>
            <w:r>
              <w:rPr>
                <w:sz w:val="4"/>
                <w:szCs w:val="4"/>
              </w:rPr>
            </w:r>
          </w:p>
        </w:tc>
      </w:tr>
      <w:tr>
        <w:tc>
          <w:tcPr>
            <w:tcW w:w="1115" w:type="dxa"/>
            <w:tcBorders/>
            <w:vAlign w:val="bottom"/>
          </w:tcPr>
          <w:p>
            <w:pPr>
              <w:pStyle w:val="TableContents"/>
              <w:bidi w:val="0"/>
              <w:spacing w:before="0" w:after="283"/>
              <w:jc w:val="left"/>
              <w:rPr>
                <w:b/>
              </w:rPr>
            </w:pPr>
            <w:r>
              <w:rPr>
                <w:b/>
              </w:rPr>
              <w:t>NET DEBT</w:t>
            </w:r>
          </w:p>
        </w:tc>
        <w:tc>
          <w:tcPr>
            <w:tcW w:w="120" w:type="dxa"/>
            <w:tcBorders/>
            <w:vAlign w:val="bottom"/>
          </w:tcPr>
          <w:p>
            <w:pPr>
              <w:pStyle w:val="TableContents"/>
              <w:bidi w:val="0"/>
              <w:spacing w:before="0" w:after="283"/>
              <w:jc w:val="left"/>
            </w:pPr>
            <w:r>
              <w:t>  </w:t>
            </w:r>
          </w:p>
        </w:tc>
        <w:tc>
          <w:tcPr>
            <w:tcW w:w="10450" w:type="dxa"/>
            <w:gridSpan w:val="19"/>
            <w:tcBorders>
              <w:bottom w:val="single" w:sz="8" w:space="0" w:color="000000"/>
            </w:tcBorders>
            <w:tcMar>
              <w:bottom w:w="28" w:type="dxa"/>
            </w:tcMar>
            <w:vAlign w:val="bottom"/>
          </w:tcPr>
          <w:p>
            <w:pPr>
              <w:pStyle w:val="TableContents"/>
              <w:bidi w:val="0"/>
              <w:spacing w:before="0" w:after="283"/>
              <w:jc w:val="center"/>
              <w:rPr>
                <w:b/>
              </w:rPr>
            </w:pPr>
            <w:r>
              <w:rPr>
                <w:b/>
              </w:rPr>
              <w:t>As of</w:t>
            </w:r>
          </w:p>
        </w:tc>
      </w:tr>
      <w:tr>
        <w:tc>
          <w:tcPr>
            <w:tcW w:w="1115" w:type="dxa"/>
            <w:tcBorders/>
            <w:vAlign w:val="bottom"/>
          </w:tcPr>
          <w:p>
            <w:pPr>
              <w:pStyle w:val="TableContents"/>
              <w:bidi w:val="0"/>
              <w:spacing w:before="0" w:after="283"/>
              <w:jc w:val="left"/>
              <w:rPr>
                <w:b/>
              </w:rPr>
            </w:pPr>
            <w:r>
              <w:rPr>
                <w:b/>
              </w:rPr>
              <w:t>(In thousands)</w:t>
            </w:r>
          </w:p>
        </w:tc>
        <w:tc>
          <w:tcPr>
            <w:tcW w:w="120" w:type="dxa"/>
            <w:tcBorders/>
            <w:vAlign w:val="bottom"/>
          </w:tcPr>
          <w:p>
            <w:pPr>
              <w:pStyle w:val="TableContents"/>
              <w:bidi w:val="0"/>
              <w:spacing w:before="0" w:after="283"/>
              <w:jc w:val="left"/>
            </w:pPr>
            <w:r>
              <w:t>  </w:t>
            </w:r>
          </w:p>
        </w:tc>
        <w:tc>
          <w:tcPr>
            <w:tcW w:w="2255" w:type="dxa"/>
            <w:gridSpan w:val="3"/>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60" w:type="dxa"/>
            <w:tcBorders/>
            <w:vAlign w:val="bottom"/>
          </w:tcPr>
          <w:p>
            <w:pPr>
              <w:pStyle w:val="TableContents"/>
              <w:bidi w:val="0"/>
              <w:spacing w:before="0" w:after="283"/>
              <w:jc w:val="left"/>
            </w:pPr>
            <w:r>
              <w:t> </w:t>
            </w:r>
          </w:p>
        </w:tc>
        <w:tc>
          <w:tcPr>
            <w:tcW w:w="1655" w:type="dxa"/>
            <w:gridSpan w:val="3"/>
            <w:tcBorders>
              <w:bottom w:val="single" w:sz="8" w:space="0" w:color="000000"/>
            </w:tcBorders>
            <w:tcMar>
              <w:bottom w:w="28" w:type="dxa"/>
            </w:tcMar>
            <w:vAlign w:val="bottom"/>
          </w:tcPr>
          <w:p>
            <w:pPr>
              <w:pStyle w:val="TableContents"/>
              <w:bidi w:val="0"/>
              <w:spacing w:before="0" w:after="283"/>
              <w:jc w:val="center"/>
            </w:pPr>
            <w:r>
              <w:t> </w:t>
            </w:r>
            <w:r>
              <w:rPr>
                <w:b/>
              </w:rPr>
              <w:t>June 30, 2026 </w:t>
            </w:r>
          </w:p>
        </w:tc>
        <w:tc>
          <w:tcPr>
            <w:tcW w:w="60" w:type="dxa"/>
            <w:tcBorders/>
            <w:vAlign w:val="bottom"/>
          </w:tcPr>
          <w:p>
            <w:pPr>
              <w:pStyle w:val="TableContents"/>
              <w:bidi w:val="0"/>
              <w:spacing w:before="0" w:after="283"/>
              <w:jc w:val="left"/>
            </w:pPr>
            <w:r>
              <w:t> </w:t>
            </w:r>
          </w:p>
        </w:tc>
        <w:tc>
          <w:tcPr>
            <w:tcW w:w="1850" w:type="dxa"/>
            <w:gridSpan w:val="3"/>
            <w:tcBorders>
              <w:bottom w:val="single" w:sz="8" w:space="0" w:color="000000"/>
            </w:tcBorders>
            <w:tcMar>
              <w:bottom w:w="28" w:type="dxa"/>
            </w:tcMar>
            <w:vAlign w:val="bottom"/>
          </w:tcPr>
          <w:p>
            <w:pPr>
              <w:pStyle w:val="TableContents"/>
              <w:bidi w:val="0"/>
              <w:spacing w:before="0" w:after="283"/>
              <w:jc w:val="center"/>
            </w:pPr>
            <w:r>
              <w:t> </w:t>
            </w:r>
            <w:r>
              <w:rPr>
                <w:b/>
              </w:rPr>
              <w:t>March 31, 2026 </w:t>
            </w:r>
          </w:p>
        </w:tc>
        <w:tc>
          <w:tcPr>
            <w:tcW w:w="60" w:type="dxa"/>
            <w:tcBorders/>
            <w:vAlign w:val="bottom"/>
          </w:tcPr>
          <w:p>
            <w:pPr>
              <w:pStyle w:val="TableContents"/>
              <w:bidi w:val="0"/>
              <w:spacing w:before="0" w:after="283"/>
              <w:jc w:val="left"/>
            </w:pPr>
            <w:r>
              <w:t> </w:t>
            </w:r>
          </w:p>
        </w:tc>
        <w:tc>
          <w:tcPr>
            <w:tcW w:w="2195" w:type="dxa"/>
            <w:gridSpan w:val="3"/>
            <w:tcBorders>
              <w:bottom w:val="single" w:sz="8" w:space="0" w:color="000000"/>
            </w:tcBorders>
            <w:tcMar>
              <w:bottom w:w="28" w:type="dxa"/>
            </w:tcMar>
            <w:vAlign w:val="bottom"/>
          </w:tcPr>
          <w:p>
            <w:pPr>
              <w:pStyle w:val="TableContents"/>
              <w:bidi w:val="0"/>
              <w:spacing w:before="0" w:after="283"/>
              <w:jc w:val="center"/>
            </w:pPr>
            <w:r>
              <w:t> </w:t>
            </w:r>
            <w:r>
              <w:rPr>
                <w:b/>
              </w:rPr>
              <w:t>December 31, 2025 </w:t>
            </w:r>
          </w:p>
        </w:tc>
        <w:tc>
          <w:tcPr>
            <w:tcW w:w="60" w:type="dxa"/>
            <w:tcBorders/>
            <w:vAlign w:val="bottom"/>
          </w:tcPr>
          <w:p>
            <w:pPr>
              <w:pStyle w:val="TableContents"/>
              <w:bidi w:val="0"/>
              <w:spacing w:before="0" w:after="283"/>
              <w:jc w:val="left"/>
            </w:pPr>
            <w:r>
              <w:t> </w:t>
            </w:r>
          </w:p>
        </w:tc>
        <w:tc>
          <w:tcPr>
            <w:tcW w:w="2255" w:type="dxa"/>
            <w:gridSpan w:val="3"/>
            <w:tcBorders>
              <w:bottom w:val="single" w:sz="8" w:space="0" w:color="000000"/>
            </w:tcBorders>
            <w:tcMar>
              <w:bottom w:w="28" w:type="dxa"/>
            </w:tcMar>
            <w:vAlign w:val="bottom"/>
          </w:tcPr>
          <w:p>
            <w:pPr>
              <w:pStyle w:val="TableContents"/>
              <w:bidi w:val="0"/>
              <w:spacing w:before="0" w:after="283"/>
              <w:jc w:val="center"/>
            </w:pPr>
            <w:r>
              <w:t> </w:t>
            </w:r>
            <w:r>
              <w:rPr>
                <w:b/>
              </w:rPr>
              <w:t>September 30, 2025 </w:t>
            </w:r>
          </w:p>
        </w:tc>
      </w:tr>
      <w:tr>
        <w:tc>
          <w:tcPr>
            <w:tcW w:w="1115" w:type="dxa"/>
            <w:tcBorders/>
          </w:tcPr>
          <w:p>
            <w:pPr>
              <w:pStyle w:val="TableContents"/>
              <w:bidi w:val="0"/>
              <w:spacing w:before="0" w:after="0"/>
              <w:jc w:val="left"/>
              <w:rPr>
                <w:rFonts w:ascii="Arial" w:hAnsi="Arial"/>
                <w:sz w:val="16"/>
              </w:rPr>
            </w:pPr>
            <w:r>
              <w:rPr>
                <w:rFonts w:ascii="Arial" w:hAnsi="Arial"/>
                <w:sz w:val="16"/>
              </w:rPr>
              <w:t>Total debt</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r>
              <w:t>$</w:t>
            </w:r>
          </w:p>
        </w:tc>
        <w:tc>
          <w:tcPr>
            <w:tcW w:w="1674" w:type="dxa"/>
            <w:tcBorders/>
            <w:vAlign w:val="bottom"/>
          </w:tcPr>
          <w:p>
            <w:pPr>
              <w:pStyle w:val="TableContents"/>
              <w:bidi w:val="0"/>
              <w:spacing w:before="0" w:after="283"/>
              <w:jc w:val="right"/>
            </w:pPr>
            <w:r>
              <w:t>6,559,726</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r>
              <w:t>$</w:t>
            </w:r>
          </w:p>
        </w:tc>
        <w:tc>
          <w:tcPr>
            <w:tcW w:w="1228" w:type="dxa"/>
            <w:tcBorders/>
            <w:vAlign w:val="bottom"/>
          </w:tcPr>
          <w:p>
            <w:pPr>
              <w:pStyle w:val="TableContents"/>
              <w:bidi w:val="0"/>
              <w:spacing w:before="0" w:after="283"/>
              <w:jc w:val="right"/>
            </w:pPr>
            <w:r>
              <w:t>6,570,503</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r>
              <w:t>$</w:t>
            </w:r>
          </w:p>
        </w:tc>
        <w:tc>
          <w:tcPr>
            <w:tcW w:w="1373" w:type="dxa"/>
            <w:tcBorders/>
            <w:vAlign w:val="bottom"/>
          </w:tcPr>
          <w:p>
            <w:pPr>
              <w:pStyle w:val="TableContents"/>
              <w:bidi w:val="0"/>
              <w:spacing w:before="0" w:after="283"/>
              <w:jc w:val="right"/>
            </w:pPr>
            <w:r>
              <w:t>6,585,115</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r>
              <w:t>$</w:t>
            </w:r>
          </w:p>
        </w:tc>
        <w:tc>
          <w:tcPr>
            <w:tcW w:w="1629" w:type="dxa"/>
            <w:tcBorders/>
            <w:vAlign w:val="bottom"/>
          </w:tcPr>
          <w:p>
            <w:pPr>
              <w:pStyle w:val="TableContents"/>
              <w:bidi w:val="0"/>
              <w:spacing w:before="0" w:after="283"/>
              <w:jc w:val="right"/>
            </w:pPr>
            <w:r>
              <w:t>6,406,911</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r>
              <w:t>$</w:t>
            </w:r>
          </w:p>
        </w:tc>
        <w:tc>
          <w:tcPr>
            <w:tcW w:w="1674" w:type="dxa"/>
            <w:tcBorders/>
            <w:vAlign w:val="bottom"/>
          </w:tcPr>
          <w:p>
            <w:pPr>
              <w:pStyle w:val="TableContents"/>
              <w:bidi w:val="0"/>
              <w:spacing w:before="0" w:after="283"/>
              <w:jc w:val="right"/>
            </w:pPr>
            <w:r>
              <w:t>6,731,043</w:t>
            </w:r>
          </w:p>
        </w:tc>
        <w:tc>
          <w:tcPr>
            <w:tcW w:w="26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Less: cash and cash equivalents</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1,758,947</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1,735,819</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373" w:type="dxa"/>
            <w:tcBorders/>
            <w:vAlign w:val="bottom"/>
          </w:tcPr>
          <w:p>
            <w:pPr>
              <w:pStyle w:val="TableContents"/>
              <w:bidi w:val="0"/>
              <w:spacing w:before="0" w:after="283"/>
              <w:jc w:val="right"/>
            </w:pPr>
            <w:r>
              <w:t>1,746,835</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629" w:type="dxa"/>
            <w:tcBorders/>
            <w:vAlign w:val="bottom"/>
          </w:tcPr>
          <w:p>
            <w:pPr>
              <w:pStyle w:val="TableContents"/>
              <w:bidi w:val="0"/>
              <w:spacing w:before="0" w:after="283"/>
              <w:jc w:val="right"/>
            </w:pPr>
            <w:r>
              <w:t>1,346,136</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1,230,074</w:t>
            </w:r>
          </w:p>
        </w:tc>
        <w:tc>
          <w:tcPr>
            <w:tcW w:w="26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pBdr>
                <w:top w:val="single" w:sz="2" w:space="1" w:color="000000"/>
              </w:pBdr>
              <w:bidi w:val="0"/>
              <w:spacing w:before="0" w:after="0"/>
              <w:jc w:val="left"/>
            </w:pPr>
            <w:r>
              <w:t> </w:t>
            </w:r>
          </w:p>
        </w:tc>
        <w:tc>
          <w:tcPr>
            <w:tcW w:w="1674" w:type="dxa"/>
            <w:tcBorders/>
            <w:vAlign w:val="bottom"/>
          </w:tcPr>
          <w:p>
            <w:pPr>
              <w:pStyle w:val="TableContents"/>
              <w:pBdr>
                <w:top w:val="single" w:sz="2" w:space="1" w:color="000000"/>
              </w:pBdr>
              <w:bidi w:val="0"/>
              <w:spacing w:before="0" w:after="0"/>
              <w:jc w:val="left"/>
            </w:pPr>
            <w:r>
              <w:t> </w:t>
            </w:r>
          </w:p>
        </w:tc>
        <w:tc>
          <w:tcPr>
            <w:tcW w:w="265"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1228" w:type="dxa"/>
            <w:tcBorders/>
            <w:vAlign w:val="bottom"/>
          </w:tcPr>
          <w:p>
            <w:pPr>
              <w:pStyle w:val="TableContents"/>
              <w:pBdr>
                <w:top w:val="single" w:sz="2" w:space="1" w:color="000000"/>
              </w:pBdr>
              <w:bidi w:val="0"/>
              <w:spacing w:before="0" w:after="0"/>
              <w:jc w:val="left"/>
            </w:pPr>
            <w:r>
              <w:t> </w:t>
            </w:r>
          </w:p>
        </w:tc>
        <w:tc>
          <w:tcPr>
            <w:tcW w:w="196"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pBdr>
                <w:top w:val="single" w:sz="2" w:space="1" w:color="000000"/>
              </w:pBdr>
              <w:bidi w:val="0"/>
              <w:spacing w:before="0" w:after="0"/>
              <w:jc w:val="left"/>
            </w:pPr>
            <w:r>
              <w:t> </w:t>
            </w:r>
          </w:p>
        </w:tc>
        <w:tc>
          <w:tcPr>
            <w:tcW w:w="1373" w:type="dxa"/>
            <w:tcBorders/>
            <w:vAlign w:val="bottom"/>
          </w:tcPr>
          <w:p>
            <w:pPr>
              <w:pStyle w:val="TableContents"/>
              <w:pBdr>
                <w:top w:val="single" w:sz="2" w:space="1" w:color="000000"/>
              </w:pBdr>
              <w:bidi w:val="0"/>
              <w:spacing w:before="0" w:after="0"/>
              <w:jc w:val="left"/>
            </w:pPr>
            <w:r>
              <w:t> </w:t>
            </w:r>
          </w:p>
        </w:tc>
        <w:tc>
          <w:tcPr>
            <w:tcW w:w="218"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pBdr>
                <w:top w:val="single" w:sz="2" w:space="1" w:color="000000"/>
              </w:pBdr>
              <w:bidi w:val="0"/>
              <w:spacing w:before="0" w:after="0"/>
              <w:jc w:val="left"/>
            </w:pPr>
            <w:r>
              <w:t> </w:t>
            </w:r>
          </w:p>
        </w:tc>
        <w:tc>
          <w:tcPr>
            <w:tcW w:w="1629" w:type="dxa"/>
            <w:tcBorders/>
            <w:vAlign w:val="bottom"/>
          </w:tcPr>
          <w:p>
            <w:pPr>
              <w:pStyle w:val="TableContents"/>
              <w:pBdr>
                <w:top w:val="single" w:sz="2" w:space="1" w:color="000000"/>
              </w:pBdr>
              <w:bidi w:val="0"/>
              <w:spacing w:before="0" w:after="0"/>
              <w:jc w:val="left"/>
            </w:pPr>
            <w:r>
              <w:t> </w:t>
            </w:r>
          </w:p>
        </w:tc>
        <w:tc>
          <w:tcPr>
            <w:tcW w:w="259"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pBdr>
                <w:top w:val="single" w:sz="2" w:space="1" w:color="000000"/>
              </w:pBdr>
              <w:bidi w:val="0"/>
              <w:spacing w:before="0" w:after="0"/>
              <w:jc w:val="left"/>
            </w:pPr>
            <w:r>
              <w:t> </w:t>
            </w:r>
          </w:p>
        </w:tc>
        <w:tc>
          <w:tcPr>
            <w:tcW w:w="1674" w:type="dxa"/>
            <w:tcBorders/>
            <w:vAlign w:val="bottom"/>
          </w:tcPr>
          <w:p>
            <w:pPr>
              <w:pStyle w:val="TableContents"/>
              <w:pBdr>
                <w:top w:val="single" w:sz="2" w:space="1" w:color="000000"/>
              </w:pBdr>
              <w:bidi w:val="0"/>
              <w:spacing w:before="0" w:after="0"/>
              <w:jc w:val="left"/>
            </w:pPr>
            <w:r>
              <w:t> </w:t>
            </w:r>
          </w:p>
        </w:tc>
        <w:tc>
          <w:tcPr>
            <w:tcW w:w="265" w:type="dxa"/>
            <w:tcBorders/>
            <w:vAlign w:val="bottom"/>
          </w:tcPr>
          <w:p>
            <w:pPr>
              <w:pStyle w:val="TableContents"/>
              <w:pBdr>
                <w:top w:val="single" w:sz="2" w:space="1" w:color="000000"/>
              </w:pBdr>
              <w:bidi w:val="0"/>
              <w:spacing w:before="0" w:after="0"/>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Net debt</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r>
              <w:t>$</w:t>
            </w:r>
          </w:p>
        </w:tc>
        <w:tc>
          <w:tcPr>
            <w:tcW w:w="1674" w:type="dxa"/>
            <w:tcBorders/>
            <w:vAlign w:val="bottom"/>
          </w:tcPr>
          <w:p>
            <w:pPr>
              <w:pStyle w:val="TableContents"/>
              <w:bidi w:val="0"/>
              <w:spacing w:before="0" w:after="283"/>
              <w:jc w:val="right"/>
            </w:pPr>
            <w:r>
              <w:t>4,800,779</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r>
              <w:t>$</w:t>
            </w:r>
          </w:p>
        </w:tc>
        <w:tc>
          <w:tcPr>
            <w:tcW w:w="1228" w:type="dxa"/>
            <w:tcBorders/>
            <w:vAlign w:val="bottom"/>
          </w:tcPr>
          <w:p>
            <w:pPr>
              <w:pStyle w:val="TableContents"/>
              <w:bidi w:val="0"/>
              <w:spacing w:before="0" w:after="283"/>
              <w:jc w:val="right"/>
            </w:pPr>
            <w:r>
              <w:t>4,834,684</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r>
              <w:t>$</w:t>
            </w:r>
          </w:p>
        </w:tc>
        <w:tc>
          <w:tcPr>
            <w:tcW w:w="1373" w:type="dxa"/>
            <w:tcBorders/>
            <w:vAlign w:val="bottom"/>
          </w:tcPr>
          <w:p>
            <w:pPr>
              <w:pStyle w:val="TableContents"/>
              <w:bidi w:val="0"/>
              <w:spacing w:before="0" w:after="283"/>
              <w:jc w:val="right"/>
            </w:pPr>
            <w:r>
              <w:t>4,838,280</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r>
              <w:t>$</w:t>
            </w:r>
          </w:p>
        </w:tc>
        <w:tc>
          <w:tcPr>
            <w:tcW w:w="1629" w:type="dxa"/>
            <w:tcBorders/>
            <w:vAlign w:val="bottom"/>
          </w:tcPr>
          <w:p>
            <w:pPr>
              <w:pStyle w:val="TableContents"/>
              <w:bidi w:val="0"/>
              <w:spacing w:before="0" w:after="283"/>
              <w:jc w:val="right"/>
            </w:pPr>
            <w:r>
              <w:t>5,060,775</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r>
              <w:t>$</w:t>
            </w:r>
          </w:p>
        </w:tc>
        <w:tc>
          <w:tcPr>
            <w:tcW w:w="1674" w:type="dxa"/>
            <w:tcBorders/>
            <w:vAlign w:val="bottom"/>
          </w:tcPr>
          <w:p>
            <w:pPr>
              <w:pStyle w:val="TableContents"/>
              <w:bidi w:val="0"/>
              <w:spacing w:before="0" w:after="283"/>
              <w:jc w:val="right"/>
            </w:pPr>
            <w:r>
              <w:t>5,500,969</w:t>
            </w:r>
          </w:p>
        </w:tc>
        <w:tc>
          <w:tcPr>
            <w:tcW w:w="26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pBdr>
                <w:top w:val="double" w:sz="6" w:space="1" w:color="000000"/>
              </w:pBdr>
              <w:bidi w:val="0"/>
              <w:spacing w:before="0" w:after="0"/>
              <w:jc w:val="left"/>
            </w:pPr>
            <w:r>
              <w:t> </w:t>
            </w:r>
          </w:p>
        </w:tc>
        <w:tc>
          <w:tcPr>
            <w:tcW w:w="1674" w:type="dxa"/>
            <w:tcBorders/>
            <w:vAlign w:val="bottom"/>
          </w:tcPr>
          <w:p>
            <w:pPr>
              <w:pStyle w:val="TableContents"/>
              <w:pBdr>
                <w:top w:val="double" w:sz="6" w:space="1" w:color="000000"/>
              </w:pBdr>
              <w:bidi w:val="0"/>
              <w:spacing w:before="0" w:after="0"/>
              <w:jc w:val="left"/>
            </w:pPr>
            <w:r>
              <w:t> </w:t>
            </w:r>
          </w:p>
        </w:tc>
        <w:tc>
          <w:tcPr>
            <w:tcW w:w="265"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pBdr>
                <w:top w:val="double" w:sz="6" w:space="1" w:color="000000"/>
              </w:pBdr>
              <w:bidi w:val="0"/>
              <w:spacing w:before="0" w:after="0"/>
              <w:jc w:val="left"/>
            </w:pPr>
            <w:r>
              <w:t> </w:t>
            </w:r>
          </w:p>
        </w:tc>
        <w:tc>
          <w:tcPr>
            <w:tcW w:w="1228" w:type="dxa"/>
            <w:tcBorders/>
            <w:vAlign w:val="bottom"/>
          </w:tcPr>
          <w:p>
            <w:pPr>
              <w:pStyle w:val="TableContents"/>
              <w:pBdr>
                <w:top w:val="double" w:sz="6" w:space="1" w:color="000000"/>
              </w:pBdr>
              <w:bidi w:val="0"/>
              <w:spacing w:before="0" w:after="0"/>
              <w:jc w:val="left"/>
            </w:pPr>
            <w:r>
              <w:t> </w:t>
            </w:r>
          </w:p>
        </w:tc>
        <w:tc>
          <w:tcPr>
            <w:tcW w:w="196"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pBdr>
                <w:top w:val="double" w:sz="6" w:space="1" w:color="000000"/>
              </w:pBdr>
              <w:bidi w:val="0"/>
              <w:spacing w:before="0" w:after="0"/>
              <w:jc w:val="left"/>
            </w:pPr>
            <w:r>
              <w:t> </w:t>
            </w:r>
          </w:p>
        </w:tc>
        <w:tc>
          <w:tcPr>
            <w:tcW w:w="1373" w:type="dxa"/>
            <w:tcBorders/>
            <w:vAlign w:val="bottom"/>
          </w:tcPr>
          <w:p>
            <w:pPr>
              <w:pStyle w:val="TableContents"/>
              <w:pBdr>
                <w:top w:val="double" w:sz="6" w:space="1" w:color="000000"/>
              </w:pBdr>
              <w:bidi w:val="0"/>
              <w:spacing w:before="0" w:after="0"/>
              <w:jc w:val="left"/>
            </w:pPr>
            <w:r>
              <w:t> </w:t>
            </w:r>
          </w:p>
        </w:tc>
        <w:tc>
          <w:tcPr>
            <w:tcW w:w="218"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pBdr>
                <w:top w:val="double" w:sz="6" w:space="1" w:color="000000"/>
              </w:pBdr>
              <w:bidi w:val="0"/>
              <w:spacing w:before="0" w:after="0"/>
              <w:jc w:val="left"/>
            </w:pPr>
            <w:r>
              <w:t> </w:t>
            </w:r>
          </w:p>
        </w:tc>
        <w:tc>
          <w:tcPr>
            <w:tcW w:w="1629" w:type="dxa"/>
            <w:tcBorders/>
            <w:vAlign w:val="bottom"/>
          </w:tcPr>
          <w:p>
            <w:pPr>
              <w:pStyle w:val="TableContents"/>
              <w:pBdr>
                <w:top w:val="double" w:sz="6" w:space="1" w:color="000000"/>
              </w:pBdr>
              <w:bidi w:val="0"/>
              <w:spacing w:before="0" w:after="0"/>
              <w:jc w:val="left"/>
            </w:pPr>
            <w:r>
              <w:t> </w:t>
            </w:r>
          </w:p>
        </w:tc>
        <w:tc>
          <w:tcPr>
            <w:tcW w:w="259" w:type="dxa"/>
            <w:tcBorders/>
            <w:vAlign w:val="bottom"/>
          </w:tcPr>
          <w:p>
            <w:pPr>
              <w:pStyle w:val="TableContents"/>
              <w:pBdr>
                <w:top w:val="double" w:sz="6"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pBdr>
                <w:top w:val="double" w:sz="6" w:space="1" w:color="000000"/>
              </w:pBdr>
              <w:bidi w:val="0"/>
              <w:spacing w:before="0" w:after="0"/>
              <w:jc w:val="left"/>
            </w:pPr>
            <w:r>
              <w:t> </w:t>
            </w:r>
          </w:p>
        </w:tc>
        <w:tc>
          <w:tcPr>
            <w:tcW w:w="1674" w:type="dxa"/>
            <w:tcBorders/>
            <w:vAlign w:val="bottom"/>
          </w:tcPr>
          <w:p>
            <w:pPr>
              <w:pStyle w:val="TableContents"/>
              <w:pBdr>
                <w:top w:val="double" w:sz="6" w:space="1" w:color="000000"/>
              </w:pBdr>
              <w:bidi w:val="0"/>
              <w:spacing w:before="0" w:after="0"/>
              <w:jc w:val="left"/>
            </w:pPr>
            <w:r>
              <w:t> </w:t>
            </w:r>
          </w:p>
        </w:tc>
        <w:tc>
          <w:tcPr>
            <w:tcW w:w="265" w:type="dxa"/>
            <w:tcBorders/>
            <w:vAlign w:val="bottom"/>
          </w:tcPr>
          <w:p>
            <w:pPr>
              <w:pStyle w:val="TableContents"/>
              <w:pBdr>
                <w:top w:val="double" w:sz="6" w:space="1" w:color="000000"/>
              </w:pBdr>
              <w:bidi w:val="0"/>
              <w:spacing w:before="0" w:after="0"/>
              <w:jc w:val="left"/>
            </w:pPr>
            <w:r>
              <w:t> </w:t>
            </w:r>
          </w:p>
        </w:tc>
      </w:tr>
      <w:tr>
        <w:trPr>
          <w:trHeight w:val="240" w:hRule="atLeast"/>
        </w:trPr>
        <w:tc>
          <w:tcPr>
            <w:tcW w:w="7115" w:type="dxa"/>
            <w:gridSpan w:val="13"/>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2315" w:type="dxa"/>
            <w:gridSpan w:val="4"/>
            <w:tcBorders/>
            <w:vAlign w:val="center"/>
          </w:tcPr>
          <w:p>
            <w:pPr>
              <w:pStyle w:val="TableContents"/>
              <w:bidi w:val="0"/>
              <w:spacing w:before="0" w:after="283"/>
              <w:jc w:val="left"/>
              <w:rPr>
                <w:sz w:val="4"/>
                <w:szCs w:val="4"/>
              </w:rPr>
            </w:pPr>
            <w:r>
              <w:rPr>
                <w:sz w:val="4"/>
                <w:szCs w:val="4"/>
              </w:rPr>
            </w:r>
          </w:p>
        </w:tc>
      </w:tr>
      <w:tr>
        <w:tc>
          <w:tcPr>
            <w:tcW w:w="6897" w:type="dxa"/>
            <w:gridSpan w:val="12"/>
            <w:tcBorders/>
            <w:vAlign w:val="bottom"/>
          </w:tcPr>
          <w:p>
            <w:pPr>
              <w:pStyle w:val="TableContents"/>
              <w:bidi w:val="0"/>
              <w:spacing w:before="0" w:after="283"/>
              <w:jc w:val="left"/>
              <w:rPr>
                <w:b/>
              </w:rPr>
            </w:pPr>
            <w:r>
              <w:rPr>
                <w:b/>
              </w:rPr>
              <w:t>NET LEVERAGE RATIO (NON-GAAP) (13)</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95" w:type="dxa"/>
            <w:gridSpan w:val="3"/>
            <w:tcBorders/>
            <w:vAlign w:val="bottom"/>
          </w:tcPr>
          <w:p>
            <w:pPr>
              <w:pStyle w:val="TableContents"/>
              <w:pBdr>
                <w:bottom w:val="single" w:sz="8"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2255" w:type="dxa"/>
            <w:gridSpan w:val="3"/>
            <w:tcBorders/>
            <w:vAlign w:val="bottom"/>
          </w:tcPr>
          <w:p>
            <w:pPr>
              <w:pStyle w:val="TableContents"/>
              <w:pBdr>
                <w:bottom w:val="single" w:sz="8" w:space="1" w:color="000000"/>
              </w:pBdr>
              <w:bidi w:val="0"/>
              <w:spacing w:before="0" w:after="0"/>
              <w:jc w:val="left"/>
            </w:pPr>
            <w:r>
              <w:t> </w:t>
            </w:r>
          </w:p>
        </w:tc>
      </w:tr>
      <w:tr>
        <w:tc>
          <w:tcPr>
            <w:tcW w:w="1115" w:type="dxa"/>
            <w:tcBorders/>
            <w:vAlign w:val="bottom"/>
          </w:tcPr>
          <w:p>
            <w:pPr>
              <w:pStyle w:val="TableContents"/>
              <w:bidi w:val="0"/>
              <w:spacing w:before="0" w:after="283"/>
              <w:jc w:val="left"/>
              <w:rPr>
                <w:b/>
              </w:rPr>
            </w:pPr>
            <w:r>
              <w:rPr>
                <w:b/>
              </w:rPr>
              <w:t>(In thousands)</w:t>
            </w:r>
          </w:p>
        </w:tc>
        <w:tc>
          <w:tcPr>
            <w:tcW w:w="120" w:type="dxa"/>
            <w:tcBorders/>
            <w:vAlign w:val="bottom"/>
          </w:tcPr>
          <w:p>
            <w:pPr>
              <w:pStyle w:val="TableContents"/>
              <w:bidi w:val="0"/>
              <w:spacing w:before="0" w:after="283"/>
              <w:jc w:val="left"/>
            </w:pPr>
            <w:r>
              <w:t>  </w:t>
            </w:r>
          </w:p>
        </w:tc>
        <w:tc>
          <w:tcPr>
            <w:tcW w:w="2255" w:type="dxa"/>
            <w:gridSpan w:val="3"/>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60" w:type="dxa"/>
            <w:tcBorders/>
            <w:vAlign w:val="bottom"/>
          </w:tcPr>
          <w:p>
            <w:pPr>
              <w:pStyle w:val="TableContents"/>
              <w:bidi w:val="0"/>
              <w:spacing w:before="0" w:after="283"/>
              <w:jc w:val="left"/>
            </w:pPr>
            <w:r>
              <w:t> </w:t>
            </w:r>
          </w:p>
        </w:tc>
        <w:tc>
          <w:tcPr>
            <w:tcW w:w="1655" w:type="dxa"/>
            <w:gridSpan w:val="3"/>
            <w:tcBorders>
              <w:bottom w:val="single" w:sz="8" w:space="0" w:color="000000"/>
            </w:tcBorders>
            <w:tcMar>
              <w:bottom w:w="28" w:type="dxa"/>
            </w:tcMar>
            <w:vAlign w:val="bottom"/>
          </w:tcPr>
          <w:p>
            <w:pPr>
              <w:pStyle w:val="TableContents"/>
              <w:bidi w:val="0"/>
              <w:spacing w:before="0" w:after="283"/>
              <w:jc w:val="center"/>
            </w:pPr>
            <w:r>
              <w:t> </w:t>
            </w:r>
            <w:r>
              <w:rPr>
                <w:b/>
              </w:rPr>
              <w:t>June 30, 2026 </w:t>
            </w:r>
          </w:p>
        </w:tc>
        <w:tc>
          <w:tcPr>
            <w:tcW w:w="60" w:type="dxa"/>
            <w:tcBorders/>
            <w:vAlign w:val="bottom"/>
          </w:tcPr>
          <w:p>
            <w:pPr>
              <w:pStyle w:val="TableContents"/>
              <w:bidi w:val="0"/>
              <w:spacing w:before="0" w:after="283"/>
              <w:jc w:val="left"/>
            </w:pPr>
            <w:r>
              <w:t> </w:t>
            </w:r>
          </w:p>
        </w:tc>
        <w:tc>
          <w:tcPr>
            <w:tcW w:w="1850" w:type="dxa"/>
            <w:gridSpan w:val="3"/>
            <w:tcBorders>
              <w:bottom w:val="single" w:sz="8" w:space="0" w:color="000000"/>
            </w:tcBorders>
            <w:tcMar>
              <w:bottom w:w="28" w:type="dxa"/>
            </w:tcMar>
            <w:vAlign w:val="bottom"/>
          </w:tcPr>
          <w:p>
            <w:pPr>
              <w:pStyle w:val="TableContents"/>
              <w:bidi w:val="0"/>
              <w:spacing w:before="0" w:after="283"/>
              <w:jc w:val="center"/>
            </w:pPr>
            <w:r>
              <w:t> </w:t>
            </w:r>
            <w:r>
              <w:rPr>
                <w:b/>
              </w:rPr>
              <w:t>March 31, 2026 </w:t>
            </w:r>
          </w:p>
        </w:tc>
        <w:tc>
          <w:tcPr>
            <w:tcW w:w="60" w:type="dxa"/>
            <w:tcBorders/>
            <w:vAlign w:val="bottom"/>
          </w:tcPr>
          <w:p>
            <w:pPr>
              <w:pStyle w:val="TableContents"/>
              <w:bidi w:val="0"/>
              <w:spacing w:before="0" w:after="283"/>
              <w:jc w:val="left"/>
            </w:pPr>
            <w:r>
              <w:t> </w:t>
            </w:r>
          </w:p>
        </w:tc>
        <w:tc>
          <w:tcPr>
            <w:tcW w:w="2195" w:type="dxa"/>
            <w:gridSpan w:val="3"/>
            <w:tcBorders>
              <w:bottom w:val="single" w:sz="8" w:space="0" w:color="000000"/>
            </w:tcBorders>
            <w:tcMar>
              <w:bottom w:w="28" w:type="dxa"/>
            </w:tcMar>
            <w:vAlign w:val="bottom"/>
          </w:tcPr>
          <w:p>
            <w:pPr>
              <w:pStyle w:val="TableContents"/>
              <w:bidi w:val="0"/>
              <w:spacing w:before="0" w:after="283"/>
              <w:jc w:val="center"/>
            </w:pPr>
            <w:r>
              <w:t> </w:t>
            </w:r>
            <w:r>
              <w:rPr>
                <w:b/>
              </w:rPr>
              <w:t>December 31, 2025 </w:t>
            </w:r>
          </w:p>
        </w:tc>
        <w:tc>
          <w:tcPr>
            <w:tcW w:w="60" w:type="dxa"/>
            <w:tcBorders/>
            <w:vAlign w:val="bottom"/>
          </w:tcPr>
          <w:p>
            <w:pPr>
              <w:pStyle w:val="TableContents"/>
              <w:bidi w:val="0"/>
              <w:spacing w:before="0" w:after="283"/>
              <w:jc w:val="left"/>
            </w:pPr>
            <w:r>
              <w:t> </w:t>
            </w:r>
          </w:p>
        </w:tc>
        <w:tc>
          <w:tcPr>
            <w:tcW w:w="2255" w:type="dxa"/>
            <w:gridSpan w:val="3"/>
            <w:tcBorders>
              <w:bottom w:val="single" w:sz="8" w:space="0" w:color="000000"/>
            </w:tcBorders>
            <w:tcMar>
              <w:bottom w:w="28" w:type="dxa"/>
            </w:tcMar>
            <w:vAlign w:val="bottom"/>
          </w:tcPr>
          <w:p>
            <w:pPr>
              <w:pStyle w:val="TableContents"/>
              <w:bidi w:val="0"/>
              <w:spacing w:before="0" w:after="283"/>
              <w:jc w:val="center"/>
            </w:pPr>
            <w:r>
              <w:t> </w:t>
            </w:r>
            <w:r>
              <w:rPr>
                <w:b/>
              </w:rPr>
              <w:t>September 30, 2025 </w:t>
            </w:r>
          </w:p>
        </w:tc>
      </w:tr>
      <w:tr>
        <w:tc>
          <w:tcPr>
            <w:tcW w:w="1115" w:type="dxa"/>
            <w:tcBorders/>
          </w:tcPr>
          <w:p>
            <w:pPr>
              <w:pStyle w:val="TableContents"/>
              <w:bidi w:val="0"/>
              <w:spacing w:before="0" w:after="0"/>
              <w:jc w:val="left"/>
              <w:rPr>
                <w:rFonts w:ascii="Arial" w:hAnsi="Arial"/>
                <w:sz w:val="16"/>
              </w:rPr>
            </w:pPr>
            <w:r>
              <w:rPr>
                <w:rFonts w:ascii="Arial" w:hAnsi="Arial"/>
                <w:sz w:val="16"/>
              </w:rPr>
              <w:t>Net debt</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r>
              <w:t>$</w:t>
            </w:r>
          </w:p>
        </w:tc>
        <w:tc>
          <w:tcPr>
            <w:tcW w:w="1674" w:type="dxa"/>
            <w:tcBorders/>
            <w:vAlign w:val="bottom"/>
          </w:tcPr>
          <w:p>
            <w:pPr>
              <w:pStyle w:val="TableContents"/>
              <w:bidi w:val="0"/>
              <w:spacing w:before="0" w:after="283"/>
              <w:jc w:val="right"/>
            </w:pPr>
            <w:r>
              <w:t>4,800,779</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r>
              <w:t>$</w:t>
            </w:r>
          </w:p>
        </w:tc>
        <w:tc>
          <w:tcPr>
            <w:tcW w:w="1228" w:type="dxa"/>
            <w:tcBorders/>
            <w:vAlign w:val="bottom"/>
          </w:tcPr>
          <w:p>
            <w:pPr>
              <w:pStyle w:val="TableContents"/>
              <w:bidi w:val="0"/>
              <w:spacing w:before="0" w:after="283"/>
              <w:jc w:val="right"/>
            </w:pPr>
            <w:r>
              <w:t>4,834,684</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r>
              <w:t>$</w:t>
            </w:r>
          </w:p>
        </w:tc>
        <w:tc>
          <w:tcPr>
            <w:tcW w:w="1373" w:type="dxa"/>
            <w:tcBorders/>
            <w:vAlign w:val="bottom"/>
          </w:tcPr>
          <w:p>
            <w:pPr>
              <w:pStyle w:val="TableContents"/>
              <w:bidi w:val="0"/>
              <w:spacing w:before="0" w:after="283"/>
              <w:jc w:val="right"/>
            </w:pPr>
            <w:r>
              <w:t>4,838,280</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r>
              <w:t>$</w:t>
            </w:r>
          </w:p>
        </w:tc>
        <w:tc>
          <w:tcPr>
            <w:tcW w:w="1629" w:type="dxa"/>
            <w:tcBorders/>
            <w:vAlign w:val="bottom"/>
          </w:tcPr>
          <w:p>
            <w:pPr>
              <w:pStyle w:val="TableContents"/>
              <w:bidi w:val="0"/>
              <w:spacing w:before="0" w:after="283"/>
              <w:jc w:val="right"/>
            </w:pPr>
            <w:r>
              <w:t>5,060,775</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r>
              <w:t>$</w:t>
            </w:r>
          </w:p>
        </w:tc>
        <w:tc>
          <w:tcPr>
            <w:tcW w:w="1674" w:type="dxa"/>
            <w:tcBorders/>
            <w:vAlign w:val="bottom"/>
          </w:tcPr>
          <w:p>
            <w:pPr>
              <w:pStyle w:val="TableContents"/>
              <w:bidi w:val="0"/>
              <w:spacing w:before="0" w:after="283"/>
              <w:jc w:val="right"/>
            </w:pPr>
            <w:r>
              <w:t>5,500,969</w:t>
            </w:r>
          </w:p>
        </w:tc>
        <w:tc>
          <w:tcPr>
            <w:tcW w:w="265" w:type="dxa"/>
            <w:tcBorders/>
            <w:vAlign w:val="bottom"/>
          </w:tcPr>
          <w:p>
            <w:pPr>
              <w:pStyle w:val="TableContents"/>
              <w:bidi w:val="0"/>
              <w:spacing w:before="0" w:after="283"/>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LTM Adjusted EBITDA</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1,507,974</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1,522,757</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373" w:type="dxa"/>
            <w:tcBorders/>
            <w:vAlign w:val="bottom"/>
          </w:tcPr>
          <w:p>
            <w:pPr>
              <w:pStyle w:val="TableContents"/>
              <w:bidi w:val="0"/>
              <w:spacing w:before="0" w:after="283"/>
              <w:jc w:val="right"/>
            </w:pPr>
            <w:r>
              <w:t>1,550,082</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629" w:type="dxa"/>
            <w:tcBorders/>
            <w:vAlign w:val="bottom"/>
          </w:tcPr>
          <w:p>
            <w:pPr>
              <w:pStyle w:val="TableContents"/>
              <w:bidi w:val="0"/>
              <w:spacing w:before="0" w:after="283"/>
              <w:jc w:val="right"/>
            </w:pPr>
            <w:r>
              <w:t>1,555,017</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1,561,234</w:t>
            </w:r>
          </w:p>
        </w:tc>
        <w:tc>
          <w:tcPr>
            <w:tcW w:w="265" w:type="dxa"/>
            <w:tcBorders/>
            <w:vAlign w:val="bottom"/>
          </w:tcPr>
          <w:p>
            <w:pPr>
              <w:pStyle w:val="TableContents"/>
              <w:bidi w:val="0"/>
              <w:spacing w:before="0" w:after="283"/>
              <w:jc w:val="left"/>
            </w:pPr>
            <w:r>
              <w:t> </w:t>
            </w:r>
          </w:p>
        </w:tc>
      </w:tr>
      <w:tr>
        <w:tc>
          <w:tcPr>
            <w:tcW w:w="11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pBdr>
                <w:top w:val="single" w:sz="2" w:space="1" w:color="000000"/>
              </w:pBdr>
              <w:bidi w:val="0"/>
              <w:spacing w:before="0" w:after="0"/>
              <w:jc w:val="left"/>
            </w:pPr>
            <w:r>
              <w:t> </w:t>
            </w:r>
          </w:p>
        </w:tc>
        <w:tc>
          <w:tcPr>
            <w:tcW w:w="1674" w:type="dxa"/>
            <w:tcBorders/>
            <w:vAlign w:val="bottom"/>
          </w:tcPr>
          <w:p>
            <w:pPr>
              <w:pStyle w:val="TableContents"/>
              <w:pBdr>
                <w:top w:val="single" w:sz="2" w:space="1" w:color="000000"/>
              </w:pBdr>
              <w:bidi w:val="0"/>
              <w:spacing w:before="0" w:after="0"/>
              <w:jc w:val="left"/>
            </w:pPr>
            <w:r>
              <w:t> </w:t>
            </w:r>
          </w:p>
        </w:tc>
        <w:tc>
          <w:tcPr>
            <w:tcW w:w="265"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pBdr>
                <w:top w:val="single" w:sz="2" w:space="1" w:color="000000"/>
              </w:pBdr>
              <w:bidi w:val="0"/>
              <w:spacing w:before="0" w:after="0"/>
              <w:jc w:val="left"/>
            </w:pPr>
            <w:r>
              <w:t> </w:t>
            </w:r>
          </w:p>
        </w:tc>
        <w:tc>
          <w:tcPr>
            <w:tcW w:w="1228" w:type="dxa"/>
            <w:tcBorders/>
            <w:vAlign w:val="bottom"/>
          </w:tcPr>
          <w:p>
            <w:pPr>
              <w:pStyle w:val="TableContents"/>
              <w:pBdr>
                <w:top w:val="single" w:sz="2" w:space="1" w:color="000000"/>
              </w:pBdr>
              <w:bidi w:val="0"/>
              <w:spacing w:before="0" w:after="0"/>
              <w:jc w:val="left"/>
            </w:pPr>
            <w:r>
              <w:t> </w:t>
            </w:r>
          </w:p>
        </w:tc>
        <w:tc>
          <w:tcPr>
            <w:tcW w:w="196"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pBdr>
                <w:top w:val="single" w:sz="2" w:space="1" w:color="000000"/>
              </w:pBdr>
              <w:bidi w:val="0"/>
              <w:spacing w:before="0" w:after="0"/>
              <w:jc w:val="left"/>
            </w:pPr>
            <w:r>
              <w:t> </w:t>
            </w:r>
          </w:p>
        </w:tc>
        <w:tc>
          <w:tcPr>
            <w:tcW w:w="1373" w:type="dxa"/>
            <w:tcBorders/>
            <w:vAlign w:val="bottom"/>
          </w:tcPr>
          <w:p>
            <w:pPr>
              <w:pStyle w:val="TableContents"/>
              <w:pBdr>
                <w:top w:val="single" w:sz="2" w:space="1" w:color="000000"/>
              </w:pBdr>
              <w:bidi w:val="0"/>
              <w:spacing w:before="0" w:after="0"/>
              <w:jc w:val="left"/>
            </w:pPr>
            <w:r>
              <w:t> </w:t>
            </w:r>
          </w:p>
        </w:tc>
        <w:tc>
          <w:tcPr>
            <w:tcW w:w="218"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pBdr>
                <w:top w:val="single" w:sz="2" w:space="1" w:color="000000"/>
              </w:pBdr>
              <w:bidi w:val="0"/>
              <w:spacing w:before="0" w:after="0"/>
              <w:jc w:val="left"/>
            </w:pPr>
            <w:r>
              <w:t> </w:t>
            </w:r>
          </w:p>
        </w:tc>
        <w:tc>
          <w:tcPr>
            <w:tcW w:w="1629" w:type="dxa"/>
            <w:tcBorders/>
            <w:vAlign w:val="bottom"/>
          </w:tcPr>
          <w:p>
            <w:pPr>
              <w:pStyle w:val="TableContents"/>
              <w:pBdr>
                <w:top w:val="single" w:sz="2" w:space="1" w:color="000000"/>
              </w:pBdr>
              <w:bidi w:val="0"/>
              <w:spacing w:before="0" w:after="0"/>
              <w:jc w:val="left"/>
            </w:pPr>
            <w:r>
              <w:t> </w:t>
            </w:r>
          </w:p>
        </w:tc>
        <w:tc>
          <w:tcPr>
            <w:tcW w:w="259" w:type="dxa"/>
            <w:tcBorders/>
            <w:vAlign w:val="bottom"/>
          </w:tcPr>
          <w:p>
            <w:pPr>
              <w:pStyle w:val="TableContents"/>
              <w:pBdr>
                <w:top w:val="single" w:sz="2" w:space="1" w:color="000000"/>
              </w:pBdr>
              <w:bidi w:val="0"/>
              <w:spacing w:before="0" w:after="0"/>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pBdr>
                <w:top w:val="single" w:sz="2" w:space="1" w:color="000000"/>
              </w:pBdr>
              <w:bidi w:val="0"/>
              <w:spacing w:before="0" w:after="0"/>
              <w:jc w:val="left"/>
            </w:pPr>
            <w:r>
              <w:t> </w:t>
            </w:r>
          </w:p>
        </w:tc>
        <w:tc>
          <w:tcPr>
            <w:tcW w:w="1674" w:type="dxa"/>
            <w:tcBorders/>
            <w:vAlign w:val="bottom"/>
          </w:tcPr>
          <w:p>
            <w:pPr>
              <w:pStyle w:val="TableContents"/>
              <w:pBdr>
                <w:top w:val="single" w:sz="2" w:space="1" w:color="000000"/>
              </w:pBdr>
              <w:bidi w:val="0"/>
              <w:spacing w:before="0" w:after="0"/>
              <w:jc w:val="left"/>
            </w:pPr>
            <w:r>
              <w:t> </w:t>
            </w:r>
          </w:p>
        </w:tc>
        <w:tc>
          <w:tcPr>
            <w:tcW w:w="265" w:type="dxa"/>
            <w:tcBorders/>
            <w:vAlign w:val="bottom"/>
          </w:tcPr>
          <w:p>
            <w:pPr>
              <w:pStyle w:val="TableContents"/>
              <w:pBdr>
                <w:top w:val="single" w:sz="2" w:space="1" w:color="000000"/>
              </w:pBdr>
              <w:bidi w:val="0"/>
              <w:spacing w:before="0" w:after="0"/>
              <w:jc w:val="left"/>
            </w:pPr>
            <w:r>
              <w:t> </w:t>
            </w:r>
          </w:p>
        </w:tc>
      </w:tr>
      <w:tr>
        <w:tc>
          <w:tcPr>
            <w:tcW w:w="1115" w:type="dxa"/>
            <w:tcBorders/>
          </w:tcPr>
          <w:p>
            <w:pPr>
              <w:pStyle w:val="TableContents"/>
              <w:bidi w:val="0"/>
              <w:spacing w:before="0" w:after="0"/>
              <w:jc w:val="left"/>
              <w:rPr>
                <w:rFonts w:ascii="Arial" w:hAnsi="Arial"/>
                <w:sz w:val="16"/>
              </w:rPr>
            </w:pPr>
            <w:r>
              <w:rPr>
                <w:rFonts w:ascii="Arial" w:hAnsi="Arial"/>
                <w:sz w:val="16"/>
              </w:rPr>
              <w:t>Net leverage ratio</w:t>
            </w:r>
          </w:p>
        </w:tc>
        <w:tc>
          <w:tcPr>
            <w:tcW w:w="12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3.2</w:t>
            </w:r>
          </w:p>
        </w:tc>
        <w:tc>
          <w:tcPr>
            <w:tcW w:w="26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31" w:type="dxa"/>
            <w:tcBorders/>
            <w:vAlign w:val="bottom"/>
          </w:tcPr>
          <w:p>
            <w:pPr>
              <w:pStyle w:val="TableContents"/>
              <w:bidi w:val="0"/>
              <w:spacing w:before="0" w:after="283"/>
              <w:jc w:val="left"/>
            </w:pPr>
            <w:r>
              <w:t> </w:t>
            </w:r>
          </w:p>
        </w:tc>
        <w:tc>
          <w:tcPr>
            <w:tcW w:w="1228" w:type="dxa"/>
            <w:tcBorders/>
            <w:vAlign w:val="bottom"/>
          </w:tcPr>
          <w:p>
            <w:pPr>
              <w:pStyle w:val="TableContents"/>
              <w:bidi w:val="0"/>
              <w:spacing w:before="0" w:after="283"/>
              <w:jc w:val="right"/>
            </w:pPr>
            <w:r>
              <w:t>3.2</w:t>
            </w:r>
          </w:p>
        </w:tc>
        <w:tc>
          <w:tcPr>
            <w:tcW w:w="196"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59" w:type="dxa"/>
            <w:tcBorders/>
            <w:vAlign w:val="bottom"/>
          </w:tcPr>
          <w:p>
            <w:pPr>
              <w:pStyle w:val="TableContents"/>
              <w:bidi w:val="0"/>
              <w:spacing w:before="0" w:after="283"/>
              <w:jc w:val="left"/>
            </w:pPr>
            <w:r>
              <w:t> </w:t>
            </w:r>
          </w:p>
        </w:tc>
        <w:tc>
          <w:tcPr>
            <w:tcW w:w="1373" w:type="dxa"/>
            <w:tcBorders/>
            <w:vAlign w:val="bottom"/>
          </w:tcPr>
          <w:p>
            <w:pPr>
              <w:pStyle w:val="TableContents"/>
              <w:bidi w:val="0"/>
              <w:spacing w:before="0" w:after="283"/>
              <w:jc w:val="right"/>
            </w:pPr>
            <w:r>
              <w:t>3.1</w:t>
            </w:r>
          </w:p>
        </w:tc>
        <w:tc>
          <w:tcPr>
            <w:tcW w:w="21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07" w:type="dxa"/>
            <w:tcBorders/>
            <w:vAlign w:val="bottom"/>
          </w:tcPr>
          <w:p>
            <w:pPr>
              <w:pStyle w:val="TableContents"/>
              <w:bidi w:val="0"/>
              <w:spacing w:before="0" w:after="283"/>
              <w:jc w:val="left"/>
            </w:pPr>
            <w:r>
              <w:t> </w:t>
            </w:r>
          </w:p>
        </w:tc>
        <w:tc>
          <w:tcPr>
            <w:tcW w:w="1629" w:type="dxa"/>
            <w:tcBorders/>
            <w:vAlign w:val="bottom"/>
          </w:tcPr>
          <w:p>
            <w:pPr>
              <w:pStyle w:val="TableContents"/>
              <w:bidi w:val="0"/>
              <w:spacing w:before="0" w:after="283"/>
              <w:jc w:val="right"/>
            </w:pPr>
            <w:r>
              <w:t>3.3</w:t>
            </w:r>
          </w:p>
        </w:tc>
        <w:tc>
          <w:tcPr>
            <w:tcW w:w="259"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16" w:type="dxa"/>
            <w:tcBorders/>
            <w:vAlign w:val="bottom"/>
          </w:tcPr>
          <w:p>
            <w:pPr>
              <w:pStyle w:val="TableContents"/>
              <w:bidi w:val="0"/>
              <w:spacing w:before="0" w:after="283"/>
              <w:jc w:val="left"/>
            </w:pPr>
            <w:r>
              <w:t> </w:t>
            </w:r>
          </w:p>
        </w:tc>
        <w:tc>
          <w:tcPr>
            <w:tcW w:w="1674" w:type="dxa"/>
            <w:tcBorders/>
            <w:vAlign w:val="bottom"/>
          </w:tcPr>
          <w:p>
            <w:pPr>
              <w:pStyle w:val="TableContents"/>
              <w:bidi w:val="0"/>
              <w:spacing w:before="0" w:after="283"/>
              <w:jc w:val="right"/>
            </w:pPr>
            <w:r>
              <w:t>3.5</w:t>
            </w:r>
          </w:p>
        </w:tc>
        <w:tc>
          <w:tcPr>
            <w:tcW w:w="265" w:type="dxa"/>
            <w:tcBorders/>
            <w:vAlign w:val="bottom"/>
          </w:tcPr>
          <w:p>
            <w:pPr>
              <w:pStyle w:val="TableContents"/>
              <w:bidi w:val="0"/>
              <w:spacing w:before="0" w:after="283"/>
              <w:jc w:val="left"/>
            </w:pPr>
            <w:r>
              <w:t> </w:t>
            </w:r>
          </w:p>
        </w:tc>
      </w:tr>
    </w:tbl>
    <w:p>
      <w:pPr>
        <w:pStyle w:val="TextBody"/>
        <w:bidi w:val="0"/>
        <w:spacing w:before="240" w:after="0"/>
        <w:jc w:val="left"/>
        <w:rPr>
          <w:rFonts w:ascii="Arial" w:hAnsi="Arial"/>
          <w:b/>
          <w:sz w:val="16"/>
        </w:rPr>
      </w:pPr>
      <w:r>
        <w:rPr>
          <w:rFonts w:ascii="Arial" w:hAnsi="Arial"/>
          <w:b/>
          <w:sz w:val="16"/>
        </w:rPr>
        <w:t xml:space="preserve">AN ITEMIZED RECONCILIATION BETWEEN NET CASH PROVIDED BY (USED IN) OPERATING ACTIVITIES </w:t>
      </w:r>
    </w:p>
    <w:p>
      <w:pPr>
        <w:pStyle w:val="TextBody"/>
        <w:bidi w:val="0"/>
        <w:spacing w:before="0" w:after="0"/>
        <w:jc w:val="left"/>
        <w:rPr>
          <w:rFonts w:ascii="Arial" w:hAnsi="Arial"/>
          <w:b/>
          <w:sz w:val="16"/>
        </w:rPr>
      </w:pPr>
      <w:r>
        <w:rPr>
          <w:rFonts w:ascii="Arial" w:hAnsi="Arial"/>
          <w:b/>
          <w:sz w:val="16"/>
        </w:rPr>
        <w:t xml:space="preserve">AND FREE CASH FLOW IS AS FOLLOWS:  </w:t>
      </w:r>
    </w:p>
    <w:p>
      <w:pPr>
        <w:pStyle w:val="TextBody"/>
        <w:bidi w:val="0"/>
        <w:spacing w:before="0" w:after="0"/>
        <w:jc w:val="left"/>
        <w:rPr>
          <w:rFonts w:ascii="Arial" w:hAnsi="Arial"/>
          <w:b/>
          <w:sz w:val="16"/>
        </w:rPr>
      </w:pPr>
      <w:r>
        <w:rPr>
          <w:rFonts w:ascii="Arial" w:hAnsi="Arial"/>
          <w:b/>
          <w:sz w:val="16"/>
        </w:rPr>
        <w:t xml:space="preserve">(Unaudited)  </w:t>
      </w:r>
    </w:p>
    <w:p>
      <w:pPr>
        <w:pStyle w:val="TextBody"/>
        <w:bidi w:val="0"/>
        <w:spacing w:before="0" w:after="0"/>
        <w:jc w:val="left"/>
        <w:rPr>
          <w:rFonts w:ascii="Arial" w:hAnsi="Arial"/>
          <w:b/>
          <w:sz w:val="16"/>
        </w:rPr>
      </w:pPr>
      <w:r>
        <w:rPr>
          <w:rFonts w:ascii="Arial" w:hAnsi="Arial"/>
          <w:b/>
          <w:sz w:val="16"/>
        </w:rPr>
        <w:t xml:space="preserve">(In thousands)  </w:t>
      </w:r>
    </w:p>
    <w:p>
      <w:pPr>
        <w:pStyle w:val="TextBody"/>
        <w:bidi w:val="0"/>
        <w:spacing w:before="0" w:after="0"/>
        <w:jc w:val="left"/>
      </w:pPr>
      <w:r>
        <w:t> </w:t>
      </w:r>
    </w:p>
    <w:tbl>
      <w:tblPr>
        <w:tblW w:w="12190" w:type="dxa"/>
        <w:jc w:val="center"/>
        <w:tblInd w:w="0" w:type="dxa"/>
        <w:tblLayout w:type="fixed"/>
        <w:tblCellMar>
          <w:top w:w="0" w:type="dxa"/>
          <w:left w:w="0" w:type="dxa"/>
          <w:bottom w:w="0" w:type="dxa"/>
          <w:right w:w="0" w:type="dxa"/>
        </w:tblCellMar>
      </w:tblPr>
      <w:tblGrid>
        <w:gridCol w:w="965"/>
        <w:gridCol w:w="120"/>
        <w:gridCol w:w="393"/>
        <w:gridCol w:w="1862"/>
        <w:gridCol w:w="155"/>
        <w:gridCol w:w="60"/>
        <w:gridCol w:w="267"/>
        <w:gridCol w:w="1268"/>
        <w:gridCol w:w="155"/>
        <w:gridCol w:w="60"/>
        <w:gridCol w:w="322"/>
        <w:gridCol w:w="1528"/>
        <w:gridCol w:w="155"/>
        <w:gridCol w:w="60"/>
        <w:gridCol w:w="383"/>
        <w:gridCol w:w="1812"/>
        <w:gridCol w:w="155"/>
        <w:gridCol w:w="60"/>
        <w:gridCol w:w="393"/>
        <w:gridCol w:w="1862"/>
        <w:gridCol w:w="155"/>
      </w:tblGrid>
      <w:t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965"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1095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pPr>
            <w:r>
              <w:t> </w:t>
            </w:r>
          </w:p>
        </w:tc>
      </w:tr>
      <w:tr>
        <w:tc>
          <w:tcPr>
            <w:tcW w:w="965"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pPr>
            <w:r>
              <w:t> </w:t>
            </w:r>
            <w:r>
              <w:rPr>
                <w:b/>
              </w:rPr>
              <w:t>June 30, 2026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pPr>
            <w:r>
              <w:t> </w:t>
            </w:r>
            <w:r>
              <w:rPr>
                <w:b/>
              </w:rPr>
              <w:t>March 31, 2026 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195" w:type="dxa"/>
            <w:gridSpan w:val="2"/>
            <w:tcBorders>
              <w:bottom w:val="single" w:sz="8" w:space="0" w:color="000000"/>
            </w:tcBorders>
            <w:tcMar>
              <w:bottom w:w="28" w:type="dxa"/>
            </w:tcMar>
            <w:vAlign w:val="bottom"/>
          </w:tcPr>
          <w:p>
            <w:pPr>
              <w:pStyle w:val="TableContents"/>
              <w:bidi w:val="0"/>
              <w:spacing w:before="0" w:after="283"/>
              <w:jc w:val="center"/>
            </w:pPr>
            <w:r>
              <w:t> </w:t>
            </w:r>
            <w:r>
              <w:rPr>
                <w:b/>
              </w:rPr>
              <w:t>December 31, 2025 </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2025 </w:t>
            </w:r>
          </w:p>
        </w:tc>
        <w:tc>
          <w:tcPr>
            <w:tcW w:w="155" w:type="dxa"/>
            <w:tcBorders/>
            <w:vAlign w:val="bottom"/>
          </w:tcPr>
          <w:p>
            <w:pPr>
              <w:pStyle w:val="TableContents"/>
              <w:bidi w:val="0"/>
              <w:spacing w:before="0" w:after="283"/>
              <w:jc w:val="left"/>
            </w:pPr>
            <w:r>
              <w:t> </w:t>
            </w:r>
          </w:p>
        </w:tc>
      </w:tr>
      <w:tr>
        <w:tc>
          <w:tcPr>
            <w:tcW w:w="965" w:type="dxa"/>
            <w:tcBorders/>
          </w:tcPr>
          <w:p>
            <w:pPr>
              <w:pStyle w:val="TableContents"/>
              <w:bidi w:val="0"/>
              <w:spacing w:before="0" w:after="0"/>
              <w:jc w:val="left"/>
              <w:rPr>
                <w:rFonts w:ascii="Arial" w:hAnsi="Arial"/>
                <w:sz w:val="16"/>
              </w:rPr>
            </w:pPr>
            <w:r>
              <w:rPr>
                <w:rFonts w:ascii="Arial" w:hAnsi="Arial"/>
                <w:sz w:val="16"/>
              </w:rPr>
              <w:t>Net cash provided by (used in) operating activities</w:t>
            </w:r>
          </w:p>
        </w:tc>
        <w:tc>
          <w:tcPr>
            <w:tcW w:w="120" w:type="dxa"/>
            <w:tcBorders/>
            <w:vAlign w:val="bottom"/>
          </w:tcPr>
          <w:p>
            <w:pPr>
              <w:pStyle w:val="TableContents"/>
              <w:bidi w:val="0"/>
              <w:spacing w:before="0" w:after="283"/>
              <w:jc w:val="left"/>
            </w:pPr>
            <w:r>
              <w:t>  </w:t>
            </w:r>
          </w:p>
        </w:tc>
        <w:tc>
          <w:tcPr>
            <w:tcW w:w="393" w:type="dxa"/>
            <w:tcBorders/>
            <w:vAlign w:val="bottom"/>
          </w:tcPr>
          <w:p>
            <w:pPr>
              <w:pStyle w:val="TableContents"/>
              <w:bidi w:val="0"/>
              <w:spacing w:before="0" w:after="283"/>
              <w:jc w:val="left"/>
            </w:pPr>
            <w:r>
              <w:t> </w:t>
            </w:r>
            <w:r>
              <w:t>$</w:t>
            </w:r>
          </w:p>
        </w:tc>
        <w:tc>
          <w:tcPr>
            <w:tcW w:w="1862" w:type="dxa"/>
            <w:tcBorders/>
            <w:vAlign w:val="bottom"/>
          </w:tcPr>
          <w:p>
            <w:pPr>
              <w:pStyle w:val="TableContents"/>
              <w:bidi w:val="0"/>
              <w:spacing w:before="0" w:after="283"/>
              <w:jc w:val="right"/>
            </w:pPr>
            <w:r>
              <w:t>284,955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r>
              <w:t>$</w:t>
            </w:r>
          </w:p>
        </w:tc>
        <w:tc>
          <w:tcPr>
            <w:tcW w:w="1268" w:type="dxa"/>
            <w:tcBorders/>
            <w:vAlign w:val="bottom"/>
          </w:tcPr>
          <w:p>
            <w:pPr>
              <w:pStyle w:val="TableContents"/>
              <w:bidi w:val="0"/>
              <w:spacing w:before="0" w:after="283"/>
              <w:jc w:val="right"/>
            </w:pPr>
            <w:r>
              <w:t>260,550</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22" w:type="dxa"/>
            <w:tcBorders/>
            <w:vAlign w:val="bottom"/>
          </w:tcPr>
          <w:p>
            <w:pPr>
              <w:pStyle w:val="TableContents"/>
              <w:bidi w:val="0"/>
              <w:spacing w:before="0" w:after="283"/>
              <w:jc w:val="left"/>
            </w:pPr>
            <w:r>
              <w:t> </w:t>
            </w:r>
            <w:r>
              <w:t>$</w:t>
            </w:r>
          </w:p>
        </w:tc>
        <w:tc>
          <w:tcPr>
            <w:tcW w:w="1528" w:type="dxa"/>
            <w:tcBorders/>
            <w:vAlign w:val="bottom"/>
          </w:tcPr>
          <w:p>
            <w:pPr>
              <w:pStyle w:val="TableContents"/>
              <w:bidi w:val="0"/>
              <w:spacing w:before="0" w:after="283"/>
              <w:jc w:val="right"/>
            </w:pPr>
            <w:r>
              <w:t>322,295</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83" w:type="dxa"/>
            <w:tcBorders/>
            <w:vAlign w:val="bottom"/>
          </w:tcPr>
          <w:p>
            <w:pPr>
              <w:pStyle w:val="TableContents"/>
              <w:bidi w:val="0"/>
              <w:spacing w:before="0" w:after="283"/>
              <w:jc w:val="left"/>
            </w:pPr>
            <w:r>
              <w:t> </w:t>
            </w:r>
            <w:r>
              <w:t>$</w:t>
            </w:r>
          </w:p>
        </w:tc>
        <w:tc>
          <w:tcPr>
            <w:tcW w:w="1812" w:type="dxa"/>
            <w:tcBorders/>
            <w:vAlign w:val="bottom"/>
          </w:tcPr>
          <w:p>
            <w:pPr>
              <w:pStyle w:val="TableContents"/>
              <w:bidi w:val="0"/>
              <w:spacing w:before="0" w:after="283"/>
              <w:jc w:val="right"/>
            </w:pPr>
            <w:r>
              <w:t>726,888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93" w:type="dxa"/>
            <w:tcBorders/>
            <w:vAlign w:val="bottom"/>
          </w:tcPr>
          <w:p>
            <w:pPr>
              <w:pStyle w:val="TableContents"/>
              <w:bidi w:val="0"/>
              <w:spacing w:before="0" w:after="283"/>
              <w:jc w:val="left"/>
            </w:pPr>
            <w:r>
              <w:t> </w:t>
            </w:r>
            <w:r>
              <w:t>$</w:t>
            </w:r>
          </w:p>
        </w:tc>
        <w:tc>
          <w:tcPr>
            <w:tcW w:w="1862" w:type="dxa"/>
            <w:tcBorders/>
            <w:vAlign w:val="bottom"/>
          </w:tcPr>
          <w:p>
            <w:pPr>
              <w:pStyle w:val="TableContents"/>
              <w:bidi w:val="0"/>
              <w:spacing w:before="0" w:after="283"/>
              <w:jc w:val="right"/>
            </w:pPr>
            <w:r>
              <w:t>282,242</w:t>
            </w:r>
          </w:p>
        </w:tc>
        <w:tc>
          <w:tcPr>
            <w:tcW w:w="155" w:type="dxa"/>
            <w:tcBorders/>
            <w:vAlign w:val="bottom"/>
          </w:tcPr>
          <w:p>
            <w:pPr>
              <w:pStyle w:val="TableContents"/>
              <w:bidi w:val="0"/>
              <w:spacing w:before="0" w:after="283"/>
              <w:jc w:val="left"/>
            </w:pPr>
            <w:r>
              <w:t> </w:t>
            </w:r>
          </w:p>
        </w:tc>
      </w:tr>
      <w:tr>
        <w:tc>
          <w:tcPr>
            <w:tcW w:w="965" w:type="dxa"/>
            <w:tcBorders/>
          </w:tcPr>
          <w:p>
            <w:pPr>
              <w:pStyle w:val="TableContents"/>
              <w:bidi w:val="0"/>
              <w:spacing w:before="0" w:after="0"/>
              <w:jc w:val="left"/>
              <w:rPr>
                <w:rFonts w:ascii="Arial" w:hAnsi="Arial"/>
                <w:sz w:val="16"/>
              </w:rPr>
            </w:pPr>
            <w:r>
              <w:rPr>
                <w:rFonts w:ascii="Arial" w:hAnsi="Arial"/>
                <w:sz w:val="16"/>
              </w:rPr>
              <w:t>Purchase of property, equipment and satellites, and other assets (capital expenditures)</w:t>
            </w:r>
          </w:p>
        </w:tc>
        <w:tc>
          <w:tcPr>
            <w:tcW w:w="120" w:type="dxa"/>
            <w:tcBorders/>
            <w:vAlign w:val="bottom"/>
          </w:tcPr>
          <w:p>
            <w:pPr>
              <w:pStyle w:val="TableContents"/>
              <w:bidi w:val="0"/>
              <w:spacing w:before="0" w:after="283"/>
              <w:jc w:val="left"/>
            </w:pPr>
            <w:r>
              <w:t>  </w:t>
            </w:r>
          </w:p>
        </w:tc>
        <w:tc>
          <w:tcPr>
            <w:tcW w:w="393" w:type="dxa"/>
            <w:tcBorders/>
            <w:vAlign w:val="bottom"/>
          </w:tcPr>
          <w:p>
            <w:pPr>
              <w:pStyle w:val="TableContents"/>
              <w:bidi w:val="0"/>
              <w:spacing w:before="0" w:after="283"/>
              <w:jc w:val="left"/>
            </w:pPr>
            <w:r>
              <w:t> </w:t>
            </w:r>
          </w:p>
        </w:tc>
        <w:tc>
          <w:tcPr>
            <w:tcW w:w="1862" w:type="dxa"/>
            <w:tcBorders/>
            <w:vAlign w:val="bottom"/>
          </w:tcPr>
          <w:p>
            <w:pPr>
              <w:pStyle w:val="TableContents"/>
              <w:bidi w:val="0"/>
              <w:spacing w:before="0" w:after="283"/>
              <w:jc w:val="right"/>
            </w:pPr>
            <w:r>
              <w:t>(206,689</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p>
        </w:tc>
        <w:tc>
          <w:tcPr>
            <w:tcW w:w="1268" w:type="dxa"/>
            <w:tcBorders/>
            <w:vAlign w:val="bottom"/>
          </w:tcPr>
          <w:p>
            <w:pPr>
              <w:pStyle w:val="TableContents"/>
              <w:bidi w:val="0"/>
              <w:spacing w:before="0" w:after="283"/>
              <w:jc w:val="right"/>
            </w:pPr>
            <w:r>
              <w:t>(218,928</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22" w:type="dxa"/>
            <w:tcBorders/>
            <w:vAlign w:val="bottom"/>
          </w:tcPr>
          <w:p>
            <w:pPr>
              <w:pStyle w:val="TableContents"/>
              <w:bidi w:val="0"/>
              <w:spacing w:before="0" w:after="283"/>
              <w:jc w:val="left"/>
            </w:pPr>
            <w:r>
              <w:t> </w:t>
            </w:r>
          </w:p>
        </w:tc>
        <w:tc>
          <w:tcPr>
            <w:tcW w:w="1528" w:type="dxa"/>
            <w:tcBorders/>
            <w:vAlign w:val="bottom"/>
          </w:tcPr>
          <w:p>
            <w:pPr>
              <w:pStyle w:val="TableContents"/>
              <w:bidi w:val="0"/>
              <w:spacing w:before="0" w:after="283"/>
              <w:jc w:val="right"/>
            </w:pPr>
            <w:r>
              <w:t>(298,341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83" w:type="dxa"/>
            <w:tcBorders/>
            <w:vAlign w:val="bottom"/>
          </w:tcPr>
          <w:p>
            <w:pPr>
              <w:pStyle w:val="TableContents"/>
              <w:bidi w:val="0"/>
              <w:spacing w:before="0" w:after="283"/>
              <w:jc w:val="left"/>
            </w:pPr>
            <w:r>
              <w:t> </w:t>
            </w:r>
          </w:p>
        </w:tc>
        <w:tc>
          <w:tcPr>
            <w:tcW w:w="1812" w:type="dxa"/>
            <w:tcBorders/>
            <w:vAlign w:val="bottom"/>
          </w:tcPr>
          <w:p>
            <w:pPr>
              <w:pStyle w:val="TableContents"/>
              <w:bidi w:val="0"/>
              <w:spacing w:before="0" w:after="283"/>
              <w:jc w:val="right"/>
            </w:pPr>
            <w:r>
              <w:t>(282,721</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93" w:type="dxa"/>
            <w:tcBorders/>
            <w:vAlign w:val="bottom"/>
          </w:tcPr>
          <w:p>
            <w:pPr>
              <w:pStyle w:val="TableContents"/>
              <w:bidi w:val="0"/>
              <w:spacing w:before="0" w:after="283"/>
              <w:jc w:val="left"/>
            </w:pPr>
            <w:r>
              <w:t> </w:t>
            </w:r>
          </w:p>
        </w:tc>
        <w:tc>
          <w:tcPr>
            <w:tcW w:w="1862" w:type="dxa"/>
            <w:tcBorders/>
            <w:vAlign w:val="bottom"/>
          </w:tcPr>
          <w:p>
            <w:pPr>
              <w:pStyle w:val="TableContents"/>
              <w:bidi w:val="0"/>
              <w:spacing w:before="0" w:after="283"/>
              <w:jc w:val="right"/>
            </w:pPr>
            <w:r>
              <w:t>(213,699</w:t>
            </w:r>
          </w:p>
        </w:tc>
        <w:tc>
          <w:tcPr>
            <w:tcW w:w="155" w:type="dxa"/>
            <w:tcBorders/>
            <w:vAlign w:val="bottom"/>
          </w:tcPr>
          <w:p>
            <w:pPr>
              <w:pStyle w:val="TableContents"/>
              <w:bidi w:val="0"/>
              <w:spacing w:before="0" w:after="283"/>
              <w:jc w:val="left"/>
            </w:pPr>
            <w:r>
              <w:t>) </w:t>
            </w:r>
          </w:p>
        </w:tc>
      </w:tr>
      <w:tr>
        <w:tc>
          <w:tcPr>
            <w:tcW w:w="9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393" w:type="dxa"/>
            <w:tcBorders/>
            <w:vAlign w:val="bottom"/>
          </w:tcPr>
          <w:p>
            <w:pPr>
              <w:pStyle w:val="TableContents"/>
              <w:pBdr>
                <w:top w:val="single" w:sz="2" w:space="1" w:color="000000"/>
              </w:pBdr>
              <w:bidi w:val="0"/>
              <w:spacing w:before="0" w:after="0"/>
              <w:jc w:val="left"/>
            </w:pPr>
            <w:r>
              <w:t> </w:t>
            </w:r>
          </w:p>
        </w:tc>
        <w:tc>
          <w:tcPr>
            <w:tcW w:w="186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single" w:sz="2" w:space="1" w:color="000000"/>
              </w:pBdr>
              <w:bidi w:val="0"/>
              <w:spacing w:before="0" w:after="0"/>
              <w:jc w:val="left"/>
            </w:pPr>
            <w:r>
              <w:t> </w:t>
            </w:r>
          </w:p>
        </w:tc>
        <w:tc>
          <w:tcPr>
            <w:tcW w:w="126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22" w:type="dxa"/>
            <w:tcBorders/>
            <w:vAlign w:val="bottom"/>
          </w:tcPr>
          <w:p>
            <w:pPr>
              <w:pStyle w:val="TableContents"/>
              <w:pBdr>
                <w:top w:val="single" w:sz="2" w:space="1" w:color="000000"/>
              </w:pBdr>
              <w:bidi w:val="0"/>
              <w:spacing w:before="0" w:after="0"/>
              <w:jc w:val="left"/>
            </w:pPr>
            <w:r>
              <w:t> </w:t>
            </w:r>
          </w:p>
        </w:tc>
        <w:tc>
          <w:tcPr>
            <w:tcW w:w="1528"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83" w:type="dxa"/>
            <w:tcBorders/>
            <w:vAlign w:val="bottom"/>
          </w:tcPr>
          <w:p>
            <w:pPr>
              <w:pStyle w:val="TableContents"/>
              <w:pBdr>
                <w:top w:val="single" w:sz="2" w:space="1" w:color="000000"/>
              </w:pBdr>
              <w:bidi w:val="0"/>
              <w:spacing w:before="0" w:after="0"/>
              <w:jc w:val="left"/>
            </w:pPr>
            <w:r>
              <w:t> </w:t>
            </w:r>
          </w:p>
        </w:tc>
        <w:tc>
          <w:tcPr>
            <w:tcW w:w="181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93" w:type="dxa"/>
            <w:tcBorders/>
            <w:vAlign w:val="bottom"/>
          </w:tcPr>
          <w:p>
            <w:pPr>
              <w:pStyle w:val="TableContents"/>
              <w:pBdr>
                <w:top w:val="single" w:sz="2" w:space="1" w:color="000000"/>
              </w:pBdr>
              <w:bidi w:val="0"/>
              <w:spacing w:before="0" w:after="0"/>
              <w:jc w:val="left"/>
            </w:pPr>
            <w:r>
              <w:t> </w:t>
            </w:r>
          </w:p>
        </w:tc>
        <w:tc>
          <w:tcPr>
            <w:tcW w:w="186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r>
        <w:tc>
          <w:tcPr>
            <w:tcW w:w="965" w:type="dxa"/>
            <w:tcBorders/>
          </w:tcPr>
          <w:p>
            <w:pPr>
              <w:pStyle w:val="TableContents"/>
              <w:bidi w:val="0"/>
              <w:spacing w:before="0" w:after="0"/>
              <w:jc w:val="left"/>
              <w:rPr>
                <w:rFonts w:ascii="Arial" w:hAnsi="Arial"/>
                <w:sz w:val="16"/>
              </w:rPr>
            </w:pPr>
            <w:r>
              <w:rPr>
                <w:rFonts w:ascii="Arial" w:hAnsi="Arial"/>
                <w:sz w:val="16"/>
              </w:rPr>
              <w:t>Free cash flow</w:t>
            </w:r>
          </w:p>
        </w:tc>
        <w:tc>
          <w:tcPr>
            <w:tcW w:w="120" w:type="dxa"/>
            <w:tcBorders/>
            <w:vAlign w:val="bottom"/>
          </w:tcPr>
          <w:p>
            <w:pPr>
              <w:pStyle w:val="TableContents"/>
              <w:bidi w:val="0"/>
              <w:spacing w:before="0" w:after="283"/>
              <w:jc w:val="left"/>
            </w:pPr>
            <w:r>
              <w:t>  </w:t>
            </w:r>
          </w:p>
        </w:tc>
        <w:tc>
          <w:tcPr>
            <w:tcW w:w="393" w:type="dxa"/>
            <w:tcBorders/>
            <w:vAlign w:val="bottom"/>
          </w:tcPr>
          <w:p>
            <w:pPr>
              <w:pStyle w:val="TableContents"/>
              <w:bidi w:val="0"/>
              <w:spacing w:before="0" w:after="283"/>
              <w:jc w:val="left"/>
            </w:pPr>
            <w:r>
              <w:t> </w:t>
            </w:r>
            <w:r>
              <w:t>$</w:t>
            </w:r>
          </w:p>
        </w:tc>
        <w:tc>
          <w:tcPr>
            <w:tcW w:w="1862" w:type="dxa"/>
            <w:tcBorders/>
            <w:vAlign w:val="bottom"/>
          </w:tcPr>
          <w:p>
            <w:pPr>
              <w:pStyle w:val="TableContents"/>
              <w:bidi w:val="0"/>
              <w:spacing w:before="0" w:after="283"/>
              <w:jc w:val="right"/>
            </w:pPr>
            <w:r>
              <w:t>78,266</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bidi w:val="0"/>
              <w:spacing w:before="0" w:after="283"/>
              <w:jc w:val="left"/>
            </w:pPr>
            <w:r>
              <w:t> </w:t>
            </w:r>
            <w:r>
              <w:t>$</w:t>
            </w:r>
          </w:p>
        </w:tc>
        <w:tc>
          <w:tcPr>
            <w:tcW w:w="1268" w:type="dxa"/>
            <w:tcBorders/>
            <w:vAlign w:val="bottom"/>
          </w:tcPr>
          <w:p>
            <w:pPr>
              <w:pStyle w:val="TableContents"/>
              <w:bidi w:val="0"/>
              <w:spacing w:before="0" w:after="283"/>
              <w:jc w:val="right"/>
            </w:pPr>
            <w:r>
              <w:t>41,622</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22" w:type="dxa"/>
            <w:tcBorders/>
            <w:vAlign w:val="bottom"/>
          </w:tcPr>
          <w:p>
            <w:pPr>
              <w:pStyle w:val="TableContents"/>
              <w:bidi w:val="0"/>
              <w:spacing w:before="0" w:after="283"/>
              <w:jc w:val="left"/>
            </w:pPr>
            <w:r>
              <w:t> </w:t>
            </w:r>
            <w:r>
              <w:t>$</w:t>
            </w:r>
          </w:p>
        </w:tc>
        <w:tc>
          <w:tcPr>
            <w:tcW w:w="1528" w:type="dxa"/>
            <w:tcBorders/>
            <w:vAlign w:val="bottom"/>
          </w:tcPr>
          <w:p>
            <w:pPr>
              <w:pStyle w:val="TableContents"/>
              <w:bidi w:val="0"/>
              <w:spacing w:before="0" w:after="283"/>
              <w:jc w:val="right"/>
            </w:pPr>
            <w:r>
              <w:t>23,954</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83" w:type="dxa"/>
            <w:tcBorders/>
            <w:vAlign w:val="bottom"/>
          </w:tcPr>
          <w:p>
            <w:pPr>
              <w:pStyle w:val="TableContents"/>
              <w:bidi w:val="0"/>
              <w:spacing w:before="0" w:after="283"/>
              <w:jc w:val="left"/>
            </w:pPr>
            <w:r>
              <w:t> </w:t>
            </w:r>
            <w:r>
              <w:t>$</w:t>
            </w:r>
          </w:p>
        </w:tc>
        <w:tc>
          <w:tcPr>
            <w:tcW w:w="1812" w:type="dxa"/>
            <w:tcBorders/>
            <w:vAlign w:val="bottom"/>
          </w:tcPr>
          <w:p>
            <w:pPr>
              <w:pStyle w:val="TableContents"/>
              <w:bidi w:val="0"/>
              <w:spacing w:before="0" w:after="283"/>
              <w:jc w:val="right"/>
            </w:pPr>
            <w:r>
              <w:t>444,167</w:t>
            </w:r>
          </w:p>
        </w:tc>
        <w:tc>
          <w:tcPr>
            <w:tcW w:w="155"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93" w:type="dxa"/>
            <w:tcBorders/>
            <w:vAlign w:val="bottom"/>
          </w:tcPr>
          <w:p>
            <w:pPr>
              <w:pStyle w:val="TableContents"/>
              <w:bidi w:val="0"/>
              <w:spacing w:before="0" w:after="283"/>
              <w:jc w:val="left"/>
            </w:pPr>
            <w:r>
              <w:t> </w:t>
            </w:r>
            <w:r>
              <w:t>$</w:t>
            </w:r>
          </w:p>
        </w:tc>
        <w:tc>
          <w:tcPr>
            <w:tcW w:w="1862" w:type="dxa"/>
            <w:tcBorders/>
            <w:vAlign w:val="bottom"/>
          </w:tcPr>
          <w:p>
            <w:pPr>
              <w:pStyle w:val="TableContents"/>
              <w:bidi w:val="0"/>
              <w:spacing w:before="0" w:after="283"/>
              <w:jc w:val="right"/>
            </w:pPr>
            <w:r>
              <w:t>68,543</w:t>
            </w:r>
          </w:p>
        </w:tc>
        <w:tc>
          <w:tcPr>
            <w:tcW w:w="155" w:type="dxa"/>
            <w:tcBorders/>
            <w:vAlign w:val="bottom"/>
          </w:tcPr>
          <w:p>
            <w:pPr>
              <w:pStyle w:val="TableContents"/>
              <w:bidi w:val="0"/>
              <w:spacing w:before="0" w:after="283"/>
              <w:jc w:val="left"/>
            </w:pPr>
            <w:r>
              <w:t> </w:t>
            </w:r>
          </w:p>
        </w:tc>
      </w:tr>
      <w:tr>
        <w:tc>
          <w:tcPr>
            <w:tcW w:w="9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393" w:type="dxa"/>
            <w:tcBorders/>
            <w:vAlign w:val="bottom"/>
          </w:tcPr>
          <w:p>
            <w:pPr>
              <w:pStyle w:val="TableContents"/>
              <w:pBdr>
                <w:top w:val="double" w:sz="6" w:space="1" w:color="000000"/>
              </w:pBdr>
              <w:bidi w:val="0"/>
              <w:spacing w:before="0" w:after="0"/>
              <w:jc w:val="left"/>
            </w:pPr>
            <w:r>
              <w:t> </w:t>
            </w:r>
          </w:p>
        </w:tc>
        <w:tc>
          <w:tcPr>
            <w:tcW w:w="186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267" w:type="dxa"/>
            <w:tcBorders/>
            <w:vAlign w:val="bottom"/>
          </w:tcPr>
          <w:p>
            <w:pPr>
              <w:pStyle w:val="TableContents"/>
              <w:pBdr>
                <w:top w:val="double" w:sz="6" w:space="1" w:color="000000"/>
              </w:pBdr>
              <w:bidi w:val="0"/>
              <w:spacing w:before="0" w:after="0"/>
              <w:jc w:val="left"/>
            </w:pPr>
            <w:r>
              <w:t> </w:t>
            </w:r>
          </w:p>
        </w:tc>
        <w:tc>
          <w:tcPr>
            <w:tcW w:w="1268"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22" w:type="dxa"/>
            <w:tcBorders/>
            <w:vAlign w:val="bottom"/>
          </w:tcPr>
          <w:p>
            <w:pPr>
              <w:pStyle w:val="TableContents"/>
              <w:pBdr>
                <w:top w:val="double" w:sz="6" w:space="1" w:color="000000"/>
              </w:pBdr>
              <w:bidi w:val="0"/>
              <w:spacing w:before="0" w:after="0"/>
              <w:jc w:val="left"/>
            </w:pPr>
            <w:r>
              <w:t> </w:t>
            </w:r>
          </w:p>
        </w:tc>
        <w:tc>
          <w:tcPr>
            <w:tcW w:w="1528"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83" w:type="dxa"/>
            <w:tcBorders/>
            <w:vAlign w:val="bottom"/>
          </w:tcPr>
          <w:p>
            <w:pPr>
              <w:pStyle w:val="TableContents"/>
              <w:pBdr>
                <w:top w:val="double" w:sz="6" w:space="1" w:color="000000"/>
              </w:pBdr>
              <w:bidi w:val="0"/>
              <w:spacing w:before="0" w:after="0"/>
              <w:jc w:val="left"/>
            </w:pPr>
            <w:r>
              <w:t> </w:t>
            </w:r>
          </w:p>
        </w:tc>
        <w:tc>
          <w:tcPr>
            <w:tcW w:w="181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393" w:type="dxa"/>
            <w:tcBorders/>
            <w:vAlign w:val="bottom"/>
          </w:tcPr>
          <w:p>
            <w:pPr>
              <w:pStyle w:val="TableContents"/>
              <w:pBdr>
                <w:top w:val="double" w:sz="6" w:space="1" w:color="000000"/>
              </w:pBdr>
              <w:bidi w:val="0"/>
              <w:spacing w:before="0" w:after="0"/>
              <w:jc w:val="left"/>
            </w:pPr>
            <w:r>
              <w:t> </w:t>
            </w:r>
          </w:p>
        </w:tc>
        <w:tc>
          <w:tcPr>
            <w:tcW w:w="186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344"/>
        <w:gridCol w:w="9861"/>
      </w:tblGrid>
      <w:tr>
        <w:tc>
          <w:tcPr>
            <w:tcW w:w="344" w:type="dxa"/>
            <w:tcBorders/>
          </w:tcPr>
          <w:p>
            <w:pPr>
              <w:pStyle w:val="TableContents"/>
              <w:bidi w:val="0"/>
              <w:spacing w:before="0" w:after="283"/>
              <w:jc w:val="left"/>
            </w:pPr>
            <w:r>
              <w:t>(11)</w:t>
            </w:r>
          </w:p>
        </w:tc>
        <w:tc>
          <w:tcPr>
            <w:tcW w:w="9861" w:type="dxa"/>
            <w:tcBorders/>
          </w:tcPr>
          <w:p>
            <w:pPr>
              <w:pStyle w:val="TableContents"/>
              <w:bidi w:val="0"/>
              <w:spacing w:before="0" w:after="0"/>
              <w:jc w:val="left"/>
              <w:rPr>
                <w:rFonts w:ascii="Arial" w:hAnsi="Arial"/>
                <w:sz w:val="16"/>
              </w:rPr>
            </w:pPr>
            <w:r>
              <w:rPr>
                <w:rFonts w:ascii="Arial" w:hAnsi="Arial"/>
                <w:sz w:val="16"/>
              </w:rPr>
              <w:t xml:space="preserve">Beginning in the first quarter of fiscal year 2027, the Company revised its calculation of Adjusted EBITDA to exclude unrealized foreign currency loss (gain), net, which is included within “Other, net.” For the three months ended September 30, 2026 and June 30, 2026, unrealized foreign currency loss (gain), net was a gain of $1.4 million and a gain of $0.9 million, respectively. Prior period amounts have not been revised to conform to the current presentation because the overall effect for the fiscal year was not material. For the three months ended March 31, 2026, December 31, 2025, and September 30, 2025, unrealized foreign currency loss (gain), net was a gain of $4.9 million, a gain of $1.1 million, and a gain of $0.9 million, respectively, and not included herein. For the three months ended March 31, 2026, “Other, net” consisted of a gain on the disposition of an equity method investment.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344"/>
        <w:gridCol w:w="9861"/>
      </w:tblGrid>
      <w:tr>
        <w:tc>
          <w:tcPr>
            <w:tcW w:w="344" w:type="dxa"/>
            <w:tcBorders/>
          </w:tcPr>
          <w:p>
            <w:pPr>
              <w:pStyle w:val="TableContents"/>
              <w:bidi w:val="0"/>
              <w:spacing w:before="0" w:after="283"/>
              <w:jc w:val="left"/>
            </w:pPr>
            <w:r>
              <w:t>(12)</w:t>
            </w:r>
          </w:p>
        </w:tc>
        <w:tc>
          <w:tcPr>
            <w:tcW w:w="9861" w:type="dxa"/>
            <w:tcBorders/>
          </w:tcPr>
          <w:p>
            <w:pPr>
              <w:pStyle w:val="TableContents"/>
              <w:bidi w:val="0"/>
              <w:spacing w:before="0" w:after="0"/>
              <w:jc w:val="left"/>
              <w:rPr>
                <w:rFonts w:ascii="Arial" w:hAnsi="Arial"/>
                <w:sz w:val="16"/>
              </w:rPr>
            </w:pPr>
            <w:r>
              <w:rPr>
                <w:rFonts w:ascii="Arial" w:hAnsi="Arial"/>
                <w:sz w:val="16"/>
              </w:rPr>
              <w:t xml:space="preserve">Adjusted EBITDA for the three months ended March 31, 2026, December 31, 2025, and September 30, 2025, would have been $364.9 million, $385.9 million, and $383.8 million, respectively, had unrealized foreign currency loss (gain), net been excluded.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344"/>
        <w:gridCol w:w="9861"/>
      </w:tblGrid>
      <w:tr>
        <w:tc>
          <w:tcPr>
            <w:tcW w:w="344" w:type="dxa"/>
            <w:tcBorders/>
          </w:tcPr>
          <w:p>
            <w:pPr>
              <w:pStyle w:val="TableContents"/>
              <w:bidi w:val="0"/>
              <w:spacing w:before="0" w:after="283"/>
              <w:jc w:val="left"/>
            </w:pPr>
            <w:r>
              <w:t>(13)</w:t>
            </w:r>
          </w:p>
        </w:tc>
        <w:tc>
          <w:tcPr>
            <w:tcW w:w="9861" w:type="dxa"/>
            <w:tcBorders/>
          </w:tcPr>
          <w:p>
            <w:pPr>
              <w:pStyle w:val="TableContents"/>
              <w:bidi w:val="0"/>
              <w:spacing w:before="0" w:after="0"/>
              <w:jc w:val="left"/>
              <w:rPr>
                <w:rFonts w:ascii="Arial" w:hAnsi="Arial"/>
                <w:sz w:val="16"/>
              </w:rPr>
            </w:pPr>
            <w:r>
              <w:rPr>
                <w:rFonts w:ascii="Arial" w:hAnsi="Arial"/>
                <w:sz w:val="16"/>
              </w:rPr>
              <w:t xml:space="preserve">The most comparable GAAP measure to net debt to LTM Adjusted EBITDA (net leverage ratio) is total debt to LTM net income (loss) attributable to Viasat, Inc. For September 30, 2026, June 30, 2026, March 31, 2026, December 31, 2025, and September 30, 2025, the total debt to LTM net income (loss) ratio was (67.9)x, (223.5)x, (193.2)x, (18.9)x, and (12.9)x, respectively, based on total debt of approximately $6.6 billion, $6.6 billion, $6.6 billion, $6.4 billion, and $6.7 billion, respectively, divided by LTM net loss attributable to Viasat, Inc. of approximately $96.6 million, $29.4 million, $34.1 million, $339.0 million, and $522.3 million, respectively. </w:t>
            </w:r>
          </w:p>
        </w:tc>
      </w:tr>
    </w:tbl>
    <w:p>
      <w:pPr>
        <w:pStyle w:val="TextBody"/>
        <w:bidi w:val="0"/>
        <w:spacing w:before="0" w:after="0"/>
        <w:jc w:val="left"/>
      </w:pPr>
      <w:r>
        <w:t> </w:t>
      </w:r>
    </w:p>
    <w:p>
      <w:pPr>
        <w:pStyle w:val="TextBody"/>
        <w:bidi w:val="0"/>
        <w:spacing w:before="0" w:after="0"/>
        <w:jc w:val="center"/>
      </w:pPr>
      <w:r>
        <w:drawing>
          <wp:inline distT="0" distB="0" distL="0" distR="0">
            <wp:extent cx="7981950" cy="762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7981950" cy="76200"/>
                    </a:xfrm>
                    <a:prstGeom prst="rect">
                      <a:avLst/>
                    </a:prstGeom>
                  </pic:spPr>
                </pic:pic>
              </a:graphicData>
            </a:graphic>
          </wp:inline>
        </w:drawing>
      </w:r>
      <w:r>
        <w:t xml:space="preserve"> </w:t>
      </w:r>
    </w:p>
    <w:p>
      <w:pPr>
        <w:pStyle w:val="TextBody"/>
        <w:bidi w:val="0"/>
        <w:spacing w:before="40" w:after="0"/>
        <w:jc w:val="right"/>
        <w:rPr>
          <w:rFonts w:ascii="Arial" w:hAnsi="Arial"/>
          <w:sz w:val="14"/>
        </w:rPr>
      </w:pPr>
      <w:r>
        <w:rPr>
          <w:rFonts w:ascii="Arial" w:hAnsi="Arial"/>
          <w:sz w:val="14"/>
        </w:rPr>
        <w:t xml:space="preserve">Shareholder Letter | Q2 Fiscal Year 2027   15 </w:t>
      </w:r>
      <w:r>
        <w:br w:type="page"/>
      </w:r>
    </w:p>
    <w:p>
      <w:pPr>
        <w:pStyle w:val="HorizontalLine"/>
        <w:pBdr>
          <w:bottom w:val="double" w:sz="6" w:space="0" w:color="808080"/>
        </w:pBdr>
        <w:bidi w:val="0"/>
        <w:jc w:val="left"/>
      </w:pPr>
      <w:r/>
    </w:p>
    <w:p>
      <w:pPr>
        <w:pStyle w:val="TextBody"/>
        <w:bidi w:val="0"/>
        <w:spacing w:before="0" w:after="0"/>
        <w:jc w:val="left"/>
        <w:rPr>
          <w:rFonts w:ascii="Arial" w:hAnsi="Arial"/>
          <w:sz w:val="40"/>
        </w:rPr>
      </w:pPr>
      <w:r>
        <w:rPr>
          <w:rFonts w:ascii="Arial" w:hAnsi="Arial"/>
          <w:sz w:val="40"/>
        </w:rPr>
        <w:t xml:space="preserve">Selected Segment Financial Information </w:t>
      </w:r>
    </w:p>
    <w:p>
      <w:pPr>
        <w:pStyle w:val="TextBody"/>
        <w:bidi w:val="0"/>
        <w:spacing w:before="0" w:after="0"/>
        <w:jc w:val="left"/>
      </w:pPr>
      <w:r>
        <w:t> </w:t>
      </w:r>
    </w:p>
    <w:p>
      <w:pPr>
        <w:pStyle w:val="TextBody"/>
        <w:bidi w:val="0"/>
        <w:spacing w:before="0" w:after="0"/>
        <w:jc w:val="left"/>
        <w:rPr>
          <w:rFonts w:ascii="Arial" w:hAnsi="Arial"/>
          <w:b/>
          <w:sz w:val="16"/>
        </w:rPr>
      </w:pPr>
      <w:r>
        <w:rPr>
          <w:rFonts w:ascii="Arial" w:hAnsi="Arial"/>
          <w:b/>
          <w:sz w:val="16"/>
        </w:rPr>
        <w:t xml:space="preserve">(Unaudited)  </w:t>
      </w:r>
    </w:p>
    <w:p>
      <w:pPr>
        <w:pStyle w:val="TextBody"/>
        <w:bidi w:val="0"/>
        <w:spacing w:before="0" w:after="0"/>
        <w:jc w:val="left"/>
        <w:rPr>
          <w:rFonts w:ascii="Arial" w:hAnsi="Arial"/>
          <w:b/>
          <w:sz w:val="16"/>
        </w:rPr>
      </w:pPr>
      <w:r>
        <w:rPr>
          <w:rFonts w:ascii="Arial" w:hAnsi="Arial"/>
          <w:b/>
          <w:sz w:val="16"/>
        </w:rPr>
        <w:t xml:space="preserve">(In thousands)  </w:t>
      </w:r>
    </w:p>
    <w:p>
      <w:pPr>
        <w:pStyle w:val="TextBody"/>
        <w:bidi w:val="0"/>
        <w:spacing w:before="0" w:after="0"/>
        <w:jc w:val="left"/>
      </w:pPr>
      <w:r>
        <w:t> </w:t>
      </w:r>
    </w:p>
    <w:tbl>
      <w:tblPr>
        <w:tblW w:w="10885" w:type="dxa"/>
        <w:jc w:val="center"/>
        <w:tblInd w:w="0" w:type="dxa"/>
        <w:tblLayout w:type="fixed"/>
        <w:tblCellMar>
          <w:top w:w="0" w:type="dxa"/>
          <w:left w:w="0" w:type="dxa"/>
          <w:bottom w:w="0" w:type="dxa"/>
          <w:right w:w="0" w:type="dxa"/>
        </w:tblCellMar>
      </w:tblPr>
      <w:tblGrid>
        <w:gridCol w:w="1145"/>
        <w:gridCol w:w="120"/>
        <w:gridCol w:w="281"/>
        <w:gridCol w:w="1974"/>
        <w:gridCol w:w="60"/>
        <w:gridCol w:w="120"/>
        <w:gridCol w:w="281"/>
        <w:gridCol w:w="1974"/>
        <w:gridCol w:w="60"/>
        <w:gridCol w:w="120"/>
        <w:gridCol w:w="281"/>
        <w:gridCol w:w="1974"/>
        <w:gridCol w:w="60"/>
        <w:gridCol w:w="120"/>
        <w:gridCol w:w="281"/>
        <w:gridCol w:w="1974"/>
        <w:gridCol w:w="60"/>
      </w:tblGrid>
      <w:t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c>
          <w:tcPr>
            <w:tcW w:w="1145"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46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46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60" w:type="dxa"/>
            <w:tcBorders/>
            <w:vAlign w:val="bottom"/>
          </w:tcPr>
          <w:p>
            <w:pPr>
              <w:pStyle w:val="TableContents"/>
              <w:bidi w:val="0"/>
              <w:spacing w:before="0" w:after="283"/>
              <w:jc w:val="left"/>
            </w:pPr>
            <w:r>
              <w:t> </w:t>
            </w:r>
          </w:p>
        </w:tc>
      </w:tr>
      <w:tr>
        <w:tc>
          <w:tcPr>
            <w:tcW w:w="1145"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2025 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2026 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pPr>
            <w:r>
              <w:t> </w:t>
            </w:r>
            <w:r>
              <w:rPr>
                <w:b/>
              </w:rPr>
              <w:t>September 30, 2025 </w:t>
            </w:r>
          </w:p>
        </w:tc>
        <w:tc>
          <w:tcPr>
            <w:tcW w:w="60" w:type="dxa"/>
            <w:tcBorders/>
            <w:vAlign w:val="bottom"/>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Revenues: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c>
          <w:tcPr>
            <w:tcW w:w="1145" w:type="dxa"/>
            <w:tcBorders/>
          </w:tcPr>
          <w:p>
            <w:pPr>
              <w:pStyle w:val="TableContents"/>
              <w:bidi w:val="0"/>
              <w:spacing w:before="0" w:after="0"/>
              <w:jc w:val="left"/>
              <w:rPr>
                <w:rFonts w:ascii="Arial" w:hAnsi="Arial"/>
                <w:sz w:val="16"/>
              </w:rPr>
            </w:pPr>
            <w:r>
              <w:rPr>
                <w:rFonts w:ascii="Arial" w:hAnsi="Arial"/>
                <w:sz w:val="16"/>
              </w:rPr>
              <w:t>Communication services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c>
          <w:tcPr>
            <w:tcW w:w="1145" w:type="dxa"/>
            <w:tcBorders/>
          </w:tcPr>
          <w:p>
            <w:pPr>
              <w:pStyle w:val="TableContents"/>
              <w:bidi w:val="0"/>
              <w:spacing w:before="0" w:after="0"/>
              <w:jc w:val="left"/>
              <w:rPr>
                <w:rFonts w:ascii="Arial" w:hAnsi="Arial"/>
                <w:sz w:val="16"/>
              </w:rPr>
            </w:pPr>
            <w:r>
              <w:rPr>
                <w:rFonts w:ascii="Arial" w:hAnsi="Arial"/>
                <w:sz w:val="16"/>
              </w:rPr>
              <w:t>Aviation services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r>
              <w:t>$</w:t>
            </w:r>
          </w:p>
        </w:tc>
        <w:tc>
          <w:tcPr>
            <w:tcW w:w="1974" w:type="dxa"/>
            <w:tcBorders/>
            <w:vAlign w:val="bottom"/>
          </w:tcPr>
          <w:p>
            <w:pPr>
              <w:pStyle w:val="TableContents"/>
              <w:bidi w:val="0"/>
              <w:spacing w:before="0" w:after="283"/>
              <w:jc w:val="right"/>
            </w:pPr>
            <w:r>
              <w:t>325,840</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r>
              <w:t>$</w:t>
            </w:r>
          </w:p>
        </w:tc>
        <w:tc>
          <w:tcPr>
            <w:tcW w:w="1974" w:type="dxa"/>
            <w:tcBorders/>
            <w:vAlign w:val="bottom"/>
          </w:tcPr>
          <w:p>
            <w:pPr>
              <w:pStyle w:val="TableContents"/>
              <w:bidi w:val="0"/>
              <w:spacing w:before="0" w:after="283"/>
              <w:jc w:val="right"/>
            </w:pPr>
            <w:r>
              <w:t>300,732</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r>
              <w:t>$</w:t>
            </w:r>
          </w:p>
        </w:tc>
        <w:tc>
          <w:tcPr>
            <w:tcW w:w="1974" w:type="dxa"/>
            <w:tcBorders/>
            <w:vAlign w:val="bottom"/>
          </w:tcPr>
          <w:p>
            <w:pPr>
              <w:pStyle w:val="TableContents"/>
              <w:bidi w:val="0"/>
              <w:spacing w:before="0" w:after="283"/>
              <w:jc w:val="right"/>
            </w:pPr>
            <w:r>
              <w:t>650,221</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r>
              <w:t>$</w:t>
            </w:r>
          </w:p>
        </w:tc>
        <w:tc>
          <w:tcPr>
            <w:tcW w:w="1974" w:type="dxa"/>
            <w:tcBorders/>
            <w:vAlign w:val="bottom"/>
          </w:tcPr>
          <w:p>
            <w:pPr>
              <w:pStyle w:val="TableContents"/>
              <w:bidi w:val="0"/>
              <w:spacing w:before="0" w:after="283"/>
              <w:jc w:val="right"/>
            </w:pPr>
            <w:r>
              <w:t>593,624</w:t>
            </w:r>
          </w:p>
        </w:tc>
        <w:tc>
          <w:tcPr>
            <w:tcW w:w="60" w:type="dxa"/>
            <w:tcBorders/>
            <w:vAlign w:val="bottom"/>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Government satcom services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203,103</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195,800</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414,837</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387,568</w:t>
            </w:r>
          </w:p>
        </w:tc>
        <w:tc>
          <w:tcPr>
            <w:tcW w:w="60" w:type="dxa"/>
            <w:tcBorders/>
            <w:vAlign w:val="bottom"/>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Maritime services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108,661</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117,594</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218,163</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235,395</w:t>
            </w:r>
          </w:p>
        </w:tc>
        <w:tc>
          <w:tcPr>
            <w:tcW w:w="60" w:type="dxa"/>
            <w:tcBorders/>
            <w:vAlign w:val="bottom"/>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Fixed services and other services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120,532</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155,691</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247,957</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330,428</w:t>
            </w:r>
          </w:p>
        </w:tc>
        <w:tc>
          <w:tcPr>
            <w:tcW w:w="60" w:type="dxa"/>
            <w:tcBorders/>
            <w:vAlign w:val="bottom"/>
          </w:tcPr>
          <w:p>
            <w:pPr>
              <w:pStyle w:val="TableContents"/>
              <w:bidi w:val="0"/>
              <w:spacing w:before="0" w:after="283"/>
              <w:jc w:val="left"/>
            </w:pPr>
            <w:r>
              <w:t> </w:t>
            </w:r>
          </w:p>
        </w:tc>
      </w:tr>
      <w:t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Total services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758,136</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769,817</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1,531,178</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1,547,015</w:t>
            </w:r>
          </w:p>
        </w:tc>
        <w:tc>
          <w:tcPr>
            <w:tcW w:w="60" w:type="dxa"/>
            <w:tcBorders/>
            <w:vAlign w:val="bottom"/>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Total products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56,390</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66,838</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108,431</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117,011</w:t>
            </w:r>
          </w:p>
        </w:tc>
        <w:tc>
          <w:tcPr>
            <w:tcW w:w="60" w:type="dxa"/>
            <w:tcBorders/>
            <w:vAlign w:val="bottom"/>
          </w:tcPr>
          <w:p>
            <w:pPr>
              <w:pStyle w:val="TableContents"/>
              <w:bidi w:val="0"/>
              <w:spacing w:before="0" w:after="283"/>
              <w:jc w:val="left"/>
            </w:pPr>
            <w:r>
              <w:t> </w:t>
            </w:r>
          </w:p>
        </w:tc>
      </w:tr>
      <w:t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Total communication services revenues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814,526</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836,655</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1,639,609</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1,664,026</w:t>
            </w:r>
          </w:p>
        </w:tc>
        <w:tc>
          <w:tcPr>
            <w:tcW w:w="60" w:type="dxa"/>
            <w:tcBorders/>
            <w:vAlign w:val="bottom"/>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Defense and advanced technologies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c>
          <w:tcPr>
            <w:tcW w:w="1145" w:type="dxa"/>
            <w:tcBorders/>
          </w:tcPr>
          <w:p>
            <w:pPr>
              <w:pStyle w:val="TableContents"/>
              <w:bidi w:val="0"/>
              <w:spacing w:before="0" w:after="0"/>
              <w:jc w:val="left"/>
              <w:rPr>
                <w:rFonts w:ascii="Arial" w:hAnsi="Arial"/>
                <w:sz w:val="16"/>
              </w:rPr>
            </w:pPr>
            <w:r>
              <w:rPr>
                <w:rFonts w:ascii="Arial" w:hAnsi="Arial"/>
                <w:sz w:val="16"/>
              </w:rPr>
              <w:t>Total services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62,459</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51,693</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121,855</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100,865</w:t>
            </w:r>
          </w:p>
        </w:tc>
        <w:tc>
          <w:tcPr>
            <w:tcW w:w="60" w:type="dxa"/>
            <w:tcBorders/>
            <w:vAlign w:val="bottom"/>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Information security and cyber defense products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120,520</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94,928</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214,511</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197,076</w:t>
            </w:r>
          </w:p>
        </w:tc>
        <w:tc>
          <w:tcPr>
            <w:tcW w:w="60" w:type="dxa"/>
            <w:tcBorders/>
            <w:vAlign w:val="bottom"/>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Space and mission systems products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81,310</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78,231</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148,170</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166,204</w:t>
            </w:r>
          </w:p>
        </w:tc>
        <w:tc>
          <w:tcPr>
            <w:tcW w:w="60" w:type="dxa"/>
            <w:tcBorders/>
            <w:vAlign w:val="bottom"/>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Tactical networking products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96,982</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74,193</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189,552</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142,472</w:t>
            </w:r>
          </w:p>
        </w:tc>
        <w:tc>
          <w:tcPr>
            <w:tcW w:w="60" w:type="dxa"/>
            <w:tcBorders/>
            <w:vAlign w:val="bottom"/>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Advanced technologies and other products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4,199</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5,193</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22,842</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41,304</w:t>
            </w:r>
          </w:p>
        </w:tc>
        <w:tc>
          <w:tcPr>
            <w:tcW w:w="60" w:type="dxa"/>
            <w:tcBorders/>
            <w:vAlign w:val="bottom"/>
          </w:tcPr>
          <w:p>
            <w:pPr>
              <w:pStyle w:val="TableContents"/>
              <w:bidi w:val="0"/>
              <w:spacing w:before="0" w:after="283"/>
              <w:jc w:val="left"/>
            </w:pPr>
            <w:r>
              <w:t> </w:t>
            </w:r>
          </w:p>
        </w:tc>
      </w:tr>
      <w:t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Total products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303,011</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252,545</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575,075</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547,056</w:t>
            </w:r>
          </w:p>
        </w:tc>
        <w:tc>
          <w:tcPr>
            <w:tcW w:w="60" w:type="dxa"/>
            <w:tcBorders/>
            <w:vAlign w:val="bottom"/>
          </w:tcPr>
          <w:p>
            <w:pPr>
              <w:pStyle w:val="TableContents"/>
              <w:bidi w:val="0"/>
              <w:spacing w:before="0" w:after="283"/>
              <w:jc w:val="left"/>
            </w:pPr>
            <w:r>
              <w:t> </w:t>
            </w:r>
          </w:p>
        </w:tc>
      </w:tr>
      <w:t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Total defense and advanced technologies revenues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365,470</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304,238</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696,930</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647,921</w:t>
            </w:r>
          </w:p>
        </w:tc>
        <w:tc>
          <w:tcPr>
            <w:tcW w:w="60" w:type="dxa"/>
            <w:tcBorders/>
            <w:vAlign w:val="bottom"/>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Elimination of intersegment revenues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p>
        </w:tc>
        <w:tc>
          <w:tcPr>
            <w:tcW w:w="1974" w:type="dxa"/>
            <w:tcBorders/>
            <w:vAlign w:val="bottom"/>
          </w:tcPr>
          <w:p>
            <w:pPr>
              <w:pStyle w:val="TableContents"/>
              <w:bidi w:val="0"/>
              <w:spacing w:before="0" w:after="283"/>
              <w:jc w:val="right"/>
            </w:pPr>
            <w:r>
              <w:t>— </w:t>
            </w:r>
          </w:p>
        </w:tc>
        <w:tc>
          <w:tcPr>
            <w:tcW w:w="60" w:type="dxa"/>
            <w:tcBorders/>
            <w:vAlign w:val="bottom"/>
          </w:tcPr>
          <w:p>
            <w:pPr>
              <w:pStyle w:val="TableContents"/>
              <w:bidi w:val="0"/>
              <w:spacing w:before="0" w:after="283"/>
              <w:jc w:val="left"/>
            </w:pPr>
            <w:r>
              <w:t> </w:t>
            </w:r>
          </w:p>
        </w:tc>
      </w:tr>
      <w:t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single" w:sz="2" w:space="1" w:color="000000"/>
              </w:pBdr>
              <w:bidi w:val="0"/>
              <w:spacing w:before="0" w:after="0"/>
              <w:jc w:val="left"/>
            </w:pPr>
            <w:r>
              <w:t> </w:t>
            </w:r>
          </w:p>
        </w:tc>
        <w:tc>
          <w:tcPr>
            <w:tcW w:w="1974" w:type="dxa"/>
            <w:tcBorders/>
            <w:vAlign w:val="bottom"/>
          </w:tcPr>
          <w:p>
            <w:pPr>
              <w:pStyle w:val="TableContents"/>
              <w:pBdr>
                <w:top w:val="single" w:sz="2"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r>
        <w:tc>
          <w:tcPr>
            <w:tcW w:w="1145" w:type="dxa"/>
            <w:tcBorders/>
          </w:tcPr>
          <w:p>
            <w:pPr>
              <w:pStyle w:val="TableContents"/>
              <w:bidi w:val="0"/>
              <w:spacing w:before="0" w:after="0"/>
              <w:jc w:val="left"/>
              <w:rPr>
                <w:rFonts w:ascii="Arial" w:hAnsi="Arial"/>
                <w:sz w:val="16"/>
              </w:rPr>
            </w:pPr>
            <w:r>
              <w:rPr>
                <w:rFonts w:ascii="Arial" w:hAnsi="Arial"/>
                <w:sz w:val="16"/>
              </w:rPr>
              <w:t>Total revenues</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r>
              <w:t>$</w:t>
            </w:r>
          </w:p>
        </w:tc>
        <w:tc>
          <w:tcPr>
            <w:tcW w:w="1974" w:type="dxa"/>
            <w:tcBorders/>
            <w:vAlign w:val="bottom"/>
          </w:tcPr>
          <w:p>
            <w:pPr>
              <w:pStyle w:val="TableContents"/>
              <w:bidi w:val="0"/>
              <w:spacing w:before="0" w:after="283"/>
              <w:jc w:val="right"/>
            </w:pPr>
            <w:r>
              <w:t>1,179,996</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r>
              <w:t>$</w:t>
            </w:r>
          </w:p>
        </w:tc>
        <w:tc>
          <w:tcPr>
            <w:tcW w:w="1974" w:type="dxa"/>
            <w:tcBorders/>
            <w:vAlign w:val="bottom"/>
          </w:tcPr>
          <w:p>
            <w:pPr>
              <w:pStyle w:val="TableContents"/>
              <w:bidi w:val="0"/>
              <w:spacing w:before="0" w:after="283"/>
              <w:jc w:val="right"/>
            </w:pPr>
            <w:r>
              <w:t>1,140,893</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r>
              <w:t>$</w:t>
            </w:r>
          </w:p>
        </w:tc>
        <w:tc>
          <w:tcPr>
            <w:tcW w:w="1974" w:type="dxa"/>
            <w:tcBorders/>
            <w:vAlign w:val="bottom"/>
          </w:tcPr>
          <w:p>
            <w:pPr>
              <w:pStyle w:val="TableContents"/>
              <w:bidi w:val="0"/>
              <w:spacing w:before="0" w:after="283"/>
              <w:jc w:val="right"/>
            </w:pPr>
            <w:r>
              <w:t>2,336,539</w:t>
            </w:r>
          </w:p>
        </w:tc>
        <w:tc>
          <w:tcPr>
            <w:tcW w:w="60" w:type="dxa"/>
            <w:tcBorders/>
            <w:vAlign w:val="bottom"/>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bidi w:val="0"/>
              <w:spacing w:before="0" w:after="283"/>
              <w:jc w:val="left"/>
            </w:pPr>
            <w:r>
              <w:t> </w:t>
            </w:r>
            <w:r>
              <w:t>$</w:t>
            </w:r>
          </w:p>
        </w:tc>
        <w:tc>
          <w:tcPr>
            <w:tcW w:w="1974" w:type="dxa"/>
            <w:tcBorders/>
            <w:vAlign w:val="bottom"/>
          </w:tcPr>
          <w:p>
            <w:pPr>
              <w:pStyle w:val="TableContents"/>
              <w:bidi w:val="0"/>
              <w:spacing w:before="0" w:after="283"/>
              <w:jc w:val="right"/>
            </w:pPr>
            <w:r>
              <w:t>2,311,947</w:t>
            </w:r>
          </w:p>
        </w:tc>
        <w:tc>
          <w:tcPr>
            <w:tcW w:w="60" w:type="dxa"/>
            <w:tcBorders/>
            <w:vAlign w:val="bottom"/>
          </w:tcPr>
          <w:p>
            <w:pPr>
              <w:pStyle w:val="TableContents"/>
              <w:bidi w:val="0"/>
              <w:spacing w:before="0" w:after="283"/>
              <w:jc w:val="left"/>
            </w:pPr>
            <w:r>
              <w:t> </w:t>
            </w:r>
          </w:p>
        </w:tc>
      </w:tr>
      <w:t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double" w:sz="6" w:space="1" w:color="000000"/>
              </w:pBdr>
              <w:bidi w:val="0"/>
              <w:spacing w:before="0" w:after="0"/>
              <w:jc w:val="left"/>
            </w:pPr>
            <w:r>
              <w:t> </w:t>
            </w:r>
          </w:p>
        </w:tc>
        <w:tc>
          <w:tcPr>
            <w:tcW w:w="197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double" w:sz="6" w:space="1" w:color="000000"/>
              </w:pBdr>
              <w:bidi w:val="0"/>
              <w:spacing w:before="0" w:after="0"/>
              <w:jc w:val="left"/>
            </w:pPr>
            <w:r>
              <w:t> </w:t>
            </w:r>
          </w:p>
        </w:tc>
        <w:tc>
          <w:tcPr>
            <w:tcW w:w="197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double" w:sz="6" w:space="1" w:color="000000"/>
              </w:pBdr>
              <w:bidi w:val="0"/>
              <w:spacing w:before="0" w:after="0"/>
              <w:jc w:val="left"/>
            </w:pPr>
            <w:r>
              <w:t> </w:t>
            </w:r>
          </w:p>
        </w:tc>
        <w:tc>
          <w:tcPr>
            <w:tcW w:w="197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c>
          <w:tcPr>
            <w:tcW w:w="120" w:type="dxa"/>
            <w:tcBorders/>
            <w:vAlign w:val="bottom"/>
          </w:tcPr>
          <w:p>
            <w:pPr>
              <w:pStyle w:val="TableContents"/>
              <w:bidi w:val="0"/>
              <w:spacing w:before="0" w:after="283"/>
              <w:jc w:val="left"/>
            </w:pPr>
            <w:r>
              <w:t>  </w:t>
            </w:r>
          </w:p>
        </w:tc>
        <w:tc>
          <w:tcPr>
            <w:tcW w:w="281" w:type="dxa"/>
            <w:tcBorders/>
            <w:vAlign w:val="bottom"/>
          </w:tcPr>
          <w:p>
            <w:pPr>
              <w:pStyle w:val="TableContents"/>
              <w:pBdr>
                <w:top w:val="double" w:sz="6" w:space="1" w:color="000000"/>
              </w:pBdr>
              <w:bidi w:val="0"/>
              <w:spacing w:before="0" w:after="0"/>
              <w:jc w:val="left"/>
            </w:pPr>
            <w:r>
              <w:t> </w:t>
            </w:r>
          </w:p>
        </w:tc>
        <w:tc>
          <w:tcPr>
            <w:tcW w:w="1974" w:type="dxa"/>
            <w:tcBorders/>
            <w:vAlign w:val="bottom"/>
          </w:tcPr>
          <w:p>
            <w:pPr>
              <w:pStyle w:val="TableContents"/>
              <w:pBdr>
                <w:top w:val="double" w:sz="6" w:space="1" w:color="000000"/>
              </w:pBdr>
              <w:bidi w:val="0"/>
              <w:spacing w:before="0" w:after="0"/>
              <w:jc w:val="left"/>
            </w:pPr>
            <w:r>
              <w:t> </w:t>
            </w:r>
          </w:p>
        </w:tc>
        <w:tc>
          <w:tcPr>
            <w:tcW w:w="60"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pPr>
      <w:r>
        <w:drawing>
          <wp:inline distT="0" distB="0" distL="0" distR="0">
            <wp:extent cx="8100060" cy="7683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8100060" cy="76835"/>
                    </a:xfrm>
                    <a:prstGeom prst="rect">
                      <a:avLst/>
                    </a:prstGeom>
                  </pic:spPr>
                </pic:pic>
              </a:graphicData>
            </a:graphic>
          </wp:inline>
        </w:drawing>
      </w:r>
      <w:r>
        <w:t xml:space="preserve"> </w:t>
      </w:r>
    </w:p>
    <w:p>
      <w:pPr>
        <w:pStyle w:val="TextBody"/>
        <w:bidi w:val="0"/>
        <w:spacing w:before="40" w:after="0"/>
        <w:jc w:val="right"/>
        <w:rPr>
          <w:rFonts w:ascii="Arial" w:hAnsi="Arial"/>
          <w:sz w:val="14"/>
        </w:rPr>
      </w:pPr>
      <w:r>
        <w:rPr>
          <w:rFonts w:ascii="Arial" w:hAnsi="Arial"/>
          <w:sz w:val="14"/>
        </w:rPr>
        <w:t xml:space="preserve">Shareholder Letter | Q2 Fiscal Year 2027   16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4.jpeg"/><Relationship Id="rId17" Type="http://schemas.openxmlformats.org/officeDocument/2006/relationships/image" Target="media/image14.jpeg"/><Relationship Id="rId18" Type="http://schemas.openxmlformats.org/officeDocument/2006/relationships/image" Target="media/image14.jpeg"/><Relationship Id="rId19" Type="http://schemas.openxmlformats.org/officeDocument/2006/relationships/image" Target="media/image14.jpeg"/><Relationship Id="rId20" Type="http://schemas.openxmlformats.org/officeDocument/2006/relationships/image" Target="media/image14.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10373</Words>
  <Characters>59447</Characters>
  <CharactersWithSpaces>72049</CharactersWithSpaces>
  <Paragraphs>3646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