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1, 2011.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620" w:type="dxa"/>
            <w:vAlign w:val="bottom"/>
          </w:tcPr>
          <w:p>
            <w:pPr>
              <w:spacing w:after="0"/>
              <w:rPr>
                <w:sz w:val="17"/>
                <w:szCs w:val="17"/>
                <w:color w:val="auto"/>
              </w:rPr>
            </w:pPr>
          </w:p>
        </w:tc>
        <w:tc>
          <w:tcPr>
            <w:tcW w:w="25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53"/>
        </w:trPr>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4"/>
          </w:tcPr>
          <w:p>
            <w:pPr>
              <w:ind w:left="280"/>
              <w:spacing w:after="0"/>
              <w:rPr>
                <w:sz w:val="20"/>
                <w:szCs w:val="20"/>
                <w:color w:val="auto"/>
              </w:rPr>
            </w:pPr>
            <w:r>
              <w:rPr>
                <w:rFonts w:ascii="Arial" w:cs="Arial" w:eastAsia="Arial" w:hAnsi="Arial"/>
                <w:sz w:val="18"/>
                <w:szCs w:val="18"/>
                <w:b w:val="1"/>
                <w:bCs w:val="1"/>
                <w:color w:val="auto"/>
                <w:w w:val="90"/>
              </w:rPr>
              <w:t>Commission File Number (000-21767)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33-0174996</w:t>
      </w:r>
    </w:p>
    <w:p>
      <w:pPr>
        <w:spacing w:after="0" w:line="27"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2020"/>
        <w:spacing w:after="0"/>
        <w:rPr>
          <w:sz w:val="20"/>
          <w:szCs w:val="20"/>
          <w:color w:val="auto"/>
        </w:rPr>
      </w:pPr>
      <w:r>
        <w:rPr>
          <w:rFonts w:ascii="Arial" w:cs="Arial" w:eastAsia="Arial" w:hAnsi="Arial"/>
          <w:sz w:val="17"/>
          <w:szCs w:val="17"/>
          <w:color w:val="auto"/>
        </w:rPr>
        <w:t>Identification No.)</w:t>
      </w:r>
    </w:p>
    <w:p>
      <w:pPr>
        <w:spacing w:after="0" w:line="200" w:lineRule="exact"/>
        <w:rPr>
          <w:sz w:val="20"/>
          <w:szCs w:val="20"/>
          <w:color w:val="auto"/>
        </w:rPr>
      </w:pPr>
    </w:p>
    <w:p>
      <w:pPr>
        <w:sectPr>
          <w:pgSz w:w="11900" w:h="16838" w:orient="portrait"/>
          <w:cols w:equalWidth="0" w:num="2">
            <w:col w:w="7320" w:space="720"/>
            <w:col w:w="3360"/>
          </w:cols>
          <w:pgMar w:left="240" w:top="122" w:right="259" w:bottom="1440" w:gutter="0" w:footer="0" w:header="0"/>
          <w:type w:val="continuous"/>
        </w:sectPr>
      </w:pP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and telephone number)</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22" w:right="259" w:bottom="1440" w:gutter="0" w:footer="0" w:header="0"/>
          <w:type w:val="continuous"/>
        </w:sectPr>
      </w:pPr>
    </w:p>
    <w:p>
      <w:pPr>
        <w:spacing w:after="0" w:line="114"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60"/>
          </w:cols>
          <w:pgMar w:left="240" w:top="122" w:right="259" w:bottom="1440" w:gutter="0" w:footer="0" w:header="0"/>
          <w:type w:val="continuous"/>
        </w:sectPr>
      </w:pPr>
    </w:p>
    <w:p>
      <w:pPr>
        <w:ind w:left="220" w:right="2080" w:firstLine="3"/>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July 29, 2011 was 42,128,864.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gridSpan w:val="3"/>
          </w:tcPr>
          <w:p>
            <w:pPr>
              <w:jc w:val="center"/>
              <w:ind w:right="4120"/>
              <w:spacing w:after="0"/>
              <w:rPr>
                <w:sz w:val="20"/>
                <w:szCs w:val="20"/>
                <w:color w:val="auto"/>
              </w:rPr>
            </w:pPr>
            <w:r>
              <w:rPr>
                <w:rFonts w:ascii="Arial" w:cs="Arial" w:eastAsia="Arial" w:hAnsi="Arial"/>
                <w:sz w:val="18"/>
                <w:szCs w:val="18"/>
                <w:b w:val="1"/>
                <w:bCs w:val="1"/>
                <w:color w:val="auto"/>
                <w:w w:val="99"/>
              </w:rPr>
              <w:t>VIASAT, INC.</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160" w:type="dxa"/>
            <w:vAlign w:val="bottom"/>
            <w:gridSpan w:val="4"/>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60" w:type="dxa"/>
            <w:vAlign w:val="bottom"/>
            <w:gridSpan w:val="8"/>
            <w:vMerge w:val="restart"/>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1"/>
            <w:vMerge w:val="continue"/>
          </w:tcPr>
          <w:p>
            <w:pPr>
              <w:spacing w:after="0"/>
              <w:rPr>
                <w:sz w:val="14"/>
                <w:szCs w:val="14"/>
                <w:color w:val="auto"/>
              </w:rPr>
            </w:pPr>
          </w:p>
        </w:tc>
        <w:tc>
          <w:tcPr>
            <w:tcW w:w="75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7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Equity and Comprehensive Income</w:t>
              </w:r>
            </w:hyperlink>
          </w:p>
        </w:tc>
        <w:tc>
          <w:tcPr>
            <w:tcW w:w="508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61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7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3. Quantitative and Qualitative Disclosures About Market Risk</w:t>
              </w:r>
            </w:hyperlink>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8"/>
          </w:tcPr>
          <w:p>
            <w:pPr>
              <w:spacing w:after="0"/>
              <w:rPr>
                <w:sz w:val="17"/>
                <w:szCs w:val="17"/>
                <w:color w:val="auto"/>
              </w:rPr>
            </w:pPr>
          </w:p>
        </w:tc>
        <w:tc>
          <w:tcPr>
            <w:tcW w:w="57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OTHER INFORMATION</w:t>
              </w:r>
            </w:hyperlink>
          </w:p>
        </w:tc>
        <w:tc>
          <w:tcPr>
            <w:tcW w:w="78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1. Legal Proceedings</w:t>
              </w:r>
            </w:hyperlink>
          </w:p>
        </w:tc>
        <w:tc>
          <w:tcPr>
            <w:tcW w:w="874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Item 1A. Risk Factors</w:t>
              </w:r>
            </w:hyperlink>
          </w:p>
        </w:tc>
        <w:tc>
          <w:tcPr>
            <w:tcW w:w="904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948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100" w:type="dxa"/>
            <w:vAlign w:val="bottom"/>
            <w:tcBorders>
              <w:top w:val="single" w:sz="8" w:color="0000EE"/>
            </w:tcBorders>
          </w:tcPr>
          <w:p>
            <w:pPr>
              <w:spacing w:after="0"/>
              <w:rPr>
                <w:sz w:val="17"/>
                <w:szCs w:val="17"/>
                <w:color w:val="auto"/>
              </w:rPr>
            </w:pPr>
          </w:p>
        </w:tc>
        <w:tc>
          <w:tcPr>
            <w:tcW w:w="988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EX-31.2</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EX-32.1</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July 1, 2011</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April 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177,066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124,439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18,805</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370,489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533,197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243,223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77,088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83,702</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106,546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1,414,245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1,405,748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64,545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115,124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181,035</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2016,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272,420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76,710</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24,546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554,711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616,713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256,481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held in treasury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(20,072)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855,583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859,534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1,414,245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1,405,748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July 1, 2011</w:t>
            </w: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July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9"/>
              </w:rPr>
              <w:t>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w w:val="92"/>
              </w:rPr>
              <w:t>122,546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72,555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67,002</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195,101</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92,285</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49,316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41,733</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5,694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4,772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Pr>
          <w:p>
            <w:pPr>
              <w:spacing w:after="0"/>
              <w:rPr>
                <w:sz w:val="24"/>
                <w:szCs w:val="24"/>
                <w:color w:val="auto"/>
              </w:rPr>
            </w:pPr>
          </w:p>
        </w:tc>
        <w:tc>
          <w:tcPr>
            <w:tcW w:w="1360" w:type="dxa"/>
            <w:vAlign w:val="bottom"/>
            <w:gridSpan w:val="2"/>
          </w:tcPr>
          <w:p>
            <w:pPr>
              <w:jc w:val="right"/>
              <w:ind w:right="608"/>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Less: Net (loss) income attributable to the noncontrolling interest, net of tax</w:t>
            </w:r>
          </w:p>
        </w:tc>
        <w:tc>
          <w:tcPr>
            <w:tcW w:w="120" w:type="dxa"/>
            <w:vAlign w:val="bottom"/>
          </w:tcPr>
          <w:p>
            <w:pPr>
              <w:spacing w:after="0"/>
              <w:rPr>
                <w:sz w:val="18"/>
                <w:szCs w:val="18"/>
                <w:color w:val="auto"/>
              </w:rPr>
            </w:pPr>
          </w:p>
        </w:tc>
        <w:tc>
          <w:tcPr>
            <w:tcW w:w="1360" w:type="dxa"/>
            <w:vAlign w:val="bottom"/>
            <w:gridSpan w:val="2"/>
          </w:tcPr>
          <w:p>
            <w:pPr>
              <w:jc w:val="right"/>
              <w:ind w:right="608"/>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1,759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80" w:type="dxa"/>
            <w:vAlign w:val="bottom"/>
            <w:gridSpan w:val="2"/>
          </w:tcPr>
          <w:p>
            <w:pPr>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20" w:type="dxa"/>
            <w:vAlign w:val="bottom"/>
          </w:tcPr>
          <w:p>
            <w:pPr>
              <w:spacing w:after="0"/>
              <w:rPr>
                <w:sz w:val="24"/>
                <w:szCs w:val="24"/>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41,803</w:t>
            </w: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43,749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2011</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July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left="37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1,594</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24,372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Loss on disposition of fixed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(22,591)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(3,616)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(15,071)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8,909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equipment and satellites,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(36,567)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(4,119)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(40,686)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under equity plans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Purchase of common stock in treasury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(14,377)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40,490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26,113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57,331</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6,340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4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7"/>
              </w:rPr>
              <w:t>Common Stock</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rPr>
              <w:t>Common Stock Held</w:t>
            </w:r>
          </w:p>
        </w:tc>
        <w:tc>
          <w:tcPr>
            <w:tcW w:w="8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bottom w:val="single" w:sz="8" w:color="auto"/>
            </w:tcBorders>
            <w:gridSpan w:val="4"/>
          </w:tcPr>
          <w:p>
            <w:pPr>
              <w:jc w:val="right"/>
              <w:ind w:right="372"/>
              <w:spacing w:after="0" w:line="142" w:lineRule="exact"/>
              <w:rPr>
                <w:sz w:val="20"/>
                <w:szCs w:val="20"/>
                <w:color w:val="auto"/>
              </w:rPr>
            </w:pPr>
            <w:r>
              <w:rPr>
                <w:rFonts w:ascii="Arial" w:cs="Arial" w:eastAsia="Arial" w:hAnsi="Arial"/>
                <w:sz w:val="14"/>
                <w:szCs w:val="14"/>
                <w:b w:val="1"/>
                <w:bCs w:val="1"/>
                <w:color w:val="auto"/>
              </w:rPr>
              <w:t>in Treasury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2"/>
              </w:rPr>
              <w:t>Shares</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8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Interest in</w:t>
            </w:r>
          </w:p>
        </w:tc>
        <w:tc>
          <w:tcPr>
            <w:tcW w:w="8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Issued</w:t>
            </w:r>
          </w:p>
        </w:tc>
        <w:tc>
          <w:tcPr>
            <w:tcW w:w="700" w:type="dxa"/>
            <w:vAlign w:val="bottom"/>
            <w:gridSpan w:val="3"/>
            <w:vMerge w:val="continue"/>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Subsidiary</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April 1,</w:t>
            </w: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42,225,130</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$ 601,029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$ 254,722</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(560,363)</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(17,907)</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4,116</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$ 844,241</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130,258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2,390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Employee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Purchase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56,523</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2,079</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expense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4,875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4,875</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accrued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156,825</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6,340</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RSU awards vesting</w:t>
            </w:r>
          </w:p>
        </w:tc>
        <w:tc>
          <w:tcPr>
            <w:tcW w:w="880" w:type="dxa"/>
            <w:vAlign w:val="bottom"/>
          </w:tcPr>
          <w:p>
            <w:pPr>
              <w:jc w:val="right"/>
              <w:spacing w:after="0"/>
              <w:rPr>
                <w:sz w:val="20"/>
                <w:szCs w:val="20"/>
                <w:color w:val="auto"/>
              </w:rPr>
            </w:pPr>
            <w:r>
              <w:rPr>
                <w:rFonts w:ascii="Arial" w:cs="Arial" w:eastAsia="Arial" w:hAnsi="Arial"/>
                <w:sz w:val="18"/>
                <w:szCs w:val="18"/>
                <w:color w:val="auto"/>
              </w:rPr>
              <w:t>129,470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Purchase of treasury</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shares pursuant to</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 of certain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RSU agreements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(48,918)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(2,165)</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1,759</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Hedging</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translation, net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tax</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
        </w:trPr>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Balance at July 1,</w:t>
            </w:r>
          </w:p>
        </w:tc>
        <w:tc>
          <w:tcPr>
            <w:tcW w:w="8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20"/>
              <w:spacing w:after="0"/>
              <w:rPr>
                <w:sz w:val="20"/>
                <w:szCs w:val="20"/>
                <w:color w:val="auto"/>
              </w:rPr>
            </w:pPr>
            <w:r>
              <w:rPr>
                <w:rFonts w:ascii="Arial" w:cs="Arial" w:eastAsia="Arial" w:hAnsi="Arial"/>
                <w:sz w:val="18"/>
                <w:szCs w:val="18"/>
                <w:color w:val="auto"/>
              </w:rPr>
              <w:t>2011</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42,698,206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$ 616,713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$ 256,481</w:t>
            </w: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(609,281)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 (20,072)</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3,951</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$ 859,534</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accompanying condensed consolidated balance sheet at July 1, 2011, the condensed consolidated statements of operations for the three months ended July 1, 2011 and July 2, 2010, the condensed consolidated statements of cash flows for the three months ended July 1, 2011 and July 2, 2010, and the condensed consolidated statement of equity and comprehensive income for the three months ended July 1, 2011 have been prepared by the management of ViaSat, Inc. (also referred to hereafter as the Company or ViaSat), and have not been audited. These financial statements have been prepared on the same basis as the audited consolidated financial statements for the fiscal year ended April 1, 2011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1, 2011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70"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16"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2012 refer to the fiscal year ending on March 30, 2012. The Company’s quarters for fiscal year 2012 end on July 1, 2011, September 30, 2011, December 30, 2011 and March 30, 2012. This results in a 53 week fiscal year approximately every four to five years. Fiscal years 2012 and 2011 are both 52 week years.</w:t>
      </w:r>
    </w:p>
    <w:p>
      <w:pPr>
        <w:spacing w:after="0" w:line="3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During the second quarter of fiscal year 2011, the Company completed the acquisition of Stonewood Group Limited (Stonewood), a privately held company registered in England and Wales. This acquisition was accounted for as a purchase and accordingly, the condensed consolidated financial statements include the operating results of Stonewood from the date of acquisition (see Note 10).</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satellites, long-lived assets, derivatives, contingencies and income taxes including the valuation allowance on deferred tax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215"/>
        <w:spacing w:after="0" w:line="273" w:lineRule="auto"/>
        <w:rPr>
          <w:sz w:val="20"/>
          <w:szCs w:val="20"/>
          <w:color w:val="auto"/>
        </w:rPr>
      </w:pPr>
      <w:r>
        <w:rPr>
          <w:rFonts w:ascii="Arial" w:cs="Arial" w:eastAsia="Arial" w:hAnsi="Arial"/>
          <w:sz w:val="17"/>
          <w:szCs w:val="17"/>
          <w:color w:val="auto"/>
        </w:rPr>
        <w:t>A substantial portion of the Company’s revenues are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first quarter of fiscal year 2011, after the Company performed extensive integration testing of numerous system components that had been separately developed as part of a government satellite communication program, the Company recorded an additional forward loss of $8.5 million for the significant additional labor and material costs for rework and testing required to complete the program requirements and specifications. Including this program, during the three months ended July 1, 2011 and July 2, 2010, the Company recorded losses of approximately $0.3 million and $8.7 million, respectively, related to loss contracts.</w:t>
      </w:r>
    </w:p>
    <w:p>
      <w:pPr>
        <w:spacing w:after="0" w:line="80" w:lineRule="exact"/>
        <w:rPr>
          <w:sz w:val="20"/>
          <w:szCs w:val="20"/>
          <w:color w:val="auto"/>
        </w:rPr>
      </w:pPr>
    </w:p>
    <w:p>
      <w:pPr>
        <w:ind w:right="220" w:firstLine="222"/>
        <w:spacing w:after="0" w:line="312"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39"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w:t>
      </w:r>
    </w:p>
    <w:p>
      <w:pPr>
        <w:spacing w:after="0" w:line="5" w:lineRule="exact"/>
        <w:rPr>
          <w:sz w:val="20"/>
          <w:szCs w:val="20"/>
          <w:color w:val="auto"/>
        </w:rPr>
      </w:pPr>
    </w:p>
    <w:p>
      <w:pPr>
        <w:ind w:right="4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83"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Beginning in the first quarter of fiscal year 2012, the Company adopted Accounting Standards Update (ASU) 2009-13 (ASU 2009-13), Revenue Recognition (Topic 605) Multiple-Deliverable Revenue Arrangements, which updates ASC Topic 605-25, Revenue Recognition-Multiple element arrangements, of the Financial Accounting Standards Board (FASB) codification. ASU 2009-13 amended accounting guidance for revenue recognition to eliminate the use of the residual method and requires entities to allocate revenue using the relative selling price method.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72"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and for software license updates and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and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 The adoption of ASU 2009-13 did not have a material impact on the Company’s financial condition or results of operations for the three months ended July 1, 2011.</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73"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Contract costs on U.S. government contracts are subject to audit and negotiations with U.S. government representatives. The Company’s incurred cost audits by the Defense Contract Audit Agency (DCAA) have not been completed for fiscal year 2003 and subsequent fiscal years. Although the Company has recorded contract revenues subsequent to fiscal year 2002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July 1, 2011, the Company had $6.7 million in contract-related reserves for its estimate of potential refunds to customers for potential cost adjustments on several multi-year U.S. government cost reimbursable contracts (see Note 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Equipment, computers and software, furniture and fixtures, the Company’s satellite under construction and related gateway and networking equipment under construction are recorded at cost, net of accumulated depreciation.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59"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Satellite construction costs, including launch services and insurance, are generally procured under long-term contracts that provide for payments over the contract periods and are capitalized as incurred. The Company is also constructing gateway facilities and network operations systems to support the satellite under construction and these construction costs are capitalized as incurred. Interest expense is capitalized on the carrying value of the satellite, related gateway and networking equipment and other assets during the construction period, in accordance with the authoritative guidance for the capitalization of interest (ASC 835-20). With respect to ViaSat-1 (the Company’s high-capacity satellite), related gateway and networking equipment and other assets currently under construction, the Company capitalized $7.6 million of interest expense during the three months ended July 1, 2011, and $6.0 million of interest expense during the three months ended July 2, 2010.</w:t>
      </w:r>
    </w:p>
    <w:p>
      <w:pPr>
        <w:spacing w:after="0" w:line="70" w:lineRule="exact"/>
        <w:rPr>
          <w:sz w:val="20"/>
          <w:szCs w:val="20"/>
          <w:color w:val="auto"/>
        </w:rPr>
      </w:pPr>
    </w:p>
    <w:p>
      <w:pPr>
        <w:ind w:right="20" w:firstLine="215"/>
        <w:spacing w:after="0" w:line="291" w:lineRule="auto"/>
        <w:rPr>
          <w:sz w:val="20"/>
          <w:szCs w:val="20"/>
          <w:color w:val="auto"/>
        </w:rPr>
      </w:pPr>
      <w:r>
        <w:rPr>
          <w:rFonts w:ascii="Arial" w:cs="Arial" w:eastAsia="Arial" w:hAnsi="Arial"/>
          <w:sz w:val="16"/>
          <w:szCs w:val="16"/>
          <w:color w:val="auto"/>
        </w:rPr>
        <w:t>As a result of the acquisition of WildBlue Holding, Inc. (WildBlue) in December 2009, the Company acquired the WildBlue-1 satellite (which was placed into service in March 2007), an exclusive prepaid lifetime capital lease of Ka-band capacity over the continental United States on Telesat Canada’s Anik F2 satellite (which was placed into service in April 2005) and related gateway and networking equipment on both satellites. The acquired assets also included the indoor and outdoor customer premise equipment (CPE) units leased to subscribers under WildBlue’s retail leasing program. The Company depreciates the satellites, gateway and networking equipment, CPE units and related installation costs over their estimated useful lives. The total cost and accumulated depreciation of CPE units included in property and equipment, net, as of July 1, 2011 was $64.5 million and $22.9 million, respectively. The total cost and accumulated depreciation of CPE units included in property and equipment, net, as of April 1, 2011 was $61.6 million and $19.2 million, respectively.</w:t>
      </w:r>
    </w:p>
    <w:p>
      <w:pPr>
        <w:spacing w:after="0" w:line="59"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Occasionally, the Company may enter into capital lease arrangements for various machinery, equipment, computer-related equipment, software, furniture or fixtures. As of July 1, 2011, assets under capital leases totaled approximately $3.1 million and accumulated amortization related to such capital leases was $0.2 million. As of April 1, 2011, assets under capital leases totaled approximately $3.1 million and there was an immaterial amount of accumulated amortization. The Company records amortization of assets leased under capital lease arrangements within depreciation expense.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117"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July 1, 2011 and April 1, 2011. Accumulated amortization related to these patents was $0.3 million as of July 1, 2011 and April 1, 2011. Amortization expense related to these patents was less than $0.1 million for the three months ended July 1, 2011 and July 2, 2010. The Company had capitalized costs of $5.9 million and $5.7 million related to acquiring and obtaining orbital slots and other licenses, included in other assets as of July 1, 2011 and April 1, 2011, respectively. Accumulated amortization related to certain other licenses placed in service during the first quarter of fiscal year 2012 was $0.1 million as of July 1, 2011 and there was no accumulated amortization as of April 1, 2011. Amortization expense related to certain other licenses placed in service during the first quarter of fiscal year 2012 was $0.1 million for the three months ended July 1, 2011 and there was no amortization expense for the three months ended July 2, 2010. If a patent, orbital slot or orbital license is rejected, abandoned or otherwise invalidated, the unamortized cost is expensed in that period. During the three months ended July 1, 2011 and July 2, 2010, the Company did not write off any material costs due to abandonment or impairment.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$28.5 million and $24.5 million related to software developed for resale were included in other assets as of July 1, 2011 and April 1, 2011, respectively. The Company capitalized $5.2 million and $4.0 million of costs related to software developed for resale for the three months ended July 1, 2011 and July 2, 2010, respectively. Amortization expense for software development costs was $1.2 million for the three months ended July 1, 2011. There was no amortization expense of software development costs for the three months ended July 2,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Company’s self-insurance liability for the plans was $1.5 million as of July 1, 2011 and April 1, 2011.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July 1, 2011 and April 1, 2011, no such amounts were accrued.</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Simultaneously with the execution of the merger agreement relating to the acquisition of WildBlue, the Company entered into an indemnification agreement dated September 30, 2009 with several of the former stockholders of WildBlue pursuant to which such former stockholders agreed to indemnify the Company for costs which result from, relate to or arise out of potential claims and liabilities under various WildBlue contracts, an existing appraisal action regarding WildBlue’s 2008 recapitalization, certain rights to acquire securities of WildBlue and a severance agreement. Under the indemnification agreement, the Company is required to pay up to $0.5 million and has recorded a liability of $0.5 million in the condensed consolidated balance sheets as of July 1, 2011 and April 1, 2011 as an element of accrued liabilities.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are reported in the condensed consolidated financial statements at the consolidated amounts, which include the amounts attributable to both the controlling and noncontrolling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During the first three months of fiscal year 2012 and 2011, the Company issued 129,470 and 143,860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48,918 and 56,368 shares of common stock with a total value of $2.2 million and $1.8 million during the first three months of fiscal year 2012 and 2011, respectively. Repurchased shares of common stock of 609,281 and 560,363 were held in treasury as of July 1, 2011 and April 1, 2011,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values of the Company’s outstanding foreign currency forward contracts as of July 1, 2011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4"/>
              </w:rPr>
              <w:t>Asset Derivatives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Liability Derivatives</w:t>
            </w:r>
          </w:p>
        </w:tc>
        <w:tc>
          <w:tcPr>
            <w:tcW w:w="4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20" w:type="dxa"/>
            <w:vAlign w:val="bottom"/>
            <w:gridSpan w:val="2"/>
          </w:tcPr>
          <w:p>
            <w:pPr>
              <w:ind w:left="420"/>
              <w:spacing w:after="0" w:line="119" w:lineRule="exact"/>
              <w:rPr>
                <w:sz w:val="20"/>
                <w:szCs w:val="20"/>
                <w:color w:val="auto"/>
              </w:rPr>
            </w:pPr>
            <w:r>
              <w:rPr>
                <w:rFonts w:ascii="Arial" w:cs="Arial" w:eastAsia="Arial" w:hAnsi="Arial"/>
                <w:sz w:val="13"/>
                <w:szCs w:val="13"/>
                <w:b w:val="1"/>
                <w:bCs w:val="1"/>
                <w:color w:val="auto"/>
              </w:rPr>
              <w:t>Balance Sheet</w:t>
            </w:r>
          </w:p>
        </w:tc>
        <w:tc>
          <w:tcPr>
            <w:tcW w:w="140" w:type="dxa"/>
            <w:vAlign w:val="bottom"/>
          </w:tcPr>
          <w:p>
            <w:pPr>
              <w:spacing w:after="0"/>
              <w:rPr>
                <w:sz w:val="10"/>
                <w:szCs w:val="10"/>
                <w:color w:val="auto"/>
              </w:rPr>
            </w:pPr>
          </w:p>
        </w:tc>
        <w:tc>
          <w:tcPr>
            <w:tcW w:w="62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Fair</w:t>
            </w:r>
          </w:p>
        </w:tc>
        <w:tc>
          <w:tcPr>
            <w:tcW w:w="880" w:type="dxa"/>
            <w:vAlign w:val="bottom"/>
          </w:tcPr>
          <w:p>
            <w:pPr>
              <w:spacing w:after="0"/>
              <w:rPr>
                <w:sz w:val="10"/>
                <w:szCs w:val="10"/>
                <w:color w:val="auto"/>
              </w:rPr>
            </w:pPr>
          </w:p>
        </w:tc>
        <w:tc>
          <w:tcPr>
            <w:tcW w:w="170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Balance Sheet</w:t>
            </w:r>
          </w:p>
        </w:tc>
        <w:tc>
          <w:tcPr>
            <w:tcW w:w="2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5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Value</w:t>
            </w:r>
          </w:p>
        </w:tc>
        <w:tc>
          <w:tcPr>
            <w:tcW w:w="88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Derivatives designated as hedging instruments</w:t>
            </w: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2400" w:type="dxa"/>
            <w:vAlign w:val="bottom"/>
            <w:gridSpan w:val="3"/>
          </w:tcPr>
          <w:p>
            <w:pPr>
              <w:ind w:left="4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2580" w:type="dxa"/>
            <w:vAlign w:val="bottom"/>
            <w:gridSpan w:val="2"/>
          </w:tcPr>
          <w:p>
            <w:pPr>
              <w:ind w:left="880"/>
              <w:spacing w:after="0"/>
              <w:rPr>
                <w:sz w:val="20"/>
                <w:szCs w:val="20"/>
                <w:color w:val="auto"/>
              </w:rPr>
            </w:pPr>
            <w:r>
              <w:rPr>
                <w:rFonts w:ascii="Arial" w:cs="Arial" w:eastAsia="Arial" w:hAnsi="Arial"/>
                <w:sz w:val="18"/>
                <w:szCs w:val="18"/>
                <w:color w:val="auto"/>
              </w:rPr>
              <w:t>Not applicable</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values of the Company’s outstanding foreign currency forward contracts as of April 1, 2011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89"/>
              </w:rPr>
              <w:t>Asset Derivatives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Liability Derivatives</w:t>
            </w:r>
          </w:p>
        </w:tc>
        <w:tc>
          <w:tcPr>
            <w:tcW w:w="3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00" w:type="dxa"/>
            <w:vAlign w:val="bottom"/>
            <w:gridSpan w:val="2"/>
          </w:tcPr>
          <w:p>
            <w:pPr>
              <w:ind w:left="420"/>
              <w:spacing w:after="0" w:line="119" w:lineRule="exact"/>
              <w:rPr>
                <w:sz w:val="20"/>
                <w:szCs w:val="20"/>
                <w:color w:val="auto"/>
              </w:rPr>
            </w:pPr>
            <w:r>
              <w:rPr>
                <w:rFonts w:ascii="Arial" w:cs="Arial" w:eastAsia="Arial" w:hAnsi="Arial"/>
                <w:sz w:val="13"/>
                <w:szCs w:val="13"/>
                <w:b w:val="1"/>
                <w:bCs w:val="1"/>
                <w:color w:val="auto"/>
              </w:rPr>
              <w:t>Balance Sheet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8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Balance Sheet</w:t>
            </w:r>
          </w:p>
        </w:tc>
        <w:tc>
          <w:tcPr>
            <w:tcW w:w="22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5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Classification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Derivatives designated as hedging instruments</w:t>
            </w:r>
          </w:p>
        </w:tc>
        <w:tc>
          <w:tcPr>
            <w:tcW w:w="12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9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7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Not applicable</w:t>
            </w: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notional value of foreign currency forward contracts outstanding as of July 1, 2011 and April 1, 2011 was $2.9 million and $4.6 million,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effects of foreign currency forward contracts in cash flow hedging relationships during the three months ended July 1, 2011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Gain or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 of</w:t>
            </w:r>
          </w:p>
        </w:tc>
        <w:tc>
          <w:tcPr>
            <w:tcW w:w="3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of Gain or</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Gain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Gain or</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(Loss)</w:t>
            </w:r>
          </w:p>
        </w:tc>
        <w:tc>
          <w:tcPr>
            <w:tcW w:w="2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(Loss)</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(Loss)</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Accumulated</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from</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Portion and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OCI</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on</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OCI into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OCI into</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Portion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Excluded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Income</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(Effective</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(Effective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(Effective</w:t>
            </w: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Effectiveness</w:t>
            </w:r>
          </w:p>
        </w:tc>
        <w:tc>
          <w:tcPr>
            <w:tcW w:w="2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Arial" w:cs="Arial" w:eastAsia="Arial" w:hAnsi="Arial"/>
                <w:sz w:val="14"/>
                <w:szCs w:val="14"/>
                <w:color w:val="auto"/>
              </w:rPr>
              <w:t>Derivatives in Cash Flow Hedging Relationships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Portion)</w:t>
            </w: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Portion)</w:t>
            </w:r>
          </w:p>
        </w:tc>
        <w:tc>
          <w:tcPr>
            <w:tcW w:w="3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Testing)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Testing)</w:t>
            </w:r>
          </w:p>
        </w:tc>
        <w:tc>
          <w:tcPr>
            <w:tcW w:w="0" w:type="dxa"/>
            <w:vAlign w:val="bottom"/>
          </w:tcPr>
          <w:p>
            <w:pPr>
              <w:spacing w:after="0"/>
              <w:rPr>
                <w:sz w:val="1"/>
                <w:szCs w:val="1"/>
                <w:color w:val="auto"/>
              </w:rPr>
            </w:pPr>
          </w:p>
        </w:tc>
      </w:tr>
      <w:tr>
        <w:trPr>
          <w:trHeight w:val="128"/>
        </w:trPr>
        <w:tc>
          <w:tcPr>
            <w:tcW w:w="3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top w:val="single" w:sz="8" w:color="auto"/>
            </w:tcBorders>
            <w:gridSpan w:val="2"/>
          </w:tcPr>
          <w:p>
            <w:pPr>
              <w:jc w:val="center"/>
              <w:spacing w:after="0" w:line="128" w:lineRule="exact"/>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0"/>
                <w:szCs w:val="20"/>
                <w:color w:val="auto"/>
              </w:rPr>
            </w:pPr>
          </w:p>
        </w:tc>
        <w:tc>
          <w:tcPr>
            <w:tcW w:w="214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Cost of product 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w w:val="98"/>
              </w:rPr>
              <w:t>Not applicable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effects of foreign currency forward contracts in cash flow hedging relationships during the three months ended July 2, 2010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Gain or</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 of</w:t>
            </w:r>
          </w:p>
        </w:tc>
        <w:tc>
          <w:tcPr>
            <w:tcW w:w="3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of Gain or</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Gain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Gain or</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(Loss)</w:t>
            </w:r>
          </w:p>
        </w:tc>
        <w:tc>
          <w:tcPr>
            <w:tcW w:w="2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(Loss)</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0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 Accumulated</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from</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Portion and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OCI</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on</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OCI into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OCI into</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Portion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Excluded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Income</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(Effective</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(Effective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(Effective</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Effectiveness</w:t>
            </w:r>
          </w:p>
        </w:tc>
        <w:tc>
          <w:tcPr>
            <w:tcW w:w="2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4"/>
                <w:szCs w:val="14"/>
                <w:color w:val="auto"/>
              </w:rPr>
              <w:t>Derivatives in Cash Flow Hedging Relationships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Portion)</w:t>
            </w:r>
          </w:p>
        </w:tc>
        <w:tc>
          <w:tcPr>
            <w:tcW w:w="3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Portion)</w:t>
            </w: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Testing)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Testing)</w:t>
            </w:r>
          </w:p>
        </w:tc>
        <w:tc>
          <w:tcPr>
            <w:tcW w:w="0" w:type="dxa"/>
            <w:vAlign w:val="bottom"/>
          </w:tcPr>
          <w:p>
            <w:pPr>
              <w:spacing w:after="0"/>
              <w:rPr>
                <w:sz w:val="1"/>
                <w:szCs w:val="1"/>
                <w:color w:val="auto"/>
              </w:rPr>
            </w:pPr>
          </w:p>
        </w:tc>
      </w:tr>
      <w:tr>
        <w:trPr>
          <w:trHeight w:val="128"/>
        </w:trPr>
        <w:tc>
          <w:tcPr>
            <w:tcW w:w="3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gridSpan w:val="2"/>
          </w:tcPr>
          <w:p>
            <w:pPr>
              <w:jc w:val="center"/>
              <w:spacing w:after="0" w:line="128"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(89)</w:t>
            </w:r>
          </w:p>
        </w:tc>
        <w:tc>
          <w:tcPr>
            <w:tcW w:w="212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Cost of product 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ind w:left="300"/>
              <w:spacing w:after="0"/>
              <w:rPr>
                <w:sz w:val="20"/>
                <w:szCs w:val="20"/>
                <w:color w:val="auto"/>
              </w:rPr>
            </w:pPr>
            <w:r>
              <w:rPr>
                <w:rFonts w:ascii="Arial" w:cs="Arial" w:eastAsia="Arial" w:hAnsi="Arial"/>
                <w:sz w:val="18"/>
                <w:szCs w:val="18"/>
                <w:color w:val="auto"/>
                <w:w w:val="98"/>
              </w:rPr>
              <w:t>Not applicable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660"/>
              <w:spacing w:after="0"/>
              <w:rPr>
                <w:sz w:val="20"/>
                <w:szCs w:val="20"/>
                <w:color w:val="auto"/>
              </w:rPr>
            </w:pPr>
            <w:r>
              <w:rPr>
                <w:rFonts w:ascii="Arial" w:cs="Arial" w:eastAsia="Arial" w:hAnsi="Arial"/>
                <w:sz w:val="17"/>
                <w:szCs w:val="17"/>
                <w:color w:val="auto"/>
                <w:w w:val="72"/>
              </w:rPr>
              <w:t>(89)</w:t>
            </w:r>
          </w:p>
        </w:tc>
        <w:tc>
          <w:tcPr>
            <w:tcW w:w="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 July 1, 2011, the estimated net existing income that is expected to be reclassified into income within the next twelve months is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$0.1 million. Foreign currency forward contracts usually mature within approximately twelve months from their inception. There were no gains or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from ineffectiveness of these derivative instruments recorded for the three months ended July 1, 2011 and July 2,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requisite service period of the employee’s award. Stock-based compensation expense is recognized in the condensed consolidated statement of operations for the three months ended July 1, 2011 and July 2, 2010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$4.2 million of stock-based compensation expense for each of the three months ended July 1, 2011 and July 2, 2010.</w:t>
      </w:r>
    </w:p>
    <w:p>
      <w:pPr>
        <w:spacing w:after="0" w:line="5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For the three months ended July 1, 2011 and July 2, 2010, the Company recorded no incremental tax benefits from stock options exercised and restricted stock unit award vesting as the excess tax benefit from stock options exercised and restricted stock unit award vesting increased the Company’s net operating loss carryforward.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215"/>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5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October 2009, the FASB issued authoritative guidance for revenue recognition with multiple deliverables (ASU 2009-13, which updated ASC 605-25).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The Company adopted this guidance in the first quarter of fiscal year 2012 without a material impact on its consolidated financial statements and disclosures.</w:t>
      </w:r>
    </w:p>
    <w:p>
      <w:pPr>
        <w:spacing w:after="0" w:line="64"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In May 2011, the FASB issued ASU 2011-04, Fair Value Measurement (ASC 820): Amendments to Achieve Common Fair Value Measurement and Disclosure Requirements in GAAP and International Financial Reporting Standards (IFRS). The new authoritative guidance results in a consistent definition of fair value and common requirements for measurement of and disclosure about fair value between GAAP and IFRS. While many of the amendments to GAAP are not expected to have a significant effect on practice, the new guidance changes some fair value measurement principles and disclosure requirements. This guidance is effective for the Company beginning in the fourth quarter of fiscal year 2012. Adoption of this authoritative guidance is not expected to have a material impact on the Company’s consolidated financial statements and disclosures.</w:t>
      </w:r>
    </w:p>
    <w:p>
      <w:pPr>
        <w:spacing w:after="0" w:line="7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The new authoritative guidance requires an entity to present the total of comprehensive income, the components of net income, and the components of other comprehensive income either in a single continuous statement of comprehensive income or in two separate but consecutive statements. The new authoritative guidance eliminates the option to present the components of other comprehensive income as part of the statement of equity. This guidance will be effective for the Company beginning in the fourth quarter of fiscal year 2012 and should be applied retrospectively; however, early adoption is permitted. The Company is currently evaluating the impact that the authoritative guidance may have on its consolidated financial statements and disclosures.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July 1, 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April 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ind w:left="5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Billed</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84,475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100,863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93,275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91,519</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177,066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191,889</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51,637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46,651</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23,140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18,713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33,191</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124,439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21,152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18,235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24,066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21,141</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Satellites, net:</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 WildBlue-1 (estimated useful life of 10 years)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195,890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195,890</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99,090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under construction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283,923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276,418</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578,903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571,398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(38,398)</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533,197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Machinery and equipment (estimated useful life of 2-5 years)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127,325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122,113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equipment and software (estimated useful life of 2-7 years)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66,768</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CPE leased equipment (estimated useful life of 3-5 years)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64,542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61,610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fixtures (estimated useful life of 7 years)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13,053</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Leasehold improvements (estimated useful life of 2-11 years)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24,765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 (estimated useful life of 24 years)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Land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4,384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in progress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80,976</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406,859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382,377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(163,636)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(149,238)</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243,223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Technology (weighted average useful life of 6 years)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54,456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54,344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and customer relationships (weighted average useful life of 7 years)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88,843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88,834</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Non-compete agreements (weighted average useful life of 4 years)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9,352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Trade name (weighted average useful life of 3 years)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(weighted average useful life of 6 years)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176,266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(99,178)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(94,232)</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Warranty reserve, current portion</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7,630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Accrued employee compensation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18,804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 and deferred revenues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61,916</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115,124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130,583</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Unrecognized tax position liabilities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Deferred rent, long-term portion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6,494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long-term portion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Deferred income taxes, long-term portion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3,363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 reserve, long-term portion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24,546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0" w:gutter="0" w:footer="0" w:header="0"/>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19" w:right="239" w:bottom="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6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b w:val="1"/>
          <w:bCs w:val="1"/>
          <w:color w:val="auto"/>
        </w:rPr>
      </w:pPr>
    </w:p>
    <w:p>
      <w:pPr>
        <w:ind w:left="220" w:right="80" w:hanging="212"/>
        <w:spacing w:after="0" w:line="264"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b w:val="1"/>
          <w:bCs w:val="1"/>
          <w:color w:val="auto"/>
        </w:rPr>
      </w:pPr>
    </w:p>
    <w:p>
      <w:pPr>
        <w:ind w:left="220" w:right="4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tables present the Company’s hierarchy for its assets and liabilities measured at fair value on a recurring basis as of July 1, 2011 and April 1,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 as of</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July 1, 2011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8"/>
              <w:spacing w:after="0"/>
              <w:rPr>
                <w:sz w:val="20"/>
                <w:szCs w:val="20"/>
                <w:color w:val="auto"/>
              </w:rPr>
            </w:pPr>
            <w:r>
              <w:rPr>
                <w:rFonts w:ascii="Arial" w:cs="Arial" w:eastAsia="Arial" w:hAnsi="Arial"/>
                <w:sz w:val="18"/>
                <w:szCs w:val="18"/>
                <w:color w:val="auto"/>
              </w:rPr>
              <w:t>367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 as of</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6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rPr>
              <w:t>Level 2</w:t>
            </w:r>
          </w:p>
        </w:tc>
        <w:tc>
          <w:tcPr>
            <w:tcW w:w="32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April 1, 2011</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left="37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4,488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8"/>
              <w:spacing w:after="0"/>
              <w:rPr>
                <w:sz w:val="20"/>
                <w:szCs w:val="20"/>
                <w:color w:val="auto"/>
              </w:rPr>
            </w:pPr>
            <w:r>
              <w:rPr>
                <w:rFonts w:ascii="Arial" w:cs="Arial" w:eastAsia="Arial" w:hAnsi="Arial"/>
                <w:sz w:val="18"/>
                <w:szCs w:val="18"/>
                <w:color w:val="auto"/>
              </w:rPr>
              <w:t>4,488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62" w:lineRule="exact"/>
        <w:rPr>
          <w:sz w:val="20"/>
          <w:szCs w:val="20"/>
          <w:color w:val="auto"/>
        </w:rPr>
      </w:pPr>
    </w:p>
    <w:p>
      <w:pPr>
        <w:ind w:right="220" w:firstLine="225"/>
        <w:spacing w:after="0" w:line="272" w:lineRule="auto"/>
        <w:rPr>
          <w:sz w:val="20"/>
          <w:szCs w:val="20"/>
          <w:color w:val="auto"/>
        </w:rPr>
      </w:pPr>
      <w:r>
        <w:rPr>
          <w:rFonts w:ascii="Arial" w:cs="Arial" w:eastAsia="Arial" w:hAnsi="Arial"/>
          <w:sz w:val="17"/>
          <w:szCs w:val="17"/>
          <w:i w:val="1"/>
          <w:iCs w:val="1"/>
          <w:color w:val="auto"/>
        </w:rPr>
        <w:t xml:space="preserve">Foreign currency forward contracts </w:t>
      </w:r>
      <w:r>
        <w:rPr>
          <w:rFonts w:ascii="Arial" w:cs="Arial" w:eastAsia="Arial" w:hAnsi="Arial"/>
          <w:sz w:val="17"/>
          <w:szCs w:val="17"/>
          <w:color w:val="auto"/>
        </w:rPr>
        <w:t>— The Company uses derivative financial instruments to manage foreign currency risk relating to foreign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quoted prices for similar assets and liabilities in active markets or other inputs that are observable or can be corroborated by observable market data.</w:t>
      </w:r>
    </w:p>
    <w:p>
      <w:pPr>
        <w:spacing w:after="0" w:line="7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the revolving credit facility (the Credit Facility) reported at the borrowed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amount, capital lease obligations reported at the present value of future minimum lease payments with current accrued interest, and the Company’s 8.875% Senior Notes due 2016 (the Notes) reported at amortized cost. However, for disclosure purposes, the Company is required to measure the fair value of outstanding debt on a recurring basis. The fair value of the Company’s outstanding long-term debt related to the Notes is determined using quoted prices in active markets and was approximately $291.5 million and $293.6 million as of July 1, 2011 and April 1, 2011, respectively. The fair value of the Company’s long-term debt related to the Credit Facility approximates its carrying amount due to its variable interest rate on the revolving line of credit, which approximates a market interest rate. The fair value of the Company’s capital lease obligations is estimated at their carrying value based on current rates.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8"/>
              </w:rPr>
              <w:t>July 1, 2011</w:t>
            </w: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July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224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60" w:type="dxa"/>
            <w:vAlign w:val="bottom"/>
          </w:tcPr>
          <w:p>
            <w:pPr>
              <w:spacing w:after="0" w:line="201" w:lineRule="exact"/>
              <w:rPr>
                <w:sz w:val="20"/>
                <w:szCs w:val="20"/>
                <w:color w:val="auto"/>
              </w:rPr>
            </w:pPr>
            <w:r>
              <w:rPr>
                <w:rFonts w:ascii="Arial" w:cs="Arial" w:eastAsia="Arial" w:hAnsi="Arial"/>
                <w:sz w:val="18"/>
                <w:szCs w:val="18"/>
                <w:color w:val="auto"/>
              </w:rPr>
              <w:t>Common shares outstanding used in calculating basic net income per share attributable to ViaSat, Inc. common</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41,803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 application of the treasury stock method</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Restricted stock units to acquire common stock as determined by application of the treasury stock method</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373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Potentially issuable shares in connection with certain terms of the amended ViaSat 401(k) Profit Sharing Plan</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Employee Stock Purchase Plan equivalents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 attributable to ViaSat, Inc. common stockholders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43,749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Antidilutive shares relating to stock options excluded from the calculation were 241,525 and 345,700 shares for the three months ended July 1, 2011 and July 2, 2010, respectively. Antidilutive shares relating to restricted stock units excluded from the calculation were 4,824 and none for the three months ended July 1, 2011 and July 2, 2010,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12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During the first quarter of fiscal year 2012, the Company’s change in goodwill of approximately $0.2 million related to the effect of foreign currency translation recorded within the Company’s government systems and commercial networks segments. Other acquired intangible assets are amortized using the straight-line method over their estimated useful lives of eight months to ten years. Amortization expense related to other acquired intangible assets was $4.8 million and $4.6 million for the three months ended July 1, 2011 and July 2, 2010, respectively.</w:t>
      </w:r>
    </w:p>
    <w:p>
      <w:pPr>
        <w:spacing w:after="0" w:line="63"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the international businesses acquired. Current and expected amortization expense for acquired intangible assets for each of the following periods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1, 2011</w:t>
            </w:r>
          </w:p>
        </w:tc>
        <w:tc>
          <w:tcPr>
            <w:tcW w:w="61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Expected for the remainder of fiscal year 2012</w:t>
            </w:r>
          </w:p>
        </w:tc>
        <w:tc>
          <w:tcPr>
            <w:tcW w:w="6160" w:type="dxa"/>
            <w:vAlign w:val="bottom"/>
            <w:gridSpan w:val="2"/>
          </w:tcPr>
          <w:p>
            <w:pPr>
              <w:ind w:left="59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13,970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920" w:type="dxa"/>
            <w:vAlign w:val="bottom"/>
            <w:vMerge w:val="restart"/>
          </w:tcPr>
          <w:p>
            <w:pPr>
              <w:jc w:val="right"/>
              <w:ind w:right="453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long-term debt consisted of the following as of July 1, 2011 and April 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July 1, 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April 1, 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580" w:type="dxa"/>
            <w:vAlign w:val="bottom"/>
            <w:gridSpan w:val="4"/>
          </w:tcPr>
          <w:p>
            <w:pPr>
              <w:ind w:left="6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 due 2016 (the Notes)</w:t>
            </w:r>
          </w:p>
        </w:tc>
        <w:tc>
          <w:tcPr>
            <w:tcW w:w="2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Notes</w:t>
            </w:r>
          </w:p>
        </w:tc>
        <w:tc>
          <w:tcPr>
            <w:tcW w:w="4040" w:type="dxa"/>
            <w:vAlign w:val="bottom"/>
            <w:gridSpan w:val="3"/>
          </w:tcPr>
          <w:p>
            <w:pPr>
              <w:jc w:val="right"/>
              <w:ind w:right="360"/>
              <w:spacing w:after="0"/>
              <w:rPr>
                <w:sz w:val="20"/>
                <w:szCs w:val="20"/>
                <w:color w:val="auto"/>
              </w:rPr>
            </w:pPr>
            <w:r>
              <w:rPr>
                <w:rFonts w:ascii="Arial" w:cs="Arial" w:eastAsia="Arial" w:hAnsi="Arial"/>
                <w:sz w:val="18"/>
                <w:szCs w:val="18"/>
                <w:color w:val="auto"/>
              </w:rPr>
              <w:t>$ 275,000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275,000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Notes</w:t>
            </w:r>
          </w:p>
        </w:tc>
        <w:tc>
          <w:tcPr>
            <w:tcW w:w="4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(2,704)</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Notes, net of discount</w:t>
            </w:r>
          </w:p>
        </w:tc>
        <w:tc>
          <w:tcPr>
            <w:tcW w:w="29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272,296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Notes</w:t>
            </w:r>
          </w:p>
        </w:tc>
        <w:tc>
          <w:tcPr>
            <w:tcW w:w="2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Notes long-term, net</w:t>
            </w:r>
          </w:p>
        </w:tc>
        <w:tc>
          <w:tcPr>
            <w:tcW w:w="29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272,296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2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Line of credit</w:t>
            </w:r>
          </w:p>
        </w:tc>
        <w:tc>
          <w:tcPr>
            <w:tcW w:w="4040" w:type="dxa"/>
            <w:vAlign w:val="bottom"/>
            <w:gridSpan w:val="3"/>
          </w:tcPr>
          <w:p>
            <w:pPr>
              <w:jc w:val="right"/>
              <w:ind w:right="360"/>
              <w:spacing w:after="0"/>
              <w:rPr>
                <w:sz w:val="20"/>
                <w:szCs w:val="20"/>
                <w:color w:val="auto"/>
              </w:rPr>
            </w:pPr>
            <w:r>
              <w:rPr>
                <w:rFonts w:ascii="Arial" w:cs="Arial" w:eastAsia="Arial" w:hAnsi="Arial"/>
                <w:sz w:val="18"/>
                <w:szCs w:val="18"/>
                <w:color w:val="auto"/>
              </w:rPr>
              <w:t>75,000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4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3,076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29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4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9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350,496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335,370</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current portion</w:t>
            </w:r>
          </w:p>
        </w:tc>
        <w:tc>
          <w:tcPr>
            <w:tcW w:w="29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4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$ 349,130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334,242</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In October 2009, the Company issued $275.0 million in principal amount of Notes in a private placement to institutional buyers, which Notes were exchanged in May 2010 for substantially identical Notes that had been registered with the Securities and Exchange Commission (SEC). The Notes bear interest at the rate of 8.875% per year, payable semi-annually in cash in arrears, which interest payments commenced in March 2010. The Notes were issued with an original issue discount of 1.24%, or $3.4 million. The Notes are recorded as long-term debt, net of original issue discount, in the Company’s consolidated financial statements. The original issue discount and deferred financing cost associated with the issuance of the Notes is amortized to interest expense on a straight-line basis over the term of the Notes.</w:t>
      </w:r>
    </w:p>
    <w:p>
      <w:pPr>
        <w:spacing w:after="0" w:line="85"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Notes are guaranteed on an unsecured senior basis by each of the Company’s existing and future subsidiaries that guarantees the Credit Facility (the Guarantor Subsidiaries). The Notes and the guarantees are the Company’s and the Guarantor Subsidiaries’ general senior unsecured obligations and rank equally in right of payment with all of the Company’s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70"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8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Prior to September 15, 2012, the Company may redeem a portion of the Notes at the redemption price specified in the indenture, plus accrued and unpaid interest, if any, thereon to the redemption date, from the net cash proceeds of specified equity offerings. The Company may also redeem the Notes prior to September 15, 2012, in whole or in part, at a redemption price equal to the principal amount thereof plus the applicable “make-whole” premium and any accrued and unpaid interest, if any, thereon to the redemption date. The Notes may be redeemed, in whole or in part, at any time from September 15, 2012 at a fixed redemption price that declines ratably over time, plus accrued and unpaid interest, if any, thereon to the redemption date. For more information regarding the applicable redemption prices, see “Item 2. Management’s Discussion and Analysis of Financial Condition of Results of Operations — Liquidity and Capital Resources” of the Company’s Quarterly Report on Form 10-Q for the three months ended July 1,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the Company to repurchase all or any part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firstLine="215"/>
        <w:spacing w:after="0" w:line="271" w:lineRule="auto"/>
        <w:rPr>
          <w:sz w:val="20"/>
          <w:szCs w:val="20"/>
          <w:color w:val="auto"/>
        </w:rPr>
      </w:pPr>
      <w:r>
        <w:rPr>
          <w:rFonts w:ascii="Arial" w:cs="Arial" w:eastAsia="Arial" w:hAnsi="Arial"/>
          <w:sz w:val="17"/>
          <w:szCs w:val="17"/>
          <w:color w:val="auto"/>
        </w:rPr>
        <w:t>As of July 1, 2011, the Credit Facility provided a revolving line of credit of $325.0 million (including up to $35.0 million of letters of credit), with a maturity date of January 25, 2016. Borrowings under the Credit Facility bear interest, at the Company’s option, at either (1) the highest of the Federal Funds rate plus 0.50%, the Eurodollar rate plus 1.00% or the administrative agent’s prime rate as announced from time to time, or (2) at the Eurodollar rate plus, in the case of each of (1) and (2), an applicable margin that is based on the ratio of the Company’s debt to earnings before interest, taxes, depreciation and amortization (EBITDA). At July 1, 2011, the weighted average effective interest rate on the Company’s outstanding borrowings under the Credit Facility was 3.25%. The Company has capitalized certain amounts of interest expense on the Credit Facility in connection with the construction of ViaSat-1, related gateway and networking equipment and other assets currently under construction. The Credit Facility is guaranteed by certain of the Company’s domestic subsidiaries and collateralized by substantially all of the Company’s and the Guarantor Subsidiaries’ assets.</w:t>
      </w:r>
    </w:p>
    <w:p>
      <w:pPr>
        <w:spacing w:after="0" w:line="71"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5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 was in compliance with its financial covenants under the Credit Facility as of July 1, 2011. At July 1, 2011, the Company had $75.0 million in principal amount of outstanding borrowings under the Credit Facility and $10.2 million outstanding under standby letters of credit, leaving borrowing availability under the Credit Facility as of July 1, 2011 of $239.8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Occasionally, the Company may enter into capital lease agreements for various machinery, equipment, computer-related equipment, software, furniture or fixtures. As of July 1, 2011 and April 1, 2011, the Company had approximately $3.1 million outstanding under capital leases payable over a weighted average period of 36 months, due fiscal years 2014 through 2015. These lease agreements bear interest at a weighted average rate of 4.69% and can be extended on a month-to-month basis after the original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July 1, 2011 and July 2,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2011</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July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center"/>
              <w:ind w:left="31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440" w:type="dxa"/>
            <w:vAlign w:val="bottom"/>
            <w:gridSpan w:val="2"/>
            <w:shd w:val="clear" w:color="auto" w:fill="CCEEFF"/>
          </w:tcPr>
          <w:p>
            <w:pPr>
              <w:ind w:left="4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12,942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11,208</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Balance, end of period</w:t>
            </w:r>
          </w:p>
        </w:tc>
        <w:tc>
          <w:tcPr>
            <w:tcW w:w="4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12,658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80" w:type="dxa"/>
            <w:vAlign w:val="bottom"/>
            <w:vMerge w:val="restart"/>
          </w:tcPr>
          <w:p>
            <w:pPr>
              <w:jc w:val="right"/>
              <w:ind w:right="329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63"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 has contracts with various U.S. government agencies. Accordingly, the Company is routinely subject to audit and review by the DCAA and other U.S. government agencies for its performance on government contracts, indirect rates and pricing practices, accounting and management internal control systems, and compliance with applicable contracting and procurement laws, regulations and standards. Such audits or reviews could result in significant customer refunds, penalties and sanctions against the Company, and could adversely affect the Company’s ability to receive timely payment on contracts, perform contracts or compete for contracts with the U.S. Government. The Company’s incurred cost audits by the DCAA have not been completed for fiscal year 2003 and subsequent fiscal years. Although the Company has recorded contract revenues subsequent to fiscal year 2002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July 1, 2011, the Company had $6.7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21"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Company currently estimates its annual effective income tax rate to be a benefit of approximately 0.8% for fiscal year 2012, compared to the actual zero effective income tax rate in fiscal year 2011. The estimated annual effective income tax rate reflects the December 31, 2011 expiration of the federal research and development tax credit. If the federal research and development tax credit is reinstated, the Company may have a lower annual effective tax rate for fiscal year 2012, and the amount of any such tax rate reduction will depend on the effective date of any such reinstatement, the terms of the reinstatement, as well as the amount of eligible research and development expenses in the reinstated period. The estimated effective tax rate is different from the expected statutory rate primarily due to research and development tax credits.</w:t>
      </w:r>
    </w:p>
    <w:p>
      <w:pPr>
        <w:spacing w:after="0" w:line="7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For the three months ended July 1, 2011, the Company’s gross unrecognized tax benefits increased by $0.9 million. In the next twelve months, it is reasonably possible that the amount of unrecognized tax benefits will decrease by up to approximately $3.1 million as a result of the expiration of the statute of limitations or settlements with tax authorities for previously filed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Stonewood acquisition</w:t>
      </w:r>
    </w:p>
    <w:p>
      <w:pPr>
        <w:spacing w:after="0" w:line="117"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On July 8, 2010, the Company completed the acquisition of all outstanding shares of the parent company of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These products enhance the Company’s current encryption security offerings within the Company’s information assurance products in the government systems segment. The purchase price of approximately $18.8 million was comprised of $4.6 million related to the fair value of 144,962 shares of the Company’s common stock issued at the closing and $14.2 million in cash consideration paid to former Stonewood stockholders. The $14.2 million in cash consideration paid to the former Stonewood stockholders less cash acquired of $0.7 million resulted in a net cash outlay of approximately $13.5 million. The acquisition was accounted for as a purchase and accordingly, the condensed consolidated financial statements include the operating results of Stonewood from the date of acquisition. The purchase price allocation is preliminary due to pending resolution of certain Stonewood tax attributes.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The Company’s satellite services segment complements both the government systems and commercial networks segments by providing wholesale and retail satellite-based broadband internet services in the United States via the Company’s satellite and capacity agreements, as well as managed network services for the satellite communication systems of the Company’s consumer, enterprise and mobile broadband customers. The Company’s satellite services segment includes the Company’s acquired WildBlue business and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75"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As discussed further in Note 1, included in the government systems segment operating profit for the three months ended July 2, 2010 is an $8.5 million forward loss recorded on a government satellite communications program.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2011</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July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left="41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520" w:type="dxa"/>
            <w:vAlign w:val="bottom"/>
            <w:gridSpan w:val="2"/>
          </w:tcPr>
          <w:p>
            <w:pPr>
              <w:ind w:left="14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86,169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56,863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195,101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520" w:type="dxa"/>
            <w:vAlign w:val="bottom"/>
            <w:gridSpan w:val="2"/>
          </w:tcPr>
          <w:p>
            <w:pPr>
              <w:ind w:left="14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7,380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 of acquired intangible assets</w:t>
            </w:r>
          </w:p>
        </w:tc>
        <w:tc>
          <w:tcPr>
            <w:tcW w:w="1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(4,772)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July 1, 2011 and April 1, 2011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w:t>
            </w:r>
          </w:p>
        </w:tc>
      </w:tr>
      <w:tr>
        <w:trPr>
          <w:trHeight w:val="171"/>
        </w:trPr>
        <w:tc>
          <w:tcPr>
            <w:tcW w:w="89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July 1, 2011</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April 1, 2011</w:t>
            </w:r>
          </w:p>
        </w:tc>
        <w:tc>
          <w:tcPr>
            <w:tcW w:w="100" w:type="dxa"/>
            <w:vAlign w:val="bottom"/>
          </w:tcPr>
          <w:p>
            <w:pPr>
              <w:spacing w:after="0"/>
              <w:rPr>
                <w:sz w:val="14"/>
                <w:szCs w:val="14"/>
                <w:color w:val="auto"/>
              </w:rPr>
            </w:pPr>
          </w:p>
        </w:tc>
      </w:tr>
      <w:tr>
        <w:trPr>
          <w:trHeight w:val="142"/>
        </w:trPr>
        <w:tc>
          <w:tcPr>
            <w:tcW w:w="8980" w:type="dxa"/>
            <w:vAlign w:val="bottom"/>
          </w:tcPr>
          <w:p>
            <w:pPr>
              <w:spacing w:after="0"/>
              <w:rPr>
                <w:sz w:val="12"/>
                <w:szCs w:val="12"/>
                <w:color w:val="auto"/>
              </w:rPr>
            </w:pPr>
          </w:p>
        </w:tc>
        <w:tc>
          <w:tcPr>
            <w:tcW w:w="2440" w:type="dxa"/>
            <w:vAlign w:val="bottom"/>
            <w:gridSpan w:val="4"/>
          </w:tcPr>
          <w:p>
            <w:pPr>
              <w:ind w:left="72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Government Systems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  225,948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228,194</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Networks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141,310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133,158</w:t>
            </w: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Satellite Services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94,657</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93,857</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assets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461,915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455,209</w:t>
            </w: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Corporate assets</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952,330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950,539</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$ 1,414,245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$ 1,405,748</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920" w:type="dxa"/>
            <w:vAlign w:val="bottom"/>
            <w:gridSpan w:val="17"/>
          </w:tcPr>
          <w:p>
            <w:pPr>
              <w:ind w:left="240"/>
              <w:spacing w:after="0"/>
              <w:rPr>
                <w:sz w:val="20"/>
                <w:szCs w:val="20"/>
                <w:color w:val="auto"/>
              </w:rPr>
            </w:pPr>
            <w:r>
              <w:rPr>
                <w:rFonts w:ascii="Arial" w:cs="Arial" w:eastAsia="Arial" w:hAnsi="Arial"/>
                <w:sz w:val="18"/>
                <w:szCs w:val="18"/>
                <w:color w:val="auto"/>
                <w:w w:val="92"/>
              </w:rPr>
              <w:t>Other acquired intangible assets, net and goodwill included in segment assets as of July 1, 2011 and April 1, 2011 were as follows: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tcPr>
          <w:p>
            <w:pPr>
              <w:ind w:left="300"/>
              <w:spacing w:after="0"/>
              <w:rPr>
                <w:sz w:val="20"/>
                <w:szCs w:val="20"/>
                <w:color w:val="auto"/>
              </w:rPr>
            </w:pPr>
            <w:r>
              <w:rPr>
                <w:rFonts w:ascii="Arial" w:cs="Arial" w:eastAsia="Arial" w:hAnsi="Arial"/>
                <w:sz w:val="14"/>
                <w:szCs w:val="14"/>
                <w:b w:val="1"/>
                <w:bCs w:val="1"/>
                <w:color w:val="auto"/>
              </w:rPr>
              <w:t>Acquired Intangible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vMerge w:val="restart"/>
          </w:tcPr>
          <w:p>
            <w:pPr>
              <w:jc w:val="center"/>
              <w:ind w:right="159"/>
              <w:spacing w:after="0"/>
              <w:rPr>
                <w:sz w:val="20"/>
                <w:szCs w:val="20"/>
                <w:color w:val="auto"/>
              </w:rPr>
            </w:pPr>
            <w:r>
              <w:rPr>
                <w:rFonts w:ascii="Arial" w:cs="Arial" w:eastAsia="Arial" w:hAnsi="Arial"/>
                <w:sz w:val="14"/>
                <w:szCs w:val="14"/>
                <w:b w:val="1"/>
                <w:bCs w:val="1"/>
                <w:color w:val="auto"/>
                <w:w w:val="94"/>
              </w:rPr>
              <w:t>Goodwill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4"/>
                <w:szCs w:val="14"/>
                <w:b w:val="1"/>
                <w:bCs w:val="1"/>
                <w:color w:val="auto"/>
                <w:w w:val="83"/>
              </w:rPr>
              <w:t>Assets, Net</w:t>
            </w:r>
          </w:p>
        </w:tc>
        <w:tc>
          <w:tcPr>
            <w:tcW w:w="6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July 1, 2011</w:t>
            </w:r>
          </w:p>
        </w:tc>
        <w:tc>
          <w:tcPr>
            <w:tcW w:w="6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April 1, 2011</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74"/>
              </w:rPr>
              <w:t>thousands)</w:t>
            </w:r>
          </w:p>
        </w:tc>
        <w:tc>
          <w:tcPr>
            <w:tcW w:w="78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96"/>
              </w:rPr>
              <w:t>July 1, 2011</w:t>
            </w:r>
          </w:p>
        </w:tc>
        <w:tc>
          <w:tcPr>
            <w:tcW w:w="60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April 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vMerge w:val="continue"/>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10,468</w:t>
            </w:r>
          </w:p>
        </w:tc>
        <w:tc>
          <w:tcPr>
            <w:tcW w:w="8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5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29,988</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30,023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4,517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43,905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43,700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62,103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65,341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9,809</w:t>
            </w: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81,889</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83,702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920" w:type="dxa"/>
            <w:vAlign w:val="bottom"/>
            <w:gridSpan w:val="17"/>
          </w:tcPr>
          <w:p>
            <w:pPr>
              <w:ind w:left="220"/>
              <w:spacing w:after="0"/>
              <w:rPr>
                <w:sz w:val="20"/>
                <w:szCs w:val="20"/>
                <w:color w:val="auto"/>
              </w:rPr>
            </w:pPr>
            <w:r>
              <w:rPr>
                <w:rFonts w:ascii="Arial" w:cs="Arial" w:eastAsia="Arial" w:hAnsi="Arial"/>
                <w:sz w:val="18"/>
                <w:szCs w:val="18"/>
                <w:color w:val="auto"/>
                <w:w w:val="95"/>
              </w:rPr>
              <w:t>Amortization of acquired intangible assets by segment for the three months ended July 1, 2011 and July 2, 2010 was as follows: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86"/>
              </w:rPr>
              <w:t>July 1, 2011</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1"/>
              </w:rPr>
              <w:t>July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jc w:val="center"/>
              <w:ind w:left="33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651</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883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3,238</w:t>
            </w: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4,772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19" w:right="239" w:bottom="0" w:gutter="0" w:footer="0" w:header="0"/>
          <w:type w:val="continuous"/>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three months ended July 1, 2011 and July 2, 2010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July 1, 2011</w:t>
            </w: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July 2, 2010</w:t>
            </w:r>
          </w:p>
        </w:tc>
        <w:tc>
          <w:tcPr>
            <w:tcW w:w="100" w:type="dxa"/>
            <w:vAlign w:val="bottom"/>
          </w:tcPr>
          <w:p>
            <w:pPr>
              <w:spacing w:after="0"/>
              <w:rPr>
                <w:sz w:val="12"/>
                <w:szCs w:val="12"/>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6"/>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$ 154,201</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$ 161,165</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060" w:type="dxa"/>
            <w:vAlign w:val="bottom"/>
            <w:gridSpan w:val="4"/>
          </w:tcPr>
          <w:p>
            <w:pPr>
              <w:jc w:val="right"/>
              <w:ind w:right="340"/>
              <w:spacing w:after="0"/>
              <w:rPr>
                <w:sz w:val="20"/>
                <w:szCs w:val="20"/>
                <w:color w:val="auto"/>
              </w:rPr>
            </w:pPr>
            <w:r>
              <w:rPr>
                <w:rFonts w:ascii="Arial" w:cs="Arial" w:eastAsia="Arial" w:hAnsi="Arial"/>
                <w:sz w:val="18"/>
                <w:szCs w:val="18"/>
                <w:color w:val="auto"/>
              </w:rPr>
              <w:t>26,904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20,614</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7,178</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6,833</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4,224</w:t>
            </w:r>
          </w:p>
        </w:tc>
        <w:tc>
          <w:tcPr>
            <w:tcW w:w="3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1,322</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2,594</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$ 195,101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$ 192,004</w:t>
            </w:r>
          </w:p>
        </w:tc>
        <w:tc>
          <w:tcPr>
            <w:tcW w:w="10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17" w:lineRule="exact"/>
        <w:rPr>
          <w:sz w:val="20"/>
          <w:szCs w:val="20"/>
          <w:color w:val="auto"/>
        </w:rPr>
      </w:pPr>
    </w:p>
    <w:p>
      <w:pPr>
        <w:ind w:right="940" w:firstLine="222"/>
        <w:spacing w:after="0" w:line="277" w:lineRule="auto"/>
        <w:rPr>
          <w:sz w:val="20"/>
          <w:szCs w:val="20"/>
          <w:color w:val="auto"/>
        </w:rPr>
      </w:pPr>
      <w:r>
        <w:rPr>
          <w:rFonts w:ascii="Arial" w:cs="Arial" w:eastAsia="Arial" w:hAnsi="Arial"/>
          <w:sz w:val="18"/>
          <w:szCs w:val="18"/>
          <w:color w:val="auto"/>
        </w:rPr>
        <w:t>The net book value of long-lived assets located outside the United States was $11.5 million and $7.9 million at July 1, 2011 and April 1,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7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January 2008, the Company entered into a satellite construction contract with SS/L under which the Company purchased a new high-capacity Ka-band spot-beam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 On March 1, 2011, Loral entered into agreements with Telesat Canada pursuant to which Loral assigned to Telesat Canada and Telesat Canada assumed from Loral all of Loral’s rights and obligations with respect to the Canadian beams on ViaSat-1.</w:t>
      </w:r>
    </w:p>
    <w:p>
      <w:pPr>
        <w:spacing w:after="0" w:line="7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During the three months ended July 1, 2011 and July 2, 2010, under the satellite construction contract, the Company paid $1.3 million and $10.6 million, respectively, to SS/L. During the three months ended July 1, 2011 and July 2, 2010, the Company also received less than $0.1 million and $3.8 million of cash, respectively, from SS/L under the beam sharing agreement with Loral. All other amounts related to SS/L under the ViaSat-1 related satellite contracts were not material.</w:t>
      </w:r>
    </w:p>
    <w:p>
      <w:pPr>
        <w:spacing w:after="0" w:line="7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From time to time, the Company enters into various contracts in the ordinary course of business with SS/L and Telesat Canada. Under a contract with SS/L, the Company recognized $1.5 million and $0.1 million in revenue during the three months ended July 1, 2011 and July 2, 2010, respectively, related to a contract with SS/L. Collections in excess of revenues and deferred revenues related to a contract with SS/L were $0.3 million and $1.4 million as of July 1, 2011 and April 1, 2011, respectively. The Company received cash of $1.0 million and $0.8 million from Telesat Canada during the three months ended July 1, 2011 and July 2, 2010, respectively. During the three months ended July 1, 2011 and July 2, 2010, the Company paid $2.4 million and $2.8 million, respectively, to Telesat Canada. All other amounts related to SS/L and Telesat Canada, excluding activities under the ViaSat-1 related satellite contracts, were not material.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Statements of Parent and Subsidiary Guarantors</w:t>
      </w:r>
    </w:p>
    <w:p>
      <w:pPr>
        <w:spacing w:after="0" w:line="121"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In October 2009, the Company issued $275.0 million in principal amount of Notes in a private placement to institutional buyers. The Notes were exchanged in May 2010 for substantially identical Notes that had been registered with the SEC. The Notes are jointly and severally guaranteed on a full and unconditional basis by each of the Guarantor Subsidiaries, which are 100% owned by the Company. 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59" w:lineRule="exact"/>
        <w:rPr>
          <w:sz w:val="20"/>
          <w:szCs w:val="20"/>
          <w:color w:val="auto"/>
        </w:rPr>
      </w:pPr>
    </w:p>
    <w:p>
      <w:pPr>
        <w:ind w:right="180" w:firstLine="222"/>
        <w:spacing w:after="0" w:line="286" w:lineRule="auto"/>
        <w:rPr>
          <w:sz w:val="20"/>
          <w:szCs w:val="20"/>
          <w:color w:val="auto"/>
        </w:rPr>
      </w:pPr>
      <w:r>
        <w:rPr>
          <w:rFonts w:ascii="Arial" w:cs="Arial" w:eastAsia="Arial" w:hAnsi="Arial"/>
          <w:sz w:val="17"/>
          <w:szCs w:val="17"/>
          <w:color w:val="auto"/>
        </w:rPr>
        <w:t>The following supplemental financial information sets forth, on a condensed consolidating basis, the balance sheets, statements of operations and statements of cash flows for the Company (as “Issuing Parent Company”), the Guarantor Subsidiaries, the non-guarantor subsidiaries and total consolidated Company and subsidiaries as of July 1, 2011 and April 1, 2011 and for the three months ended July 1, 2011 and July 2,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July 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Issuing Parent</w:t>
            </w:r>
          </w:p>
        </w:tc>
        <w:tc>
          <w:tcPr>
            <w:tcW w:w="560" w:type="dxa"/>
            <w:vAlign w:val="bottom"/>
          </w:tcPr>
          <w:p>
            <w:pPr>
              <w:spacing w:after="0"/>
              <w:rPr>
                <w:sz w:val="14"/>
                <w:szCs w:val="14"/>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360" w:type="dxa"/>
            <w:vAlign w:val="bottom"/>
          </w:tcPr>
          <w:p>
            <w:pPr>
              <w:spacing w:after="0"/>
              <w:rPr>
                <w:sz w:val="14"/>
                <w:szCs w:val="14"/>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Company</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5"/>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9,648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158,763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11,752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6,551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107,911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16,428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16,208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312,220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26,567</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283,923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249,274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140,552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5,604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63,939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9,687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10,076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480,692</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(484,124)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93,078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12,885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1,379,634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466,153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53,148</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(484,690)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1,414,245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58,481</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5,329</w:t>
            </w:r>
          </w:p>
        </w:tc>
        <w:tc>
          <w:tcPr>
            <w:tcW w:w="2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735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89,169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147,775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181,035</w:t>
            </w:r>
          </w:p>
        </w:tc>
        <w:tc>
          <w:tcPr>
            <w:tcW w:w="0" w:type="dxa"/>
            <w:vAlign w:val="bottom"/>
          </w:tcPr>
          <w:p>
            <w:pPr>
              <w:spacing w:after="0"/>
              <w:rPr>
                <w:sz w:val="1"/>
                <w:szCs w:val="1"/>
                <w:color w:val="auto"/>
              </w:rPr>
            </w:pP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Senior Notes due 2016, net</w:t>
            </w: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272,420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75,172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Intercompany payables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11,191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16,029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(27,220)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16,932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523,490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22,998</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(27,220)</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856,144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430,710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30,150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(461,421)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855,583</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856,144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430,710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30,150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(457,470)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1,379,634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466,153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53,148</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(484,690)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1,414,245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April 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20" w:type="dxa"/>
            <w:vAlign w:val="bottom"/>
          </w:tcPr>
          <w:p>
            <w:pPr>
              <w:spacing w:after="0"/>
              <w:rPr>
                <w:sz w:val="14"/>
                <w:szCs w:val="14"/>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360" w:type="dxa"/>
            <w:vAlign w:val="bottom"/>
          </w:tcPr>
          <w:p>
            <w:pPr>
              <w:spacing w:after="0"/>
              <w:rPr>
                <w:sz w:val="14"/>
                <w:szCs w:val="14"/>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Company</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5"/>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8,543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171,183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10,644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10,062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315,736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22,859</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276,418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256,582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122,945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103,410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7,785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63,939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9,907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83,532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490,288</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(492,938)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89,834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12,922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1,365,361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482,383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51,854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(493,850)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1,405,748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62,465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8,164</w:t>
            </w:r>
          </w:p>
        </w:tc>
        <w:tc>
          <w:tcPr>
            <w:tcW w:w="2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1,083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163,330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203,423</w:t>
            </w:r>
          </w:p>
        </w:tc>
        <w:tc>
          <w:tcPr>
            <w:tcW w:w="0" w:type="dxa"/>
            <w:vAlign w:val="bottom"/>
          </w:tcPr>
          <w:p>
            <w:pPr>
              <w:spacing w:after="0"/>
              <w:rPr>
                <w:sz w:val="1"/>
                <w:szCs w:val="1"/>
                <w:color w:val="auto"/>
              </w:rPr>
            </w:pP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Senior Notes due 2016, net</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272,296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Intercompany payables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14,606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11,945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(26,551)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526,899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40,931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20,228</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(26,551)</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838,462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441,452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31,626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(471,415)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840,125</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838,462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441,452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31,626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(467,299)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1,365,361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482,383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51,854</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(493,850)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1,405,748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Three Months Ended July 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Guarantor</w:t>
            </w:r>
          </w:p>
        </w:tc>
        <w:tc>
          <w:tcPr>
            <w:tcW w:w="34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w w:val="93"/>
              </w:rPr>
              <w:t>Company</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4"/>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118,913</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3,250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17,697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72,555</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136,610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195,101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89,564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2,573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26,615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2,044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net income (loss) of consolidated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(1,901)</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Three Months Ended July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Issuing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713"/>
              <w:spacing w:after="0"/>
              <w:rPr>
                <w:sz w:val="20"/>
                <w:szCs w:val="20"/>
                <w:color w:val="auto"/>
              </w:rPr>
            </w:pPr>
            <w:r>
              <w:rPr>
                <w:rFonts w:ascii="Arial" w:cs="Arial" w:eastAsia="Arial" w:hAnsi="Arial"/>
                <w:sz w:val="14"/>
                <w:szCs w:val="14"/>
                <w:b w:val="1"/>
                <w:bCs w:val="1"/>
                <w:color w:val="auto"/>
                <w:w w:val="93"/>
              </w:rPr>
              <w:t>Non-</w:t>
            </w: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Consolidation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tcPr>
          <w:p>
            <w:pPr>
              <w:jc w:val="center"/>
              <w:ind w:right="573"/>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6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88"/>
              </w:rPr>
              <w:t>Subsidiaries</w:t>
            </w: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right"/>
              <w:ind w:right="91"/>
              <w:spacing w:after="0" w:line="142" w:lineRule="exact"/>
              <w:rPr>
                <w:sz w:val="20"/>
                <w:szCs w:val="20"/>
                <w:color w:val="auto"/>
              </w:rPr>
            </w:pPr>
            <w:r>
              <w:rPr>
                <w:rFonts w:ascii="Arial" w:cs="Arial" w:eastAsia="Arial" w:hAnsi="Arial"/>
                <w:sz w:val="14"/>
                <w:szCs w:val="14"/>
                <w:b w:val="1"/>
                <w:bCs w:val="1"/>
                <w:color w:val="auto"/>
              </w:rPr>
              <w:t>(Unaudited, in</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125,141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73"/>
              <w:spacing w:after="0"/>
              <w:rPr>
                <w:sz w:val="20"/>
                <w:szCs w:val="20"/>
                <w:color w:val="auto"/>
              </w:rPr>
            </w:pPr>
            <w:r>
              <w:rPr>
                <w:rFonts w:ascii="Arial" w:cs="Arial" w:eastAsia="Arial" w:hAnsi="Arial"/>
                <w:sz w:val="18"/>
                <w:szCs w:val="18"/>
                <w:color w:val="auto"/>
              </w:rPr>
              <w:t>1,342</w:t>
            </w: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(2,032)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53,543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2,655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67,002</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136,363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54,094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95,288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73"/>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29,681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1,765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25,561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12,478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73"/>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13"/>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3,309</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73"/>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Three Months Ended July 1,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Consolidation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Issuing Parent</w:t>
            </w:r>
          </w:p>
        </w:tc>
        <w:tc>
          <w:tcPr>
            <w:tcW w:w="520" w:type="dxa"/>
            <w:vAlign w:val="bottom"/>
          </w:tcPr>
          <w:p>
            <w:pPr>
              <w:spacing w:after="0"/>
              <w:rPr>
                <w:sz w:val="12"/>
                <w:szCs w:val="12"/>
                <w:color w:val="auto"/>
              </w:rPr>
            </w:pP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420" w:type="dxa"/>
            <w:vAlign w:val="bottom"/>
          </w:tcPr>
          <w:p>
            <w:pPr>
              <w:spacing w:after="0"/>
              <w:rPr>
                <w:sz w:val="12"/>
                <w:szCs w:val="12"/>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4"/>
                <w:szCs w:val="14"/>
                <w:color w:val="auto"/>
              </w:rPr>
            </w:pPr>
          </w:p>
        </w:tc>
        <w:tc>
          <w:tcPr>
            <w:tcW w:w="1440" w:type="dxa"/>
            <w:vAlign w:val="bottom"/>
            <w:gridSpan w:val="4"/>
          </w:tcPr>
          <w:p>
            <w:pPr>
              <w:ind w:left="520"/>
              <w:spacing w:after="0"/>
              <w:rPr>
                <w:sz w:val="20"/>
                <w:szCs w:val="20"/>
                <w:color w:val="auto"/>
              </w:rPr>
            </w:pPr>
            <w:r>
              <w:rPr>
                <w:rFonts w:ascii="Arial" w:cs="Arial" w:eastAsia="Arial" w:hAnsi="Arial"/>
                <w:sz w:val="14"/>
                <w:szCs w:val="14"/>
                <w:b w:val="1"/>
                <w:bCs w:val="1"/>
                <w:color w:val="auto"/>
              </w:rPr>
              <w:t>Subsidiaries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(Unaudited, in thousands)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(4,303)</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12,921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291</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 net</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(30,440)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(5,897)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Investment in subsidiaries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equity plans</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4,469</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11,069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(11,069)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(11,069)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24,347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8,543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12,910</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9,648</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jc w:val="right"/>
              <w:ind w:right="234"/>
              <w:spacing w:after="0"/>
              <w:rPr>
                <w:sz w:val="20"/>
                <w:szCs w:val="20"/>
                <w:color w:val="auto"/>
              </w:rPr>
            </w:pPr>
            <w:r>
              <w:rPr>
                <w:rFonts w:ascii="Arial" w:cs="Arial" w:eastAsia="Arial" w:hAnsi="Arial"/>
                <w:sz w:val="18"/>
                <w:szCs w:val="18"/>
                <w:color w:val="auto"/>
                <w:w w:val="89"/>
              </w:rPr>
              <w:t>26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Three Months Ended July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Guarantor</w:t>
            </w:r>
          </w:p>
        </w:tc>
        <w:tc>
          <w:tcPr>
            <w:tcW w:w="340" w:type="dxa"/>
            <w:vAlign w:val="bottom"/>
          </w:tcPr>
          <w:p>
            <w:pPr>
              <w:spacing w:after="0"/>
              <w:rPr>
                <w:sz w:val="14"/>
                <w:szCs w:val="14"/>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Company</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9"/>
              </w:rPr>
              <w:t>(Unaudited, in thousands)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ind w:left="400"/>
              <w:spacing w:after="0" w:line="201" w:lineRule="exact"/>
              <w:rPr>
                <w:sz w:val="20"/>
                <w:szCs w:val="20"/>
                <w:color w:val="auto"/>
              </w:rPr>
            </w:pPr>
            <w:r>
              <w:rPr>
                <w:rFonts w:ascii="Arial" w:cs="Arial" w:eastAsia="Arial" w:hAnsi="Arial"/>
                <w:sz w:val="18"/>
                <w:szCs w:val="18"/>
                <w:color w:val="auto"/>
              </w:rPr>
              <w:t>Net cash provided by (used in) operating</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ind w:left="600"/>
              <w:spacing w:after="0"/>
              <w:rPr>
                <w:sz w:val="20"/>
                <w:szCs w:val="20"/>
                <w:color w:val="auto"/>
              </w:rPr>
            </w:pPr>
            <w:r>
              <w:rPr>
                <w:rFonts w:ascii="Arial" w:cs="Arial" w:eastAsia="Arial" w:hAnsi="Arial"/>
                <w:sz w:val="18"/>
                <w:szCs w:val="18"/>
                <w:color w:val="auto"/>
              </w:rPr>
              <w:t>activities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7,153</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31,192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w w:val="95"/>
              </w:rPr>
              <w:t>Purchase of property, equipment and satellites,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(32,065)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(8,601)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Investment in subsidiaries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Net cash provided by (used in) investing</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(36,962)</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1,177</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(45,157)</w:t>
            </w:r>
          </w:p>
        </w:tc>
        <w:tc>
          <w:tcPr>
            <w:tcW w:w="0" w:type="dxa"/>
            <w:vAlign w:val="bottom"/>
          </w:tcPr>
          <w:p>
            <w:pPr>
              <w:spacing w:after="0"/>
              <w:rPr>
                <w:sz w:val="1"/>
                <w:szCs w:val="1"/>
                <w:color w:val="auto"/>
              </w:rPr>
            </w:pP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equity plans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6,198</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31,475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(31,427)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Net cash provided by (used in) financing</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5,857</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(31,427)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increase (decrease) in cash and cash equivalents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66,258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16,216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80" w:firstLine="222"/>
        <w:spacing w:after="0" w:line="268"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the launch of our ViaSat-1 satellite;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Part I, Item 1A of our Annual Report on Form 10-K for the fiscal year ended April 1, 2011,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through our wholly owned subsidiary WildBlue Holding, Inc. (WildBlue), we are a leading wholesale and retail provider of satellite broadband internet services in the United States. ViaSat, Inc. was incorporated in California in 1986, and reincorporated as a Delaware corporation in 1996.</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ViaSat operates in three segments: government systems, commercial networks and satellite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jc w:val="both"/>
        <w:ind w:right="460" w:firstLine="225"/>
        <w:spacing w:after="0" w:line="259"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armed forces, public safety first-responders and remote government employees.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17" w:lineRule="exact"/>
        <w:rPr>
          <w:sz w:val="20"/>
          <w:szCs w:val="20"/>
          <w:color w:val="auto"/>
        </w:rPr>
      </w:pPr>
    </w:p>
    <w:p>
      <w:pPr>
        <w:ind w:left="340" w:right="300" w:hanging="332"/>
        <w:spacing w:after="0" w:line="279" w:lineRule="auto"/>
        <w:tabs>
          <w:tab w:leader="none" w:pos="34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Government satellite communication systems, including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as well as products designed for manpacks, aircraft, unmanned aerial vehicles (UAVs), seagoing vessels, ground mobile vehicles and fixed applications.</w:t>
      </w:r>
    </w:p>
    <w:p>
      <w:pPr>
        <w:spacing w:after="0" w:line="63" w:lineRule="exact"/>
        <w:rPr>
          <w:rFonts w:ascii="Arial" w:cs="Arial" w:eastAsia="Arial" w:hAnsi="Arial"/>
          <w:sz w:val="17"/>
          <w:szCs w:val="17"/>
          <w:b w:val="1"/>
          <w:bCs w:val="1"/>
          <w:color w:val="auto"/>
        </w:rPr>
      </w:pPr>
    </w:p>
    <w:p>
      <w:pPr>
        <w:ind w:left="340" w:right="360" w:hanging="332"/>
        <w:spacing w:after="0" w:line="277"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that enable military and government users to communicate information securely over networks, and that secure data stored on computers and storage devices.</w:t>
      </w:r>
    </w:p>
    <w:p>
      <w:pPr>
        <w:spacing w:after="0" w:line="62" w:lineRule="exact"/>
        <w:rPr>
          <w:rFonts w:ascii="Arial" w:cs="Arial" w:eastAsia="Arial" w:hAnsi="Arial"/>
          <w:sz w:val="18"/>
          <w:szCs w:val="18"/>
          <w:b w:val="1"/>
          <w:bCs w:val="1"/>
          <w:color w:val="auto"/>
        </w:rPr>
      </w:pPr>
    </w:p>
    <w:p>
      <w:pPr>
        <w:ind w:left="340" w:right="40" w:hanging="332"/>
        <w:spacing w:after="0" w:line="277"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Tactical data links, including Multifunctional Information Distribution System (MIDS) terminals for military fighter jets, and their successor, MIDS Joint Tactical Radio System (MIDS JTRS) terminals, “disposable” weapon data links, and portable small tactical terminals.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commercial networks segment develops and produces a variety of advanced end-to-end satellite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w:t>
      </w:r>
    </w:p>
    <w:p>
      <w:pPr>
        <w:spacing w:after="0" w:line="79"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6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Consumer broadband, including next-generation satellite network infrastructure and ground terminals to access high-capacity satellites.</w:t>
      </w:r>
    </w:p>
    <w:p>
      <w:pPr>
        <w:spacing w:after="0" w:line="117" w:lineRule="exact"/>
        <w:rPr>
          <w:rFonts w:ascii="Arial" w:cs="Arial" w:eastAsia="Arial" w:hAnsi="Arial"/>
          <w:sz w:val="18"/>
          <w:szCs w:val="18"/>
          <w:b w:val="1"/>
          <w:bCs w:val="1"/>
          <w:color w:val="auto"/>
        </w:rPr>
      </w:pPr>
    </w:p>
    <w:p>
      <w:pPr>
        <w:ind w:left="340" w:right="380" w:hanging="332"/>
        <w:spacing w:after="0" w:line="277"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62"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Mobile broadband satellite communication systems, designed for use in aircraft, seagoing vessels and high-speed trains.</w:t>
      </w:r>
    </w:p>
    <w:p>
      <w:pPr>
        <w:spacing w:after="0" w:line="117" w:lineRule="exact"/>
        <w:rPr>
          <w:rFonts w:ascii="Arial" w:cs="Arial" w:eastAsia="Arial" w:hAnsi="Arial"/>
          <w:sz w:val="18"/>
          <w:szCs w:val="18"/>
          <w:b w:val="1"/>
          <w:bCs w:val="1"/>
          <w:color w:val="auto"/>
        </w:rPr>
      </w:pPr>
    </w:p>
    <w:p>
      <w:pPr>
        <w:ind w:left="340" w:right="40" w:hanging="332"/>
        <w:spacing w:after="0" w:line="277"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and products, designed to provide enterprises with broadband access to the internet or private networks.</w:t>
      </w:r>
    </w:p>
    <w:p>
      <w:pPr>
        <w:spacing w:after="0" w:line="62" w:lineRule="exact"/>
        <w:rPr>
          <w:rFonts w:ascii="Arial" w:cs="Arial" w:eastAsia="Arial" w:hAnsi="Arial"/>
          <w:sz w:val="18"/>
          <w:szCs w:val="18"/>
          <w:b w:val="1"/>
          <w:bCs w:val="1"/>
          <w:color w:val="auto"/>
        </w:rPr>
      </w:pPr>
    </w:p>
    <w:p>
      <w:pPr>
        <w:ind w:left="340" w:right="60" w:hanging="332"/>
        <w:spacing w:after="0" w:line="277"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Our satellite services segment complements both our government systems and commercial networks segments by providing wholesale and retail satellite-based broadband internet services via our distribution and capacity agreements, as well as managed network services for the satellite communication systems of our consumer, enterprise and mobile broadband customers. Commencing in late 2011, we expect this segment to also include broadband services using our new high-capacity Ka-band spot-beam satellite, ViaSat-1. In late July 2011, construction of the ViaSat-1 satellite and on-site testing at the satellite manufacturer was completed and the satellite is being readied for shipment to the launch facility at the Baikonur Cosmodrome in Kazakhstan. In late September 2011, following the launch preparation process, we expect the satellite to be launched into orbit.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services offered by our satellite services segment comprise:</w:t>
      </w:r>
    </w:p>
    <w:p>
      <w:pPr>
        <w:spacing w:after="0" w:line="117" w:lineRule="exact"/>
        <w:rPr>
          <w:sz w:val="20"/>
          <w:szCs w:val="20"/>
          <w:color w:val="auto"/>
        </w:rPr>
      </w:pPr>
    </w:p>
    <w:p>
      <w:pPr>
        <w:ind w:left="340" w:right="700" w:hanging="332"/>
        <w:spacing w:after="0" w:line="277"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Wholesale and retail broadband services, comprised of WildBlue</w:t>
      </w:r>
      <w:r>
        <w:rPr>
          <w:rFonts w:ascii="Arial" w:cs="Arial" w:eastAsia="Arial" w:hAnsi="Arial"/>
          <w:sz w:val="15"/>
          <w:szCs w:val="15"/>
          <w:color w:val="auto"/>
        </w:rPr>
        <w:t>®</w:t>
      </w:r>
      <w:r>
        <w:rPr>
          <w:rFonts w:ascii="Arial" w:cs="Arial" w:eastAsia="Arial" w:hAnsi="Arial"/>
          <w:sz w:val="18"/>
          <w:szCs w:val="18"/>
          <w:color w:val="auto"/>
        </w:rPr>
        <w:t xml:space="preserve"> service, which provides two-way satellite-based broadband internet access to consumers and small businesses in the United States.</w:t>
      </w:r>
    </w:p>
    <w:p>
      <w:pPr>
        <w:spacing w:after="0" w:line="62" w:lineRule="exact"/>
        <w:rPr>
          <w:rFonts w:ascii="Arial" w:cs="Arial" w:eastAsia="Arial" w:hAnsi="Arial"/>
          <w:sz w:val="18"/>
          <w:szCs w:val="18"/>
          <w:b w:val="1"/>
          <w:bCs w:val="1"/>
          <w:color w:val="auto"/>
        </w:rPr>
      </w:pPr>
    </w:p>
    <w:p>
      <w:pPr>
        <w:ind w:left="340" w:right="100" w:hanging="332"/>
        <w:spacing w:after="0" w:line="277"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Yonder</w:t>
      </w:r>
      <w:r>
        <w:rPr>
          <w:rFonts w:ascii="Arial" w:cs="Arial" w:eastAsia="Arial" w:hAnsi="Arial"/>
          <w:sz w:val="15"/>
          <w:szCs w:val="15"/>
          <w:color w:val="auto"/>
        </w:rPr>
        <w:t>TM</w:t>
      </w:r>
      <w:r>
        <w:rPr>
          <w:rFonts w:ascii="Arial" w:cs="Arial" w:eastAsia="Arial" w:hAnsi="Arial"/>
          <w:sz w:val="18"/>
          <w:szCs w:val="18"/>
          <w:color w:val="auto"/>
        </w:rPr>
        <w:t xml:space="preserve"> worldwide mobile broadband services is comprised of global network management services for customers who use our ArcLight</w:t>
      </w:r>
      <w:r>
        <w:rPr>
          <w:rFonts w:ascii="Arial" w:cs="Arial" w:eastAsia="Arial" w:hAnsi="Arial"/>
          <w:sz w:val="15"/>
          <w:szCs w:val="15"/>
          <w:color w:val="auto"/>
        </w:rPr>
        <w:t>®</w:t>
      </w:r>
      <w:r>
        <w:rPr>
          <w:rFonts w:ascii="Arial" w:cs="Arial" w:eastAsia="Arial" w:hAnsi="Arial"/>
          <w:sz w:val="18"/>
          <w:szCs w:val="18"/>
          <w:color w:val="auto"/>
        </w:rPr>
        <w:t>-based mobile satellite systems supporting airborne, maritime and various ground-mobile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With respect to our government systems and commercial networks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5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94% of our total revenues for each of the three months ended July 1, 2011 and July 2, 2010.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57"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$54.0 million or 28% and $39.6 million or 21% of our total revenues in the three months ended July 1, 2011 and July 2, 2010,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programs. IR&amp;D expenses were approximately 3% and 4% of total revenues during the three months ended July 1, 2011 and July 2, 2010, respectively. As a government contractor, we are able to recover a portion of our IR&amp;D expenses pursuant to our government contracts.</w:t>
      </w:r>
    </w:p>
    <w:p>
      <w:pPr>
        <w:spacing w:after="0" w:line="63"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Our satellite services segment revenues are primarily derived from our WildBlue business (which provides wholesale and retail satellite-based broadband internet services in the United States) and our managed network services which complement both our government systems and commercial networks segments by supporting the satellite communication systems of our consumer enterprise and mobile broadband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215"/>
        <w:spacing w:after="0" w:line="302"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46"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July 1, 2011 and July 2, 2010, we recorded losses of approximately $0.3 million and $8.7 million, respectively, related to loss contracts.</w:t>
      </w:r>
    </w:p>
    <w:p>
      <w:pPr>
        <w:spacing w:after="0" w:line="61"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July 1, 2011 would change our income before income taxes by approximately $0.5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2"/>
        <w:spacing w:after="0" w:line="286" w:lineRule="auto"/>
        <w:rPr>
          <w:sz w:val="20"/>
          <w:szCs w:val="20"/>
          <w:color w:val="auto"/>
        </w:rPr>
      </w:pPr>
      <w:r>
        <w:rPr>
          <w:rFonts w:ascii="Arial" w:cs="Arial" w:eastAsia="Arial" w:hAnsi="Arial"/>
          <w:sz w:val="17"/>
          <w:szCs w:val="17"/>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fixed and determinable, collectability is reasonably assured and the goods or services have been delivered.</w:t>
      </w:r>
    </w:p>
    <w:p>
      <w:pPr>
        <w:spacing w:after="0" w:line="57" w:lineRule="exact"/>
        <w:rPr>
          <w:sz w:val="20"/>
          <w:szCs w:val="20"/>
          <w:color w:val="auto"/>
        </w:rPr>
      </w:pPr>
    </w:p>
    <w:p>
      <w:pPr>
        <w:jc w:val="both"/>
        <w:ind w:right="240" w:firstLine="222"/>
        <w:spacing w:after="0" w:line="288" w:lineRule="auto"/>
        <w:rPr>
          <w:sz w:val="20"/>
          <w:szCs w:val="20"/>
          <w:color w:val="auto"/>
        </w:rPr>
      </w:pPr>
      <w:r>
        <w:rPr>
          <w:rFonts w:ascii="Arial" w:cs="Arial" w:eastAsia="Arial" w:hAnsi="Arial"/>
          <w:sz w:val="16"/>
          <w:szCs w:val="16"/>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which often involve complex provisions and significant judgments. In accordance with the authoritative guidance for leases, we classify the transactions as sales type or operating leases based on</w:t>
      </w: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 for transfers of ownership of the property to the lessee by the end of the lease term, (2) review of the lease terms to determine if it contains an</w:t>
      </w:r>
    </w:p>
    <w:p>
      <w:pPr>
        <w:spacing w:after="0" w:line="32"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56"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Beginning in the first quarter of fiscal year 2012, we adopted Accounting Standards Update (ASU) 2009-13, Revenue Recognition (Topic 605) Multiple-Deliverable Revenue Arrangements, which updates ASC Topic 605-25, Revenue Recognition-Multiple element arrangements, of the Financial Accounting Standards Board (FASB) codification. ASU 2009-13 amended accounting guidance for revenue recognition to eliminate the use of the residual method and requires entities to allocate revenue using the relative selling price method.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65"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To determine the selling price in multiple-element arrangements, we establish VSOE of the selling price using the price charged for a deliverable when sold separately and for software license updates and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and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 The adoption of ASU 2009-13 did not have a material impact on the Company’s financial condition or results of operations for the three months ended July 1, 2011.</w:t>
      </w:r>
    </w:p>
    <w:p>
      <w:pPr>
        <w:spacing w:after="0" w:line="72"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Deferred revenues extending beyond the twelve months are recorded within other liabilities in the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220" w:firstLine="222"/>
        <w:spacing w:after="0" w:line="276" w:lineRule="auto"/>
        <w:rPr>
          <w:sz w:val="20"/>
          <w:szCs w:val="20"/>
          <w:color w:val="auto"/>
        </w:rPr>
      </w:pPr>
      <w:r>
        <w:rPr>
          <w:rFonts w:ascii="Arial" w:cs="Arial" w:eastAsia="Arial" w:hAnsi="Arial"/>
          <w:sz w:val="17"/>
          <w:szCs w:val="17"/>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primarily because a significant portion of our sales has been to the U.S. government or is related to our satellite service commercial business, which we bill and collect in advance. Our accounts receivable balance was $177.1 million, net of allowance for doubtful accounts of $0.7 million, as of July 1, 2011, and our accounts receivable balance was $191.9 million, net of allowance for doubtful accounts of $0.5 million, as of April 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The authoritative guidance for the goodwill impairment model is a two-step process. First, it requires a comparison of the book value of net assets to the fair value of the reporting units that have goodwill assigned to them. Reporting units within our government systems, commercial networks and satellite services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59"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estimate the fair values of the reporting units using discounted cash flows and other indicators of fair value such as market comparable transactions.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authoritative guidance related to the goodwill impairment model, which could significantly influence whether a goodwill impairment needs to be recorded. We adjust the cash flow forecasts by an appropriate discount rate derived from our market capitalization plus a suitable control premium at the date of evaluation.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140" w:firstLine="225"/>
        <w:spacing w:after="0" w:line="270" w:lineRule="auto"/>
        <w:rPr>
          <w:sz w:val="20"/>
          <w:szCs w:val="20"/>
          <w:color w:val="auto"/>
        </w:rPr>
      </w:pPr>
      <w:r>
        <w:rPr>
          <w:rFonts w:ascii="Arial" w:cs="Arial" w:eastAsia="Arial" w:hAnsi="Arial"/>
          <w:sz w:val="17"/>
          <w:szCs w:val="17"/>
          <w:color w:val="auto"/>
        </w:rPr>
        <w:t>Equipment, computers and software, furniture and fixtures, and our ViaSat-1 satellite and related gateway and networking equipment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Also, we are constructing gateway facilities, network operations systems and other assets to support the satellite under construction and these construction costs are capitalized as incurred. Interest expense is capitalized on the carrying value of the satellite and related gateway and networking equipment during the construction period. Satellite construction and launch services costs are capitalized to reflect progress toward completion, which typically coincides with contract milestone payment schedules. Insurance premiums related to the satellite launch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74"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 a result of the acquisition of WildBlue in December 2009, we acquired the WildBlue-1 satellite (which had been placed into service in March 2007) and an exclusive prepaid lifetime capital lease of Ka-band capacity on Telesat Canada’s Anik F2 satellite (which had been placed into service in April 2005) and related gateway and networking equipment on both satellites. The acquired assets also included the indoor and outdoor customer premise equipment (CPE) units leased to subscribers under WildBlue’s retail leasing program.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Occasionally, we may enter into capital lease arrangements for various machinery, equipment, computer-related equipment, software, furniture or fixtures. As of both July 1, 2011 and April 1, 2011, assets under capital lease totaled approximately $3.1 million. We record amortization of assets leased under capital lease arrangements within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satellites, and other assets)</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July 1, 2011 and July 2,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authoritative guidance for income taxes (ASC 740), net deferred tax assets are reduced by a valuation allowance if, based on all the available evidence,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more likely than not that some or all of the deferred tax assets will not be realized. Our valuation allowance against deferred tax assets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$12.7 million at April 1, 2011 to $12.8 million at July 1, 2011. The valuation allowance primarily relates to state net operating loss carryforwards and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carryforwards available to reduce state income taxes.</w:t>
      </w:r>
    </w:p>
    <w:p>
      <w:pPr>
        <w:spacing w:after="0" w:line="103" w:lineRule="exact"/>
        <w:rPr>
          <w:sz w:val="20"/>
          <w:szCs w:val="20"/>
          <w:color w:val="auto"/>
        </w:rPr>
      </w:pPr>
    </w:p>
    <w:p>
      <w:pPr>
        <w:ind w:right="60" w:firstLine="215"/>
        <w:spacing w:after="0" w:line="273" w:lineRule="auto"/>
        <w:rPr>
          <w:sz w:val="20"/>
          <w:szCs w:val="20"/>
          <w:color w:val="auto"/>
        </w:rPr>
      </w:pPr>
      <w:r>
        <w:rPr>
          <w:rFonts w:ascii="Arial" w:cs="Arial" w:eastAsia="Arial" w:hAnsi="Arial"/>
          <w:sz w:val="17"/>
          <w:szCs w:val="17"/>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70"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14"/>
                <w:szCs w:val="1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90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July 1, 2011</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July 2, 2010</w:t>
            </w:r>
          </w:p>
        </w:tc>
        <w:tc>
          <w:tcPr>
            <w:tcW w:w="160" w:type="dxa"/>
            <w:vAlign w:val="bottom"/>
          </w:tcPr>
          <w:p>
            <w:pPr>
              <w:spacing w:after="0"/>
              <w:rPr>
                <w:sz w:val="12"/>
                <w:szCs w:val="12"/>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90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62.8</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65.1</w:t>
            </w:r>
          </w:p>
        </w:tc>
      </w:tr>
      <w:tr>
        <w:trPr>
          <w:trHeight w:val="216"/>
        </w:trPr>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37.2</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Cost of service revenues</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25.3</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20.3</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Independent research and development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0.7</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1, 2011 vs. Three Months Ended July 2,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4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860"/>
              <w:spacing w:after="0" w:line="119" w:lineRule="exact"/>
              <w:rPr>
                <w:sz w:val="20"/>
                <w:szCs w:val="20"/>
                <w:color w:val="auto"/>
              </w:rPr>
            </w:pPr>
            <w:r>
              <w:rPr>
                <w:rFonts w:ascii="Arial" w:cs="Arial" w:eastAsia="Arial" w:hAnsi="Arial"/>
                <w:sz w:val="13"/>
                <w:szCs w:val="13"/>
                <w:b w:val="1"/>
                <w:bCs w:val="1"/>
                <w:color w:val="auto"/>
              </w:rPr>
              <w:t>July 1,</w:t>
            </w:r>
          </w:p>
        </w:tc>
        <w:tc>
          <w:tcPr>
            <w:tcW w:w="66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July 2,</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3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line="195" w:lineRule="exact"/>
              <w:rPr>
                <w:sz w:val="20"/>
                <w:szCs w:val="20"/>
                <w:color w:val="auto"/>
              </w:rPr>
            </w:pPr>
            <w:r>
              <w:rPr>
                <w:rFonts w:ascii="Arial" w:cs="Arial" w:eastAsia="Arial" w:hAnsi="Arial"/>
                <w:sz w:val="18"/>
                <w:szCs w:val="18"/>
                <w:color w:val="auto"/>
              </w:rPr>
              <w:t>Product revenues</w:t>
            </w:r>
          </w:p>
        </w:tc>
        <w:tc>
          <w:tcPr>
            <w:tcW w:w="54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  122.5</w:t>
            </w:r>
          </w:p>
        </w:tc>
        <w:tc>
          <w:tcPr>
            <w:tcW w:w="74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w w:val="98"/>
              </w:rPr>
              <w:t>$  125.0</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16"/>
                <w:szCs w:val="16"/>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62.8%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Product revenues decreased from $125.0 million to $122.5 million during the first quarter of fiscal year 2012 compared to the same period last year. The decrease in product revenues was primarily due to lower product sales of $13.0 million in tactical data link products and $1.1 million in enterprise VSAT networks and products. These decreases were offset by higher product sales of $6.8 million in government satellite communication systems, $3.7 million in mobile broadband satellite communication systems and $1.2 million in consumer broadband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Dollar</w:t>
            </w:r>
          </w:p>
        </w:tc>
        <w:tc>
          <w:tcPr>
            <w:tcW w:w="11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w w:val="98"/>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July 2,</w:t>
            </w:r>
          </w:p>
        </w:tc>
        <w:tc>
          <w:tcPr>
            <w:tcW w:w="740" w:type="dxa"/>
            <w:vAlign w:val="bottom"/>
          </w:tcPr>
          <w:p>
            <w:pPr>
              <w:spacing w:after="0"/>
              <w:rPr>
                <w:sz w:val="10"/>
                <w:szCs w:val="10"/>
                <w:color w:val="auto"/>
              </w:rPr>
            </w:pPr>
          </w:p>
        </w:tc>
        <w:tc>
          <w:tcPr>
            <w:tcW w:w="10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Service revenues</w:t>
            </w:r>
          </w:p>
        </w:tc>
        <w:tc>
          <w:tcPr>
            <w:tcW w:w="5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240"/>
              <w:spacing w:after="0" w:line="195" w:lineRule="exact"/>
              <w:rPr>
                <w:sz w:val="20"/>
                <w:szCs w:val="20"/>
                <w:color w:val="auto"/>
              </w:rPr>
            </w:pPr>
            <w:r>
              <w:rPr>
                <w:rFonts w:ascii="Arial" w:cs="Arial" w:eastAsia="Arial" w:hAnsi="Arial"/>
                <w:sz w:val="18"/>
                <w:szCs w:val="18"/>
                <w:color w:val="auto"/>
                <w:w w:val="85"/>
              </w:rPr>
              <w:t>72.6</w:t>
            </w:r>
          </w:p>
        </w:tc>
        <w:tc>
          <w:tcPr>
            <w:tcW w:w="72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240"/>
              <w:spacing w:after="0" w:line="195" w:lineRule="exact"/>
              <w:rPr>
                <w:sz w:val="20"/>
                <w:szCs w:val="20"/>
                <w:color w:val="auto"/>
              </w:rPr>
            </w:pPr>
            <w:r>
              <w:rPr>
                <w:rFonts w:ascii="Arial" w:cs="Arial" w:eastAsia="Arial" w:hAnsi="Arial"/>
                <w:sz w:val="18"/>
                <w:szCs w:val="18"/>
                <w:color w:val="auto"/>
                <w:w w:val="85"/>
              </w:rPr>
              <w:t>67.0</w:t>
            </w: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720" w:firstLine="225"/>
        <w:spacing w:after="0" w:line="264" w:lineRule="auto"/>
        <w:rPr>
          <w:sz w:val="20"/>
          <w:szCs w:val="20"/>
          <w:color w:val="auto"/>
        </w:rPr>
      </w:pPr>
      <w:r>
        <w:rPr>
          <w:rFonts w:ascii="Arial" w:cs="Arial" w:eastAsia="Arial" w:hAnsi="Arial"/>
          <w:sz w:val="18"/>
          <w:szCs w:val="18"/>
          <w:color w:val="auto"/>
        </w:rPr>
        <w:t>During the first quarter of fiscal year 2012 compared to the first quarter of fiscal year 2011, our service revenues increased from $67.0 million to $72.6 million primarily driven by growth in government satellite communication systems services of $2.7 million, information assurance services of $1.2 million and tactical data link services of $1.1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rPr>
              <w:t>July 1,</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20"/>
              <w:spacing w:after="0" w:line="119" w:lineRule="exact"/>
              <w:rPr>
                <w:sz w:val="20"/>
                <w:szCs w:val="20"/>
                <w:color w:val="auto"/>
              </w:rPr>
            </w:pPr>
            <w:r>
              <w:rPr>
                <w:rFonts w:ascii="Arial" w:cs="Arial" w:eastAsia="Arial" w:hAnsi="Arial"/>
                <w:sz w:val="13"/>
                <w:szCs w:val="13"/>
                <w:b w:val="1"/>
                <w:bCs w:val="1"/>
                <w:color w:val="auto"/>
              </w:rPr>
              <w:t>July 2,</w:t>
            </w:r>
          </w:p>
        </w:tc>
        <w:tc>
          <w:tcPr>
            <w:tcW w:w="74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3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line="195" w:lineRule="exact"/>
              <w:rPr>
                <w:sz w:val="20"/>
                <w:szCs w:val="20"/>
                <w:color w:val="auto"/>
              </w:rPr>
            </w:pPr>
            <w:r>
              <w:rPr>
                <w:rFonts w:ascii="Arial" w:cs="Arial" w:eastAsia="Arial" w:hAnsi="Arial"/>
                <w:sz w:val="18"/>
                <w:szCs w:val="18"/>
                <w:color w:val="auto"/>
              </w:rPr>
              <w:t>Cost of product revenues</w:t>
            </w:r>
          </w:p>
        </w:tc>
        <w:tc>
          <w:tcPr>
            <w:tcW w:w="54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240"/>
              <w:spacing w:after="0" w:line="195" w:lineRule="exact"/>
              <w:rPr>
                <w:sz w:val="20"/>
                <w:szCs w:val="20"/>
                <w:color w:val="auto"/>
              </w:rPr>
            </w:pPr>
            <w:r>
              <w:rPr>
                <w:rFonts w:ascii="Arial" w:cs="Arial" w:eastAsia="Arial" w:hAnsi="Arial"/>
                <w:sz w:val="18"/>
                <w:szCs w:val="18"/>
                <w:color w:val="auto"/>
                <w:w w:val="85"/>
              </w:rPr>
              <w:t>92.3</w:t>
            </w: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260"/>
              <w:spacing w:after="0" w:line="195" w:lineRule="exact"/>
              <w:rPr>
                <w:sz w:val="20"/>
                <w:szCs w:val="20"/>
                <w:color w:val="auto"/>
              </w:rPr>
            </w:pPr>
            <w:r>
              <w:rPr>
                <w:rFonts w:ascii="Arial" w:cs="Arial" w:eastAsia="Arial" w:hAnsi="Arial"/>
                <w:sz w:val="18"/>
                <w:szCs w:val="18"/>
                <w:color w:val="auto"/>
                <w:w w:val="79"/>
              </w:rPr>
              <w:t>94.7</w:t>
            </w: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16"/>
                <w:szCs w:val="16"/>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product revenues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Cost of product revenues decreased approximately $2.4 million from $94.7 million to $92.3 million during the first quarter of fiscal year 2012 when compared to the first quarter of fiscal year 2011. The decrease in cost of product revenues was primarily due to the $8.5 million forward loss we recorded in the first quarter of fiscal year 2011 (as further discussed below), compared to no material forward losses recorded in the first quarter of fiscal year 2012. Offsetting this decrease, cost of product revenues as a percentage of sales increased during the first quarter of fiscal year 2012 compared to the prior year period due to a higher mix of lower margin development programs across our mobile broadband satellite communication systems product lines coupled with lower sales of certain higher margin mature information assurance and UAV products. Cost of product revenues may fluctuate in future periods depending on the mix of products sold, competition, new product introduction costs and other factors.</w:t>
      </w:r>
    </w:p>
    <w:p>
      <w:pPr>
        <w:spacing w:after="0" w:line="70"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the second quarter of fiscal year 2011.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ongoing and our efforts and the end results must be satisfactory to the customer. We believe that our estimate of costs to complete the program is appropriate based on known information, however, additional future losses could be required.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Dollar</w:t>
            </w:r>
          </w:p>
        </w:tc>
        <w:tc>
          <w:tcPr>
            <w:tcW w:w="11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w w:val="98"/>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July 2,</w:t>
            </w:r>
          </w:p>
        </w:tc>
        <w:tc>
          <w:tcPr>
            <w:tcW w:w="740" w:type="dxa"/>
            <w:vAlign w:val="bottom"/>
          </w:tcPr>
          <w:p>
            <w:pPr>
              <w:spacing w:after="0"/>
              <w:rPr>
                <w:sz w:val="10"/>
                <w:szCs w:val="10"/>
                <w:color w:val="auto"/>
              </w:rPr>
            </w:pPr>
          </w:p>
        </w:tc>
        <w:tc>
          <w:tcPr>
            <w:tcW w:w="10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Cost of service revenues</w:t>
            </w:r>
          </w:p>
        </w:tc>
        <w:tc>
          <w:tcPr>
            <w:tcW w:w="5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240"/>
              <w:spacing w:after="0" w:line="195" w:lineRule="exact"/>
              <w:rPr>
                <w:sz w:val="20"/>
                <w:szCs w:val="20"/>
                <w:color w:val="auto"/>
              </w:rPr>
            </w:pPr>
            <w:r>
              <w:rPr>
                <w:rFonts w:ascii="Arial" w:cs="Arial" w:eastAsia="Arial" w:hAnsi="Arial"/>
                <w:sz w:val="18"/>
                <w:szCs w:val="18"/>
                <w:color w:val="auto"/>
                <w:w w:val="85"/>
              </w:rPr>
              <w:t>49.3</w:t>
            </w:r>
          </w:p>
        </w:tc>
        <w:tc>
          <w:tcPr>
            <w:tcW w:w="72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240"/>
              <w:spacing w:after="0" w:line="195" w:lineRule="exact"/>
              <w:rPr>
                <w:sz w:val="20"/>
                <w:szCs w:val="20"/>
                <w:color w:val="auto"/>
              </w:rPr>
            </w:pPr>
            <w:r>
              <w:rPr>
                <w:rFonts w:ascii="Arial" w:cs="Arial" w:eastAsia="Arial" w:hAnsi="Arial"/>
                <w:sz w:val="18"/>
                <w:szCs w:val="18"/>
                <w:color w:val="auto"/>
                <w:w w:val="85"/>
              </w:rPr>
              <w:t>39.1</w:t>
            </w: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service revenues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Cost of service revenues increased from $39.1 million to $49.3 million during the first quarter of fiscal year 2012 when compared to the first quarter of fiscal year 2011 primarily due to lower service margins resulting in an increase in cost of service revenues of approximately $7.0 million. These lower service margins primarily resulted from WildBlue service cost increases associated with depreciation of our new data center and billing system, as well as connectivity costs for the ViaSat-1 gateways in preparation for the launch of ViaSat-1 and expected commencement of services using the satellite in late 2011. In addition, cost of service revenue increased (on a constant margin basis) approximately $3.2 million due to increased service revenues. Cost of service revenues may fluctuate in future periods depending on the mix of services provided, competition, new service introduction costs and other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Dollar</w:t>
            </w:r>
          </w:p>
        </w:tc>
        <w:tc>
          <w:tcPr>
            <w:tcW w:w="11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w w:val="98"/>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July 2,</w:t>
            </w:r>
          </w:p>
        </w:tc>
        <w:tc>
          <w:tcPr>
            <w:tcW w:w="740" w:type="dxa"/>
            <w:vAlign w:val="bottom"/>
          </w:tcPr>
          <w:p>
            <w:pPr>
              <w:spacing w:after="0"/>
              <w:rPr>
                <w:sz w:val="10"/>
                <w:szCs w:val="10"/>
                <w:color w:val="auto"/>
              </w:rPr>
            </w:pPr>
          </w:p>
        </w:tc>
        <w:tc>
          <w:tcPr>
            <w:tcW w:w="10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240"/>
              <w:spacing w:after="0" w:line="195" w:lineRule="exact"/>
              <w:rPr>
                <w:sz w:val="20"/>
                <w:szCs w:val="20"/>
                <w:color w:val="auto"/>
              </w:rPr>
            </w:pPr>
            <w:r>
              <w:rPr>
                <w:rFonts w:ascii="Arial" w:cs="Arial" w:eastAsia="Arial" w:hAnsi="Arial"/>
                <w:sz w:val="18"/>
                <w:szCs w:val="18"/>
                <w:color w:val="auto"/>
                <w:w w:val="85"/>
              </w:rPr>
              <w:t>41.7</w:t>
            </w:r>
          </w:p>
        </w:tc>
        <w:tc>
          <w:tcPr>
            <w:tcW w:w="72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240"/>
              <w:spacing w:after="0" w:line="195" w:lineRule="exact"/>
              <w:rPr>
                <w:sz w:val="20"/>
                <w:szCs w:val="20"/>
                <w:color w:val="auto"/>
              </w:rPr>
            </w:pPr>
            <w:r>
              <w:rPr>
                <w:rFonts w:ascii="Arial" w:cs="Arial" w:eastAsia="Arial" w:hAnsi="Arial"/>
                <w:sz w:val="18"/>
                <w:szCs w:val="18"/>
                <w:color w:val="auto"/>
                <w:w w:val="85"/>
              </w:rPr>
              <w:t>38.9</w:t>
            </w: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2.8</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increase in selling, general and administrative (SG&amp;A) expenses of $2.8 million in the first quarter of fiscal year 2012 compared to the first quarter of fiscal year 2011 was mainly attributable to an increase in support costs in our government systems segment of approximately $1.1 million. This increase was primarily driven by the acquisition of Stonewood in the second quarter of fiscal year 2011 which contributed approximately $0.9 million to the increase in the first quarter of fiscal year 2012. The remaining increase related to support costs increases in our commercial networks segment.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rPr>
              <w:t>July 1,</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20"/>
              <w:spacing w:after="0" w:line="119" w:lineRule="exact"/>
              <w:rPr>
                <w:sz w:val="20"/>
                <w:szCs w:val="20"/>
                <w:color w:val="auto"/>
              </w:rPr>
            </w:pPr>
            <w:r>
              <w:rPr>
                <w:rFonts w:ascii="Arial" w:cs="Arial" w:eastAsia="Arial" w:hAnsi="Arial"/>
                <w:sz w:val="13"/>
                <w:szCs w:val="13"/>
                <w:b w:val="1"/>
                <w:bCs w:val="1"/>
                <w:color w:val="auto"/>
              </w:rPr>
              <w:t>July 2,</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3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4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340"/>
              <w:spacing w:after="0" w:line="195" w:lineRule="exact"/>
              <w:rPr>
                <w:sz w:val="20"/>
                <w:szCs w:val="20"/>
                <w:color w:val="auto"/>
              </w:rPr>
            </w:pPr>
            <w:r>
              <w:rPr>
                <w:rFonts w:ascii="Arial" w:cs="Arial" w:eastAsia="Arial" w:hAnsi="Arial"/>
                <w:sz w:val="18"/>
                <w:szCs w:val="18"/>
                <w:color w:val="auto"/>
                <w:w w:val="79"/>
              </w:rPr>
              <w:t>5.7</w:t>
            </w: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40"/>
              <w:spacing w:after="0" w:line="195" w:lineRule="exact"/>
              <w:rPr>
                <w:sz w:val="20"/>
                <w:szCs w:val="20"/>
                <w:color w:val="auto"/>
              </w:rPr>
            </w:pPr>
            <w:r>
              <w:rPr>
                <w:rFonts w:ascii="Arial" w:cs="Arial" w:eastAsia="Arial" w:hAnsi="Arial"/>
                <w:sz w:val="18"/>
                <w:szCs w:val="18"/>
                <w:color w:val="auto"/>
                <w:w w:val="79"/>
              </w:rPr>
              <w:t>7.3</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6"/>
                <w:szCs w:val="16"/>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decrease in IR&amp;D expenses of approximately $1.6 million in the first quarter of fiscal year 2012 compared to the first quarter of fiscal year 2011 was driven by decreases in our commercial networks and government systems segments principally related to next-generation consumer broadband and information assurance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amortize our acquired intangible assets from prior acquisitions over their estimated useful lives ranging from eight months to ten years. The increase in amortization of approximately $0.2 million in the first quarter of fiscal year 2012 compared to the same period last fiscal year was the result of our acquisition of Stonewood in July 2010, which contributed an increase of approximately $0.6 million, offset by a decrease in amortization as certain acquired technology intangibles in our government systems and commercial networks segments became fully amortized over the preceding twelve months. Current and expected amortization expense for acquired intangible assets for each of the following periods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1, 2011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4,772</w:t>
            </w:r>
          </w:p>
        </w:tc>
        <w:tc>
          <w:tcPr>
            <w:tcW w:w="80" w:type="dxa"/>
            <w:vAlign w:val="bottom"/>
            <w:shd w:val="clear" w:color="auto" w:fill="CCEEFF"/>
          </w:tcPr>
          <w:p>
            <w:pPr>
              <w:spacing w:after="0"/>
              <w:rPr>
                <w:sz w:val="18"/>
                <w:szCs w:val="18"/>
                <w:color w:val="auto"/>
              </w:rPr>
            </w:pPr>
          </w:p>
        </w:tc>
      </w:tr>
      <w:tr>
        <w:trPr>
          <w:trHeight w:val="338"/>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13,970</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15,615</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13,869</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13,793</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10,200</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9,641</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Interest income in the three months ended July 1, 2011 compared to the three months ended July 2, 2010 decreased slightly as we experienced similar average interest rates on our investments but lower average invested cash balances during the first quarter of fiscal year 2012 compared to the same period last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decrease in interest expense from the first quarter of fiscal year 2011 to the first quarter of fiscal year 2012 of $2.1 million was primarily due to higher capitalized interest associated with the construction of our ViaSat-1 satellite, related gateway and networking equipment, and other assets currently under construction. For the three months ended July 1, 2011 and July 2, 2010, we capitalized interest expense of approximately $7.6 million and $6.0 million, respectively. Interest expense incurred during the three months ended July 1, 2011 and July 2, 2010 related to the 8.875% Senior Notes due 2016 (the Notes) and the revolving credit facility (the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currently estimate our annual effective income tax rate to be a benefit of approximately 0.8% for fiscal year 2012, compared to the actual zero effective income tax rate in fiscal year 2011. The estimated annual effective income tax rate reflects the December 31, 2011 expiration of the federal research and development tax credit. If the federal research and development tax credit is reinstated, we may have a lower annual effective tax rate for fiscal year 2012, and the amount of any such tax rate reduction will depend on the effective date of any such reinstatement, the terms of the reinstatement, as well as the amount of eligible research and development expenses in the reinstated period. The estimated effective tax rate is different from the expected statutory rate primarily due to research and development tax credits.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July 1, 2011 vs. Three Months Ended July 2,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8"/>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4"/>
              <w:spacing w:after="0" w:line="119" w:lineRule="exact"/>
              <w:rPr>
                <w:sz w:val="20"/>
                <w:szCs w:val="20"/>
                <w:color w:val="auto"/>
              </w:rPr>
            </w:pPr>
            <w:r>
              <w:rPr>
                <w:rFonts w:ascii="Arial" w:cs="Arial" w:eastAsia="Arial" w:hAnsi="Arial"/>
                <w:sz w:val="13"/>
                <w:szCs w:val="13"/>
                <w:b w:val="1"/>
                <w:bCs w:val="1"/>
                <w:color w:val="auto"/>
                <w:w w:val="98"/>
              </w:rPr>
              <w:t>July 2,</w:t>
            </w:r>
          </w:p>
        </w:tc>
        <w:tc>
          <w:tcPr>
            <w:tcW w:w="68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3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260"/>
              <w:spacing w:after="0"/>
              <w:rPr>
                <w:sz w:val="20"/>
                <w:szCs w:val="20"/>
                <w:color w:val="auto"/>
              </w:rPr>
            </w:pPr>
            <w:r>
              <w:rPr>
                <w:rFonts w:ascii="Arial" w:cs="Arial" w:eastAsia="Arial" w:hAnsi="Arial"/>
                <w:sz w:val="18"/>
                <w:szCs w:val="18"/>
                <w:color w:val="auto"/>
                <w:w w:val="85"/>
              </w:rPr>
              <w:t>86.2</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88.8</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revenue in our government systems segment decreased approximately $2.7 million in the first quarter of fiscal year 2012 compared to the same period last fiscal year, primarily due to a revenue decrease of $11.8 million in tactical data link products and services, offset by a $9.5 million revenue increase in government satellite communication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Dollar</w:t>
            </w:r>
          </w:p>
        </w:tc>
        <w:tc>
          <w:tcPr>
            <w:tcW w:w="11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w w:val="98"/>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July 2,</w:t>
            </w:r>
          </w:p>
        </w:tc>
        <w:tc>
          <w:tcPr>
            <w:tcW w:w="740" w:type="dxa"/>
            <w:vAlign w:val="bottom"/>
          </w:tcPr>
          <w:p>
            <w:pPr>
              <w:spacing w:after="0"/>
              <w:rPr>
                <w:sz w:val="10"/>
                <w:szCs w:val="10"/>
                <w:color w:val="auto"/>
              </w:rPr>
            </w:pPr>
          </w:p>
        </w:tc>
        <w:tc>
          <w:tcPr>
            <w:tcW w:w="10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5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340"/>
              <w:spacing w:after="0" w:line="195" w:lineRule="exact"/>
              <w:rPr>
                <w:sz w:val="20"/>
                <w:szCs w:val="20"/>
                <w:color w:val="auto"/>
              </w:rPr>
            </w:pPr>
            <w:r>
              <w:rPr>
                <w:rFonts w:ascii="Arial" w:cs="Arial" w:eastAsia="Arial" w:hAnsi="Arial"/>
                <w:sz w:val="18"/>
                <w:szCs w:val="18"/>
                <w:color w:val="auto"/>
                <w:w w:val="79"/>
              </w:rPr>
              <w:t>7.4</w:t>
            </w:r>
          </w:p>
        </w:tc>
        <w:tc>
          <w:tcPr>
            <w:tcW w:w="72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340"/>
              <w:spacing w:after="0" w:line="195" w:lineRule="exact"/>
              <w:rPr>
                <w:sz w:val="20"/>
                <w:szCs w:val="20"/>
                <w:color w:val="auto"/>
              </w:rPr>
            </w:pPr>
            <w:r>
              <w:rPr>
                <w:rFonts w:ascii="Arial" w:cs="Arial" w:eastAsia="Arial" w:hAnsi="Arial"/>
                <w:sz w:val="18"/>
                <w:szCs w:val="18"/>
                <w:color w:val="auto"/>
                <w:w w:val="79"/>
              </w:rPr>
              <w:t>1.7</w:t>
            </w: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5.7</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increase in our government systems segment operating profit of $5.7 million during the first quarter of fiscal year 2012 compared to the first quarter of fiscal year 2011 was primarily due to higher product contributions resulting from lower cost of revenues, which mainly related to the $8.5 million forward loss recorded on a government satellite communication program in the first quarter of fiscal year 2011 as discussed below.</w:t>
      </w:r>
    </w:p>
    <w:p>
      <w:pPr>
        <w:spacing w:after="0" w:line="5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the second quarter of fiscal year 2011.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ongoing and our efforts and the end results must be satisfactory to the customer. We believe that our estimate of costs to complete the program is appropriate based on known information, however, additional future losses could be required.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Dollar</w:t>
            </w:r>
          </w:p>
        </w:tc>
        <w:tc>
          <w:tcPr>
            <w:tcW w:w="11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4"/>
              <w:spacing w:after="0" w:line="119" w:lineRule="exact"/>
              <w:rPr>
                <w:sz w:val="20"/>
                <w:szCs w:val="20"/>
                <w:color w:val="auto"/>
              </w:rPr>
            </w:pPr>
            <w:r>
              <w:rPr>
                <w:rFonts w:ascii="Arial" w:cs="Arial" w:eastAsia="Arial" w:hAnsi="Arial"/>
                <w:sz w:val="13"/>
                <w:szCs w:val="13"/>
                <w:b w:val="1"/>
                <w:bCs w:val="1"/>
                <w:color w:val="auto"/>
                <w:w w:val="98"/>
              </w:rPr>
              <w:t>July 2,</w:t>
            </w:r>
          </w:p>
        </w:tc>
        <w:tc>
          <w:tcPr>
            <w:tcW w:w="680" w:type="dxa"/>
            <w:vAlign w:val="bottom"/>
          </w:tcPr>
          <w:p>
            <w:pPr>
              <w:spacing w:after="0"/>
              <w:rPr>
                <w:sz w:val="10"/>
                <w:szCs w:val="10"/>
                <w:color w:val="auto"/>
              </w:rPr>
            </w:pPr>
          </w:p>
        </w:tc>
        <w:tc>
          <w:tcPr>
            <w:tcW w:w="10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6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6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260"/>
              <w:spacing w:after="0"/>
              <w:rPr>
                <w:sz w:val="20"/>
                <w:szCs w:val="20"/>
                <w:color w:val="auto"/>
              </w:rPr>
            </w:pPr>
            <w:r>
              <w:rPr>
                <w:rFonts w:ascii="Arial" w:cs="Arial" w:eastAsia="Arial" w:hAnsi="Arial"/>
                <w:sz w:val="18"/>
                <w:szCs w:val="18"/>
                <w:color w:val="auto"/>
                <w:w w:val="79"/>
              </w:rPr>
              <w:t>52.1</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Commercial networks segment revenue increased approximately $6.5 million in the first quarter of fiscal year 2012 compared to the first quarter of fiscal year 2011, primarily due to a $3.6 million revenue increase in mobile broadband satellite communication systems, a $1.3 million revenue increase in consumer broadband products and services, and a $1.1 million revenue increase in antenna systems.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Dollar</w:t>
            </w:r>
          </w:p>
        </w:tc>
        <w:tc>
          <w:tcPr>
            <w:tcW w:w="12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4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900"/>
              <w:spacing w:after="0" w:line="119" w:lineRule="exact"/>
              <w:rPr>
                <w:sz w:val="20"/>
                <w:szCs w:val="20"/>
                <w:color w:val="auto"/>
              </w:rPr>
            </w:pPr>
            <w:r>
              <w:rPr>
                <w:rFonts w:ascii="Arial" w:cs="Arial" w:eastAsia="Arial" w:hAnsi="Arial"/>
                <w:sz w:val="13"/>
                <w:szCs w:val="13"/>
                <w:b w:val="1"/>
                <w:bCs w:val="1"/>
                <w:color w:val="auto"/>
                <w:w w:val="98"/>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July 2,</w:t>
            </w:r>
          </w:p>
        </w:tc>
        <w:tc>
          <w:tcPr>
            <w:tcW w:w="780" w:type="dxa"/>
            <w:vAlign w:val="bottom"/>
          </w:tcPr>
          <w:p>
            <w:pPr>
              <w:spacing w:after="0"/>
              <w:rPr>
                <w:sz w:val="10"/>
                <w:szCs w:val="10"/>
                <w:color w:val="auto"/>
              </w:rPr>
            </w:pPr>
          </w:p>
        </w:tc>
        <w:tc>
          <w:tcPr>
            <w:tcW w:w="102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(Increase)</w:t>
            </w:r>
          </w:p>
        </w:tc>
        <w:tc>
          <w:tcPr>
            <w:tcW w:w="30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auto"/>
            </w:tcBorders>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4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54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(3.2)</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increase in the commercial networks segment operating loss in the first quarter of fiscal year 2012 compared to the same period last fiscal year was primarily due to lower earnings contributions of approximately $2.5 million, which resulted from higher cost of revenues primarily related to lower margin projects in our consumer broadband and antenna system products groups.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8"/>
              </w:rPr>
              <w:t>July 1,</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44"/>
              <w:spacing w:after="0" w:line="119" w:lineRule="exact"/>
              <w:rPr>
                <w:sz w:val="20"/>
                <w:szCs w:val="20"/>
                <w:color w:val="auto"/>
              </w:rPr>
            </w:pPr>
            <w:r>
              <w:rPr>
                <w:rFonts w:ascii="Arial" w:cs="Arial" w:eastAsia="Arial" w:hAnsi="Arial"/>
                <w:sz w:val="13"/>
                <w:szCs w:val="13"/>
                <w:b w:val="1"/>
                <w:bCs w:val="1"/>
                <w:color w:val="auto"/>
                <w:w w:val="98"/>
              </w:rPr>
              <w:t>July 2,</w:t>
            </w:r>
          </w:p>
        </w:tc>
        <w:tc>
          <w:tcPr>
            <w:tcW w:w="68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3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260"/>
              <w:spacing w:after="0"/>
              <w:rPr>
                <w:sz w:val="20"/>
                <w:szCs w:val="20"/>
                <w:color w:val="auto"/>
              </w:rPr>
            </w:pPr>
            <w:r>
              <w:rPr>
                <w:rFonts w:ascii="Arial" w:cs="Arial" w:eastAsia="Arial" w:hAnsi="Arial"/>
                <w:sz w:val="18"/>
                <w:szCs w:val="18"/>
                <w:color w:val="auto"/>
                <w:w w:val="85"/>
              </w:rPr>
              <w:t>56.9</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57.5</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The slight decrease in satellite services segment revenue in the first quarter of fiscal year 2012 compared to the first quarter of fiscal year 2011 of approximately $0.7 million was primarily attributable to a revenue decrease in our managed broadband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rPr>
              <w:t>July 1,</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20"/>
              <w:spacing w:after="0" w:line="119" w:lineRule="exact"/>
              <w:rPr>
                <w:sz w:val="20"/>
                <w:szCs w:val="20"/>
                <w:color w:val="auto"/>
              </w:rPr>
            </w:pPr>
            <w:r>
              <w:rPr>
                <w:rFonts w:ascii="Arial" w:cs="Arial" w:eastAsia="Arial" w:hAnsi="Arial"/>
                <w:sz w:val="13"/>
                <w:szCs w:val="13"/>
                <w:b w:val="1"/>
                <w:bCs w:val="1"/>
                <w:color w:val="auto"/>
              </w:rPr>
              <w:t>July 2,</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Increase</w:t>
            </w:r>
          </w:p>
        </w:tc>
        <w:tc>
          <w:tcPr>
            <w:tcW w:w="3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2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ind w:left="340"/>
              <w:spacing w:after="0" w:line="195" w:lineRule="exact"/>
              <w:rPr>
                <w:sz w:val="20"/>
                <w:szCs w:val="20"/>
                <w:color w:val="auto"/>
              </w:rPr>
            </w:pPr>
            <w:r>
              <w:rPr>
                <w:rFonts w:ascii="Arial" w:cs="Arial" w:eastAsia="Arial" w:hAnsi="Arial"/>
                <w:sz w:val="18"/>
                <w:szCs w:val="18"/>
                <w:color w:val="auto"/>
                <w:w w:val="79"/>
              </w:rPr>
              <w:t>1.9</w:t>
            </w: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260"/>
              <w:spacing w:after="0" w:line="195" w:lineRule="exact"/>
              <w:rPr>
                <w:sz w:val="20"/>
                <w:szCs w:val="20"/>
                <w:color w:val="auto"/>
              </w:rPr>
            </w:pPr>
            <w:r>
              <w:rPr>
                <w:rFonts w:ascii="Arial" w:cs="Arial" w:eastAsia="Arial" w:hAnsi="Arial"/>
                <w:sz w:val="18"/>
                <w:szCs w:val="18"/>
                <w:color w:val="auto"/>
                <w:w w:val="79"/>
              </w:rPr>
              <w:t>11.5</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(9.5)</w:t>
            </w:r>
          </w:p>
        </w:tc>
        <w:tc>
          <w:tcPr>
            <w:tcW w:w="300" w:type="dxa"/>
            <w:vAlign w:val="bottom"/>
          </w:tcPr>
          <w:p>
            <w:pPr>
              <w:spacing w:after="0"/>
              <w:rPr>
                <w:sz w:val="16"/>
                <w:szCs w:val="16"/>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2"/>
        <w:spacing w:after="0" w:line="302" w:lineRule="auto"/>
        <w:rPr>
          <w:sz w:val="20"/>
          <w:szCs w:val="20"/>
          <w:color w:val="auto"/>
        </w:rPr>
      </w:pPr>
      <w:r>
        <w:rPr>
          <w:rFonts w:ascii="Arial" w:cs="Arial" w:eastAsia="Arial" w:hAnsi="Arial"/>
          <w:sz w:val="16"/>
          <w:szCs w:val="16"/>
          <w:color w:val="auto"/>
        </w:rPr>
        <w:t>The decrease in our satellite services segment operating profit in the first quarter of fiscal year 2012 compared to the same period last fiscal year was primarily attributable to the lower earnings contributions of approximately $8.8 million from higher cost of revenues. These higher cost of revenues mainly resulted from WildBlue service cost increases associated with depreciation of our new data center and billing system, as well as connectivity costs for the ViaSat-1 gateways in preparation for the launch of ViaSat-1 and expected commencement of services using the satellite in late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500" w:firstLine="215"/>
        <w:spacing w:after="0" w:line="308" w:lineRule="auto"/>
        <w:rPr>
          <w:sz w:val="20"/>
          <w:szCs w:val="20"/>
          <w:color w:val="auto"/>
        </w:rPr>
      </w:pPr>
      <w:r>
        <w:rPr>
          <w:rFonts w:ascii="Arial" w:cs="Arial" w:eastAsia="Arial" w:hAnsi="Arial"/>
          <w:sz w:val="17"/>
          <w:szCs w:val="17"/>
          <w:color w:val="auto"/>
        </w:rPr>
        <w:t>As reflected in the table below, both firm and funded backlog increased during the first three months of fiscal year 2012, which was primarily due to completed contract negotiations for contracts we pursued in fiscal year 2011 and to increased demand for certain products and services.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July 1, 2011</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April 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53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269.3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281.7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5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568.2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53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219.7</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281.7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160" w:type="dxa"/>
            <w:vAlign w:val="bottom"/>
            <w:vMerge w:val="restart"/>
          </w:tcPr>
          <w:p>
            <w:pPr>
              <w:jc w:val="right"/>
              <w:ind w:right="323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$568.2 million in firm backlog, approximately $304.8 million is expected to be delivered during the remaining nine months of fiscal year 2012, and the balance is expected to be delivered in fiscal year 2013 and thereafter. We include in our backlog only those orders for which we have accepted purchase orders.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total new awards totaled $253.6 million in the three months ended July 1, 2011, compared to $152.9 million for the three months ended July 2, 2010.</w:t>
      </w:r>
    </w:p>
    <w:p>
      <w:pPr>
        <w:spacing w:after="0" w:line="14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60" w:firstLine="222"/>
        <w:spacing w:after="0" w:line="28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At July 1, 2011, we had $26.1 million in cash and cash equivalents, $189.5 million in working capital and $75.0 million in principal amount of outstanding borrowings under our Credit Facility. At April 1, 2011, we had $40.5 million in cash and cash equivalents, $167.5 million in working capital and</w:t>
      </w:r>
    </w:p>
    <w:p>
      <w:pPr>
        <w:ind w:right="440"/>
        <w:spacing w:after="0" w:line="261" w:lineRule="auto"/>
        <w:rPr>
          <w:sz w:val="20"/>
          <w:szCs w:val="20"/>
          <w:color w:val="auto"/>
        </w:rPr>
      </w:pPr>
      <w:r>
        <w:rPr>
          <w:rFonts w:ascii="Arial" w:cs="Arial" w:eastAsia="Arial" w:hAnsi="Arial"/>
          <w:sz w:val="18"/>
          <w:szCs w:val="18"/>
          <w:color w:val="auto"/>
        </w:rPr>
        <w:t>$60.0 million in principal amount of outstanding borrowings under our Credit Facility. We invest our cash in excess of current operating requirements in short-term, interest-bearing, investment-grade securities.</w:t>
      </w:r>
    </w:p>
    <w:p>
      <w:pPr>
        <w:spacing w:after="0" w:line="76"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general cash needs of our government systems, commercial networks and satellite services segments can vary significantly. In our government systems segment, the primary factors determining cash needs tend to be the type and mix of contracts in backlog (i.e., product or service, development or production, and timing of payments), and restrictions on the timing of cash payments under U.S. government procurement regulations. In our commercial networks segment, cash needs tend to be driven primarily by the type and mix of contracts in backlog, the nature and quality of customers, and the payment terms of customers (including whether advance payments are made or customer financing is required). Other factors affecting the cash needs of these segments include contract duration and program performance. For example, if a program is performing well and meeting its contractual requirements, then its cash flow requirements are usually lower. The cash needs of our satellite services segment tend to be driven primarily by the timing of payment of capital expenditures (e.g., timing of network expansion activities and launch contracts), as well as the quality of customer, type of contract and payment terms.</w:t>
      </w:r>
    </w:p>
    <w:p>
      <w:pPr>
        <w:spacing w:after="0" w:line="58"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To further enhance our liquidity position,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80"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provided by operating activities for the first three months of fiscal year 2012 was $8.9 million compared to cash provided by operating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$38.7 million for the first three months of fiscal year 2011. This $29.8 million decrease was primarily driven by a $31.7 million year-over-year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used to fund net operating asset needs, offset by our operating results (net income adjusted for depreciation, amortization and other non-cash charges)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generated $3.7 million of cash inflows. The increase in net operating assets was predominantly due to additional investment in our inventory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$25.9 million from April 1, 2011 to support our government satellite communication systems, tactical data links and next generation broadband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programs, as well as due to a $7.2 million decrease in accounts payable from April 1, 2011 due to the timing of payments, and a decrease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from April 1, 2011 in our collections in excess of revenues and deferred revenues included in accrued liabilities, primarily due to the timing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billings in our satellite services and commercial networks segments.</w:t>
      </w:r>
    </w:p>
    <w:p>
      <w:pPr>
        <w:spacing w:after="0" w:line="103"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Cash used in investing activities in the first three months of fiscal year 2012 was $40.7 million compared to $45.2 million for the first three months of fiscal year 2011. This $4.5 million decrease in cash used in investing activities was primarily related to a $19.3 million decrease in cash used for construction of our ViaSat-1 satellite, offset by higher capital expenditures for new CPE units and other general purpose equipment of approximately $4.1 million and higher capital expenditures for the construction of gateway facilities and network operation systems related to ViaSat-1 of approximately $10.5 million.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provided by financing activities for the first three months of fiscal year 2012 was $17.3 million compared to cash used in financing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$25.6 million for the first three months of fiscal year 2011. This $42.9 million increase in cash inflows was primarily related to the $15.0 million in proceeds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borrowings under our Credit Facility during first three months of fiscal year 2012, compared to a $30.0 million repayment of borrowings under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during the same period of fiscal year 2011. In addition, cash provided by financing activities for both periods included cash received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option exercises and employee stock purchase plan purchases, and cash used for the repurchase of common stock related to net share settlement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employee tax liabilities in connection with the vesting of restricted stock unit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related to our anticipated high-capacity satellite system. Under the satellite construction contract with SS/L, we purchased ViaSat-1, a new high-capacity Ka-band spot-beam satellite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$22.5 million, and in-orbit insurance and satellite operating costs post launch. On March 1, 2011, Loral entered into agreements with Telesat Canada pursuant to which Loral assigned to Telesat Canada and Telesat Canada assumed from Loral all of Loral’s rights and obligations with respect to the Canadian beams on ViaSat-1.</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November 2008, we entered into a launch services agreement with Arianespace to procure launch services for ViaSat-1 at a cost estimated to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$107.8 million, depending on the mass of the satellite at launch. In March 2009, we substituted ILS International Launch Services, Inc. (ILS) for Arianespace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primary provider of launch services for ViaSat-1, and accordingly, we entered into a contract for launch services with ILS to procure launch services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ViaSat-1 at an estimated cost of approximately $80.0 million, subject to certain adjustments, resulting in a net savings of approximately $20.0 million.</w:t>
      </w:r>
    </w:p>
    <w:p>
      <w:pPr>
        <w:spacing w:after="0" w:line="11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May 2009, we entered into an Amended and Restated Launch Services Agreement with Arianespace whereby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79"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In late July 2011, construction of the ViaSat-1 satellite and on-site testing at the satellite manufacturer was completed and the satellite is being readied for shipment to the launch facility at the Baikonur Cosmodrome in Kazakhstan. In late September 2011, following the launch preparation process, we expect the satellite to be launched into orbit.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The projected total cost of the ViaSat-1 project, including the satellite, launch, insurance and related gateway infrastructure, through in-service of the satellite is estimated to be approximately $400.0 million, excluding capitalized interest, and will depend on the timing of the gateway infrastructure roll-out, among other things. However, we anticipate capitalizing certain amounts of interest expense related to our outstanding borrowings in connection with our capital projects under construction, such as construction of ViaSat-1 and other assets. We continually evaluate alternative strategies that would limit our total required investment. We believe we have adequate sources of funding for the project, which includes our cash on hand, the cash we expect to generate from operations, and additional borrowing ability based on our financial position and debt leverage ratio. We believe this provides us flexibility to execute this project in an appropriate manner and/or obtain outside equity under terms that we consider reasonable.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480" w:firstLine="225"/>
        <w:spacing w:after="0" w:line="259" w:lineRule="auto"/>
        <w:rPr>
          <w:sz w:val="20"/>
          <w:szCs w:val="20"/>
          <w:color w:val="auto"/>
        </w:rPr>
      </w:pPr>
      <w:r>
        <w:rPr>
          <w:rFonts w:ascii="Arial" w:cs="Arial" w:eastAsia="Arial" w:hAnsi="Arial"/>
          <w:sz w:val="18"/>
          <w:szCs w:val="18"/>
          <w:color w:val="auto"/>
        </w:rPr>
        <w:t>In October 2009, we issued $275.0 million in principal amount of Notes in a private placement to institutional buyers. The Notes were exchanged in May 2010 for substantially identical Notes that had been registered with the SEC. The Notes bear interest at the rate of 8.875% per year, payable semi-annually in cash in arrears, which interest payments commenced in March 2010. The Notes were issued with an original issue discount of 1.24%, or $3.4 million.</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our existing and future subsidiaries that guarantees the Credit Facility (the Guarantor Subsidiaries). The Notes and the guarantees are our and the Guarantor Subsidiaries’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80"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Prior to September 15, 2012, we may redeem up to 35% of the Notes at a redemption price of 108.875% of the principal amount thereof, plus accrued and unpaid interest, if any, thereon to the redemption date, from the net cash proceeds of specified equity offerings. We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w:t>
      </w:r>
    </w:p>
    <w:p>
      <w:pPr>
        <w:spacing w:after="0" w:line="2" w:lineRule="exact"/>
        <w:rPr>
          <w:sz w:val="20"/>
          <w:szCs w:val="20"/>
          <w:color w:val="auto"/>
        </w:rPr>
      </w:pPr>
    </w:p>
    <w:p>
      <w:pPr>
        <w:ind w:right="20" w:firstLine="8"/>
        <w:spacing w:after="0" w:line="252"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86"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color w:val="auto"/>
        </w:rPr>
        <w:t>In the event a change of control occurs (as defined under the indenture), each holder will have the right to require us to repurchase all or any part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center"/>
        <w:ind w:right="340"/>
        <w:spacing w:after="0" w:line="291" w:lineRule="auto"/>
        <w:rPr>
          <w:sz w:val="20"/>
          <w:szCs w:val="20"/>
          <w:color w:val="auto"/>
        </w:rPr>
      </w:pPr>
      <w:r>
        <w:rPr>
          <w:rFonts w:ascii="Arial" w:cs="Arial" w:eastAsia="Arial" w:hAnsi="Arial"/>
          <w:sz w:val="16"/>
          <w:szCs w:val="16"/>
          <w:color w:val="auto"/>
        </w:rPr>
        <w:t>As of July 1, 2011, the Credit Facility provided a revolving line of credit of $325.0 million (including up to $35.0 million of letters of credit) with a maturity date of January 25, 2016. Borrowings under the Credit Facility bear interest, at our option, at either (1) the highest of the Federal Funds rate plus</w:t>
      </w:r>
    </w:p>
    <w:p>
      <w:pPr>
        <w:ind w:right="120"/>
        <w:spacing w:after="0" w:line="251" w:lineRule="auto"/>
        <w:rPr>
          <w:sz w:val="20"/>
          <w:szCs w:val="20"/>
          <w:color w:val="auto"/>
        </w:rPr>
      </w:pPr>
      <w:r>
        <w:rPr>
          <w:rFonts w:ascii="Arial" w:cs="Arial" w:eastAsia="Arial" w:hAnsi="Arial"/>
          <w:sz w:val="18"/>
          <w:szCs w:val="18"/>
          <w:color w:val="auto"/>
        </w:rPr>
        <w:t>0.50%, Eurodollar rate plus 1.00% or the administrative agent’s prime rate as announced from time to time, or (2) at the Eurodollar rate plus, in the case of each of (1) and (2), an applicable margin that is based on the ratio of our debt to earnings before interest, taxes, depreciation and amortization (EBITDA). At July 1, 2011, the weighted average effective interest rate on our outstanding borrowings under the Credit Facility was 3.25%. The Credit Facility is guaranteed by certain of our domestic subsidiaries and collateralized by substantially all of our respective assets. The Credit Facility contains financial covenants regarding a maximum leverage ratio, a maximum senior secured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 At July 1, 2011, we had $75.0 million in principal amount of outstanding borrowings under the Credit Facility and $10.2 million outstanding under standby letters of credit, leaving borrowing availability under the Credit Facility as of July 1, 2011 of $239.8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 summary of our obligations at July 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For the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Remainder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For the Fiscal Years Ending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2013-2014</w:t>
            </w: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2015-2016</w:t>
            </w: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167,742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61,220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Capital lease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3,243</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 Notes (1)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402,117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48,813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Line of credit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10,185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Purchase commitments including satellite-related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520,482</w:t>
            </w: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185,643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137,435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100,721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96,683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1,178,769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241,028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252,331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258,926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4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total interest payments on the Notes of $18.3 million for the remainder of fiscal year 2012, $48.8 million in fiscal years 2013-2014, $48.8 million in fiscal years 2015-2016 and $11.2 million thereafter.</w:t>
      </w:r>
    </w:p>
    <w:p>
      <w:pPr>
        <w:spacing w:after="0" w:line="62"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ViaSat-1. In addition, we have contracted for an additional launch which can be used as a back-up launch for ViaSat-1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70"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Our condensed consolidated balance sheets included $24.5 million and $23.8 million of “other liabilities” as of July 1, 2011 and April 1, 2011, respectively, which primarily consisted of our long-term warranty obligations, long-term portion of deferred rent, long-term portion of deferred revenue and long-term unrecognized tax position liabilities.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We had no material off-balance sheet arrangements at July 1, 2011 as defined in Regulation S-K Item 303(a)(4) other than as discussed under Contractual Obligations above or disclosed in the notes to our consolidated financial statements included in this Quarterly Report or in our Annual Report on Form 10-K for the year ended April 1, 2011.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October 2009, the FASB issued authoritative guidance for revenue recognition with multiple deliverables (ASU 2009-13, which updated ASC 605-25).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us beginning in the first quarter of fiscal year 2012; however, early adoption is permitted. We adopted this guidance in the first quarter of fiscal year 2012 without a material impact on our consolidated financial statements and disclosures.</w:t>
      </w:r>
    </w:p>
    <w:p>
      <w:pPr>
        <w:spacing w:after="0" w:line="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May 2011, the FASB issued ASU 2011-04, Fair Value Measurement (ASC 820): Amendments to Achieve Common Fair Value Measurement and Disclosure Requirements in GAAP and International Financial Reporting Standards (IFRS). The new authoritative guidance results in a consistent definition of fair value and common requirements for measurement of and disclosure about fair value between GAAP and IFRS. While many of the amendments to GAAP are not expected to have a significant effect on practice, the new guidance changes some fair value measurement principles and disclosure requirements. This guidance will be effective for us beginning in the fourth quarter of fiscal year 2012. Adoption of this authoritative guidance is not expected to have a material impact on our consolidated financial statements and disclosures.</w:t>
      </w:r>
    </w:p>
    <w:p>
      <w:pPr>
        <w:spacing w:after="0" w:line="7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In June 2011, the FASB issued ASU No. 2011-05, Comprehensive Income (ASC 220): Presentation of Comprehensive Income. The new authoritative guidance requires an entity to present the total of comprehensive income, the components of net income, and the components of other comprehensive income either in a single continuous statement of comprehensive income or in two separate but consecutive statements. The new authoritative guidance eliminates the option to present the components of other comprehensive income as part of the statement of equity. This guidance will be effective for us beginning in the fourth quarter of fiscal year 2012 and should be applied retrospectively; however, early adoption is permitted. We are currently evaluating the impact that the authoritative guidance may have on our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Our financial instruments consist of cash and cash equivalents, trade accounts receivable, accounts payable, and short-term and long-term obligations, including the Credit Facility and the Notes. We consider investments in highly liquid instruments purchased with a remaining maturity of three months or less at the date of purchase to be cash equivalents. As of July 1, 2011, we had $75.0 million and $275.0 million in principal amount of outstanding borrowings under our Credit Facility and Notes, respectively, and we held no short-term investments. Since the Notes bear interest at a fixed rate, exposure to market risk for changes in interest rates relates primarily to borrowings under our Credit Facility, cash equivalents, short-term investments and short-term obligations.</w:t>
      </w:r>
    </w:p>
    <w:p>
      <w:pPr>
        <w:spacing w:after="0" w:line="50" w:lineRule="exact"/>
        <w:rPr>
          <w:sz w:val="20"/>
          <w:szCs w:val="20"/>
          <w:color w:val="auto"/>
        </w:rPr>
      </w:pPr>
    </w:p>
    <w:p>
      <w:pPr>
        <w:ind w:right="60" w:firstLine="222"/>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59"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As of July 1, 2011, we had $75.0 million in principal amount of outstanding borrowings under our Credit Facility. Our primary interest rate under the Credit Facility is the Eurodollar rate plus an applicable margin that is based on the ratio of our debt to EBITDA. As of July 1, 2011, the weighted average effective interest rate on our outstanding borrowings under the Credit Facility was 3.25%. Assuming the outstanding balance remained constant over a year, a 50 basis point increase in the interest rate would increase interest incurred prior to effects of capitalized interest and cash flow by approximately $0.4 million over a twelve-month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80"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As of July 1, 2011, we had a number of foreign currency forward contracts outstanding which are intended to reduce the foreign currency risk for amounts payable to vendors in Euros. The foreign currency forward contracts with a notional amount of $2.9 million had a fair value of approximately $0.1 million and were recorded in other current assets as of July 1, 2011. The fair value of these foreign currency forward contracts as of July 1, 2011 would have changed by approximately $0.3 million if the foreign currency forward rate for the Euro to the U.S. dollar on these foreign currency forward contracts had changed by 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ind w:right="280" w:firstLine="215"/>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July 1, 2011, the end of the period covered by this Quarterly Report. Based upon the foregoing, our Chief Executive Officer and Chief Financial Officer concluded that our disclosure controls and procedures were effective at a reasonable assurance level as of July 1, 2011.</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225"/>
        <w:spacing w:after="0" w:line="302"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April 1, 2011, which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46 is incorporated herein by reference as the list of exhibits required as part of this Quarterly Report.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August 10, 2011</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Incorporated by Reference</w:t>
            </w:r>
          </w:p>
        </w:tc>
        <w:tc>
          <w:tcPr>
            <w:tcW w:w="9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42"/>
        </w:trPr>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3960" w:type="dxa"/>
            <w:vAlign w:val="bottom"/>
          </w:tcPr>
          <w:p>
            <w:pPr>
              <w:ind w:left="1380"/>
              <w:spacing w:after="0" w:line="142" w:lineRule="exact"/>
              <w:rPr>
                <w:sz w:val="20"/>
                <w:szCs w:val="20"/>
                <w:color w:val="auto"/>
              </w:rPr>
            </w:pPr>
            <w:r>
              <w:rPr>
                <w:rFonts w:ascii="Arial" w:cs="Arial" w:eastAsia="Arial" w:hAnsi="Arial"/>
                <w:sz w:val="14"/>
                <w:szCs w:val="14"/>
                <w:b w:val="1"/>
                <w:bCs w:val="1"/>
                <w:color w:val="auto"/>
              </w:rPr>
              <w:t>Exhibit Description</w:t>
            </w:r>
          </w:p>
        </w:tc>
        <w:tc>
          <w:tcPr>
            <w:tcW w:w="300" w:type="dxa"/>
            <w:vAlign w:val="bottom"/>
          </w:tcPr>
          <w:p>
            <w:pPr>
              <w:spacing w:after="0"/>
              <w:rPr>
                <w:sz w:val="12"/>
                <w:szCs w:val="12"/>
                <w:color w:val="auto"/>
              </w:rPr>
            </w:pPr>
          </w:p>
        </w:tc>
        <w:tc>
          <w:tcPr>
            <w:tcW w:w="13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Form</w:t>
            </w: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File No.</w:t>
            </w:r>
          </w:p>
        </w:tc>
        <w:tc>
          <w:tcPr>
            <w:tcW w:w="320" w:type="dxa"/>
            <w:vAlign w:val="bottom"/>
          </w:tcPr>
          <w:p>
            <w:pPr>
              <w:spacing w:after="0"/>
              <w:rPr>
                <w:sz w:val="12"/>
                <w:szCs w:val="12"/>
                <w:color w:val="auto"/>
              </w:rPr>
            </w:pPr>
          </w:p>
        </w:tc>
        <w:tc>
          <w:tcPr>
            <w:tcW w:w="148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8"/>
              </w:rPr>
              <w:t>Exhibit</w:t>
            </w:r>
          </w:p>
        </w:tc>
        <w:tc>
          <w:tcPr>
            <w:tcW w:w="9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Filing Date</w:t>
            </w:r>
          </w:p>
        </w:tc>
        <w:tc>
          <w:tcPr>
            <w:tcW w:w="32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r>
      <w:tr>
        <w:trPr>
          <w:trHeight w:val="195"/>
        </w:trPr>
        <w:tc>
          <w:tcPr>
            <w:tcW w:w="20" w:type="dxa"/>
            <w:vAlign w:val="bottom"/>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80" w:type="dxa"/>
            <w:vAlign w:val="bottom"/>
          </w:tcPr>
          <w:p>
            <w:pPr>
              <w:spacing w:after="0"/>
              <w:rPr>
                <w:sz w:val="16"/>
                <w:szCs w:val="16"/>
                <w:color w:val="auto"/>
              </w:rPr>
            </w:pPr>
          </w:p>
        </w:tc>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Certification of Chief Executive Officer Pursuant to</w:t>
            </w:r>
          </w:p>
        </w:tc>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X</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8"/>
        </w:trPr>
        <w:tc>
          <w:tcPr>
            <w:tcW w:w="800" w:type="dxa"/>
            <w:vAlign w:val="bottom"/>
            <w:gridSpan w:val="2"/>
          </w:tcPr>
          <w:p>
            <w:pPr>
              <w:spacing w:after="0"/>
              <w:rPr>
                <w:sz w:val="20"/>
                <w:szCs w:val="20"/>
                <w:color w:val="auto"/>
              </w:rPr>
            </w:pPr>
            <w:r>
              <w:rPr>
                <w:rFonts w:ascii="Arial" w:cs="Arial" w:eastAsia="Arial" w:hAnsi="Arial"/>
                <w:sz w:val="18"/>
                <w:szCs w:val="18"/>
                <w:color w:val="auto"/>
              </w:rPr>
              <w:t>31.2</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9"/>
              </w:rPr>
              <w:t>Certification of Chief Financial Officer Pursuant to</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8"/>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3"/>
              </w:rPr>
              <w:t>Certifications Pursuant to 18 U.S.C. Section 1350, as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7"/>
              </w:rPr>
              <w:t>Adopted Pursuant to Section 906 of the Sarbanes-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Oxley Act of 2002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w w:val="97"/>
              </w:rPr>
              <w:t>101.SCH*</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Schema</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Calculation Linkbase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Labels Linkbase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w w:val="98"/>
              </w:rPr>
              <w:t>101.PRE*</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w w:val="97"/>
              </w:rPr>
              <w:t>XBRL Taxonomy Extension Presentation Linkbase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w w:val="99"/>
              </w:rPr>
              <w:t>101.DEF*</w:t>
            </w: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Definition Linkbase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9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Attached as Exhibit 101 to this report are documents formatted in XBRL (Extensible Business Reporting Language). 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of Regulation S-T, these interactive data files are deemed not filed for purposes of Section 18 of the Securities Exchange Act of 1934, as amended, are deemed not filed or part of any registration statement or prospectus for purposes of Sections 11 or 12 of the Securities Act of 1933, as amended, and are otherwise not subject to liability under these sections.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1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277"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277"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20" w:right="60" w:firstLine="229"/>
        <w:spacing w:after="0" w:line="277"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1, 2011 (the “Report”)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340" w:firstLine="449"/>
        <w:spacing w:after="0" w:line="402" w:lineRule="auto"/>
        <w:tabs>
          <w:tab w:leader="none" w:pos="6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10, 2011</w:t>
      </w:r>
    </w:p>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20" w:right="60" w:firstLine="229"/>
        <w:spacing w:after="0" w:line="277" w:lineRule="auto"/>
        <w:tabs>
          <w:tab w:leader="none" w:pos="6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1, 2011 (the “Report”)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340" w:firstLine="449"/>
        <w:spacing w:after="0" w:line="402" w:lineRule="auto"/>
        <w:tabs>
          <w:tab w:leader="none" w:pos="6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10, 2011</w:t>
      </w:r>
    </w:p>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2019-12-10T07:26:13Z</dcterms:created>
  <dcterms:modified xsi:type="dcterms:W3CDTF">2019-12-10T07:26:13Z</dcterms:modified>
</cp:coreProperties>
</file>