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49530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89535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5" w:lineRule="exact"/>
        <w:rPr>
          <w:sz w:val="24"/>
          <w:szCs w:val="24"/>
          <w:color w:val="auto"/>
        </w:rPr>
      </w:pPr>
    </w:p>
    <w:p>
      <w:pPr>
        <w:ind w:left="3540" w:right="1760" w:hanging="3532"/>
        <w:spacing w:after="0" w:line="326" w:lineRule="auto"/>
        <w:tabs>
          <w:tab w:leader="none" w:pos="41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December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20" w:hanging="412"/>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660"/>
        <w:spacing w:after="0"/>
        <w:tabs>
          <w:tab w:leader="none" w:pos="6880" w:val="left"/>
          <w:tab w:leader="none" w:pos="7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71755</wp:posOffset>
            </wp:positionV>
            <wp:extent cx="1449070" cy="600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57785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3" w:lineRule="exact"/>
        <w:rPr>
          <w:sz w:val="24"/>
          <w:szCs w:val="24"/>
          <w:color w:val="auto"/>
        </w:rPr>
      </w:pPr>
    </w:p>
    <w:tbl>
      <w:tblPr>
        <w:tblLayout w:type="fixed"/>
        <w:tblInd w:w="1900" w:type="dxa"/>
        <w:tblCellMar>
          <w:top w:w="0" w:type="dxa"/>
          <w:left w:w="0" w:type="dxa"/>
          <w:bottom w:w="0" w:type="dxa"/>
          <w:right w:w="0" w:type="dxa"/>
        </w:tblCellMar>
      </w:tblPr>
      <w:tr>
        <w:trPr>
          <w:trHeight w:val="209"/>
        </w:trPr>
        <w:tc>
          <w:tcPr>
            <w:tcW w:w="4020" w:type="dxa"/>
            <w:vAlign w:val="bottom"/>
          </w:tcPr>
          <w:p>
            <w:pPr>
              <w:jc w:val="center"/>
              <w:ind w:right="2025"/>
              <w:spacing w:after="0"/>
              <w:rPr>
                <w:sz w:val="20"/>
                <w:szCs w:val="20"/>
                <w:color w:val="auto"/>
              </w:rPr>
            </w:pPr>
            <w:r>
              <w:rPr>
                <w:rFonts w:ascii="Arial" w:cs="Arial" w:eastAsia="Arial" w:hAnsi="Arial"/>
                <w:sz w:val="18"/>
                <w:szCs w:val="18"/>
                <w:b w:val="1"/>
                <w:bCs w:val="1"/>
                <w:color w:val="auto"/>
              </w:rPr>
              <w:t>Delaware</w:t>
            </w:r>
          </w:p>
        </w:tc>
        <w:tc>
          <w:tcPr>
            <w:tcW w:w="3220" w:type="dxa"/>
            <w:vAlign w:val="bottom"/>
          </w:tcPr>
          <w:p>
            <w:pPr>
              <w:jc w:val="center"/>
              <w:ind w:left="2005"/>
              <w:spacing w:after="0"/>
              <w:rPr>
                <w:sz w:val="20"/>
                <w:szCs w:val="20"/>
                <w:color w:val="auto"/>
              </w:rPr>
            </w:pPr>
            <w:r>
              <w:rPr>
                <w:rFonts w:ascii="Arial" w:cs="Arial" w:eastAsia="Arial" w:hAnsi="Arial"/>
                <w:sz w:val="18"/>
                <w:szCs w:val="18"/>
                <w:b w:val="1"/>
                <w:bCs w:val="1"/>
                <w:color w:val="auto"/>
              </w:rPr>
              <w:t>33-0174996</w:t>
            </w:r>
          </w:p>
        </w:tc>
      </w:tr>
      <w:tr>
        <w:trPr>
          <w:trHeight w:val="149"/>
        </w:trPr>
        <w:tc>
          <w:tcPr>
            <w:tcW w:w="4020" w:type="dxa"/>
            <w:vAlign w:val="bottom"/>
          </w:tcPr>
          <w:p>
            <w:pPr>
              <w:jc w:val="center"/>
              <w:ind w:right="2005"/>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3220" w:type="dxa"/>
            <w:vAlign w:val="bottom"/>
          </w:tcPr>
          <w:p>
            <w:pPr>
              <w:jc w:val="center"/>
              <w:ind w:left="2005"/>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78"/>
        </w:trPr>
        <w:tc>
          <w:tcPr>
            <w:tcW w:w="4020" w:type="dxa"/>
            <w:vAlign w:val="bottom"/>
          </w:tcPr>
          <w:p>
            <w:pPr>
              <w:jc w:val="center"/>
              <w:ind w:right="2025"/>
              <w:spacing w:after="0"/>
              <w:rPr>
                <w:sz w:val="20"/>
                <w:szCs w:val="20"/>
                <w:color w:val="auto"/>
              </w:rPr>
            </w:pPr>
            <w:r>
              <w:rPr>
                <w:rFonts w:ascii="Arial" w:cs="Arial" w:eastAsia="Arial" w:hAnsi="Arial"/>
                <w:sz w:val="14"/>
                <w:szCs w:val="14"/>
                <w:b w:val="1"/>
                <w:bCs w:val="1"/>
                <w:color w:val="auto"/>
                <w:w w:val="96"/>
              </w:rPr>
              <w:t>incorporation or organization)</w:t>
            </w:r>
          </w:p>
        </w:tc>
        <w:tc>
          <w:tcPr>
            <w:tcW w:w="3220" w:type="dxa"/>
            <w:vAlign w:val="bottom"/>
          </w:tcPr>
          <w:p>
            <w:pPr>
              <w:jc w:val="center"/>
              <w:ind w:left="2005"/>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6155 El Camino Real</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Carlsbad, California 92009</w:t>
      </w:r>
    </w:p>
    <w:p>
      <w:pPr>
        <w:jc w:val="center"/>
        <w:spacing w:after="0"/>
        <w:rPr>
          <w:sz w:val="20"/>
          <w:szCs w:val="20"/>
          <w:color w:val="auto"/>
        </w:rPr>
      </w:pPr>
      <w:r>
        <w:rPr>
          <w:rFonts w:ascii="Arial" w:cs="Arial" w:eastAsia="Arial" w:hAnsi="Arial"/>
          <w:sz w:val="18"/>
          <w:szCs w:val="18"/>
          <w:b w:val="1"/>
          <w:bCs w:val="1"/>
          <w:color w:val="auto"/>
        </w:rPr>
        <w:t>(760) 476-2200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3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(Trading Symbol)</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96"/>
              </w:rPr>
              <w:t>(Name of Each Exchange on which Registered)</w:t>
            </w:r>
          </w:p>
        </w:tc>
      </w:tr>
      <w:tr>
        <w:trPr>
          <w:trHeight w:val="196"/>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Common Stock, par value $0.0001 per share</w:t>
            </w:r>
          </w:p>
        </w:tc>
        <w:tc>
          <w:tcPr>
            <w:tcW w:w="12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VSAT</w:t>
            </w:r>
          </w:p>
        </w:tc>
        <w:tc>
          <w:tcPr>
            <w:tcW w:w="100" w:type="dxa"/>
            <w:vAlign w:val="bottom"/>
          </w:tcPr>
          <w:p>
            <w:pPr>
              <w:spacing w:after="0"/>
              <w:rPr>
                <w:sz w:val="17"/>
                <w:szCs w:val="17"/>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The Nasdaq Stock Market LLC</w:t>
            </w:r>
          </w:p>
        </w:tc>
      </w:tr>
    </w:tbl>
    <w:p>
      <w:pPr>
        <w:spacing w:after="0" w:line="40" w:lineRule="exact"/>
        <w:rPr>
          <w:sz w:val="24"/>
          <w:szCs w:val="24"/>
          <w:color w:val="auto"/>
        </w:rPr>
      </w:pPr>
    </w:p>
    <w:p>
      <w:pPr>
        <w:ind w:right="440" w:firstLine="518"/>
        <w:spacing w:after="0" w:line="23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81" w:lineRule="exact"/>
        <w:rPr>
          <w:sz w:val="24"/>
          <w:szCs w:val="24"/>
          <w:color w:val="auto"/>
        </w:rPr>
      </w:pPr>
    </w:p>
    <w:p>
      <w:pPr>
        <w:ind w:right="120" w:firstLine="518"/>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jc w:val="both"/>
        <w:ind w:right="100" w:firstLine="518"/>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346" w:right="239" w:bottom="1440" w:gutter="0" w:footer="0" w:header="0"/>
        </w:sectPr>
      </w:pPr>
    </w:p>
    <w:p>
      <w:pPr>
        <w:spacing w:after="0" w:line="22" w:lineRule="exact"/>
        <w:rPr>
          <w:sz w:val="24"/>
          <w:szCs w:val="24"/>
          <w:color w:val="auto"/>
        </w:rPr>
      </w:pPr>
    </w:p>
    <w:p>
      <w:pPr>
        <w:spacing w:after="0" w:line="207" w:lineRule="exact"/>
        <w:tabs>
          <w:tab w:leader="none" w:pos="2620" w:val="left"/>
          <w:tab w:leader="none" w:pos="85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p>
    <w:p>
      <w:pPr>
        <w:spacing w:after="0" w:line="90" w:lineRule="exact"/>
        <w:rPr>
          <w:sz w:val="24"/>
          <w:szCs w:val="24"/>
          <w:color w:val="auto"/>
        </w:rPr>
      </w:pPr>
    </w:p>
    <w:p>
      <w:pPr>
        <w:spacing w:after="0" w:line="207" w:lineRule="exact"/>
        <w:tabs>
          <w:tab w:leader="none" w:pos="2620" w:val="left"/>
          <w:tab w:leader="none" w:pos="856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p>
    <w:p>
      <w:pPr>
        <w:spacing w:after="0" w:line="150" w:lineRule="exact"/>
        <w:rPr>
          <w:sz w:val="24"/>
          <w:szCs w:val="24"/>
          <w:color w:val="auto"/>
        </w:rPr>
      </w:pPr>
    </w:p>
    <w:p>
      <w:pPr>
        <w:ind w:left="8580"/>
        <w:spacing w:after="0"/>
        <w:rPr>
          <w:sz w:val="20"/>
          <w:szCs w:val="20"/>
          <w:color w:val="auto"/>
        </w:rPr>
      </w:pPr>
      <w:r>
        <w:rPr>
          <w:rFonts w:ascii="Arial" w:cs="Arial" w:eastAsia="Arial" w:hAnsi="Arial"/>
          <w:sz w:val="18"/>
          <w:szCs w:val="18"/>
          <w:color w:val="auto"/>
        </w:rPr>
        <w:t>Emerging growth company</w:t>
      </w:r>
    </w:p>
    <w:p>
      <w:pPr>
        <w:spacing w:after="0" w:line="77" w:lineRule="exact"/>
        <w:rPr>
          <w:sz w:val="24"/>
          <w:szCs w:val="24"/>
          <w:color w:val="auto"/>
        </w:rPr>
      </w:pPr>
    </w:p>
    <w:p>
      <w:pPr>
        <w:ind w:right="260" w:firstLine="518"/>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2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$0.0001 par value, as of January 24, 2020 was 62,129,258.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382905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960" w:space="240"/>
            <w:col w:w="220"/>
          </w:cols>
          <w:pgMar w:left="240" w:top="34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VIASAT,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52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520" w:type="dxa"/>
            <w:vAlign w:val="bottom"/>
            <w:gridSpan w:val="18"/>
            <w:vMerge w:val="continue"/>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 (Unaudited)</w:t>
              </w:r>
            </w:hyperlink>
          </w:p>
        </w:tc>
        <w:tc>
          <w:tcPr>
            <w:tcW w:w="7240" w:type="dxa"/>
            <w:vAlign w:val="bottom"/>
            <w:gridSpan w:val="8"/>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9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and Comprehensive Income (Loss)</w:t>
              </w:r>
            </w:hyperlink>
          </w:p>
        </w:tc>
        <w:tc>
          <w:tcPr>
            <w:tcW w:w="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8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Equity</w:t>
              </w:r>
            </w:hyperlink>
          </w:p>
        </w:tc>
        <w:tc>
          <w:tcPr>
            <w:tcW w:w="5900" w:type="dxa"/>
            <w:vAlign w:val="bottom"/>
            <w:gridSpan w:val="5"/>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080" w:type="dxa"/>
            <w:vAlign w:val="bottom"/>
            <w:gridSpan w:val="17"/>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Item 2. Management’s Discussion and Analysis of Financial Condition and Results of Operations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Item 3.</w:t>
              </w:r>
            </w:hyperlink>
          </w:p>
        </w:tc>
        <w:tc>
          <w:tcPr>
            <w:tcW w:w="7100" w:type="dxa"/>
            <w:vAlign w:val="bottom"/>
            <w:tcBorders>
              <w:top w:val="single" w:sz="8" w:color="0000EE"/>
            </w:tcBorders>
            <w:gridSpan w:val="15"/>
          </w:tcPr>
          <w:p>
            <w:pPr>
              <w:ind w:left="20"/>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Quantitative and Qualitative Disclosures About Market Risk</w:t>
              </w:r>
            </w:hyperlink>
          </w:p>
        </w:tc>
        <w:tc>
          <w:tcPr>
            <w:tcW w:w="2840" w:type="dxa"/>
            <w:vAlign w:val="bottom"/>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Item 4.</w:t>
              </w:r>
            </w:hyperlink>
          </w:p>
        </w:tc>
        <w:tc>
          <w:tcPr>
            <w:tcW w:w="2020" w:type="dxa"/>
            <w:vAlign w:val="bottom"/>
            <w:tcBorders>
              <w:top w:val="single" w:sz="8" w:color="0000EE"/>
              <w:bottom w:val="single" w:sz="8" w:color="0000EE"/>
            </w:tcBorders>
            <w:gridSpan w:val="5"/>
          </w:tcPr>
          <w:p>
            <w:pPr>
              <w:ind w:left="20"/>
              <w:spacing w:after="0" w:line="182" w:lineRule="exact"/>
              <w:rPr>
                <w:rFonts w:ascii="Arial" w:cs="Arial" w:eastAsia="Arial" w:hAnsi="Arial"/>
                <w:sz w:val="18"/>
                <w:szCs w:val="18"/>
                <w:color w:val="0000EE"/>
                <w:w w:val="99"/>
              </w:rPr>
            </w:pPr>
            <w:hyperlink w:anchor="page57">
              <w:r>
                <w:rPr>
                  <w:rFonts w:ascii="Arial" w:cs="Arial" w:eastAsia="Arial" w:hAnsi="Arial"/>
                  <w:sz w:val="18"/>
                  <w:szCs w:val="18"/>
                  <w:color w:val="0000EE"/>
                  <w:w w:val="99"/>
                </w:rPr>
                <w:t>Controls and Procedures</w:t>
              </w:r>
            </w:hyperlink>
          </w:p>
        </w:tc>
        <w:tc>
          <w:tcPr>
            <w:tcW w:w="2720" w:type="dxa"/>
            <w:vAlign w:val="bottom"/>
            <w:tcBorders>
              <w:top w:val="single" w:sz="8" w:color="0000EE"/>
            </w:tcBorders>
            <w:gridSpan w:val="8"/>
          </w:tcPr>
          <w:p>
            <w:pPr>
              <w:spacing w:after="0"/>
              <w:rPr>
                <w:sz w:val="17"/>
                <w:szCs w:val="17"/>
                <w:color w:val="auto"/>
              </w:rPr>
            </w:pPr>
          </w:p>
        </w:tc>
        <w:tc>
          <w:tcPr>
            <w:tcW w:w="5200" w:type="dxa"/>
            <w:vAlign w:val="bottom"/>
            <w:gridSpan w:val="3"/>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57">
              <w:r>
                <w:rPr>
                  <w:rFonts w:ascii="Arial" w:cs="Arial" w:eastAsia="Arial" w:hAnsi="Arial"/>
                  <w:sz w:val="18"/>
                  <w:szCs w:val="18"/>
                  <w:b w:val="1"/>
                  <w:bCs w:val="1"/>
                  <w:color w:val="0000EE"/>
                  <w:w w:val="98"/>
                </w:rPr>
                <w:t>PART II. OTHER INFORMATION</w:t>
              </w:r>
            </w:hyperlink>
          </w:p>
        </w:tc>
        <w:tc>
          <w:tcPr>
            <w:tcW w:w="784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bottom w:val="single" w:sz="8" w:color="0000EE"/>
            </w:tcBorders>
            <w:gridSpan w:val="2"/>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Item 1.</w:t>
              </w:r>
            </w:hyperlink>
          </w:p>
        </w:tc>
        <w:tc>
          <w:tcPr>
            <w:tcW w:w="1520" w:type="dxa"/>
            <w:vAlign w:val="bottom"/>
            <w:tcBorders>
              <w:bottom w:val="single" w:sz="8" w:color="0000EE"/>
            </w:tcBorders>
            <w:gridSpan w:val="4"/>
          </w:tcPr>
          <w:p>
            <w:pPr>
              <w:ind w:left="20"/>
              <w:spacing w:after="0" w:line="182" w:lineRule="exact"/>
              <w:rPr>
                <w:rFonts w:ascii="Arial" w:cs="Arial" w:eastAsia="Arial" w:hAnsi="Arial"/>
                <w:sz w:val="18"/>
                <w:szCs w:val="18"/>
                <w:color w:val="0000EE"/>
                <w:w w:val="99"/>
              </w:rPr>
            </w:pPr>
            <w:hyperlink w:anchor="page57">
              <w:r>
                <w:rPr>
                  <w:rFonts w:ascii="Arial" w:cs="Arial" w:eastAsia="Arial" w:hAnsi="Arial"/>
                  <w:sz w:val="18"/>
                  <w:szCs w:val="18"/>
                  <w:color w:val="0000EE"/>
                  <w:w w:val="99"/>
                </w:rPr>
                <w:t>Legal Proceedings</w:t>
              </w:r>
            </w:hyperlink>
          </w:p>
        </w:tc>
        <w:tc>
          <w:tcPr>
            <w:tcW w:w="8420" w:type="dxa"/>
            <w:vAlign w:val="bottom"/>
            <w:gridSpan w:val="12"/>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Item 1A. Risk Factors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Item 6.</w:t>
              </w:r>
            </w:hyperlink>
          </w:p>
        </w:tc>
        <w:tc>
          <w:tcPr>
            <w:tcW w:w="660" w:type="dxa"/>
            <w:vAlign w:val="bottom"/>
            <w:tcBorders>
              <w:top w:val="single" w:sz="8" w:color="0000EE"/>
              <w:bottom w:val="single" w:sz="8" w:color="0000EE"/>
            </w:tcBorders>
            <w:gridSpan w:val="2"/>
          </w:tcPr>
          <w:p>
            <w:pPr>
              <w:ind w:left="20"/>
              <w:spacing w:after="0" w:line="182"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Exhibits</w:t>
              </w:r>
            </w:hyperlink>
          </w:p>
        </w:tc>
        <w:tc>
          <w:tcPr>
            <w:tcW w:w="480" w:type="dxa"/>
            <w:vAlign w:val="bottom"/>
            <w:tcBorders>
              <w:top w:val="single" w:sz="8" w:color="0000EE"/>
            </w:tcBorders>
          </w:tcPr>
          <w:p>
            <w:pPr>
              <w:spacing w:after="0"/>
              <w:rPr>
                <w:sz w:val="17"/>
                <w:szCs w:val="17"/>
                <w:color w:val="auto"/>
              </w:rPr>
            </w:pPr>
          </w:p>
        </w:tc>
        <w:tc>
          <w:tcPr>
            <w:tcW w:w="8800" w:type="dxa"/>
            <w:vAlign w:val="bottom"/>
            <w:gridSpan w:val="13"/>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520" w:type="dxa"/>
            <w:vAlign w:val="bottom"/>
            <w:gridSpan w:val="18"/>
          </w:tcPr>
          <w:p>
            <w:pPr>
              <w:spacing w:after="0" w:line="182" w:lineRule="exact"/>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669"/>
        </w:trPr>
        <w:tc>
          <w:tcPr>
            <w:tcW w:w="4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560" w:type="dxa"/>
            <w:vAlign w:val="bottom"/>
            <w:gridSpan w:val="13"/>
          </w:tcPr>
          <w:p>
            <w:pPr>
              <w:jc w:val="right"/>
              <w:ind w:right="16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 of</w:t>
            </w:r>
          </w:p>
        </w:tc>
      </w:tr>
      <w:tr>
        <w:trPr>
          <w:trHeight w:val="175"/>
        </w:trPr>
        <w:tc>
          <w:tcPr>
            <w:tcW w:w="7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March 31, 2019</w:t>
            </w:r>
          </w:p>
        </w:tc>
      </w:tr>
      <w:tr>
        <w:trPr>
          <w:trHeight w:val="169"/>
        </w:trPr>
        <w:tc>
          <w:tcPr>
            <w:tcW w:w="73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340" w:type="dxa"/>
            <w:vAlign w:val="bottom"/>
            <w:shd w:val="clear" w:color="auto" w:fill="CFF0FC"/>
          </w:tcPr>
          <w:p>
            <w:pPr>
              <w:ind w:left="32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47,778</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261,701</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316,439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300,307</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234,518</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102,724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90,646</w:t>
            </w:r>
          </w:p>
        </w:tc>
        <w:tc>
          <w:tcPr>
            <w:tcW w:w="100" w:type="dxa"/>
            <w:vAlign w:val="bottom"/>
            <w:tcBorders>
              <w:bottom w:val="single" w:sz="8" w:color="CFF0FC"/>
            </w:tcBorders>
          </w:tcPr>
          <w:p>
            <w:pPr>
              <w:spacing w:after="0"/>
              <w:rPr>
                <w:sz w:val="18"/>
                <w:szCs w:val="18"/>
                <w:color w:val="auto"/>
              </w:rPr>
            </w:pPr>
          </w:p>
        </w:tc>
      </w:tr>
      <w:tr>
        <w:trPr>
          <w:trHeight w:val="21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750,241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887,172</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Property, equipment and satellites, net</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2,513,013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2,125,290</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312,509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Other acquired intangible assets, net</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22,301</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121,745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121,719</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799,905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758,805</w:t>
            </w:r>
          </w:p>
        </w:tc>
        <w:tc>
          <w:tcPr>
            <w:tcW w:w="100" w:type="dxa"/>
            <w:vAlign w:val="bottom"/>
            <w:shd w:val="clear" w:color="auto" w:fill="CFF0FC"/>
          </w:tcPr>
          <w:p>
            <w:pPr>
              <w:spacing w:after="0"/>
              <w:rPr>
                <w:sz w:val="18"/>
                <w:szCs w:val="18"/>
                <w:color w:val="auto"/>
              </w:rPr>
            </w:pPr>
          </w:p>
        </w:tc>
      </w:tr>
      <w:tr>
        <w:trPr>
          <w:trHeight w:val="250"/>
        </w:trPr>
        <w:tc>
          <w:tcPr>
            <w:tcW w:w="734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4,513,684</w:t>
            </w:r>
          </w:p>
        </w:tc>
        <w:tc>
          <w:tcPr>
            <w:tcW w:w="160" w:type="dxa"/>
            <w:vAlign w:val="bottom"/>
          </w:tcPr>
          <w:p>
            <w:pPr>
              <w:spacing w:after="0"/>
              <w:rPr>
                <w:sz w:val="21"/>
                <w:szCs w:val="21"/>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3,915,287</w:t>
            </w:r>
          </w:p>
        </w:tc>
        <w:tc>
          <w:tcPr>
            <w:tcW w:w="100" w:type="dxa"/>
            <w:vAlign w:val="bottom"/>
          </w:tcPr>
          <w:p>
            <w:pPr>
              <w:spacing w:after="0"/>
              <w:rPr>
                <w:sz w:val="21"/>
                <w:szCs w:val="21"/>
                <w:color w:val="auto"/>
              </w:rPr>
            </w:pPr>
          </w:p>
        </w:tc>
      </w:tr>
      <w:tr>
        <w:trPr>
          <w:trHeight w:val="197"/>
        </w:trPr>
        <w:tc>
          <w:tcPr>
            <w:tcW w:w="7340" w:type="dxa"/>
            <w:vAlign w:val="bottom"/>
            <w:tcBorders>
              <w:top w:val="single" w:sz="8" w:color="CFF0FC"/>
            </w:tcBorders>
            <w:shd w:val="clear" w:color="auto" w:fill="CFF0FC"/>
          </w:tcPr>
          <w:p>
            <w:pPr>
              <w:ind w:left="248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auto"/>
            </w:tcBorders>
            <w:shd w:val="clear" w:color="auto" w:fill="CFF0FC"/>
          </w:tcPr>
          <w:p>
            <w:pPr>
              <w:spacing w:after="0"/>
              <w:rPr>
                <w:sz w:val="17"/>
                <w:szCs w:val="17"/>
                <w:color w:val="auto"/>
              </w:rPr>
            </w:pPr>
          </w:p>
        </w:tc>
        <w:tc>
          <w:tcPr>
            <w:tcW w:w="1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152,386</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157,275</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8"/>
                <w:szCs w:val="18"/>
                <w:color w:val="auto"/>
              </w:rPr>
              <w:t>Accrued and other liabilities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355,916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308,268</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30,101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19,937</w:t>
            </w:r>
          </w:p>
        </w:tc>
        <w:tc>
          <w:tcPr>
            <w:tcW w:w="100" w:type="dxa"/>
            <w:vAlign w:val="bottom"/>
            <w:shd w:val="clear" w:color="auto" w:fill="CFF0FC"/>
          </w:tcPr>
          <w:p>
            <w:pPr>
              <w:spacing w:after="0"/>
              <w:rPr>
                <w:sz w:val="18"/>
                <w:szCs w:val="18"/>
                <w:color w:val="auto"/>
              </w:rPr>
            </w:pPr>
          </w:p>
        </w:tc>
      </w:tr>
      <w:tr>
        <w:trPr>
          <w:trHeight w:val="210"/>
        </w:trPr>
        <w:tc>
          <w:tcPr>
            <w:tcW w:w="734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538,403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485,480</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Senior notes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1,284,913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1,282,898</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debt</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257,778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110,005</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289,159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118,120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120,826</w:t>
            </w:r>
          </w:p>
        </w:tc>
        <w:tc>
          <w:tcPr>
            <w:tcW w:w="100" w:type="dxa"/>
            <w:vAlign w:val="bottom"/>
            <w:shd w:val="clear" w:color="auto" w:fill="CFF0FC"/>
          </w:tcPr>
          <w:p>
            <w:pPr>
              <w:spacing w:after="0"/>
              <w:rPr>
                <w:sz w:val="18"/>
                <w:szCs w:val="18"/>
                <w:color w:val="auto"/>
              </w:rPr>
            </w:pPr>
          </w:p>
        </w:tc>
      </w:tr>
      <w:tr>
        <w:trPr>
          <w:trHeight w:val="210"/>
        </w:trPr>
        <w:tc>
          <w:tcPr>
            <w:tcW w:w="73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2,488,373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1,999,209</w:t>
            </w:r>
          </w:p>
        </w:tc>
        <w:tc>
          <w:tcPr>
            <w:tcW w:w="100" w:type="dxa"/>
            <w:vAlign w:val="bottom"/>
            <w:tcBorders>
              <w:bottom w:val="single" w:sz="8" w:color="CFF0FC"/>
            </w:tcBorders>
          </w:tcPr>
          <w:p>
            <w:pPr>
              <w:spacing w:after="0"/>
              <w:rPr>
                <w:sz w:val="18"/>
                <w:szCs w:val="18"/>
                <w:color w:val="auto"/>
              </w:rPr>
            </w:pPr>
          </w:p>
        </w:tc>
      </w:tr>
      <w:tr>
        <w:trPr>
          <w:trHeight w:val="21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Viasat, Inc. stockholders’ equity</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1,762,996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1,656,819</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243,787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245,585</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5,338</w:t>
            </w:r>
          </w:p>
        </w:tc>
        <w:tc>
          <w:tcPr>
            <w:tcW w:w="100" w:type="dxa"/>
            <w:vAlign w:val="bottom"/>
            <w:shd w:val="clear" w:color="auto" w:fill="CFF0FC"/>
          </w:tcPr>
          <w:p>
            <w:pPr>
              <w:spacing w:after="0"/>
              <w:rPr>
                <w:sz w:val="18"/>
                <w:szCs w:val="18"/>
                <w:color w:val="auto"/>
              </w:rPr>
            </w:pPr>
          </w:p>
        </w:tc>
      </w:tr>
      <w:tr>
        <w:trPr>
          <w:trHeight w:val="210"/>
        </w:trPr>
        <w:tc>
          <w:tcPr>
            <w:tcW w:w="7340" w:type="dxa"/>
            <w:vAlign w:val="bottom"/>
          </w:tcPr>
          <w:p>
            <w:pPr>
              <w:ind w:left="260"/>
              <w:spacing w:after="0"/>
              <w:rPr>
                <w:sz w:val="20"/>
                <w:szCs w:val="20"/>
                <w:color w:val="auto"/>
              </w:rPr>
            </w:pPr>
            <w:r>
              <w:rPr>
                <w:rFonts w:ascii="Arial" w:cs="Arial" w:eastAsia="Arial" w:hAnsi="Arial"/>
                <w:sz w:val="18"/>
                <w:szCs w:val="18"/>
                <w:color w:val="auto"/>
              </w:rPr>
              <w:t>Total Viasat, Inc. stockholders’ equity</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2,006,268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1,907,748</w:t>
            </w:r>
          </w:p>
        </w:tc>
        <w:tc>
          <w:tcPr>
            <w:tcW w:w="100" w:type="dxa"/>
            <w:vAlign w:val="bottom"/>
          </w:tcPr>
          <w:p>
            <w:pPr>
              <w:spacing w:after="0"/>
              <w:rPr>
                <w:sz w:val="18"/>
                <w:szCs w:val="18"/>
                <w:color w:val="auto"/>
              </w:rPr>
            </w:pPr>
          </w:p>
        </w:tc>
      </w:tr>
      <w:tr>
        <w:trPr>
          <w:trHeight w:val="216"/>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 in subsidiary</w:t>
            </w:r>
          </w:p>
        </w:tc>
        <w:tc>
          <w:tcPr>
            <w:tcW w:w="1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8,330</w:t>
            </w:r>
          </w:p>
        </w:tc>
        <w:tc>
          <w:tcPr>
            <w:tcW w:w="100" w:type="dxa"/>
            <w:vAlign w:val="bottom"/>
            <w:shd w:val="clear" w:color="auto" w:fill="CFF0FC"/>
          </w:tcPr>
          <w:p>
            <w:pPr>
              <w:spacing w:after="0"/>
              <w:rPr>
                <w:sz w:val="18"/>
                <w:szCs w:val="18"/>
                <w:color w:val="auto"/>
              </w:rPr>
            </w:pPr>
          </w:p>
        </w:tc>
      </w:tr>
      <w:tr>
        <w:trPr>
          <w:trHeight w:val="210"/>
        </w:trPr>
        <w:tc>
          <w:tcPr>
            <w:tcW w:w="7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2,025,311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1,916,078</w:t>
            </w:r>
          </w:p>
        </w:tc>
        <w:tc>
          <w:tcPr>
            <w:tcW w:w="100" w:type="dxa"/>
            <w:vAlign w:val="bottom"/>
            <w:tcBorders>
              <w:bottom w:val="single" w:sz="8" w:color="CFF0FC"/>
            </w:tcBorders>
          </w:tcPr>
          <w:p>
            <w:pPr>
              <w:spacing w:after="0"/>
              <w:rPr>
                <w:sz w:val="18"/>
                <w:szCs w:val="18"/>
                <w:color w:val="auto"/>
              </w:rPr>
            </w:pPr>
          </w:p>
        </w:tc>
      </w:tr>
      <w:tr>
        <w:trPr>
          <w:trHeight w:val="210"/>
        </w:trPr>
        <w:tc>
          <w:tcPr>
            <w:tcW w:w="7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liabilities and equity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4,513,684</w:t>
            </w:r>
          </w:p>
        </w:tc>
        <w:tc>
          <w:tcPr>
            <w:tcW w:w="1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3,915,287</w:t>
            </w:r>
          </w:p>
        </w:tc>
        <w:tc>
          <w:tcPr>
            <w:tcW w:w="100" w:type="dxa"/>
            <w:vAlign w:val="bottom"/>
            <w:shd w:val="clear" w:color="auto" w:fill="CFF0FC"/>
          </w:tcPr>
          <w:p>
            <w:pPr>
              <w:spacing w:after="0"/>
              <w:rPr>
                <w:sz w:val="18"/>
                <w:szCs w:val="18"/>
                <w:color w:val="auto"/>
              </w:rPr>
            </w:pPr>
          </w:p>
        </w:tc>
      </w:tr>
      <w:tr>
        <w:trPr>
          <w:trHeight w:val="20"/>
        </w:trPr>
        <w:tc>
          <w:tcPr>
            <w:tcW w:w="7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5"/>
          </w:tcPr>
          <w:p>
            <w:pPr>
              <w:jc w:val="right"/>
              <w:ind w:right="771"/>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4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4"/>
                <w:szCs w:val="14"/>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December 31, 2018</w:t>
            </w:r>
          </w:p>
        </w:tc>
        <w:tc>
          <w:tcPr>
            <w:tcW w:w="16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14"/>
                <w:szCs w:val="14"/>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December 31, 2018</w:t>
            </w:r>
          </w:p>
        </w:tc>
      </w:tr>
      <w:tr>
        <w:trPr>
          <w:trHeight w:val="169"/>
        </w:trPr>
        <w:tc>
          <w:tcPr>
            <w:tcW w:w="4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100" w:type="dxa"/>
            <w:vAlign w:val="bottom"/>
            <w:tcBorders>
              <w:top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60"/>
              <w:spacing w:after="0"/>
              <w:rPr>
                <w:sz w:val="20"/>
                <w:szCs w:val="20"/>
                <w:color w:val="auto"/>
              </w:rPr>
            </w:pPr>
            <w:r>
              <w:rPr>
                <w:rFonts w:ascii="Arial" w:cs="Arial" w:eastAsia="Arial" w:hAnsi="Arial"/>
                <w:sz w:val="18"/>
                <w:szCs w:val="18"/>
                <w:color w:val="auto"/>
              </w:rPr>
              <w:t>Product revenues</w:t>
            </w:r>
          </w:p>
        </w:tc>
        <w:tc>
          <w:tcPr>
            <w:tcW w:w="9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303,090</w:t>
            </w:r>
          </w:p>
        </w:tc>
        <w:tc>
          <w:tcPr>
            <w:tcW w:w="140" w:type="dxa"/>
            <w:vAlign w:val="bottom"/>
          </w:tcPr>
          <w:p>
            <w:pPr>
              <w:spacing w:after="0"/>
              <w:rPr>
                <w:sz w:val="18"/>
                <w:szCs w:val="18"/>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301,865</w:t>
            </w:r>
          </w:p>
        </w:tc>
        <w:tc>
          <w:tcPr>
            <w:tcW w:w="24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873,535</w:t>
            </w:r>
          </w:p>
        </w:tc>
        <w:tc>
          <w:tcPr>
            <w:tcW w:w="140" w:type="dxa"/>
            <w:vAlign w:val="bottom"/>
          </w:tcPr>
          <w:p>
            <w:pPr>
              <w:spacing w:after="0"/>
              <w:rPr>
                <w:sz w:val="18"/>
                <w:szCs w:val="18"/>
                <w:color w:val="auto"/>
              </w:rPr>
            </w:pPr>
          </w:p>
        </w:tc>
        <w:tc>
          <w:tcPr>
            <w:tcW w:w="68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800,429</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46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285,134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252,829</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843,982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710,608</w:t>
            </w:r>
          </w:p>
        </w:tc>
        <w:tc>
          <w:tcPr>
            <w:tcW w:w="100" w:type="dxa"/>
            <w:vAlign w:val="bottom"/>
            <w:shd w:val="clear" w:color="auto" w:fill="CFF0FC"/>
          </w:tcPr>
          <w:p>
            <w:pPr>
              <w:spacing w:after="0"/>
              <w:rPr>
                <w:sz w:val="18"/>
                <w:szCs w:val="18"/>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Total revenues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588,224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554,694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1,717,517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1,511,037</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60"/>
              <w:spacing w:after="0"/>
              <w:rPr>
                <w:sz w:val="20"/>
                <w:szCs w:val="20"/>
                <w:color w:val="auto"/>
              </w:rPr>
            </w:pPr>
            <w:r>
              <w:rPr>
                <w:rFonts w:ascii="Arial" w:cs="Arial" w:eastAsia="Arial" w:hAnsi="Arial"/>
                <w:sz w:val="18"/>
                <w:szCs w:val="18"/>
                <w:color w:val="auto"/>
              </w:rPr>
              <w:t>Cost of product revenues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214,098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226,020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634,113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616,368</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 revenues</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190,132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176,686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564,675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523,348</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136,005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114,566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388,528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340,328</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Independent research and development</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28,928</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99,952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93,661</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46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w:t>
            </w:r>
          </w:p>
        </w:tc>
        <w:tc>
          <w:tcPr>
            <w:tcW w:w="100" w:type="dxa"/>
            <w:vAlign w:val="bottom"/>
            <w:tcBorders>
              <w:bottom w:val="single" w:sz="8" w:color="CFF0FC"/>
            </w:tcBorders>
          </w:tcPr>
          <w:p>
            <w:pPr>
              <w:spacing w:after="0"/>
              <w:rPr>
                <w:sz w:val="18"/>
                <w:szCs w:val="18"/>
                <w:color w:val="auto"/>
              </w:rPr>
            </w:pPr>
          </w:p>
        </w:tc>
      </w:tr>
      <w:tr>
        <w:trPr>
          <w:trHeight w:val="21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(70,043)</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(9,276)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(14,896)</w:t>
            </w:r>
          </w:p>
        </w:tc>
        <w:tc>
          <w:tcPr>
            <w:tcW w:w="3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(29,990)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(40,294)</w:t>
            </w:r>
          </w:p>
        </w:tc>
      </w:tr>
      <w:tr>
        <w:trPr>
          <w:trHeight w:val="20"/>
        </w:trPr>
        <w:tc>
          <w:tcPr>
            <w:tcW w:w="43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(8,858)</w:t>
            </w:r>
          </w:p>
        </w:tc>
        <w:tc>
          <w:tcPr>
            <w:tcW w:w="3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(4,144)</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(110,241)</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(3,230)</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35,679</w:t>
            </w:r>
          </w:p>
        </w:tc>
        <w:tc>
          <w:tcPr>
            <w:tcW w:w="10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Equity in income of unconsolidated affiliate, net</w:t>
            </w:r>
          </w:p>
        </w:tc>
        <w:tc>
          <w:tcPr>
            <w:tcW w:w="46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100" w:type="dxa"/>
            <w:vAlign w:val="bottom"/>
            <w:shd w:val="clear" w:color="auto" w:fill="CFF0FC"/>
          </w:tcPr>
          <w:p>
            <w:pPr>
              <w:spacing w:after="0"/>
              <w:rPr>
                <w:sz w:val="18"/>
                <w:szCs w:val="18"/>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Net income (loss)</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(10,737)</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(71,832)</w:t>
            </w:r>
          </w:p>
        </w:tc>
      </w:tr>
      <w:tr>
        <w:trPr>
          <w:trHeight w:val="215"/>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Less: net income (loss) attributable to</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3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noncontrolling interests, net of tax</w:t>
            </w:r>
          </w:p>
        </w:tc>
        <w:tc>
          <w:tcPr>
            <w:tcW w:w="4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4,114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(333)</w:t>
            </w: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10,713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(1,694)</w:t>
            </w:r>
          </w:p>
        </w:tc>
      </w:tr>
      <w:tr>
        <w:trPr>
          <w:trHeight w:val="20"/>
        </w:trPr>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300" w:type="dxa"/>
            <w:vAlign w:val="bottom"/>
          </w:tcPr>
          <w:p>
            <w:pPr>
              <w:spacing w:after="0"/>
              <w:rPr>
                <w:sz w:val="20"/>
                <w:szCs w:val="20"/>
                <w:color w:val="auto"/>
              </w:rPr>
            </w:pPr>
            <w:r>
              <w:rPr>
                <w:rFonts w:ascii="Arial" w:cs="Arial" w:eastAsia="Arial" w:hAnsi="Arial"/>
                <w:sz w:val="18"/>
                <w:szCs w:val="18"/>
                <w:color w:val="auto"/>
              </w:rPr>
              <w:t>Net income (loss) attributable to Viasat, Inc.</w:t>
            </w:r>
          </w:p>
        </w:tc>
        <w:tc>
          <w:tcPr>
            <w:tcW w:w="460" w:type="dxa"/>
            <w:vAlign w:val="bottom"/>
          </w:tcPr>
          <w:p>
            <w:pPr>
              <w:spacing w:after="0"/>
              <w:rPr>
                <w:sz w:val="21"/>
                <w:szCs w:val="21"/>
                <w:color w:val="auto"/>
              </w:rPr>
            </w:pPr>
          </w:p>
        </w:tc>
        <w:tc>
          <w:tcPr>
            <w:tcW w:w="440" w:type="dxa"/>
            <w:vAlign w:val="bottom"/>
          </w:tcPr>
          <w:p>
            <w:pPr>
              <w:jc w:val="right"/>
              <w:ind w:right="259"/>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6,476</w:t>
            </w:r>
          </w:p>
        </w:tc>
        <w:tc>
          <w:tcPr>
            <w:tcW w:w="140" w:type="dxa"/>
            <w:vAlign w:val="bottom"/>
          </w:tcPr>
          <w:p>
            <w:pPr>
              <w:spacing w:after="0"/>
              <w:rPr>
                <w:sz w:val="21"/>
                <w:szCs w:val="21"/>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(10,404)</w:t>
            </w: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(1,798)</w:t>
            </w:r>
          </w:p>
        </w:tc>
        <w:tc>
          <w:tcPr>
            <w:tcW w:w="68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(70,138)</w:t>
            </w:r>
          </w:p>
        </w:tc>
      </w:tr>
      <w:tr>
        <w:trPr>
          <w:trHeight w:val="196"/>
        </w:trPr>
        <w:tc>
          <w:tcPr>
            <w:tcW w:w="43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Basic net income (loss) per share attributable</w:t>
            </w:r>
          </w:p>
        </w:tc>
        <w:tc>
          <w:tcPr>
            <w:tcW w:w="460" w:type="dxa"/>
            <w:vAlign w:val="bottom"/>
            <w:tcBorders>
              <w:top w:val="single" w:sz="8" w:color="CFF0FC"/>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3"/>
        </w:trPr>
        <w:tc>
          <w:tcPr>
            <w:tcW w:w="43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to Viasat, Inc. common stockholders</w:t>
            </w:r>
          </w:p>
        </w:tc>
        <w:tc>
          <w:tcPr>
            <w:tcW w:w="900" w:type="dxa"/>
            <w:vAlign w:val="bottom"/>
            <w:gridSpan w:val="2"/>
            <w:shd w:val="clear" w:color="auto" w:fill="CFF0FC"/>
          </w:tcPr>
          <w:p>
            <w:pPr>
              <w:jc w:val="right"/>
              <w:ind w:right="259"/>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0.10</w:t>
            </w:r>
          </w:p>
        </w:tc>
        <w:tc>
          <w:tcPr>
            <w:tcW w:w="14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28"/>
              <w:spacing w:after="0" w:line="203"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(0.17)</w:t>
            </w:r>
          </w:p>
        </w:tc>
        <w:tc>
          <w:tcPr>
            <w:tcW w:w="380" w:type="dxa"/>
            <w:vAlign w:val="bottom"/>
            <w:shd w:val="clear" w:color="auto" w:fill="CFF0FC"/>
          </w:tcPr>
          <w:p>
            <w:pPr>
              <w:jc w:val="right"/>
              <w:ind w:right="193"/>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(0.03)</w:t>
            </w:r>
          </w:p>
        </w:tc>
        <w:tc>
          <w:tcPr>
            <w:tcW w:w="680" w:type="dxa"/>
            <w:vAlign w:val="bottom"/>
            <w:gridSpan w:val="2"/>
            <w:shd w:val="clear" w:color="auto" w:fill="CFF0FC"/>
          </w:tcPr>
          <w:p>
            <w:pPr>
              <w:jc w:val="right"/>
              <w:ind w:right="428"/>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(1.17)</w:t>
            </w:r>
          </w:p>
        </w:tc>
      </w:tr>
      <w:tr>
        <w:trPr>
          <w:trHeight w:val="215"/>
        </w:trPr>
        <w:tc>
          <w:tcPr>
            <w:tcW w:w="4300" w:type="dxa"/>
            <w:vAlign w:val="bottom"/>
          </w:tcPr>
          <w:p>
            <w:pPr>
              <w:spacing w:after="0"/>
              <w:rPr>
                <w:sz w:val="20"/>
                <w:szCs w:val="20"/>
                <w:color w:val="auto"/>
              </w:rPr>
            </w:pPr>
            <w:r>
              <w:rPr>
                <w:rFonts w:ascii="Arial" w:cs="Arial" w:eastAsia="Arial" w:hAnsi="Arial"/>
                <w:sz w:val="18"/>
                <w:szCs w:val="18"/>
                <w:color w:val="auto"/>
              </w:rPr>
              <w:t>Diluted net income (loss) per share attributable</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300" w:type="dxa"/>
            <w:vAlign w:val="bottom"/>
          </w:tcPr>
          <w:p>
            <w:pPr>
              <w:ind w:left="160"/>
              <w:spacing w:after="0" w:line="203" w:lineRule="exact"/>
              <w:rPr>
                <w:sz w:val="20"/>
                <w:szCs w:val="20"/>
                <w:color w:val="auto"/>
              </w:rPr>
            </w:pPr>
            <w:r>
              <w:rPr>
                <w:rFonts w:ascii="Arial" w:cs="Arial" w:eastAsia="Arial" w:hAnsi="Arial"/>
                <w:sz w:val="18"/>
                <w:szCs w:val="18"/>
                <w:color w:val="auto"/>
              </w:rPr>
              <w:t>to Viasat, Inc. common stockholders</w:t>
            </w:r>
          </w:p>
        </w:tc>
        <w:tc>
          <w:tcPr>
            <w:tcW w:w="900" w:type="dxa"/>
            <w:vAlign w:val="bottom"/>
            <w:gridSpan w:val="2"/>
          </w:tcPr>
          <w:p>
            <w:pPr>
              <w:jc w:val="right"/>
              <w:ind w:right="259"/>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0.10</w:t>
            </w:r>
          </w:p>
        </w:tc>
        <w:tc>
          <w:tcPr>
            <w:tcW w:w="140" w:type="dxa"/>
            <w:vAlign w:val="bottom"/>
          </w:tcPr>
          <w:p>
            <w:pPr>
              <w:spacing w:after="0"/>
              <w:rPr>
                <w:sz w:val="17"/>
                <w:szCs w:val="17"/>
                <w:color w:val="auto"/>
              </w:rPr>
            </w:pPr>
          </w:p>
        </w:tc>
        <w:tc>
          <w:tcPr>
            <w:tcW w:w="300" w:type="dxa"/>
            <w:vAlign w:val="bottom"/>
            <w:gridSpan w:val="2"/>
          </w:tcPr>
          <w:p>
            <w:pPr>
              <w:jc w:val="right"/>
              <w:ind w:right="28"/>
              <w:spacing w:after="0" w:line="203"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(0.17)</w:t>
            </w:r>
          </w:p>
        </w:tc>
        <w:tc>
          <w:tcPr>
            <w:tcW w:w="380" w:type="dxa"/>
            <w:vAlign w:val="bottom"/>
          </w:tcPr>
          <w:p>
            <w:pPr>
              <w:jc w:val="right"/>
              <w:ind w:right="193"/>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(0.03)</w:t>
            </w:r>
          </w:p>
        </w:tc>
        <w:tc>
          <w:tcPr>
            <w:tcW w:w="680" w:type="dxa"/>
            <w:vAlign w:val="bottom"/>
            <w:gridSpan w:val="2"/>
          </w:tcPr>
          <w:p>
            <w:pPr>
              <w:jc w:val="right"/>
              <w:ind w:right="428"/>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(1.17)</w:t>
            </w:r>
          </w:p>
        </w:tc>
      </w:tr>
      <w:tr>
        <w:trPr>
          <w:trHeight w:val="215"/>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computing basic net income</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3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(loss) per share</w:t>
            </w:r>
          </w:p>
        </w:tc>
        <w:tc>
          <w:tcPr>
            <w:tcW w:w="4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61,813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60,152</w:t>
            </w: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61,405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59,698</w:t>
            </w:r>
          </w:p>
        </w:tc>
        <w:tc>
          <w:tcPr>
            <w:tcW w:w="100" w:type="dxa"/>
            <w:vAlign w:val="bottom"/>
            <w:shd w:val="clear" w:color="auto" w:fill="CFF0FC"/>
          </w:tcPr>
          <w:p>
            <w:pPr>
              <w:spacing w:after="0"/>
              <w:rPr>
                <w:sz w:val="17"/>
                <w:szCs w:val="17"/>
                <w:color w:val="auto"/>
              </w:rPr>
            </w:pPr>
          </w:p>
        </w:tc>
      </w:tr>
      <w:tr>
        <w:trPr>
          <w:trHeight w:val="215"/>
        </w:trPr>
        <w:tc>
          <w:tcPr>
            <w:tcW w:w="4300" w:type="dxa"/>
            <w:vAlign w:val="bottom"/>
          </w:tcPr>
          <w:p>
            <w:pPr>
              <w:spacing w:after="0"/>
              <w:rPr>
                <w:sz w:val="20"/>
                <w:szCs w:val="20"/>
                <w:color w:val="auto"/>
              </w:rPr>
            </w:pPr>
            <w:r>
              <w:rPr>
                <w:rFonts w:ascii="Arial" w:cs="Arial" w:eastAsia="Arial" w:hAnsi="Arial"/>
                <w:sz w:val="18"/>
                <w:szCs w:val="18"/>
                <w:color w:val="auto"/>
              </w:rPr>
              <w:t>Shares used in computing diluted net income</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300" w:type="dxa"/>
            <w:vAlign w:val="bottom"/>
          </w:tcPr>
          <w:p>
            <w:pPr>
              <w:ind w:left="160"/>
              <w:spacing w:after="0" w:line="203" w:lineRule="exact"/>
              <w:rPr>
                <w:sz w:val="20"/>
                <w:szCs w:val="20"/>
                <w:color w:val="auto"/>
              </w:rPr>
            </w:pPr>
            <w:r>
              <w:rPr>
                <w:rFonts w:ascii="Arial" w:cs="Arial" w:eastAsia="Arial" w:hAnsi="Arial"/>
                <w:sz w:val="18"/>
                <w:szCs w:val="18"/>
                <w:color w:val="auto"/>
              </w:rPr>
              <w:t>(loss) per share</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62,916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60,152</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61,405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59,698</w:t>
            </w:r>
          </w:p>
        </w:tc>
        <w:tc>
          <w:tcPr>
            <w:tcW w:w="100" w:type="dxa"/>
            <w:vAlign w:val="bottom"/>
          </w:tcPr>
          <w:p>
            <w:pPr>
              <w:spacing w:after="0"/>
              <w:rPr>
                <w:sz w:val="17"/>
                <w:szCs w:val="17"/>
                <w:color w:val="auto"/>
              </w:rPr>
            </w:pPr>
          </w:p>
        </w:tc>
      </w:tr>
      <w:tr>
        <w:trPr>
          <w:trHeight w:val="21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income (loss)</w:t>
            </w:r>
          </w:p>
        </w:tc>
        <w:tc>
          <w:tcPr>
            <w:tcW w:w="900" w:type="dxa"/>
            <w:vAlign w:val="bottom"/>
            <w:gridSpan w:val="2"/>
          </w:tcPr>
          <w:p>
            <w:pPr>
              <w:jc w:val="right"/>
              <w:ind w:right="25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10,590</w:t>
            </w:r>
          </w:p>
        </w:tc>
        <w:tc>
          <w:tcPr>
            <w:tcW w:w="140" w:type="dxa"/>
            <w:vAlign w:val="bottom"/>
          </w:tcPr>
          <w:p>
            <w:pPr>
              <w:spacing w:after="0"/>
              <w:rPr>
                <w:sz w:val="18"/>
                <w:szCs w:val="18"/>
                <w:color w:val="auto"/>
              </w:rPr>
            </w:pPr>
          </w:p>
        </w:tc>
        <w:tc>
          <w:tcPr>
            <w:tcW w:w="3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(10,737)</w:t>
            </w: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8,915</w:t>
            </w:r>
          </w:p>
        </w:tc>
        <w:tc>
          <w:tcPr>
            <w:tcW w:w="140" w:type="dxa"/>
            <w:vAlign w:val="bottom"/>
          </w:tcPr>
          <w:p>
            <w:pPr>
              <w:spacing w:after="0"/>
              <w:rPr>
                <w:sz w:val="18"/>
                <w:szCs w:val="18"/>
                <w:color w:val="auto"/>
              </w:rPr>
            </w:pPr>
          </w:p>
        </w:tc>
        <w:tc>
          <w:tcPr>
            <w:tcW w:w="68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(71,832)</w:t>
            </w:r>
          </w:p>
        </w:tc>
      </w:tr>
      <w:tr>
        <w:trPr>
          <w:trHeight w:val="21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300" w:type="dxa"/>
            <w:vAlign w:val="bottom"/>
          </w:tcPr>
          <w:p>
            <w:pPr>
              <w:ind w:left="260"/>
              <w:spacing w:after="0"/>
              <w:rPr>
                <w:sz w:val="20"/>
                <w:szCs w:val="20"/>
                <w:color w:val="auto"/>
              </w:rPr>
            </w:pPr>
            <w:r>
              <w:rPr>
                <w:rFonts w:ascii="Arial" w:cs="Arial" w:eastAsia="Arial" w:hAnsi="Arial"/>
                <w:sz w:val="18"/>
                <w:szCs w:val="18"/>
                <w:color w:val="auto"/>
              </w:rPr>
              <w:t>Unrealized gain (loss) on hedging, net of tax</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r>
      <w:tr>
        <w:trPr>
          <w:trHeight w:val="215"/>
        </w:trPr>
        <w:tc>
          <w:tcPr>
            <w:tcW w:w="4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 net</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3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of tax</w:t>
            </w:r>
          </w:p>
        </w:tc>
        <w:tc>
          <w:tcPr>
            <w:tcW w:w="4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(2,371)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(1,279)</w:t>
            </w:r>
          </w:p>
        </w:tc>
        <w:tc>
          <w:tcPr>
            <w:tcW w:w="3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(6,091)</w:t>
            </w:r>
          </w:p>
        </w:tc>
        <w:tc>
          <w:tcPr>
            <w:tcW w:w="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(8,180)</w:t>
            </w:r>
          </w:p>
        </w:tc>
      </w:tr>
      <w:tr>
        <w:trPr>
          <w:trHeight w:val="20"/>
        </w:trPr>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(1,329)</w:t>
            </w:r>
          </w:p>
        </w:tc>
        <w:tc>
          <w:tcPr>
            <w:tcW w:w="3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(5,859)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(8,518)</w:t>
            </w:r>
          </w:p>
        </w:tc>
      </w:tr>
      <w:tr>
        <w:trPr>
          <w:trHeight w:val="20"/>
        </w:trPr>
        <w:tc>
          <w:tcPr>
            <w:tcW w:w="430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(12,066)</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(80,350)</w:t>
            </w:r>
          </w:p>
        </w:tc>
      </w:tr>
      <w:tr>
        <w:trPr>
          <w:trHeight w:val="215"/>
        </w:trPr>
        <w:tc>
          <w:tcPr>
            <w:tcW w:w="4300" w:type="dxa"/>
            <w:vAlign w:val="bottom"/>
          </w:tcPr>
          <w:p>
            <w:pPr>
              <w:spacing w:after="0"/>
              <w:rPr>
                <w:sz w:val="20"/>
                <w:szCs w:val="20"/>
                <w:color w:val="auto"/>
              </w:rPr>
            </w:pPr>
            <w:r>
              <w:rPr>
                <w:rFonts w:ascii="Arial" w:cs="Arial" w:eastAsia="Arial" w:hAnsi="Arial"/>
                <w:sz w:val="18"/>
                <w:szCs w:val="18"/>
                <w:color w:val="auto"/>
              </w:rPr>
              <w:t>Less: comprehensive income (loss) attributable</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300" w:type="dxa"/>
            <w:vAlign w:val="bottom"/>
          </w:tcPr>
          <w:p>
            <w:pPr>
              <w:ind w:left="160"/>
              <w:spacing w:after="0" w:line="203" w:lineRule="exact"/>
              <w:rPr>
                <w:sz w:val="20"/>
                <w:szCs w:val="20"/>
                <w:color w:val="auto"/>
              </w:rPr>
            </w:pPr>
            <w:r>
              <w:rPr>
                <w:rFonts w:ascii="Arial" w:cs="Arial" w:eastAsia="Arial" w:hAnsi="Arial"/>
                <w:sz w:val="18"/>
                <w:szCs w:val="18"/>
                <w:color w:val="auto"/>
              </w:rPr>
              <w:t>to noncontrolling interests, net of tax</w:t>
            </w: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4,114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(333)</w:t>
            </w:r>
          </w:p>
        </w:tc>
        <w:tc>
          <w:tcPr>
            <w:tcW w:w="3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10,713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(1,694)</w:t>
            </w:r>
          </w:p>
        </w:tc>
      </w:tr>
      <w:tr>
        <w:trPr>
          <w:trHeight w:val="209"/>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 attributable to</w:t>
            </w:r>
          </w:p>
        </w:tc>
        <w:tc>
          <w:tcPr>
            <w:tcW w:w="46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43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Viasat, Inc.</w:t>
            </w:r>
          </w:p>
        </w:tc>
        <w:tc>
          <w:tcPr>
            <w:tcW w:w="900" w:type="dxa"/>
            <w:vAlign w:val="bottom"/>
            <w:gridSpan w:val="2"/>
            <w:shd w:val="clear" w:color="auto" w:fill="CFF0FC"/>
          </w:tcPr>
          <w:p>
            <w:pPr>
              <w:jc w:val="right"/>
              <w:ind w:right="259"/>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4,289</w:t>
            </w:r>
          </w:p>
        </w:tc>
        <w:tc>
          <w:tcPr>
            <w:tcW w:w="14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28"/>
              <w:spacing w:after="0" w:line="203"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(11,733)</w:t>
            </w:r>
          </w:p>
        </w:tc>
        <w:tc>
          <w:tcPr>
            <w:tcW w:w="380" w:type="dxa"/>
            <w:vAlign w:val="bottom"/>
            <w:shd w:val="clear" w:color="auto" w:fill="CFF0FC"/>
          </w:tcPr>
          <w:p>
            <w:pPr>
              <w:jc w:val="right"/>
              <w:ind w:right="193"/>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(7,657)</w:t>
            </w:r>
          </w:p>
        </w:tc>
        <w:tc>
          <w:tcPr>
            <w:tcW w:w="680" w:type="dxa"/>
            <w:vAlign w:val="bottom"/>
            <w:gridSpan w:val="2"/>
            <w:shd w:val="clear" w:color="auto" w:fill="CFF0FC"/>
          </w:tcPr>
          <w:p>
            <w:pPr>
              <w:jc w:val="right"/>
              <w:ind w:right="428"/>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(78,656)</w:t>
            </w: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5"/>
          </w:tcPr>
          <w:p>
            <w:pPr>
              <w:jc w:val="right"/>
              <w:ind w:right="127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80" w:type="dxa"/>
            <w:vAlign w:val="bottom"/>
            <w:gridSpan w:val="6"/>
          </w:tcPr>
          <w:p>
            <w:pPr>
              <w:jc w:val="right"/>
              <w:ind w:right="16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8,915</w:t>
            </w:r>
          </w:p>
        </w:tc>
        <w:tc>
          <w:tcPr>
            <w:tcW w:w="18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(71,832)</w:t>
            </w:r>
          </w:p>
        </w:tc>
        <w:tc>
          <w:tcPr>
            <w:tcW w:w="0" w:type="dxa"/>
            <w:vAlign w:val="bottom"/>
          </w:tcPr>
          <w:p>
            <w:pPr>
              <w:spacing w:after="0"/>
              <w:rPr>
                <w:sz w:val="1"/>
                <w:szCs w:val="1"/>
                <w:color w:val="auto"/>
              </w:rPr>
            </w:pPr>
          </w:p>
        </w:tc>
      </w:tr>
      <w:tr>
        <w:trPr>
          <w:trHeight w:val="193"/>
        </w:trPr>
        <w:tc>
          <w:tcPr>
            <w:tcW w:w="6420" w:type="dxa"/>
            <w:vAlign w:val="bottom"/>
            <w:shd w:val="clear" w:color="auto" w:fill="CFF0FC"/>
          </w:tcPr>
          <w:p>
            <w:pPr>
              <w:spacing w:after="0" w:line="194" w:lineRule="exact"/>
              <w:rPr>
                <w:sz w:val="20"/>
                <w:szCs w:val="20"/>
                <w:color w:val="auto"/>
              </w:rPr>
            </w:pPr>
            <w:r>
              <w:rPr>
                <w:rFonts w:ascii="Arial" w:cs="Arial" w:eastAsia="Arial" w:hAnsi="Arial"/>
                <w:sz w:val="18"/>
                <w:szCs w:val="18"/>
                <w:b w:val="1"/>
                <w:bCs w:val="1"/>
                <w:color w:val="auto"/>
              </w:rPr>
              <w:t>Adjustments to reconcile net income (loss) to net cash provided</w:t>
            </w: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by operating activities: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207,950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195,562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47,159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64,236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58,658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disposition of fixed assets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33,578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500"/>
              <w:spacing w:after="0"/>
              <w:rPr>
                <w:sz w:val="20"/>
                <w:szCs w:val="20"/>
                <w:color w:val="auto"/>
              </w:rPr>
            </w:pPr>
            <w:r>
              <w:rPr>
                <w:rFonts w:ascii="Arial" w:cs="Arial" w:eastAsia="Arial" w:hAnsi="Arial"/>
                <w:sz w:val="18"/>
                <w:szCs w:val="18"/>
                <w:color w:val="auto"/>
              </w:rPr>
              <w:t>Other non-cash adjustments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(9,394)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(27,908)</w:t>
            </w:r>
          </w:p>
        </w:tc>
        <w:tc>
          <w:tcPr>
            <w:tcW w:w="0" w:type="dxa"/>
            <w:vAlign w:val="bottom"/>
          </w:tcPr>
          <w:p>
            <w:pPr>
              <w:spacing w:after="0"/>
              <w:rPr>
                <w:sz w:val="1"/>
                <w:szCs w:val="1"/>
                <w:color w:val="auto"/>
              </w:rPr>
            </w:pPr>
          </w:p>
        </w:tc>
      </w:tr>
      <w:tr>
        <w:trPr>
          <w:trHeight w:val="215"/>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(decrease) in cash resulting from changes in operating</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assets and liabilities, net of effect of acquisition:</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(23,596)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(38,909)</w:t>
            </w: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(47,897)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(32,250)</w:t>
            </w:r>
          </w:p>
        </w:tc>
        <w:tc>
          <w:tcPr>
            <w:tcW w:w="0" w:type="dxa"/>
            <w:vAlign w:val="bottom"/>
          </w:tcPr>
          <w:p>
            <w:pPr>
              <w:spacing w:after="0"/>
              <w:rPr>
                <w:sz w:val="1"/>
                <w:szCs w:val="1"/>
                <w:color w:val="auto"/>
              </w:rPr>
            </w:pPr>
          </w:p>
        </w:tc>
      </w:tr>
      <w:tr>
        <w:trPr>
          <w:trHeight w:val="216"/>
        </w:trPr>
        <w:tc>
          <w:tcPr>
            <w:tcW w:w="64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(15,430)</w:t>
            </w: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16,596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(16,644)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293,362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8"/>
                <w:szCs w:val="18"/>
                <w:color w:val="auto"/>
              </w:rPr>
              <w:t>Purchase of property, equipment and satellites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(548,225)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(491,839)</w:t>
            </w: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patents, licenses and other assets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(49,613)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8"/>
                <w:szCs w:val="18"/>
                <w:color w:val="auto"/>
              </w:rPr>
              <w:t>Proceeds from insurance claims on ViaSat-2 satellite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2,277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172,206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real property</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8"/>
                <w:szCs w:val="18"/>
                <w:color w:val="auto"/>
              </w:rPr>
              <w:t>Payments related to acquisition of business, net of cash acquired</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0"/>
        </w:trPr>
        <w:tc>
          <w:tcPr>
            <w:tcW w:w="64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(595,561)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(340,438)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debt borrowings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8"/>
                <w:szCs w:val="18"/>
                <w:color w:val="auto"/>
              </w:rPr>
              <w:t>Payments of debt borrowings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(27,142)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(350,115)</w:t>
            </w: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debt issuance costs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(2,479)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under equity plans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38,093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common stock in treasury (immediately retired) related</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to tax withholdings for stock-based compensation</w:t>
            </w: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(28,268)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2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(28,108)</w:t>
            </w:r>
          </w:p>
        </w:tc>
        <w:tc>
          <w:tcPr>
            <w:tcW w:w="0" w:type="dxa"/>
            <w:vAlign w:val="bottom"/>
          </w:tcPr>
          <w:p>
            <w:pPr>
              <w:spacing w:after="0"/>
              <w:rPr>
                <w:sz w:val="1"/>
                <w:szCs w:val="1"/>
                <w:color w:val="auto"/>
              </w:rPr>
            </w:pPr>
          </w:p>
        </w:tc>
      </w:tr>
      <w:tr>
        <w:trPr>
          <w:trHeight w:val="216"/>
        </w:trPr>
        <w:tc>
          <w:tcPr>
            <w:tcW w:w="6420" w:type="dxa"/>
            <w:vAlign w:val="bottom"/>
          </w:tcPr>
          <w:p>
            <w:pPr>
              <w:ind w:left="260"/>
              <w:spacing w:after="0"/>
              <w:rPr>
                <w:sz w:val="20"/>
                <w:szCs w:val="20"/>
                <w:color w:val="auto"/>
              </w:rPr>
            </w:pPr>
            <w:r>
              <w:rPr>
                <w:rFonts w:ascii="Arial" w:cs="Arial" w:eastAsia="Arial" w:hAnsi="Arial"/>
                <w:sz w:val="18"/>
                <w:szCs w:val="18"/>
                <w:color w:val="auto"/>
              </w:rPr>
              <w:t>Other financing activities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(9,735)</w:t>
            </w:r>
          </w:p>
        </w:tc>
        <w:tc>
          <w:tcPr>
            <w:tcW w:w="0" w:type="dxa"/>
            <w:vAlign w:val="bottom"/>
          </w:tcPr>
          <w:p>
            <w:pPr>
              <w:spacing w:after="0"/>
              <w:rPr>
                <w:sz w:val="1"/>
                <w:szCs w:val="1"/>
                <w:color w:val="auto"/>
              </w:rPr>
            </w:pPr>
          </w:p>
        </w:tc>
      </w:tr>
      <w:tr>
        <w:trPr>
          <w:trHeight w:val="210"/>
        </w:trPr>
        <w:tc>
          <w:tcPr>
            <w:tcW w:w="64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88,458</w:t>
            </w: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100,637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6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0"/>
        </w:trPr>
        <w:tc>
          <w:tcPr>
            <w:tcW w:w="64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(213,923)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(28,081)</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8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261,701</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47,778</w:t>
            </w:r>
          </w:p>
        </w:tc>
        <w:tc>
          <w:tcPr>
            <w:tcW w:w="1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in satisfaction of certain accrued</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employee compensation liabilities</w:t>
            </w:r>
          </w:p>
        </w:tc>
        <w:tc>
          <w:tcPr>
            <w:tcW w:w="102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22,829</w:t>
            </w:r>
          </w:p>
        </w:tc>
        <w:tc>
          <w:tcPr>
            <w:tcW w:w="1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32,129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60"/>
              <w:spacing w:after="0"/>
              <w:rPr>
                <w:sz w:val="20"/>
                <w:szCs w:val="20"/>
                <w:color w:val="auto"/>
              </w:rPr>
            </w:pPr>
            <w:r>
              <w:rPr>
                <w:rFonts w:ascii="Arial" w:cs="Arial" w:eastAsia="Arial" w:hAnsi="Arial"/>
                <w:sz w:val="18"/>
                <w:szCs w:val="18"/>
                <w:color w:val="auto"/>
              </w:rPr>
              <w:t>Capital expenditures not paid for</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24,460</w:t>
            </w:r>
          </w:p>
        </w:tc>
        <w:tc>
          <w:tcPr>
            <w:tcW w:w="18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34,237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Viasat, Inc. Stockholders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840" w:type="dxa"/>
            <w:vAlign w:val="bottom"/>
            <w:tcBorders>
              <w:bottom w:val="single" w:sz="8" w:color="auto"/>
            </w:tcBorders>
            <w:gridSpan w:val="4"/>
          </w:tcPr>
          <w:p>
            <w:pPr>
              <w:jc w:val="right"/>
              <w:ind w:right="368"/>
              <w:spacing w:after="0" w:line="155" w:lineRule="exact"/>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Retained</w:t>
            </w:r>
          </w:p>
        </w:tc>
        <w:tc>
          <w:tcPr>
            <w:tcW w:w="132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Interest in</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Issued</w:t>
            </w:r>
          </w:p>
        </w:tc>
        <w:tc>
          <w:tcPr>
            <w:tcW w:w="1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Income (Loss)</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260" w:type="dxa"/>
            <w:vAlign w:val="bottom"/>
            <w:tcBorders>
              <w:top w:val="single" w:sz="8" w:color="auto"/>
              <w:bottom w:val="single" w:sz="8" w:color="auto"/>
            </w:tcBorders>
            <w:gridSpan w:val="9"/>
          </w:tcPr>
          <w:p>
            <w:pPr>
              <w:jc w:val="right"/>
              <w:ind w:right="60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For the Three Months Ended December 31, 2019</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rPr>
                <w:sz w:val="20"/>
                <w:szCs w:val="20"/>
                <w:color w:val="auto"/>
              </w:rPr>
            </w:pPr>
            <w:r>
              <w:rPr>
                <w:rFonts w:ascii="Arial" w:cs="Arial" w:eastAsia="Arial" w:hAnsi="Arial"/>
                <w:sz w:val="14"/>
                <w:szCs w:val="14"/>
                <w:color w:val="auto"/>
              </w:rPr>
              <w:t>Balance at September 30, 2019</w:t>
            </w:r>
          </w:p>
        </w:tc>
        <w:tc>
          <w:tcPr>
            <w:tcW w:w="840" w:type="dxa"/>
            <w:vAlign w:val="bottom"/>
          </w:tcPr>
          <w:p>
            <w:pPr>
              <w:jc w:val="right"/>
              <w:spacing w:after="0"/>
              <w:rPr>
                <w:sz w:val="20"/>
                <w:szCs w:val="20"/>
                <w:color w:val="auto"/>
              </w:rPr>
            </w:pPr>
            <w:r>
              <w:rPr>
                <w:rFonts w:ascii="Arial" w:cs="Arial" w:eastAsia="Arial" w:hAnsi="Arial"/>
                <w:sz w:val="14"/>
                <w:szCs w:val="14"/>
                <w:color w:val="auto"/>
              </w:rPr>
              <w:t>61,352,560</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$ 1,751,924</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237,311</w:t>
            </w:r>
          </w:p>
        </w:tc>
        <w:tc>
          <w:tcPr>
            <w:tcW w:w="140" w:type="dxa"/>
            <w:vAlign w:val="bottom"/>
          </w:tcPr>
          <w:p>
            <w:pPr>
              <w:spacing w:after="0"/>
              <w:rPr>
                <w:sz w:val="15"/>
                <w:szCs w:val="15"/>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1,666</w:t>
            </w:r>
          </w:p>
        </w:tc>
        <w:tc>
          <w:tcPr>
            <w:tcW w:w="2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14,929</w:t>
            </w:r>
          </w:p>
        </w:tc>
        <w:tc>
          <w:tcPr>
            <w:tcW w:w="140" w:type="dxa"/>
            <w:vAlign w:val="bottom"/>
          </w:tcPr>
          <w:p>
            <w:pPr>
              <w:spacing w:after="0"/>
              <w:rPr>
                <w:sz w:val="15"/>
                <w:szCs w:val="15"/>
                <w:color w:val="auto"/>
              </w:rPr>
            </w:pPr>
          </w:p>
        </w:tc>
        <w:tc>
          <w:tcPr>
            <w:tcW w:w="940" w:type="dxa"/>
            <w:vAlign w:val="bottom"/>
            <w:gridSpan w:val="2"/>
          </w:tcPr>
          <w:p>
            <w:pPr>
              <w:jc w:val="right"/>
              <w:ind w:right="12"/>
              <w:spacing w:after="0"/>
              <w:rPr>
                <w:sz w:val="20"/>
                <w:szCs w:val="20"/>
                <w:color w:val="auto"/>
              </w:rPr>
            </w:pPr>
            <w:r>
              <w:rPr>
                <w:rFonts w:ascii="Arial" w:cs="Arial" w:eastAsia="Arial" w:hAnsi="Arial"/>
                <w:sz w:val="14"/>
                <w:szCs w:val="14"/>
                <w:color w:val="auto"/>
              </w:rPr>
              <w:t>$ 2,005,836</w:t>
            </w:r>
          </w:p>
        </w:tc>
        <w:tc>
          <w:tcPr>
            <w:tcW w:w="0" w:type="dxa"/>
            <w:vAlign w:val="bottom"/>
          </w:tcPr>
          <w:p>
            <w:pPr>
              <w:spacing w:after="0"/>
              <w:rPr>
                <w:sz w:val="1"/>
                <w:szCs w:val="1"/>
                <w:color w:val="auto"/>
              </w:rPr>
            </w:pPr>
          </w:p>
        </w:tc>
      </w:tr>
      <w:tr>
        <w:trPr>
          <w:trHeight w:val="176"/>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33,642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2,033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CFF0FC"/>
            </w:tcBorders>
            <w:gridSpan w:val="2"/>
            <w:shd w:val="clear" w:color="auto" w:fill="CFF0FC"/>
          </w:tcPr>
          <w:p>
            <w:pPr>
              <w:jc w:val="right"/>
              <w:ind w:right="12"/>
              <w:spacing w:after="0"/>
              <w:rPr>
                <w:sz w:val="20"/>
                <w:szCs w:val="20"/>
                <w:color w:val="auto"/>
              </w:rPr>
            </w:pPr>
            <w:r>
              <w:rPr>
                <w:rFonts w:ascii="Arial" w:cs="Arial" w:eastAsia="Arial" w:hAnsi="Arial"/>
                <w:sz w:val="14"/>
                <w:szCs w:val="14"/>
                <w:color w:val="auto"/>
              </w:rPr>
              <w:t>2,033</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40" w:type="dxa"/>
            <w:vAlign w:val="bottom"/>
          </w:tcPr>
          <w:p>
            <w:pPr>
              <w:ind w:left="120"/>
              <w:spacing w:after="0" w:line="157" w:lineRule="exact"/>
              <w:rPr>
                <w:sz w:val="20"/>
                <w:szCs w:val="20"/>
                <w:color w:val="auto"/>
              </w:rPr>
            </w:pPr>
            <w:r>
              <w:rPr>
                <w:rFonts w:ascii="Arial" w:cs="Arial" w:eastAsia="Arial" w:hAnsi="Arial"/>
                <w:sz w:val="14"/>
                <w:szCs w:val="14"/>
                <w:color w:val="auto"/>
              </w:rPr>
              <w:t>Plan</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145,367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9,044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
              <w:spacing w:after="0" w:line="157" w:lineRule="exact"/>
              <w:rPr>
                <w:sz w:val="20"/>
                <w:szCs w:val="20"/>
                <w:color w:val="auto"/>
              </w:rPr>
            </w:pPr>
            <w:r>
              <w:rPr>
                <w:rFonts w:ascii="Arial" w:cs="Arial" w:eastAsia="Arial" w:hAnsi="Arial"/>
                <w:sz w:val="14"/>
                <w:szCs w:val="14"/>
                <w:color w:val="auto"/>
              </w:rPr>
              <w:t>9,044</w:t>
            </w:r>
          </w:p>
        </w:tc>
        <w:tc>
          <w:tcPr>
            <w:tcW w:w="0" w:type="dxa"/>
            <w:vAlign w:val="bottom"/>
          </w:tcPr>
          <w:p>
            <w:pPr>
              <w:spacing w:after="0"/>
              <w:rPr>
                <w:sz w:val="1"/>
                <w:szCs w:val="1"/>
                <w:color w:val="auto"/>
              </w:rPr>
            </w:pPr>
          </w:p>
        </w:tc>
      </w:tr>
      <w:tr>
        <w:trPr>
          <w:trHeight w:val="176"/>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25,135</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CFF0FC"/>
            </w:tcBorders>
            <w:gridSpan w:val="2"/>
            <w:shd w:val="clear" w:color="auto" w:fill="CFF0FC"/>
          </w:tcPr>
          <w:p>
            <w:pPr>
              <w:jc w:val="right"/>
              <w:ind w:right="12"/>
              <w:spacing w:after="0"/>
              <w:rPr>
                <w:sz w:val="20"/>
                <w:szCs w:val="20"/>
                <w:color w:val="auto"/>
              </w:rPr>
            </w:pPr>
            <w:r>
              <w:rPr>
                <w:rFonts w:ascii="Arial" w:cs="Arial" w:eastAsia="Arial" w:hAnsi="Arial"/>
                <w:sz w:val="14"/>
                <w:szCs w:val="14"/>
                <w:color w:val="auto"/>
              </w:rPr>
              <w:t>25,135</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40" w:type="dxa"/>
            <w:vAlign w:val="bottom"/>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591,689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180"/>
              <w:spacing w:after="0" w:line="157" w:lineRule="exact"/>
              <w:rPr>
                <w:sz w:val="20"/>
                <w:szCs w:val="20"/>
                <w:color w:val="auto"/>
              </w:rPr>
            </w:pPr>
            <w:r>
              <w:rPr>
                <w:rFonts w:ascii="Arial" w:cs="Arial" w:eastAsia="Arial" w:hAnsi="Arial"/>
                <w:sz w:val="14"/>
                <w:szCs w:val="14"/>
                <w:color w:val="auto"/>
              </w:rPr>
              <w:t>(25,140)</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(25,140)</w:t>
            </w:r>
          </w:p>
        </w:tc>
        <w:tc>
          <w:tcPr>
            <w:tcW w:w="0" w:type="dxa"/>
            <w:vAlign w:val="bottom"/>
          </w:tcPr>
          <w:p>
            <w:pPr>
              <w:spacing w:after="0"/>
              <w:rPr>
                <w:sz w:val="1"/>
                <w:szCs w:val="1"/>
                <w:color w:val="auto"/>
              </w:rPr>
            </w:pPr>
          </w:p>
        </w:tc>
      </w:tr>
      <w:tr>
        <w:trPr>
          <w:trHeight w:val="176"/>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6,476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4,114</w:t>
            </w:r>
          </w:p>
        </w:tc>
        <w:tc>
          <w:tcPr>
            <w:tcW w:w="140" w:type="dxa"/>
            <w:vAlign w:val="bottom"/>
            <w:shd w:val="clear" w:color="auto" w:fill="CFF0FC"/>
          </w:tcPr>
          <w:p>
            <w:pPr>
              <w:spacing w:after="0"/>
              <w:rPr>
                <w:sz w:val="15"/>
                <w:szCs w:val="15"/>
                <w:color w:val="auto"/>
              </w:rPr>
            </w:pPr>
          </w:p>
        </w:tc>
        <w:tc>
          <w:tcPr>
            <w:tcW w:w="940" w:type="dxa"/>
            <w:vAlign w:val="bottom"/>
            <w:tcBorders>
              <w:right w:val="single" w:sz="8" w:color="CFF0FC"/>
            </w:tcBorders>
            <w:gridSpan w:val="2"/>
            <w:shd w:val="clear" w:color="auto" w:fill="CFF0FC"/>
          </w:tcPr>
          <w:p>
            <w:pPr>
              <w:jc w:val="right"/>
              <w:ind w:right="12"/>
              <w:spacing w:after="0"/>
              <w:rPr>
                <w:sz w:val="20"/>
                <w:szCs w:val="20"/>
                <w:color w:val="auto"/>
              </w:rPr>
            </w:pPr>
            <w:r>
              <w:rPr>
                <w:rFonts w:ascii="Arial" w:cs="Arial" w:eastAsia="Arial" w:hAnsi="Arial"/>
                <w:sz w:val="14"/>
                <w:szCs w:val="14"/>
                <w:color w:val="auto"/>
              </w:rPr>
              <w:t>10,590</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(2,187)</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(2,187)</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2019</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62,123,258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$ 1,762,996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243,787</w:t>
            </w:r>
          </w:p>
        </w:tc>
        <w:tc>
          <w:tcPr>
            <w:tcW w:w="1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(521)</w:t>
            </w: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19,043</w:t>
            </w:r>
          </w:p>
        </w:tc>
        <w:tc>
          <w:tcPr>
            <w:tcW w:w="14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12"/>
              <w:spacing w:after="0"/>
              <w:rPr>
                <w:sz w:val="20"/>
                <w:szCs w:val="20"/>
                <w:color w:val="auto"/>
              </w:rPr>
            </w:pPr>
            <w:r>
              <w:rPr>
                <w:rFonts w:ascii="Arial" w:cs="Arial" w:eastAsia="Arial" w:hAnsi="Arial"/>
                <w:sz w:val="14"/>
                <w:szCs w:val="14"/>
                <w:color w:val="auto"/>
              </w:rPr>
              <w:t>$ 2,025,311</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For the Three Months Ended December 31, 2018</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rPr>
                <w:sz w:val="20"/>
                <w:szCs w:val="20"/>
                <w:color w:val="auto"/>
              </w:rPr>
            </w:pPr>
            <w:r>
              <w:rPr>
                <w:rFonts w:ascii="Arial" w:cs="Arial" w:eastAsia="Arial" w:hAnsi="Arial"/>
                <w:sz w:val="14"/>
                <w:szCs w:val="14"/>
                <w:color w:val="auto"/>
              </w:rPr>
              <w:t>Balance at September 30, 2018</w:t>
            </w:r>
          </w:p>
        </w:tc>
        <w:tc>
          <w:tcPr>
            <w:tcW w:w="840" w:type="dxa"/>
            <w:vAlign w:val="bottom"/>
          </w:tcPr>
          <w:p>
            <w:pPr>
              <w:jc w:val="right"/>
              <w:spacing w:after="0"/>
              <w:rPr>
                <w:sz w:val="20"/>
                <w:szCs w:val="20"/>
                <w:color w:val="auto"/>
              </w:rPr>
            </w:pPr>
            <w:r>
              <w:rPr>
                <w:rFonts w:ascii="Arial" w:cs="Arial" w:eastAsia="Arial" w:hAnsi="Arial"/>
                <w:sz w:val="14"/>
                <w:szCs w:val="14"/>
                <w:color w:val="auto"/>
              </w:rPr>
              <w:t>59,650,229</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$ 1,614,224</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252,107</w:t>
            </w:r>
          </w:p>
        </w:tc>
        <w:tc>
          <w:tcPr>
            <w:tcW w:w="140" w:type="dxa"/>
            <w:vAlign w:val="bottom"/>
          </w:tcPr>
          <w:p>
            <w:pPr>
              <w:spacing w:after="0"/>
              <w:rPr>
                <w:sz w:val="15"/>
                <w:szCs w:val="15"/>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8,376</w:t>
            </w:r>
          </w:p>
        </w:tc>
        <w:tc>
          <w:tcPr>
            <w:tcW w:w="2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9,624</w:t>
            </w:r>
          </w:p>
        </w:tc>
        <w:tc>
          <w:tcPr>
            <w:tcW w:w="140" w:type="dxa"/>
            <w:vAlign w:val="bottom"/>
          </w:tcPr>
          <w:p>
            <w:pPr>
              <w:spacing w:after="0"/>
              <w:rPr>
                <w:sz w:val="15"/>
                <w:szCs w:val="15"/>
                <w:color w:val="auto"/>
              </w:rPr>
            </w:pPr>
          </w:p>
        </w:tc>
        <w:tc>
          <w:tcPr>
            <w:tcW w:w="940" w:type="dxa"/>
            <w:vAlign w:val="bottom"/>
            <w:gridSpan w:val="2"/>
          </w:tcPr>
          <w:p>
            <w:pPr>
              <w:jc w:val="right"/>
              <w:ind w:right="12"/>
              <w:spacing w:after="0"/>
              <w:rPr>
                <w:sz w:val="20"/>
                <w:szCs w:val="20"/>
                <w:color w:val="auto"/>
              </w:rPr>
            </w:pPr>
            <w:r>
              <w:rPr>
                <w:rFonts w:ascii="Arial" w:cs="Arial" w:eastAsia="Arial" w:hAnsi="Arial"/>
                <w:sz w:val="14"/>
                <w:szCs w:val="14"/>
                <w:color w:val="auto"/>
              </w:rPr>
              <w:t>$ 1,884,337</w:t>
            </w:r>
          </w:p>
        </w:tc>
        <w:tc>
          <w:tcPr>
            <w:tcW w:w="0" w:type="dxa"/>
            <w:vAlign w:val="bottom"/>
          </w:tcPr>
          <w:p>
            <w:pPr>
              <w:spacing w:after="0"/>
              <w:rPr>
                <w:sz w:val="1"/>
                <w:szCs w:val="1"/>
                <w:color w:val="auto"/>
              </w:rPr>
            </w:pPr>
          </w:p>
        </w:tc>
      </w:tr>
      <w:tr>
        <w:trPr>
          <w:trHeight w:val="176"/>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124,000</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4,649</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CFF0FC"/>
            </w:tcBorders>
            <w:gridSpan w:val="2"/>
            <w:shd w:val="clear" w:color="auto" w:fill="CFF0FC"/>
          </w:tcPr>
          <w:p>
            <w:pPr>
              <w:jc w:val="right"/>
              <w:ind w:right="12"/>
              <w:spacing w:after="0"/>
              <w:rPr>
                <w:sz w:val="20"/>
                <w:szCs w:val="20"/>
                <w:color w:val="auto"/>
              </w:rPr>
            </w:pPr>
            <w:r>
              <w:rPr>
                <w:rFonts w:ascii="Arial" w:cs="Arial" w:eastAsia="Arial" w:hAnsi="Arial"/>
                <w:sz w:val="14"/>
                <w:szCs w:val="14"/>
                <w:color w:val="auto"/>
              </w:rPr>
              <w:t>4,649</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40" w:type="dxa"/>
            <w:vAlign w:val="bottom"/>
          </w:tcPr>
          <w:p>
            <w:pPr>
              <w:ind w:left="120"/>
              <w:spacing w:after="0" w:line="157" w:lineRule="exact"/>
              <w:rPr>
                <w:sz w:val="20"/>
                <w:szCs w:val="20"/>
                <w:color w:val="auto"/>
              </w:rPr>
            </w:pPr>
            <w:r>
              <w:rPr>
                <w:rFonts w:ascii="Arial" w:cs="Arial" w:eastAsia="Arial" w:hAnsi="Arial"/>
                <w:sz w:val="14"/>
                <w:szCs w:val="14"/>
                <w:color w:val="auto"/>
              </w:rPr>
              <w:t>Plan</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156,844</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7,859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
              <w:spacing w:after="0" w:line="157" w:lineRule="exact"/>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176"/>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23,164</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CFF0FC"/>
            </w:tcBorders>
            <w:gridSpan w:val="2"/>
            <w:shd w:val="clear" w:color="auto" w:fill="CFF0FC"/>
          </w:tcPr>
          <w:p>
            <w:pPr>
              <w:jc w:val="right"/>
              <w:ind w:right="12"/>
              <w:spacing w:after="0"/>
              <w:rPr>
                <w:sz w:val="20"/>
                <w:szCs w:val="20"/>
                <w:color w:val="auto"/>
              </w:rPr>
            </w:pPr>
            <w:r>
              <w:rPr>
                <w:rFonts w:ascii="Arial" w:cs="Arial" w:eastAsia="Arial" w:hAnsi="Arial"/>
                <w:sz w:val="14"/>
                <w:szCs w:val="14"/>
                <w:color w:val="auto"/>
              </w:rPr>
              <w:t>23,164</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40" w:type="dxa"/>
            <w:vAlign w:val="bottom"/>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549,190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180"/>
              <w:spacing w:after="0" w:line="157" w:lineRule="exact"/>
              <w:rPr>
                <w:sz w:val="20"/>
                <w:szCs w:val="20"/>
                <w:color w:val="auto"/>
              </w:rPr>
            </w:pPr>
            <w:r>
              <w:rPr>
                <w:rFonts w:ascii="Arial" w:cs="Arial" w:eastAsia="Arial" w:hAnsi="Arial"/>
                <w:sz w:val="14"/>
                <w:szCs w:val="14"/>
                <w:color w:val="auto"/>
              </w:rPr>
              <w:t>(21,557)</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(21,557)</w:t>
            </w:r>
          </w:p>
        </w:tc>
        <w:tc>
          <w:tcPr>
            <w:tcW w:w="0" w:type="dxa"/>
            <w:vAlign w:val="bottom"/>
          </w:tcPr>
          <w:p>
            <w:pPr>
              <w:spacing w:after="0"/>
              <w:rPr>
                <w:sz w:val="1"/>
                <w:szCs w:val="1"/>
                <w:color w:val="auto"/>
              </w:rPr>
            </w:pPr>
          </w:p>
        </w:tc>
      </w:tr>
      <w:tr>
        <w:trPr>
          <w:trHeight w:val="180"/>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Cumulative effect adjustment upon adoption of new</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4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revenue recognition guidance (ASU 2014-09)</w:t>
            </w:r>
          </w:p>
        </w:tc>
        <w:tc>
          <w:tcPr>
            <w:tcW w:w="10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1,367</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right w:val="single" w:sz="8" w:color="CFF0FC"/>
            </w:tcBorders>
            <w:gridSpan w:val="2"/>
            <w:shd w:val="clear" w:color="auto" w:fill="CFF0FC"/>
          </w:tcPr>
          <w:p>
            <w:pPr>
              <w:jc w:val="right"/>
              <w:ind w:right="12"/>
              <w:spacing w:after="0" w:line="157" w:lineRule="exact"/>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20"/>
                <w:szCs w:val="20"/>
                <w:color w:val="auto"/>
              </w:rPr>
            </w:pPr>
            <w:r>
              <w:rPr>
                <w:rFonts w:ascii="Arial" w:cs="Arial" w:eastAsia="Arial" w:hAnsi="Arial"/>
                <w:sz w:val="14"/>
                <w:szCs w:val="14"/>
                <w:color w:val="auto"/>
              </w:rPr>
              <w:t>Other noncontrolling interest activity</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2,102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(3,809)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(1,707)</w:t>
            </w:r>
          </w:p>
        </w:tc>
        <w:tc>
          <w:tcPr>
            <w:tcW w:w="0" w:type="dxa"/>
            <w:vAlign w:val="bottom"/>
          </w:tcPr>
          <w:p>
            <w:pPr>
              <w:spacing w:after="0"/>
              <w:rPr>
                <w:sz w:val="1"/>
                <w:szCs w:val="1"/>
                <w:color w:val="auto"/>
              </w:rPr>
            </w:pPr>
          </w:p>
        </w:tc>
      </w:tr>
      <w:tr>
        <w:trPr>
          <w:trHeight w:val="176"/>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(10,404)</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(333)</w:t>
            </w:r>
          </w:p>
        </w:tc>
        <w:tc>
          <w:tcPr>
            <w:tcW w:w="9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(10,737)</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(1,329)</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(1,329)</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2018</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60,480,263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$ 1,630,441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243,070</w:t>
            </w:r>
          </w:p>
        </w:tc>
        <w:tc>
          <w:tcPr>
            <w:tcW w:w="1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7,047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5,482</w:t>
            </w:r>
          </w:p>
        </w:tc>
        <w:tc>
          <w:tcPr>
            <w:tcW w:w="14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12"/>
              <w:spacing w:after="0"/>
              <w:rPr>
                <w:sz w:val="20"/>
                <w:szCs w:val="20"/>
                <w:color w:val="auto"/>
              </w:rPr>
            </w:pPr>
            <w:r>
              <w:rPr>
                <w:rFonts w:ascii="Arial" w:cs="Arial" w:eastAsia="Arial" w:hAnsi="Arial"/>
                <w:sz w:val="14"/>
                <w:szCs w:val="14"/>
                <w:color w:val="auto"/>
              </w:rPr>
              <w:t>$ 1,886,046</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Viasat, Inc. Stockholders</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840" w:type="dxa"/>
            <w:vAlign w:val="bottom"/>
            <w:tcBorders>
              <w:bottom w:val="single" w:sz="8" w:color="auto"/>
            </w:tcBorders>
            <w:gridSpan w:val="4"/>
          </w:tcPr>
          <w:p>
            <w:pPr>
              <w:jc w:val="right"/>
              <w:ind w:right="368"/>
              <w:spacing w:after="0" w:line="155" w:lineRule="exact"/>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Retained</w:t>
            </w:r>
          </w:p>
        </w:tc>
        <w:tc>
          <w:tcPr>
            <w:tcW w:w="132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Interest in</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Issued</w:t>
            </w:r>
          </w:p>
        </w:tc>
        <w:tc>
          <w:tcPr>
            <w:tcW w:w="1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Income (Loss)</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CFF0FC"/>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3260" w:type="dxa"/>
            <w:vAlign w:val="bottom"/>
            <w:tcBorders>
              <w:top w:val="single" w:sz="8" w:color="auto"/>
              <w:bottom w:val="single" w:sz="8" w:color="auto"/>
            </w:tcBorders>
            <w:gridSpan w:val="9"/>
          </w:tcPr>
          <w:p>
            <w:pPr>
              <w:jc w:val="right"/>
              <w:ind w:right="60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For the Nine Months Ended December 31, 2019</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rPr>
                <w:sz w:val="20"/>
                <w:szCs w:val="20"/>
                <w:color w:val="auto"/>
              </w:rPr>
            </w:pPr>
            <w:r>
              <w:rPr>
                <w:rFonts w:ascii="Arial" w:cs="Arial" w:eastAsia="Arial" w:hAnsi="Arial"/>
                <w:sz w:val="14"/>
                <w:szCs w:val="14"/>
                <w:color w:val="auto"/>
              </w:rPr>
              <w:t>Balance at March 31, 2019</w:t>
            </w:r>
          </w:p>
        </w:tc>
        <w:tc>
          <w:tcPr>
            <w:tcW w:w="840" w:type="dxa"/>
            <w:vAlign w:val="bottom"/>
          </w:tcPr>
          <w:p>
            <w:pPr>
              <w:jc w:val="right"/>
              <w:spacing w:after="0"/>
              <w:rPr>
                <w:sz w:val="20"/>
                <w:szCs w:val="20"/>
                <w:color w:val="auto"/>
              </w:rPr>
            </w:pPr>
            <w:r>
              <w:rPr>
                <w:rFonts w:ascii="Arial" w:cs="Arial" w:eastAsia="Arial" w:hAnsi="Arial"/>
                <w:sz w:val="14"/>
                <w:szCs w:val="14"/>
                <w:color w:val="auto"/>
              </w:rPr>
              <w:t>60,550,093</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$ 1,656,819</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245,585</w:t>
            </w:r>
          </w:p>
        </w:tc>
        <w:tc>
          <w:tcPr>
            <w:tcW w:w="140" w:type="dxa"/>
            <w:vAlign w:val="bottom"/>
          </w:tcPr>
          <w:p>
            <w:pPr>
              <w:spacing w:after="0"/>
              <w:rPr>
                <w:sz w:val="15"/>
                <w:szCs w:val="15"/>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5,338</w:t>
            </w:r>
          </w:p>
        </w:tc>
        <w:tc>
          <w:tcPr>
            <w:tcW w:w="200" w:type="dxa"/>
            <w:vAlign w:val="bottom"/>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8,330</w:t>
            </w:r>
          </w:p>
        </w:tc>
        <w:tc>
          <w:tcPr>
            <w:tcW w:w="1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$ 1,916,078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335,373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20,743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20,743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40" w:type="dxa"/>
            <w:vAlign w:val="bottom"/>
          </w:tcPr>
          <w:p>
            <w:pPr>
              <w:ind w:left="120"/>
              <w:spacing w:after="0" w:line="157" w:lineRule="exact"/>
              <w:rPr>
                <w:sz w:val="20"/>
                <w:szCs w:val="20"/>
                <w:color w:val="auto"/>
              </w:rPr>
            </w:pPr>
            <w:r>
              <w:rPr>
                <w:rFonts w:ascii="Arial" w:cs="Arial" w:eastAsia="Arial" w:hAnsi="Arial"/>
                <w:sz w:val="14"/>
                <w:szCs w:val="14"/>
                <w:color w:val="auto"/>
              </w:rPr>
              <w:t>Plan</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311,137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17,350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17,350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73,523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73,523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Shares issued in settlement of certain accrued</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40" w:type="dxa"/>
            <w:vAlign w:val="bottom"/>
          </w:tcPr>
          <w:p>
            <w:pPr>
              <w:ind w:left="120"/>
              <w:spacing w:after="0" w:line="157" w:lineRule="exact"/>
              <w:rPr>
                <w:sz w:val="20"/>
                <w:szCs w:val="20"/>
                <w:color w:val="auto"/>
              </w:rPr>
            </w:pPr>
            <w:r>
              <w:rPr>
                <w:rFonts w:ascii="Arial" w:cs="Arial" w:eastAsia="Arial" w:hAnsi="Arial"/>
                <w:sz w:val="14"/>
                <w:szCs w:val="14"/>
                <w:color w:val="auto"/>
              </w:rPr>
              <w:t>employee compensation liabilities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255,615</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22,829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22,829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4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671,040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240" w:type="dxa"/>
            <w:vAlign w:val="bottom"/>
            <w:gridSpan w:val="3"/>
            <w:shd w:val="clear" w:color="auto" w:fill="CFF0FC"/>
          </w:tcPr>
          <w:p>
            <w:pPr>
              <w:jc w:val="right"/>
              <w:ind w:right="180"/>
              <w:spacing w:after="0" w:line="157" w:lineRule="exact"/>
              <w:rPr>
                <w:sz w:val="20"/>
                <w:szCs w:val="20"/>
                <w:color w:val="auto"/>
              </w:rPr>
            </w:pPr>
            <w:r>
              <w:rPr>
                <w:rFonts w:ascii="Arial" w:cs="Arial" w:eastAsia="Arial" w:hAnsi="Arial"/>
                <w:sz w:val="14"/>
                <w:szCs w:val="14"/>
                <w:color w:val="auto"/>
              </w:rPr>
              <w:t>(28,268)</w:t>
            </w: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FF0FC"/>
          </w:tcPr>
          <w:p>
            <w:pPr>
              <w:jc w:val="right"/>
              <w:ind w:right="20"/>
              <w:spacing w:after="0" w:line="157" w:lineRule="exact"/>
              <w:rPr>
                <w:sz w:val="20"/>
                <w:szCs w:val="20"/>
                <w:color w:val="auto"/>
              </w:rPr>
            </w:pPr>
            <w:r>
              <w:rPr>
                <w:rFonts w:ascii="Arial" w:cs="Arial" w:eastAsia="Arial" w:hAnsi="Arial"/>
                <w:sz w:val="14"/>
                <w:szCs w:val="14"/>
                <w:color w:val="auto"/>
              </w:rPr>
              <w:t>(28,268)</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20"/>
                <w:szCs w:val="20"/>
                <w:color w:val="auto"/>
              </w:rPr>
            </w:pPr>
            <w:r>
              <w:rPr>
                <w:rFonts w:ascii="Arial" w:cs="Arial" w:eastAsia="Arial" w:hAnsi="Arial"/>
                <w:sz w:val="14"/>
                <w:szCs w:val="14"/>
                <w:color w:val="auto"/>
              </w:rPr>
              <w:t>Net (loss) income</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(1,798)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10,713</w:t>
            </w:r>
          </w:p>
        </w:tc>
        <w:tc>
          <w:tcPr>
            <w:tcW w:w="1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8,915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(5,859)</w:t>
            </w: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(5,859)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4"/>
                <w:szCs w:val="14"/>
                <w:color w:val="auto"/>
              </w:rPr>
              <w:t>Balance at December 31, 2019</w:t>
            </w:r>
          </w:p>
        </w:tc>
        <w:tc>
          <w:tcPr>
            <w:tcW w:w="840" w:type="dxa"/>
            <w:vAlign w:val="bottom"/>
          </w:tcPr>
          <w:p>
            <w:pPr>
              <w:jc w:val="right"/>
              <w:spacing w:after="0"/>
              <w:rPr>
                <w:sz w:val="20"/>
                <w:szCs w:val="20"/>
                <w:color w:val="auto"/>
              </w:rPr>
            </w:pPr>
            <w:r>
              <w:rPr>
                <w:rFonts w:ascii="Arial" w:cs="Arial" w:eastAsia="Arial" w:hAnsi="Arial"/>
                <w:sz w:val="14"/>
                <w:szCs w:val="14"/>
                <w:color w:val="auto"/>
              </w:rPr>
              <w:t>62,123,258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$ 1,762,996</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243,787</w:t>
            </w:r>
          </w:p>
        </w:tc>
        <w:tc>
          <w:tcPr>
            <w:tcW w:w="14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19,043</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$ 2,025,311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4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rPr>
                <w:sz w:val="20"/>
                <w:szCs w:val="20"/>
                <w:color w:val="auto"/>
              </w:rPr>
            </w:pPr>
            <w:r>
              <w:rPr>
                <w:rFonts w:ascii="Arial" w:cs="Arial" w:eastAsia="Arial" w:hAnsi="Arial"/>
                <w:sz w:val="14"/>
                <w:szCs w:val="14"/>
                <w:b w:val="1"/>
                <w:bCs w:val="1"/>
                <w:color w:val="auto"/>
              </w:rPr>
              <w:t>For the Nine Months Ended December 31, 2018</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Balance at March 31, 2018</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58,905,274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$ 1,535,635</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285,960</w:t>
            </w:r>
          </w:p>
        </w:tc>
        <w:tc>
          <w:tcPr>
            <w:tcW w:w="140" w:type="dxa"/>
            <w:vAlign w:val="bottom"/>
            <w:shd w:val="clear" w:color="auto" w:fill="CFF0FC"/>
          </w:tcPr>
          <w:p>
            <w:pPr>
              <w:spacing w:after="0"/>
              <w:rPr>
                <w:sz w:val="15"/>
                <w:szCs w:val="15"/>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15,565</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10,841</w:t>
            </w:r>
          </w:p>
        </w:tc>
        <w:tc>
          <w:tcPr>
            <w:tcW w:w="1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$ 1,848,007</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225,000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8,352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8,352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Issuance of stock under Employee Stock Purchase</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4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Plan</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289,024</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15,243</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15,243</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67,109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67,109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Shares and fully-vested RSUs issued in settlement of</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certain accrued employee compensation liabilities,</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of shares withheld for taxes which have been</w:t>
            </w: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4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retired</w:t>
            </w:r>
          </w:p>
        </w:tc>
        <w:tc>
          <w:tcPr>
            <w:tcW w:w="84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438,433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27,701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27,701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20"/>
                <w:szCs w:val="20"/>
                <w:color w:val="auto"/>
              </w:rPr>
            </w:pPr>
            <w:r>
              <w:rPr>
                <w:rFonts w:ascii="Arial" w:cs="Arial" w:eastAsia="Arial" w:hAnsi="Arial"/>
                <w:sz w:val="14"/>
                <w:szCs w:val="14"/>
                <w:color w:val="auto"/>
              </w:rPr>
              <w:t>RSU awards vesting, net of shares withheld for taxes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40" w:type="dxa"/>
            <w:vAlign w:val="bottom"/>
          </w:tcPr>
          <w:p>
            <w:pPr>
              <w:ind w:left="120"/>
              <w:spacing w:after="0" w:line="157" w:lineRule="exact"/>
              <w:rPr>
                <w:sz w:val="20"/>
                <w:szCs w:val="20"/>
                <w:color w:val="auto"/>
              </w:rPr>
            </w:pPr>
            <w:r>
              <w:rPr>
                <w:rFonts w:ascii="Arial" w:cs="Arial" w:eastAsia="Arial" w:hAnsi="Arial"/>
                <w:sz w:val="14"/>
                <w:szCs w:val="14"/>
                <w:color w:val="auto"/>
              </w:rPr>
              <w:t>which have been retired</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622,532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180"/>
              <w:spacing w:after="0" w:line="157" w:lineRule="exact"/>
              <w:rPr>
                <w:sz w:val="20"/>
                <w:szCs w:val="20"/>
                <w:color w:val="auto"/>
              </w:rPr>
            </w:pPr>
            <w:r>
              <w:rPr>
                <w:rFonts w:ascii="Arial" w:cs="Arial" w:eastAsia="Arial" w:hAnsi="Arial"/>
                <w:sz w:val="14"/>
                <w:szCs w:val="14"/>
                <w:color w:val="auto"/>
              </w:rPr>
              <w:t>(23,680)</w:t>
            </w:r>
          </w:p>
        </w:tc>
        <w:tc>
          <w:tcPr>
            <w:tcW w:w="80" w:type="dxa"/>
            <w:vAlign w:val="bottom"/>
          </w:tcPr>
          <w:p>
            <w:pPr>
              <w:spacing w:after="0"/>
              <w:rPr>
                <w:sz w:val="13"/>
                <w:szCs w:val="13"/>
                <w:color w:val="auto"/>
              </w:rPr>
            </w:pPr>
          </w:p>
        </w:tc>
        <w:tc>
          <w:tcPr>
            <w:tcW w:w="8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0"/>
              <w:spacing w:after="0" w:line="157" w:lineRule="exact"/>
              <w:rPr>
                <w:sz w:val="20"/>
                <w:szCs w:val="20"/>
                <w:color w:val="auto"/>
              </w:rPr>
            </w:pPr>
            <w:r>
              <w:rPr>
                <w:rFonts w:ascii="Arial" w:cs="Arial" w:eastAsia="Arial" w:hAnsi="Arial"/>
                <w:sz w:val="14"/>
                <w:szCs w:val="14"/>
                <w:color w:val="auto"/>
              </w:rPr>
              <w:t>(23,680)</w:t>
            </w:r>
          </w:p>
        </w:tc>
        <w:tc>
          <w:tcPr>
            <w:tcW w:w="0" w:type="dxa"/>
            <w:vAlign w:val="bottom"/>
          </w:tcPr>
          <w:p>
            <w:pPr>
              <w:spacing w:after="0"/>
              <w:rPr>
                <w:sz w:val="1"/>
                <w:szCs w:val="1"/>
                <w:color w:val="auto"/>
              </w:rPr>
            </w:pPr>
          </w:p>
        </w:tc>
      </w:tr>
      <w:tr>
        <w:trPr>
          <w:trHeight w:val="180"/>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Cumulative effect adjustment upon adoption of new</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040" w:type="dxa"/>
            <w:vAlign w:val="bottom"/>
            <w:shd w:val="clear" w:color="auto" w:fill="CFF0FC"/>
          </w:tcPr>
          <w:p>
            <w:pPr>
              <w:ind w:left="120"/>
              <w:spacing w:after="0" w:line="157" w:lineRule="exact"/>
              <w:rPr>
                <w:sz w:val="20"/>
                <w:szCs w:val="20"/>
                <w:color w:val="auto"/>
              </w:rPr>
            </w:pPr>
            <w:r>
              <w:rPr>
                <w:rFonts w:ascii="Arial" w:cs="Arial" w:eastAsia="Arial" w:hAnsi="Arial"/>
                <w:sz w:val="14"/>
                <w:szCs w:val="14"/>
                <w:color w:val="auto"/>
              </w:rPr>
              <w:t>revenue recognition guidance (ASU 2014-09)</w:t>
            </w:r>
          </w:p>
        </w:tc>
        <w:tc>
          <w:tcPr>
            <w:tcW w:w="10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7" w:lineRule="exact"/>
              <w:rPr>
                <w:sz w:val="20"/>
                <w:szCs w:val="20"/>
                <w:color w:val="auto"/>
              </w:rPr>
            </w:pPr>
            <w:r>
              <w:rPr>
                <w:rFonts w:ascii="Arial" w:cs="Arial" w:eastAsia="Arial" w:hAnsi="Arial"/>
                <w:sz w:val="14"/>
                <w:szCs w:val="14"/>
                <w:color w:val="auto"/>
              </w:rPr>
              <w:t>27,248</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spacing w:after="0" w:line="157" w:lineRule="exact"/>
              <w:rPr>
                <w:sz w:val="20"/>
                <w:szCs w:val="20"/>
                <w:color w:val="auto"/>
              </w:rPr>
            </w:pPr>
            <w:r>
              <w:rPr>
                <w:rFonts w:ascii="Arial" w:cs="Arial" w:eastAsia="Arial" w:hAnsi="Arial"/>
                <w:sz w:val="14"/>
                <w:szCs w:val="14"/>
                <w:color w:val="auto"/>
              </w:rPr>
              <w:t>27,248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rPr>
                <w:sz w:val="20"/>
                <w:szCs w:val="20"/>
                <w:color w:val="auto"/>
              </w:rPr>
            </w:pPr>
            <w:r>
              <w:rPr>
                <w:rFonts w:ascii="Arial" w:cs="Arial" w:eastAsia="Arial" w:hAnsi="Arial"/>
                <w:sz w:val="14"/>
                <w:szCs w:val="14"/>
                <w:color w:val="auto"/>
              </w:rPr>
              <w:t>Other noncontrolling interest activity</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(3,665)</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(3,584)</w:t>
            </w:r>
          </w:p>
        </w:tc>
        <w:tc>
          <w:tcPr>
            <w:tcW w:w="0" w:type="dxa"/>
            <w:vAlign w:val="bottom"/>
          </w:tcPr>
          <w:p>
            <w:pPr>
              <w:spacing w:after="0"/>
              <w:rPr>
                <w:sz w:val="1"/>
                <w:szCs w:val="1"/>
                <w:color w:val="auto"/>
              </w:rPr>
            </w:pPr>
          </w:p>
        </w:tc>
      </w:tr>
      <w:tr>
        <w:trPr>
          <w:trHeight w:val="176"/>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(70,138)</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(1,694)</w:t>
            </w: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(71,832)</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(8,518)</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(8,518)</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4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2018</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60,480,263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$ 1,630,441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243,070</w:t>
            </w:r>
          </w:p>
        </w:tc>
        <w:tc>
          <w:tcPr>
            <w:tcW w:w="14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7,047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5,482</w:t>
            </w: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$ 1,886,046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accompanying condensed consolidated balance sheet at December 31, 2019, the condensed consolidated statements of operations and comprehensive income (loss) for the three and nine months ended December 31, 2019 and 2018, the condensed consolidated statements of cash flows for the nine months ended December 31, 2019 and 2018 and the condensed consolidated statements of equity for the three and nine months ended December 31, 2019 and 2018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2019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2019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52"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subsidiary, TrellisWare Technologies, Inc. (TrellisWare). During the third quarter of fiscal year 2019, Viasat Europe Sàrl (formerly known as Euro Broadband Retail Sàrl), which was previously a majority-owned subsidiary, became a wholly owned subsidiary when the Company purchased the remaining 49% interest in the company for an insignificant amount. 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49" w:lineRule="exact"/>
        <w:rPr>
          <w:sz w:val="20"/>
          <w:szCs w:val="20"/>
          <w:color w:val="auto"/>
        </w:rPr>
      </w:pPr>
    </w:p>
    <w:p>
      <w:pPr>
        <w:ind w:right="120" w:firstLine="518"/>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240" w:firstLine="518"/>
        <w:spacing w:after="0"/>
        <w:rPr>
          <w:sz w:val="20"/>
          <w:szCs w:val="20"/>
          <w:color w:val="auto"/>
        </w:rPr>
      </w:pPr>
      <w:r>
        <w:rPr>
          <w:rFonts w:ascii="Arial" w:cs="Arial" w:eastAsia="Arial" w:hAnsi="Arial"/>
          <w:sz w:val="18"/>
          <w:szCs w:val="18"/>
          <w:color w:val="auto"/>
        </w:rPr>
        <w:t>Effective April 1, 2018, the Company adopted Accounting Standards Update (ASU) 2014-09, Revenue from Contracts with Customers (commonly referred to as Accounting Standards Codification (ASC) 606). This update established ASC 606, Revenue from Contracts with Customers and ASC 340-40, Other Assets and Deferred Costs – Contracts with Customers.</w:t>
      </w:r>
    </w:p>
    <w:p>
      <w:pPr>
        <w:spacing w:after="0" w:line="149" w:lineRule="exact"/>
        <w:rPr>
          <w:sz w:val="20"/>
          <w:szCs w:val="20"/>
          <w:color w:val="auto"/>
        </w:rPr>
      </w:pPr>
    </w:p>
    <w:p>
      <w:pPr>
        <w:ind w:right="140" w:firstLine="518"/>
        <w:spacing w:after="0" w:line="234" w:lineRule="auto"/>
        <w:rPr>
          <w:sz w:val="20"/>
          <w:szCs w:val="20"/>
          <w:color w:val="auto"/>
        </w:rPr>
      </w:pPr>
      <w:r>
        <w:rPr>
          <w:rFonts w:ascii="Arial" w:cs="Arial" w:eastAsia="Arial" w:hAnsi="Arial"/>
          <w:sz w:val="18"/>
          <w:szCs w:val="18"/>
          <w:color w:val="auto"/>
        </w:rPr>
        <w:t>The Company applied the five-step model under ASC 606 to its contracts with its customers to determine the impact of the new standard. Under this model the Company (1) identifies the contract with the customer, (2) identifies its performance obligations in the contract,</w:t>
      </w:r>
    </w:p>
    <w:p>
      <w:pPr>
        <w:spacing w:after="0" w:line="2" w:lineRule="exact"/>
        <w:rPr>
          <w:sz w:val="20"/>
          <w:szCs w:val="20"/>
          <w:color w:val="auto"/>
        </w:rPr>
      </w:pPr>
    </w:p>
    <w:p>
      <w:pPr>
        <w:ind w:right="600" w:firstLine="8"/>
        <w:spacing w:after="0" w:line="239"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95"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ASC 842. As discussed further below under “Leases - Lessor accounting”, for broadband equipment leased to consumer broadband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53"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49"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The vast majority of the Company’s revenues from long-term contracts to develop and deliver complex equipment built to customer specifications are derived from contracts with the U.S. government (including foreign military sales contracted through the U.S. government). 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20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When estimates of total costs to be incurred on a contract exceed total estimates of revenue to be earned, a provision for the entire loss on the contract is recognized in the period the loss is determined.</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 2019. As of December 31, 2019, the DCAA had completed its incurred cost audit for fiscal years 2004 and 2016 and approved the Company’s incurred costs for those fiscal years, as well as approved the Company’s incurred costs for fiscal years 2005 through 2015, 2017 and 2018 without further audit based on a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31, 2019 and March 31, 2019, the Company had $6.8 million and $4.9 million, respectively, in contract-related reserves for its estimate of potential refunds to customers for potential cost adjustments on several multi-year U.S. government cost reimbursable contracts (see Note 9 — Commitments and Contingencies for more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95"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201"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9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satellite services segment do not have minimum service purchase requirements and therefore are not included in the Company’s remaining performance obligations. As of December 31, 2019, the aggregate amount of the transaction price allocated to remaining performance obligations was $1.9 billion, of which the Company expects to recognize a little over half over the next twelve months, with the balance recognized thereafter.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95"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disaggregated reported revenue by segment and product and services for the three and nine months ended</w:t>
      </w:r>
    </w:p>
    <w:p>
      <w:pPr>
        <w:spacing w:after="0"/>
        <w:rPr>
          <w:sz w:val="20"/>
          <w:szCs w:val="20"/>
          <w:color w:val="auto"/>
        </w:rPr>
      </w:pPr>
      <w:r>
        <w:rPr>
          <w:rFonts w:ascii="Arial" w:cs="Arial" w:eastAsia="Arial" w:hAnsi="Arial"/>
          <w:sz w:val="18"/>
          <w:szCs w:val="18"/>
          <w:color w:val="auto"/>
        </w:rPr>
        <w:t>December 31, 2019 and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Three Months Ended December 31, 2019</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ind w:left="180"/>
              <w:spacing w:after="0" w:line="156" w:lineRule="exact"/>
              <w:rPr>
                <w:sz w:val="20"/>
                <w:szCs w:val="20"/>
                <w:color w:val="auto"/>
              </w:rPr>
            </w:pPr>
            <w:r>
              <w:rPr>
                <w:rFonts w:ascii="Arial" w:cs="Arial" w:eastAsia="Arial" w:hAnsi="Arial"/>
                <w:sz w:val="14"/>
                <w:szCs w:val="14"/>
                <w:b w:val="1"/>
                <w:bCs w:val="1"/>
                <w:color w:val="auto"/>
              </w:rPr>
              <w:t>Satellite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22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Total</w:t>
            </w:r>
          </w:p>
        </w:tc>
      </w:tr>
      <w:tr>
        <w:trPr>
          <w:trHeight w:val="175"/>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73,182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229,908</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303,090</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7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211,700</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11,544</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61,890</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285,134</w:t>
            </w:r>
          </w:p>
        </w:tc>
        <w:tc>
          <w:tcPr>
            <w:tcW w:w="100" w:type="dxa"/>
            <w:vAlign w:val="bottom"/>
            <w:tcBorders>
              <w:bottom w:val="single" w:sz="8" w:color="CFF0FC"/>
            </w:tcBorders>
          </w:tcPr>
          <w:p>
            <w:pPr>
              <w:spacing w:after="0"/>
              <w:rPr>
                <w:sz w:val="18"/>
                <w:szCs w:val="18"/>
                <w:color w:val="auto"/>
              </w:rPr>
            </w:pPr>
          </w:p>
        </w:tc>
      </w:tr>
      <w:tr>
        <w:trPr>
          <w:trHeight w:val="21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211,700</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84,726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291,798</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588,224</w:t>
            </w:r>
          </w:p>
        </w:tc>
        <w:tc>
          <w:tcPr>
            <w:tcW w:w="100" w:type="dxa"/>
            <w:vAlign w:val="bottom"/>
            <w:shd w:val="clear" w:color="auto" w:fill="CFF0FC"/>
          </w:tcPr>
          <w:p>
            <w:pPr>
              <w:spacing w:after="0"/>
              <w:rPr>
                <w:sz w:val="18"/>
                <w:szCs w:val="18"/>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26"/>
        </w:trPr>
        <w:tc>
          <w:tcPr>
            <w:tcW w:w="3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Nine Months Ended December 31, 2019</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ind w:left="180"/>
              <w:spacing w:after="0" w:line="156" w:lineRule="exact"/>
              <w:rPr>
                <w:sz w:val="20"/>
                <w:szCs w:val="20"/>
                <w:color w:val="auto"/>
              </w:rPr>
            </w:pPr>
            <w:r>
              <w:rPr>
                <w:rFonts w:ascii="Arial" w:cs="Arial" w:eastAsia="Arial" w:hAnsi="Arial"/>
                <w:sz w:val="14"/>
                <w:szCs w:val="14"/>
                <w:b w:val="1"/>
                <w:bCs w:val="1"/>
                <w:color w:val="auto"/>
              </w:rPr>
              <w:t>Satellite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22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Total</w:t>
            </w:r>
          </w:p>
        </w:tc>
      </w:tr>
      <w:tr>
        <w:trPr>
          <w:trHeight w:val="175"/>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212,226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661,309</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873,535</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7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614,232</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39,520</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190,230</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843,982</w:t>
            </w:r>
          </w:p>
        </w:tc>
        <w:tc>
          <w:tcPr>
            <w:tcW w:w="100" w:type="dxa"/>
            <w:vAlign w:val="bottom"/>
            <w:tcBorders>
              <w:bottom w:val="single" w:sz="8" w:color="CFF0FC"/>
            </w:tcBorders>
          </w:tcPr>
          <w:p>
            <w:pPr>
              <w:spacing w:after="0"/>
              <w:rPr>
                <w:sz w:val="18"/>
                <w:szCs w:val="18"/>
                <w:color w:val="auto"/>
              </w:rPr>
            </w:pPr>
          </w:p>
        </w:tc>
      </w:tr>
      <w:tr>
        <w:trPr>
          <w:trHeight w:val="21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614,232</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251,746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851,539</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1,717,517</w:t>
            </w:r>
          </w:p>
        </w:tc>
        <w:tc>
          <w:tcPr>
            <w:tcW w:w="100" w:type="dxa"/>
            <w:vAlign w:val="bottom"/>
            <w:shd w:val="clear" w:color="auto" w:fill="CFF0FC"/>
          </w:tcPr>
          <w:p>
            <w:pPr>
              <w:spacing w:after="0"/>
              <w:rPr>
                <w:sz w:val="18"/>
                <w:szCs w:val="18"/>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26"/>
        </w:trPr>
        <w:tc>
          <w:tcPr>
            <w:tcW w:w="3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Three Months Ended December 31, 2018</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ind w:left="180"/>
              <w:spacing w:after="0" w:line="156" w:lineRule="exact"/>
              <w:rPr>
                <w:sz w:val="20"/>
                <w:szCs w:val="20"/>
                <w:color w:val="auto"/>
              </w:rPr>
            </w:pPr>
            <w:r>
              <w:rPr>
                <w:rFonts w:ascii="Arial" w:cs="Arial" w:eastAsia="Arial" w:hAnsi="Arial"/>
                <w:sz w:val="14"/>
                <w:szCs w:val="14"/>
                <w:b w:val="1"/>
                <w:bCs w:val="1"/>
                <w:color w:val="auto"/>
              </w:rPr>
              <w:t>Satellite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22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Total</w:t>
            </w:r>
          </w:p>
        </w:tc>
      </w:tr>
      <w:tr>
        <w:trPr>
          <w:trHeight w:val="175"/>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115,409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186,456</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301,865</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7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177,651</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63,610</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252,829</w:t>
            </w:r>
          </w:p>
        </w:tc>
        <w:tc>
          <w:tcPr>
            <w:tcW w:w="100" w:type="dxa"/>
            <w:vAlign w:val="bottom"/>
            <w:tcBorders>
              <w:bottom w:val="single" w:sz="8" w:color="CFF0FC"/>
            </w:tcBorders>
          </w:tcPr>
          <w:p>
            <w:pPr>
              <w:spacing w:after="0"/>
              <w:rPr>
                <w:sz w:val="18"/>
                <w:szCs w:val="18"/>
                <w:color w:val="auto"/>
              </w:rPr>
            </w:pPr>
          </w:p>
        </w:tc>
      </w:tr>
      <w:tr>
        <w:trPr>
          <w:trHeight w:val="21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7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177,651</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126,977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250,066</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554,694</w:t>
            </w:r>
          </w:p>
        </w:tc>
        <w:tc>
          <w:tcPr>
            <w:tcW w:w="100" w:type="dxa"/>
            <w:vAlign w:val="bottom"/>
            <w:shd w:val="clear" w:color="auto" w:fill="CFF0FC"/>
          </w:tcPr>
          <w:p>
            <w:pPr>
              <w:spacing w:after="0"/>
              <w:rPr>
                <w:sz w:val="18"/>
                <w:szCs w:val="18"/>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26"/>
        </w:trPr>
        <w:tc>
          <w:tcPr>
            <w:tcW w:w="3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Nine Months Ended December 31, 2018</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32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ind w:left="180"/>
              <w:spacing w:after="0" w:line="156" w:lineRule="exact"/>
              <w:rPr>
                <w:sz w:val="20"/>
                <w:szCs w:val="20"/>
                <w:color w:val="auto"/>
              </w:rPr>
            </w:pPr>
            <w:r>
              <w:rPr>
                <w:rFonts w:ascii="Arial" w:cs="Arial" w:eastAsia="Arial" w:hAnsi="Arial"/>
                <w:sz w:val="14"/>
                <w:szCs w:val="14"/>
                <w:b w:val="1"/>
                <w:bCs w:val="1"/>
                <w:color w:val="auto"/>
              </w:rPr>
              <w:t>Satellite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Commercial</w:t>
            </w:r>
          </w:p>
        </w:tc>
        <w:tc>
          <w:tcPr>
            <w:tcW w:w="180" w:type="dxa"/>
            <w:vAlign w:val="bottom"/>
          </w:tcPr>
          <w:p>
            <w:pPr>
              <w:spacing w:after="0"/>
              <w:rPr>
                <w:sz w:val="13"/>
                <w:szCs w:val="13"/>
                <w:color w:val="auto"/>
              </w:rPr>
            </w:pPr>
          </w:p>
        </w:tc>
        <w:tc>
          <w:tcPr>
            <w:tcW w:w="1220" w:type="dxa"/>
            <w:vAlign w:val="bottom"/>
          </w:tcPr>
          <w:p>
            <w:pPr>
              <w:jc w:val="center"/>
              <w:ind w:right="117"/>
              <w:spacing w:after="0" w:line="156" w:lineRule="exact"/>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6" w:lineRule="exact"/>
              <w:rPr>
                <w:sz w:val="20"/>
                <w:szCs w:val="20"/>
                <w:color w:val="auto"/>
              </w:rPr>
            </w:pPr>
            <w:r>
              <w:rPr>
                <w:rFonts w:ascii="Arial" w:cs="Arial" w:eastAsia="Arial" w:hAnsi="Arial"/>
                <w:sz w:val="14"/>
                <w:szCs w:val="14"/>
                <w:b w:val="1"/>
                <w:bCs w:val="1"/>
                <w:color w:val="auto"/>
              </w:rPr>
              <w:t>Total</w:t>
            </w:r>
          </w:p>
        </w:tc>
      </w:tr>
      <w:tr>
        <w:trPr>
          <w:trHeight w:val="175"/>
        </w:trPr>
        <w:tc>
          <w:tcPr>
            <w:tcW w:w="3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Services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Networks</w:t>
            </w:r>
          </w:p>
        </w:tc>
        <w:tc>
          <w:tcPr>
            <w:tcW w:w="180" w:type="dxa"/>
            <w:vAlign w:val="bottom"/>
          </w:tcPr>
          <w:p>
            <w:pPr>
              <w:spacing w:after="0"/>
              <w:rPr>
                <w:sz w:val="15"/>
                <w:szCs w:val="15"/>
                <w:color w:val="auto"/>
              </w:rPr>
            </w:pPr>
          </w:p>
        </w:tc>
        <w:tc>
          <w:tcPr>
            <w:tcW w:w="1220" w:type="dxa"/>
            <w:vAlign w:val="bottom"/>
          </w:tcPr>
          <w:p>
            <w:pPr>
              <w:jc w:val="center"/>
              <w:ind w:right="117"/>
              <w:spacing w:after="0"/>
              <w:rPr>
                <w:sz w:val="20"/>
                <w:szCs w:val="20"/>
                <w:color w:val="auto"/>
              </w:rPr>
            </w:pPr>
            <w:r>
              <w:rPr>
                <w:rFonts w:ascii="Arial" w:cs="Arial" w:eastAsia="Arial" w:hAnsi="Arial"/>
                <w:sz w:val="14"/>
                <w:szCs w:val="14"/>
                <w:b w:val="1"/>
                <w:bCs w:val="1"/>
                <w:color w:val="auto"/>
              </w:rPr>
              <w:t>Systems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Revenues</w:t>
            </w:r>
          </w:p>
        </w:tc>
      </w:tr>
      <w:tr>
        <w:trPr>
          <w:trHeight w:val="210"/>
        </w:trPr>
        <w:tc>
          <w:tcPr>
            <w:tcW w:w="3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2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304,732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495,697</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800,429</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7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494,174</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31,831</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184,603</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710,608</w:t>
            </w:r>
          </w:p>
        </w:tc>
        <w:tc>
          <w:tcPr>
            <w:tcW w:w="100" w:type="dxa"/>
            <w:vAlign w:val="bottom"/>
            <w:tcBorders>
              <w:bottom w:val="single" w:sz="8" w:color="CFF0FC"/>
            </w:tcBorders>
          </w:tcPr>
          <w:p>
            <w:pPr>
              <w:spacing w:after="0"/>
              <w:rPr>
                <w:sz w:val="18"/>
                <w:szCs w:val="18"/>
                <w:color w:val="auto"/>
              </w:rPr>
            </w:pPr>
          </w:p>
        </w:tc>
      </w:tr>
      <w:tr>
        <w:trPr>
          <w:trHeight w:val="210"/>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494,174</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336,563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680,300</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1,511,037</w:t>
            </w:r>
          </w:p>
        </w:tc>
        <w:tc>
          <w:tcPr>
            <w:tcW w:w="100" w:type="dxa"/>
            <w:vAlign w:val="bottom"/>
            <w:shd w:val="clear" w:color="auto" w:fill="CFF0FC"/>
          </w:tcPr>
          <w:p>
            <w:pPr>
              <w:spacing w:after="0"/>
              <w:rPr>
                <w:sz w:val="18"/>
                <w:szCs w:val="18"/>
                <w:color w:val="auto"/>
              </w:rPr>
            </w:pPr>
          </w:p>
        </w:tc>
      </w:tr>
      <w:tr>
        <w:trPr>
          <w:trHeight w:val="20"/>
        </w:trPr>
        <w:tc>
          <w:tcPr>
            <w:tcW w:w="320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240" w:firstLine="518"/>
        <w:spacing w:after="0" w:line="237" w:lineRule="auto"/>
        <w:rPr>
          <w:sz w:val="20"/>
          <w:szCs w:val="20"/>
          <w:color w:val="auto"/>
        </w:rPr>
      </w:pPr>
      <w:r>
        <w:rPr>
          <w:rFonts w:ascii="Arial" w:cs="Arial" w:eastAsia="Arial" w:hAnsi="Arial"/>
          <w:sz w:val="18"/>
          <w:szCs w:val="18"/>
          <w:color w:val="auto"/>
        </w:rPr>
        <w:t>Revenues from the U.S. government as an individual customer comprised approximately 30% of total revenues for both the three and nine months ended December 31, 2019, and approximately 23% and 27% of total revenues for the three and nine months ended December 31, 2018, respectively, mainly reported within the government systems segment. Revenues from the Company’s commercial customers, mainly reported within the commercial networks and satellite services segments, comprised approximately 70% of total revenues for both the three and nine months ended December 31, 2019, and approximately 77% and 73% of total revenues for the three and nine months ended December 31, 2018, respectively.</w:t>
      </w:r>
    </w:p>
    <w:p>
      <w:pPr>
        <w:spacing w:after="0" w:line="192" w:lineRule="exact"/>
        <w:rPr>
          <w:sz w:val="20"/>
          <w:szCs w:val="20"/>
          <w:color w:val="auto"/>
        </w:rPr>
      </w:pPr>
    </w:p>
    <w:p>
      <w:pPr>
        <w:ind w:right="240" w:firstLine="518"/>
        <w:spacing w:after="0" w:line="246" w:lineRule="auto"/>
        <w:rPr>
          <w:sz w:val="20"/>
          <w:szCs w:val="20"/>
          <w:color w:val="auto"/>
        </w:rPr>
      </w:pPr>
      <w:r>
        <w:rPr>
          <w:rFonts w:ascii="Arial" w:cs="Arial" w:eastAsia="Arial" w:hAnsi="Arial"/>
          <w:sz w:val="18"/>
          <w:szCs w:val="18"/>
          <w:color w:val="auto"/>
        </w:rPr>
        <w:t>The Company’s satellite services segment revenues are primarily derived from the Company’s fixed broadband services, IFC services and worldwide managed network services.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89% of the Company’s total revenues for these segments for both the three and nine months ended December 31, 2019, and approximately 89% of the Company’s total revenues for these segments for both the three and nine months ended December 31, 2018.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94" w:lineRule="exact"/>
        <w:rPr>
          <w:sz w:val="20"/>
          <w:szCs w:val="20"/>
          <w:color w:val="auto"/>
        </w:rPr>
      </w:pPr>
    </w:p>
    <w:p>
      <w:pPr>
        <w:ind w:right="300" w:firstLine="518"/>
        <w:spacing w:after="0" w:line="237" w:lineRule="auto"/>
        <w:rPr>
          <w:sz w:val="20"/>
          <w:szCs w:val="20"/>
          <w:color w:val="auto"/>
        </w:rPr>
      </w:pPr>
      <w:r>
        <w:rPr>
          <w:rFonts w:ascii="Arial" w:cs="Arial" w:eastAsia="Arial" w:hAnsi="Arial"/>
          <w:sz w:val="18"/>
          <w:szCs w:val="18"/>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24% and 23% of its total revenues for the three and nine months ended December 31, 2019, respectively, and approximately 18% and 17% of its total revenues for the three and nine months ended December 31, 2018, respectively.</w:t>
      </w:r>
    </w:p>
    <w:p>
      <w:pPr>
        <w:spacing w:after="0" w:line="1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three and nine months ended December 31, 2019 and 2018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960" w:type="dxa"/>
            <w:vAlign w:val="bottom"/>
            <w:gridSpan w:val="2"/>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5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300" w:type="dxa"/>
            <w:vAlign w:val="bottom"/>
            <w:gridSpan w:val="5"/>
          </w:tcPr>
          <w:p>
            <w:pPr>
              <w:ind w:left="14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523,455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1,521,022</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10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64,769</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196,495</w:t>
            </w:r>
          </w:p>
        </w:tc>
        <w:tc>
          <w:tcPr>
            <w:tcW w:w="120" w:type="dxa"/>
            <w:vAlign w:val="bottom"/>
            <w:tcBorders>
              <w:bottom w:val="single" w:sz="8" w:color="CFF0FC"/>
            </w:tcBorders>
          </w:tcPr>
          <w:p>
            <w:pPr>
              <w:spacing w:after="0"/>
              <w:rPr>
                <w:sz w:val="18"/>
                <w:szCs w:val="18"/>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588,224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1,717,517</w:t>
            </w:r>
          </w:p>
        </w:tc>
        <w:tc>
          <w:tcPr>
            <w:tcW w:w="120" w:type="dxa"/>
            <w:vAlign w:val="bottom"/>
            <w:shd w:val="clear" w:color="auto" w:fill="CFF0FC"/>
          </w:tcPr>
          <w:p>
            <w:pPr>
              <w:spacing w:after="0"/>
              <w:rPr>
                <w:sz w:val="18"/>
                <w:szCs w:val="18"/>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30"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Three Months Ended</w:t>
      </w:r>
    </w:p>
    <w:p>
      <w:pPr>
        <w:spacing w:after="0" w:line="29"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sectPr>
          <w:pgSz w:w="11900" w:h="16838" w:orient="portrait"/>
          <w:cols w:equalWidth="0" w:num="2">
            <w:col w:w="8860" w:space="720"/>
            <w:col w:w="184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5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380" w:type="dxa"/>
            <w:vAlign w:val="bottom"/>
            <w:tcBorders>
              <w:top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184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492,681</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1,341,073</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108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62,013</w:t>
            </w:r>
          </w:p>
        </w:tc>
        <w:tc>
          <w:tcPr>
            <w:tcW w:w="28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169,964</w:t>
            </w:r>
          </w:p>
        </w:tc>
        <w:tc>
          <w:tcPr>
            <w:tcW w:w="120" w:type="dxa"/>
            <w:vAlign w:val="bottom"/>
            <w:tcBorders>
              <w:bottom w:val="single" w:sz="8" w:color="CFF0FC"/>
            </w:tcBorders>
          </w:tcPr>
          <w:p>
            <w:pPr>
              <w:spacing w:after="0"/>
              <w:rPr>
                <w:sz w:val="18"/>
                <w:szCs w:val="18"/>
                <w:color w:val="auto"/>
              </w:rPr>
            </w:pPr>
          </w:p>
        </w:tc>
      </w:tr>
      <w:tr>
        <w:trPr>
          <w:trHeight w:val="21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4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554,694</w:t>
            </w: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1,511,037</w:t>
            </w:r>
          </w:p>
        </w:tc>
        <w:tc>
          <w:tcPr>
            <w:tcW w:w="120" w:type="dxa"/>
            <w:vAlign w:val="bottom"/>
            <w:shd w:val="clear" w:color="auto" w:fill="CFF0FC"/>
          </w:tcPr>
          <w:p>
            <w:pPr>
              <w:spacing w:after="0"/>
              <w:rPr>
                <w:sz w:val="18"/>
                <w:szCs w:val="18"/>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95"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89" w:lineRule="exact"/>
        <w:rPr>
          <w:sz w:val="20"/>
          <w:szCs w:val="20"/>
          <w:color w:val="auto"/>
        </w:rPr>
      </w:pPr>
    </w:p>
    <w:p>
      <w:pPr>
        <w:ind w:right="180" w:firstLine="518"/>
        <w:spacing w:after="0"/>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December 31, 2019 and March 31,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Pr>
          <w:p>
            <w:pPr>
              <w:jc w:val="right"/>
              <w:ind w:right="919"/>
              <w:spacing w:after="0"/>
              <w:rPr>
                <w:sz w:val="20"/>
                <w:szCs w:val="20"/>
                <w:color w:val="auto"/>
              </w:rPr>
            </w:pPr>
            <w:r>
              <w:rPr>
                <w:rFonts w:ascii="Arial" w:cs="Arial" w:eastAsia="Arial" w:hAnsi="Arial"/>
                <w:sz w:val="14"/>
                <w:szCs w:val="14"/>
                <w:b w:val="1"/>
                <w:bCs w:val="1"/>
                <w:color w:val="auto"/>
              </w:rPr>
              <w:t>As of</w:t>
            </w:r>
          </w:p>
        </w:tc>
        <w:tc>
          <w:tcPr>
            <w:tcW w:w="560" w:type="dxa"/>
            <w:vAlign w:val="bottom"/>
          </w:tcPr>
          <w:p>
            <w:pPr>
              <w:spacing w:after="0"/>
              <w:rPr>
                <w:sz w:val="14"/>
                <w:szCs w:val="14"/>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As of</w:t>
            </w:r>
          </w:p>
        </w:tc>
      </w:tr>
      <w:tr>
        <w:trPr>
          <w:trHeight w:val="175"/>
        </w:trPr>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tcPr>
          <w:p>
            <w:pPr>
              <w:jc w:val="right"/>
              <w:ind w:right="439"/>
              <w:spacing w:after="0"/>
              <w:rPr>
                <w:sz w:val="20"/>
                <w:szCs w:val="20"/>
                <w:color w:val="auto"/>
              </w:rPr>
            </w:pPr>
            <w:r>
              <w:rPr>
                <w:rFonts w:ascii="Arial" w:cs="Arial" w:eastAsia="Arial" w:hAnsi="Arial"/>
                <w:sz w:val="14"/>
                <w:szCs w:val="14"/>
                <w:b w:val="1"/>
                <w:bCs w:val="1"/>
                <w:color w:val="auto"/>
              </w:rPr>
              <w:t>December 31, 2019</w:t>
            </w:r>
          </w:p>
        </w:tc>
        <w:tc>
          <w:tcPr>
            <w:tcW w:w="560" w:type="dxa"/>
            <w:vAlign w:val="bottom"/>
          </w:tcPr>
          <w:p>
            <w:pPr>
              <w:spacing w:after="0"/>
              <w:rPr>
                <w:sz w:val="15"/>
                <w:szCs w:val="15"/>
                <w:color w:val="auto"/>
              </w:rPr>
            </w:pPr>
          </w:p>
        </w:tc>
        <w:tc>
          <w:tcPr>
            <w:tcW w:w="17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March 31, 2019</w:t>
            </w:r>
          </w:p>
        </w:tc>
      </w:tr>
      <w:tr>
        <w:trPr>
          <w:trHeight w:val="210"/>
        </w:trPr>
        <w:tc>
          <w:tcPr>
            <w:tcW w:w="5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Unbilled accounts receivable</w:t>
            </w:r>
          </w:p>
        </w:tc>
        <w:tc>
          <w:tcPr>
            <w:tcW w:w="2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98,517</w:t>
            </w:r>
          </w:p>
        </w:tc>
        <w:tc>
          <w:tcPr>
            <w:tcW w:w="5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83,743</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Collections in excess of revenues and deferred revenues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right"/>
              <w:ind w:right="79"/>
              <w:spacing w:after="0"/>
              <w:rPr>
                <w:sz w:val="20"/>
                <w:szCs w:val="20"/>
                <w:color w:val="auto"/>
              </w:rPr>
            </w:pPr>
            <w:r>
              <w:rPr>
                <w:rFonts w:ascii="Arial" w:cs="Arial" w:eastAsia="Arial" w:hAnsi="Arial"/>
                <w:sz w:val="18"/>
                <w:szCs w:val="18"/>
                <w:color w:val="auto"/>
              </w:rPr>
              <w:t>120,275</w:t>
            </w:r>
          </w:p>
        </w:tc>
        <w:tc>
          <w:tcPr>
            <w:tcW w:w="5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125,540</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 long-term portion</w:t>
            </w:r>
          </w:p>
        </w:tc>
        <w:tc>
          <w:tcPr>
            <w:tcW w:w="1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83,423</w:t>
            </w:r>
          </w:p>
        </w:tc>
        <w:tc>
          <w:tcPr>
            <w:tcW w:w="5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71,230</w:t>
            </w:r>
          </w:p>
        </w:tc>
        <w:tc>
          <w:tcPr>
            <w:tcW w:w="120" w:type="dxa"/>
            <w:vAlign w:val="bottom"/>
            <w:shd w:val="clear" w:color="auto" w:fill="CFF0FC"/>
          </w:tcPr>
          <w:p>
            <w:pPr>
              <w:spacing w:after="0"/>
              <w:rPr>
                <w:sz w:val="18"/>
                <w:szCs w:val="18"/>
                <w:color w:val="auto"/>
              </w:rPr>
            </w:pPr>
          </w:p>
        </w:tc>
      </w:tr>
      <w:tr>
        <w:trPr>
          <w:trHeight w:val="635"/>
        </w:trPr>
        <w:tc>
          <w:tcPr>
            <w:tcW w:w="5080" w:type="dxa"/>
            <w:vAlign w:val="bottom"/>
          </w:tcPr>
          <w:p>
            <w:pPr>
              <w:spacing w:after="0"/>
              <w:rPr>
                <w:sz w:val="24"/>
                <w:szCs w:val="24"/>
                <w:color w:val="auto"/>
              </w:rPr>
            </w:pPr>
          </w:p>
        </w:tc>
        <w:tc>
          <w:tcPr>
            <w:tcW w:w="1820" w:type="dxa"/>
            <w:vAlign w:val="bottom"/>
          </w:tcPr>
          <w:p>
            <w:pPr>
              <w:jc w:val="right"/>
              <w:ind w:right="99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2"/>
        </w:trPr>
        <w:tc>
          <w:tcPr>
            <w:tcW w:w="50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380" w:firstLine="518"/>
        <w:spacing w:after="0" w:line="246" w:lineRule="auto"/>
        <w:rPr>
          <w:sz w:val="20"/>
          <w:szCs w:val="20"/>
          <w:color w:val="auto"/>
        </w:rPr>
      </w:pPr>
      <w:r>
        <w:rPr>
          <w:rFonts w:ascii="Arial" w:cs="Arial" w:eastAsia="Arial" w:hAnsi="Arial"/>
          <w:sz w:val="18"/>
          <w:szCs w:val="18"/>
          <w:color w:val="auto"/>
        </w:rPr>
        <w:t>Unbilled accounts receivable increased $14.8 million during the nine months ended December 31, 2019, primarily driven by revenue recognized in the Company’s government systems segment in excess of billings.</w:t>
      </w:r>
    </w:p>
    <w:p>
      <w:pPr>
        <w:spacing w:after="0" w:line="143" w:lineRule="exact"/>
        <w:rPr>
          <w:sz w:val="20"/>
          <w:szCs w:val="20"/>
          <w:color w:val="auto"/>
        </w:rPr>
      </w:pPr>
    </w:p>
    <w:p>
      <w:pPr>
        <w:ind w:right="400" w:firstLine="518"/>
        <w:spacing w:after="0"/>
        <w:rPr>
          <w:sz w:val="20"/>
          <w:szCs w:val="20"/>
          <w:color w:val="auto"/>
        </w:rPr>
      </w:pPr>
      <w:r>
        <w:rPr>
          <w:rFonts w:ascii="Arial" w:cs="Arial" w:eastAsia="Arial" w:hAnsi="Arial"/>
          <w:sz w:val="18"/>
          <w:szCs w:val="18"/>
          <w:color w:val="auto"/>
        </w:rPr>
        <w:t>Collections in excess of revenues and deferred revenues decreased $5.3 million during the nine months ended December 31, 2019, primarily driven by revenue recognized in excess of advances on goods or services received in the Company’s government systems and satellite services segments.</w:t>
      </w:r>
    </w:p>
    <w:p>
      <w:pPr>
        <w:spacing w:after="0" w:line="149"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During the three and nine months ended December 31, 2019, the Company recognized revenue of $ 13.5 million and $84.7 million, respectively, that was previously included in the Company’s collections in excess of revenues and deferred revenues at March 31, 2019. During the three and nine months ended December 31, 2018, the Company recognized revenue of $12.6 million and $94.7 million, respectively, that was previously included in the Company’s collections in excess of revenues and deferred revenues at April 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9"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17 years. Leasehold improvements are capitalized and amortized using the straight-line method over the shorter of the lease term or the life of the improvement.</w:t>
      </w:r>
    </w:p>
    <w:p>
      <w:pPr>
        <w:spacing w:after="0" w:line="161" w:lineRule="exact"/>
        <w:rPr>
          <w:sz w:val="20"/>
          <w:szCs w:val="20"/>
          <w:color w:val="auto"/>
        </w:rPr>
      </w:pPr>
    </w:p>
    <w:p>
      <w:pPr>
        <w:ind w:right="360" w:firstLine="518"/>
        <w:spacing w:after="0"/>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consolidated balance sheet.</w:t>
      </w:r>
    </w:p>
    <w:p>
      <w:pPr>
        <w:spacing w:after="0" w:line="149"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ViaSat-3 class satellites, gateway and networking equipment and other assets under construction, the Company capitalized $14.3 million and $ 38.6 million of interest expense for the three and nine months ended December 31, 2019, respectively, and $15.6 million and $29.3 million for the three and nine months ended December 31, 2018, respectively.</w:t>
      </w:r>
    </w:p>
    <w:p>
      <w:pPr>
        <w:spacing w:after="0" w:line="14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owns three satellites in service (ViaSat-2 (its second-generation high-capacity Ka-band spot-beam satellite, which was placed into service in the fourth quarter of fiscal year 2018), ViaSat-1 (its first-generation high-capacity Ka-band spot-beam satellite, which was placed into service in January 2012) and WildBlue-1 (which was placed into service in March 2007)) and has lifetime leases of Ka-band capacity on two satellites. The Company also has two third-generation ViaSat-3 class satellites that have entered the phase of full construction. In July 2019, the Company entered into an agreement with The Boeing Company (Boeing) for the construction and purchase of a third ViaSat-3 class satellite and the integration of Viasat’s payload technologies into the satellite. The Company periodically reviews the remaining estimated useful life of its satellites to determine if revisions to estimated useful lives are necessary. The Company procures indoor and outdoor CPE units leased to subscribers under a retail leasing program as part of the Company’s satellite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December 31, 2019 were $401.7 million and $160.4 million, respectively. The total cost and accumulated depreciation of CPE units included in property, equipment and satellites, net, as of March 31, 2019 were $373.4 million and $142.6 million, respectively.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On June 1, 2017, the Company’s second-generation ViaSat-2 satellite was successfully launched into orbit. In the fourth quarter of fiscal year 2018, shortly before the launch of commercial broadband services on the satellite, the Company reported an antenna deployment issue. The Company worked with the satellite manufacturer to determine the root cause of the antenna deployment issue, potential correcting measures, and resulting damage. In the second quarter of fiscal year 2019, the root cause analysis was completed. Based on that analysis, during the second quarter of fiscal year 2019, the Company recorded a reduction to the carrying value of the ViaSat-2 satellite of $177.4 million, with a corresponding insurance receivable of $177.4 million, based on the Company’s estimated ViaSat-2 output capabilities as compared to the anticipated, potential and configured capacity of the ViaSat-2 satellite. During the first three months of fiscal year 2020, the Company received the remaining insurance proceeds of $2.3 million, which were in addition to the $185.7 million of insurance proceeds received in fiscal year 2019 related to the ViaSat-2 satellite. The ViaSat-2 satellite was primarily financed by the Company’s direct loan facility with the Export-Import Bank of the United States for ViaSat-2 (the Ex-Im Credit Facility) (see Note 7 — Senior Notes and Other Long-Term Debt for more information). Pursuant to the terms of the Ex-Im Credit Facility, the proceeds received from the insurance claims for ViaSat-2 were used to pay down outstanding borrowings under the Ex-Im Credit Facility.</w:t>
      </w:r>
    </w:p>
    <w:p>
      <w:pPr>
        <w:spacing w:after="0" w:line="151" w:lineRule="exact"/>
        <w:rPr>
          <w:sz w:val="20"/>
          <w:szCs w:val="20"/>
          <w:color w:val="auto"/>
        </w:rPr>
      </w:pPr>
    </w:p>
    <w:p>
      <w:pPr>
        <w:ind w:right="160" w:firstLine="518"/>
        <w:spacing w:after="0"/>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(see Note 1 — Basis of Presentation – Leases and Note 6 – Leases for more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9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Company adopted ASU 2016-02, Leases, as amended, commonly referred to as ASC 842, on April 1, 2019 using the optional transition method. Under the optional transition method, the Company applied the new guidance to all leases that commenced before and were existing as of April 1, 2019. Accordingly, the Company did not adjust comparative periods or make the new required lease disclosures for periods before the adoption date of April 1, 2019. The primary impact of ASC 842 on the Company’s consolidated financial statements is the recognition of right-of-use assets and related liabilities on its consolidated balance sheet for operating leases where the Company is the lessee. The Company’s adoption of ASC 842 did not have a material impact on its results of operations for the three and nine months ended December 31, 2019, or on its cash flow for the nine months ended December 31, 2019.</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elected certain practical expedients under its transition method, including the practical expedient package to not reassess</w:t>
      </w:r>
    </w:p>
    <w:p>
      <w:pPr>
        <w:ind w:right="80" w:firstLine="8"/>
        <w:spacing w:after="0" w:line="238"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any expired or existing contracts are or contain leases, (ii) the classification of existing leases, and (iii) initial direct costs for any existing leases. The Company also elected the land easement transition practical expedient, and did not reassess whether an existing or expired land easement is a lease or contains a lease if it has not historically been accounted for as a lease. In addition, for real estate leases, the Company has elected not to separate non-lease components from lease components and instead will account for each separate lease and non-lease component as a single lease component.</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summary of the impact of adopting the new standard: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372"/>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1080" w:type="dxa"/>
            <w:vAlign w:val="bottom"/>
          </w:tcPr>
          <w:p>
            <w:pPr>
              <w:jc w:val="center"/>
              <w:ind w:right="234"/>
              <w:spacing w:after="0"/>
              <w:rPr>
                <w:sz w:val="20"/>
                <w:szCs w:val="20"/>
                <w:color w:val="auto"/>
              </w:rPr>
            </w:pPr>
            <w:r>
              <w:rPr>
                <w:rFonts w:ascii="Arial" w:cs="Arial" w:eastAsia="Arial" w:hAnsi="Arial"/>
                <w:sz w:val="14"/>
                <w:szCs w:val="14"/>
                <w:b w:val="1"/>
                <w:bCs w:val="1"/>
                <w:color w:val="auto"/>
              </w:rPr>
              <w:t>Impact of</w:t>
            </w:r>
          </w:p>
        </w:tc>
        <w:tc>
          <w:tcPr>
            <w:tcW w:w="1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As of</w:t>
            </w:r>
          </w:p>
        </w:tc>
        <w:tc>
          <w:tcPr>
            <w:tcW w:w="1140" w:type="dxa"/>
            <w:vAlign w:val="bottom"/>
          </w:tcPr>
          <w:p>
            <w:pPr>
              <w:spacing w:after="0"/>
              <w:rPr>
                <w:sz w:val="14"/>
                <w:szCs w:val="14"/>
                <w:color w:val="auto"/>
              </w:rPr>
            </w:pPr>
          </w:p>
        </w:tc>
      </w:tr>
      <w:tr>
        <w:trPr>
          <w:trHeight w:val="175"/>
        </w:trPr>
        <w:tc>
          <w:tcPr>
            <w:tcW w:w="5100" w:type="dxa"/>
            <w:vAlign w:val="bottom"/>
            <w:gridSpan w:val="2"/>
          </w:tcPr>
          <w:p>
            <w:pPr>
              <w:ind w:left="1140"/>
              <w:spacing w:after="0"/>
              <w:rPr>
                <w:sz w:val="20"/>
                <w:szCs w:val="20"/>
                <w:color w:val="auto"/>
              </w:rPr>
            </w:pPr>
            <w:r>
              <w:rPr>
                <w:rFonts w:ascii="Arial" w:cs="Arial" w:eastAsia="Arial" w:hAnsi="Arial"/>
                <w:sz w:val="14"/>
                <w:szCs w:val="14"/>
                <w:b w:val="1"/>
                <w:bCs w:val="1"/>
                <w:color w:val="auto"/>
              </w:rPr>
              <w:t>Condensed Consolidated Balance Sheets</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March 31, 2019</w:t>
            </w:r>
          </w:p>
        </w:tc>
        <w:tc>
          <w:tcPr>
            <w:tcW w:w="260" w:type="dxa"/>
            <w:vAlign w:val="bottom"/>
          </w:tcPr>
          <w:p>
            <w:pPr>
              <w:spacing w:after="0"/>
              <w:rPr>
                <w:sz w:val="15"/>
                <w:szCs w:val="15"/>
                <w:color w:val="auto"/>
              </w:rPr>
            </w:pPr>
          </w:p>
        </w:tc>
        <w:tc>
          <w:tcPr>
            <w:tcW w:w="1080" w:type="dxa"/>
            <w:vAlign w:val="bottom"/>
          </w:tcPr>
          <w:p>
            <w:pPr>
              <w:jc w:val="center"/>
              <w:ind w:right="214"/>
              <w:spacing w:after="0"/>
              <w:rPr>
                <w:sz w:val="20"/>
                <w:szCs w:val="20"/>
                <w:color w:val="auto"/>
              </w:rPr>
            </w:pPr>
            <w:r>
              <w:rPr>
                <w:rFonts w:ascii="Arial" w:cs="Arial" w:eastAsia="Arial" w:hAnsi="Arial"/>
                <w:sz w:val="14"/>
                <w:szCs w:val="14"/>
                <w:b w:val="1"/>
                <w:bCs w:val="1"/>
                <w:color w:val="auto"/>
              </w:rPr>
              <w:t>ASC 842</w:t>
            </w:r>
          </w:p>
        </w:tc>
        <w:tc>
          <w:tcPr>
            <w:tcW w:w="18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April 1, 2019</w:t>
            </w:r>
          </w:p>
        </w:tc>
        <w:tc>
          <w:tcPr>
            <w:tcW w:w="1140" w:type="dxa"/>
            <w:vAlign w:val="bottom"/>
          </w:tcPr>
          <w:p>
            <w:pPr>
              <w:spacing w:after="0"/>
              <w:rPr>
                <w:sz w:val="15"/>
                <w:szCs w:val="15"/>
                <w:color w:val="auto"/>
              </w:rPr>
            </w:pPr>
          </w:p>
        </w:tc>
      </w:tr>
      <w:tr>
        <w:trPr>
          <w:trHeight w:val="169"/>
        </w:trPr>
        <w:tc>
          <w:tcPr>
            <w:tcW w:w="1160" w:type="dxa"/>
            <w:vAlign w:val="bottom"/>
          </w:tcPr>
          <w:p>
            <w:pPr>
              <w:spacing w:after="0"/>
              <w:rPr>
                <w:sz w:val="14"/>
                <w:szCs w:val="14"/>
                <w:color w:val="auto"/>
              </w:rPr>
            </w:pPr>
          </w:p>
        </w:tc>
        <w:tc>
          <w:tcPr>
            <w:tcW w:w="39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90,646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90,179</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00" w:type="dxa"/>
            <w:vAlign w:val="bottom"/>
            <w:gridSpan w:val="2"/>
          </w:tcPr>
          <w:p>
            <w:pPr>
              <w:ind w:left="1140"/>
              <w:spacing w:after="0"/>
              <w:rPr>
                <w:sz w:val="20"/>
                <w:szCs w:val="20"/>
                <w:color w:val="auto"/>
              </w:rPr>
            </w:pPr>
            <w:r>
              <w:rPr>
                <w:rFonts w:ascii="Arial" w:cs="Arial" w:eastAsia="Arial" w:hAnsi="Arial"/>
                <w:sz w:val="18"/>
                <w:szCs w:val="18"/>
                <w:color w:val="auto"/>
              </w:rPr>
              <w:t>Operating lease right-of-use assets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327,329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327,329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3,915,287</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326,862</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4,242,149</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00" w:type="dxa"/>
            <w:vAlign w:val="bottom"/>
            <w:gridSpan w:val="2"/>
          </w:tcPr>
          <w:p>
            <w:pPr>
              <w:ind w:left="1140"/>
              <w:spacing w:after="0"/>
              <w:rPr>
                <w:sz w:val="20"/>
                <w:szCs w:val="20"/>
                <w:color w:val="auto"/>
              </w:rPr>
            </w:pPr>
            <w:r>
              <w:rPr>
                <w:rFonts w:ascii="Arial" w:cs="Arial" w:eastAsia="Arial" w:hAnsi="Arial"/>
                <w:sz w:val="18"/>
                <w:szCs w:val="18"/>
                <w:color w:val="auto"/>
              </w:rPr>
              <w:t>Accrued and other liabilities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308,268</w:t>
            </w:r>
          </w:p>
        </w:tc>
        <w:tc>
          <w:tcPr>
            <w:tcW w:w="26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38,406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346,674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305,167</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305,167</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00" w:type="dxa"/>
            <w:vAlign w:val="bottom"/>
            <w:gridSpan w:val="2"/>
          </w:tcPr>
          <w:p>
            <w:pPr>
              <w:ind w:left="1140"/>
              <w:spacing w:after="0"/>
              <w:rPr>
                <w:sz w:val="20"/>
                <w:szCs w:val="20"/>
                <w:color w:val="auto"/>
              </w:rPr>
            </w:pPr>
            <w:r>
              <w:rPr>
                <w:rFonts w:ascii="Arial" w:cs="Arial" w:eastAsia="Arial" w:hAnsi="Arial"/>
                <w:sz w:val="18"/>
                <w:szCs w:val="18"/>
                <w:color w:val="auto"/>
              </w:rPr>
              <w:t>Other liabilities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120,826</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(16,711)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104,115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1,999,209</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326,862</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2,326,071</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100" w:type="dxa"/>
            <w:vAlign w:val="bottom"/>
            <w:gridSpan w:val="2"/>
          </w:tcPr>
          <w:p>
            <w:pPr>
              <w:ind w:left="1140"/>
              <w:spacing w:after="0"/>
              <w:rPr>
                <w:sz w:val="20"/>
                <w:szCs w:val="20"/>
                <w:color w:val="auto"/>
              </w:rPr>
            </w:pPr>
            <w:r>
              <w:rPr>
                <w:rFonts w:ascii="Arial" w:cs="Arial" w:eastAsia="Arial" w:hAnsi="Arial"/>
                <w:sz w:val="18"/>
                <w:szCs w:val="18"/>
                <w:color w:val="auto"/>
              </w:rPr>
              <w:t>Total liabilities and equity</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3,915,287</w:t>
            </w:r>
          </w:p>
        </w:tc>
        <w:tc>
          <w:tcPr>
            <w:tcW w:w="260" w:type="dxa"/>
            <w:vAlign w:val="bottom"/>
          </w:tcPr>
          <w:p>
            <w:pPr>
              <w:spacing w:after="0"/>
              <w:rPr>
                <w:sz w:val="19"/>
                <w:szCs w:val="19"/>
                <w:color w:val="auto"/>
              </w:rPr>
            </w:pP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326,862</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4,242,149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21"/>
        </w:trPr>
        <w:tc>
          <w:tcPr>
            <w:tcW w:w="11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2"/>
        </w:trPr>
        <w:tc>
          <w:tcPr>
            <w:tcW w:w="1160" w:type="dxa"/>
            <w:vAlign w:val="bottom"/>
            <w:tcBorders>
              <w:bottom w:val="single" w:sz="8" w:color="9A9A9A"/>
            </w:tcBorders>
          </w:tcPr>
          <w:p>
            <w:pPr>
              <w:spacing w:after="0"/>
              <w:rPr>
                <w:sz w:val="8"/>
                <w:szCs w:val="8"/>
                <w:color w:val="auto"/>
              </w:rPr>
            </w:pPr>
          </w:p>
        </w:tc>
        <w:tc>
          <w:tcPr>
            <w:tcW w:w="39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95"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For contracts entered into on or after April 1, 2019, the Company assesses at contract inception whether the contract is, or contains, a lease. Generally, the Company determines that a lease exists when (i) the contract involves the use of a distinct identified asset, (ii) the Company obtains the right to substantially all economic benefits from use of the asset, and (iii) the Company has the right to direct the use of the asset. 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such a specialized nature that it is expected to have no alternative use to the lessor at the end of the lease term. A lease is classified as an operating lease if it does not meet any of these criteria.</w:t>
      </w:r>
    </w:p>
    <w:p>
      <w:pPr>
        <w:spacing w:after="0" w:line="154"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149"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Lease payments included in the measurement of lease liabilities consist of (i) fixed lease payments for the noncancelable lease term, (ii) fixed lease payments for optional renewal periods where it is reasonably certain the renewal option will be exercised, and (iii)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49"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81"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For broadband equipment leased to consumer broadband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$3.3 million and $3.2 million related to patents were included in other assets as of December 31, 2019 and March 31, 2019, respectively. The Company capitalized costs of $39.3 million and $22.9 million related to acquiring and obtaining orbital slots and other licenses included in other assets as of December 31, 2019 and March 31, 2019, respectively. Accumulated amortization related to these assets was $3.5 million and $3.0 million as of December 31, 2019 and March 31, 2019, respectively. Amortization expense related to these assets was an insignificant amount for the three and nine months ended December 31, 2019 and 2018. If a patent, orbital slot or other license is rejected, abandoned or otherwise invalidated, the unamortized cost is expensed in that period. During the three and nine months ended December 31, 2019 and 2018, the Company did not write off any significant costs due to abandonment or impairment.</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9"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the nine months ended December 31, 2019 and 2018, no debt issuance costs were capitalized.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facility (the Revolving Credit Facility) are recorded in prepaid expenses and other current assets and in other long-term assets in the condensed consolidated balance sheets in accordance with the authoritative guidance for imputation of interest (ASC 835-30). Debt issuance costs related to the Company’s 5.625% Senior Notes due 2025 (the 2025 Notes), the Company’s 5.625% Senior Secured Notes due 2027 (the 2027 Notes) and the Ex-Im Credit Facility are recorded as a direct deduction from the carrying amount of the related debt, consistent with debt discounts, in accordance with the authoritative guidance for imputation of interest (ASC 835-30).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85"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$241.8 million and $244.4 million related to software developed for resale were included in other assets as of December 31, 2019 and March 31, 2019, respectively. The Company capitalized $13.4 million and $37.0 million of costs related to software developed for resale for the three and nine months ended December 31, 2019, respectively. The Company capitalized $11.7 million and $32.7 million of costs related to software developed for resale for the three and nine months ended December 31, 2018, respectively. Amortization expense for capitalized software development costs was $13.9 million and $39.6 million for the three and nine months ended December 31, 2019, respectively, and $11.5 million and $34.6 million for the three and nine months ended December 31, 2018,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$6.0 million and $5.4 million in accrued and other liabilities in the condensed consolidated balance sheets as of December 31, 2019 and March 31, 2019,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December 31, 2019 and March 31, 2019, no such amounts were accrued related to the aforementioned provisions.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9" w:lineRule="exact"/>
        <w:rPr>
          <w:sz w:val="20"/>
          <w:szCs w:val="20"/>
          <w:color w:val="auto"/>
        </w:rPr>
      </w:pPr>
    </w:p>
    <w:p>
      <w:pPr>
        <w:ind w:right="120" w:firstLine="518"/>
        <w:spacing w:after="0" w:line="239"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85"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2019 and March 31, 2019, the Company had no shares of common stock held in treasury.</w:t>
      </w:r>
    </w:p>
    <w:p>
      <w:pPr>
        <w:spacing w:after="0" w:line="15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During the three months ended December 31, 2019 and 2018, the Company issued 932,074 and 863,318 shares of common stock, respectively, based on the vesting terms of certain restricted stock unit agreements. During the nine months ended December 31, 2019 and 2018, the Company issued 1,047,557 and 1,172,049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December 31, 2019 and 2018, the Company repurchased 340,385 and 314,128 shares of common stock, respectively, at cost and with a total value of $25.1 million and $21.5 million, respectively. During the nine months ended December 31, 2019 and 2018, the Company repurchased 376,517 and 417,465 shares of common stock, respectively, at cost and with a total value of $28.3 million and $28.1 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99"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51"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During the three and nine months ended December 31, 2019 and 2018, the Company settled certain foreign exchange contracts and in connection therewith for each period recognized an insignificant gain or loss recorded in cost of revenues based on the nature of the underlying transactions. The fair value of the Company’s foreign currency forward contracts was an insignificant amount recorded as an accrued liability as of December 31, 2019 and March 31, 2019. The notional value of foreign currency forward contracts outstanding was an insignificant amount as of December 31, 2019 and $9.9 million as of March 31, 2019.</w:t>
      </w:r>
    </w:p>
    <w:p>
      <w:pPr>
        <w:spacing w:after="0" w:line="149"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As of December 31, 2019, the estimated net amount of unrealized gains or losses related to foreign currency forward contracts that was expected to be reclassified to earnings within the next 12 months was insignificant. The Company’s foreign currency forward contracts outstanding as of December 31, 2019 will mature within approximately 21 months from their inception. There were no gains or losses from ineffectiveness of these derivative instruments recorded for the three and nine months ended December 31, 2019 and 2018.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9"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 Company accounts for</w:t>
      </w:r>
    </w:p>
    <w:p>
      <w:pPr>
        <w:spacing w:after="0" w:line="13"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forfeitures as they occur. The Company recognized $21.9 million and $64.2 million of stock-based compensation expense for the three and nine months ended December 31, 2019, respectively. The Company recognized $20.2 million and $58.7 million of stock-based compensation expense for the three and nine months ended December 31,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54"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research and development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and nine months ended December 31, 2019, by applying the actual effective tax rate to the quarter-to-date and year-to-date income (loss) for the three-month and nine-month periods.</w:t>
      </w:r>
    </w:p>
    <w:p>
      <w:pPr>
        <w:spacing w:after="0" w:line="153"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85"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In February 2016, the Financial Accounting Standards Board (FASB) issued ASU 2016-02, Leases (ASC 842). ASU 2016-02 requires lessees to recognize most leases on their balance sheets as lease liabilities with corresponding right-of-use assets and eliminates certain real estate-specific provisions. In January 2018, the FASB issued ASU 2018-01, Leases (ASC 842). ASU 2018-01 permits an entity to elect an optional transition practical expedient to not evaluate land easements that exist or expired before the entity’s adoption of ASC 842 and that were not previously accounted for as leases under ASC 840. In July 2018, the FASB issued ASU 2018-10, Codification Improvements to ASC 842, Leases, which was issued to provide more detailed guidance and additional clarification for implementing ASU 2016-02. In July 2018, the FASB issued ASU 2018 -11, Leases (ASC 842): Targeted Improvements, which provides an additional (and optional) transition method whereby the new lease standard is applied at the adoption date and recognized as an adjustment to retained earnings. In December 2018, the FASB issued ASU 2018-20, Leases (ASC 842): Narrow-Scope Improvements for Lessors, and in March 2019, the FASB issued ASU 2019-01 (ASC 842): Codification Improvements, both of which provide certain amendments that affect narrow aspects of the guidance issued in ASU 2016-02. The Company adopted the new guidance using the optional transition method in the first quarter of fiscal year 2020. Therefore, the periods prior to the effective date of adoption continue to be reported under the current authoritative guidance for leases (ASC 840). The adoption of this guidance materially impacted the Company’s consolidated balance sheet upon adoption due to the recognition of lease liabilities and right-of-use assets. The new guidance did not have a material impact on the Company’s condensed consolidated statements of operations and comprehensive income (loss) or condensed consolidated statements of cash flows (see Note 1 — Basis of Presentation – Leases and Note 6 — Leases for more information).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June 2016, the FASB issued ASU 2016-13, Financial Instruments — Credit Losses (ASC 326). ASU 2016-13 requires credit losses on most financial assets measured at amortized cost and certain other instruments to be measured using an expected credit loss model (referred to as the current expected credit loss (CECL) model). It also modifies the impairment model for available-for-sale debt securities and provides for a simplified accounting model for purchased financial assets with credit deterioration since their origination. In November 2018, the FASB issued ASU 2018-19, Codification Improvements to Topic 326, Financial Instruments – Credit Losses (ASC 326), which clarifies that impairment of receivables arising from operating leases should be accounted for in accordance with ASC 842, Leases. In April 2019 the FASB issued ASU 2019-04, Codification Improvements to Topic 326, Financial Instruments – Credit Losses, in May 2019, the FASB issued ASU 2019-05, Financial Instruments — Credit Losses (ASC 326) Targeted Relief, and in November 2019, the FASB issued ASU 2019-11, Codification Improvements to Topic 326, Financial Instruments – Credit Losses. These recently issued ASUs do not change the core principle of the guidance in ASU 2016-13 but rather are intended to clarify and improve operability of certain topics included within ASU 2016-13. ASU 2018-19, ASU 2019-04, ASU 2019-05 and ASU 2019-11 have the same effective date and transition requirements as ASU 2016-13. The new guidance will become effective for the Company beginning in fiscal year 2021, with early adoption permitted. The new guidance is required to be applied on a modified-retrospective basis. The Company is currently evaluating the impact of this standard on its consolidated financial statements and disclosures.</w:t>
      </w:r>
    </w:p>
    <w:p>
      <w:pPr>
        <w:spacing w:after="0" w:line="149" w:lineRule="exact"/>
        <w:rPr>
          <w:sz w:val="20"/>
          <w:szCs w:val="20"/>
          <w:color w:val="auto"/>
        </w:rPr>
      </w:pPr>
    </w:p>
    <w:p>
      <w:pPr>
        <w:jc w:val="both"/>
        <w:ind w:right="120" w:firstLine="518"/>
        <w:spacing w:after="0" w:line="239" w:lineRule="auto"/>
        <w:rPr>
          <w:sz w:val="20"/>
          <w:szCs w:val="20"/>
          <w:color w:val="auto"/>
        </w:rPr>
      </w:pPr>
      <w:r>
        <w:rPr>
          <w:rFonts w:ascii="Arial" w:cs="Arial" w:eastAsia="Arial" w:hAnsi="Arial"/>
          <w:sz w:val="18"/>
          <w:szCs w:val="18"/>
          <w:color w:val="auto"/>
        </w:rPr>
        <w:t>In January 2017, the FASB issued ASU 2017-04, Intangibles — Goodwill and Other: Simplifying the Test for Goodwill Impairment (ASC 350). ASU 2017-04 removes Step 2 from the goodwill impairment test. The standard will become effective for the Company beginning in fiscal year 2021, with early adoption permitted. The Company early adopted this guidance beginning in the third quarter of fiscal year 2020 and the guidance did not have a material impact on the Company’s consolidated financial statements and disclosures.</w:t>
      </w:r>
    </w:p>
    <w:p>
      <w:pPr>
        <w:spacing w:after="0" w:line="148"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In March 2017, the FASB issued ASU 2017-08, Receivables — Nonrefundable Fees and Other Costs (ASC 310-20): Premium Amortization on Purchased Callable Debt Securities. ASU 2017-08 amends the amortization period for certain callable debt securities held at a premium. The amendments require the premium to be amortized to the earliest call date. The Company adopted this guidance beginning in the first quarter of fiscal year 2020 and the guidance did not have a material impact on the Company’s consolidated financial statements and disclosures.</w:t>
      </w:r>
    </w:p>
    <w:p>
      <w:pPr>
        <w:spacing w:after="0" w:line="14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August 2017, the FASB issued ASU 2017-12, Derivatives and Hedging (ASC 815): Targeted Improvements to Accounting for Hedging Activities. ASU 2017-12 improves the financial reporting of hedging relationships to better portray the economic results of an entity’s risk management activities in its financial statements and make certain targeted improvements to simplify the application of the hedge accounting guidance in current GAAP. The amendments in this update better align an entity’s risk management activities and financial reporting for hedging relationships through changes to both the designation and measurement guidance for qualifying hedging relationships and presentation of hedge results. In October 2018, the FASB issued ASU 2018-16, Derivatives and Hedging (ASC 815): Inclusion of the Secured Overnight Financing Rate (SOFR) Overnight Index SWAP (OIS) Rate as a Benchmark Interest Rate for Hedge Accounting Purposes, which permits use of the OIS rate based on SOFR as a U.S. benchmark interest rate for hedge accounting purposes and has the same effective date as ASU 2017-12. In April 2019, the FASB issued ASU 2019-04, Codification Improvements to Topic 815, Derivatives and Hedging, which clarifies certain aspects of ASC 815 and has the same effective date as ASU 2017-12. The Company adopted this guidance beginning in the first quarter of fiscal year 2020 and the guidance did not have a material impact on the Company’s consolidated financial statements and disclosures.</w:t>
      </w:r>
    </w:p>
    <w:p>
      <w:pPr>
        <w:spacing w:after="0" w:line="151" w:lineRule="exact"/>
        <w:rPr>
          <w:sz w:val="20"/>
          <w:szCs w:val="20"/>
          <w:color w:val="auto"/>
        </w:rPr>
      </w:pPr>
    </w:p>
    <w:p>
      <w:pPr>
        <w:ind w:right="60" w:firstLine="518"/>
        <w:spacing w:after="0" w:line="234" w:lineRule="auto"/>
        <w:rPr>
          <w:sz w:val="20"/>
          <w:szCs w:val="20"/>
          <w:color w:val="auto"/>
        </w:rPr>
      </w:pPr>
      <w:r>
        <w:rPr>
          <w:rFonts w:ascii="Arial" w:cs="Arial" w:eastAsia="Arial" w:hAnsi="Arial"/>
          <w:sz w:val="18"/>
          <w:szCs w:val="18"/>
          <w:color w:val="auto"/>
        </w:rPr>
        <w:t>In July 2018, the FASB issued ASU 2018-09, Codification Improvements, which is related to a project by the FASB to facilitate codification updates for technical corrections, clarifications and other minor improvements. The new standard contains amendments that affect a wide variety of topics in the ASC. The effective date of the standard is dependent on the facts and circumstances of each amendment. Some amendments do not require transition guidance and were effective upon the issuance of this standard. A majority of the amendments in</w:t>
      </w:r>
    </w:p>
    <w:p>
      <w:pPr>
        <w:spacing w:after="0" w:line="3"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ASU 2018-09 became effective for the Company beginning in fiscal year 2020. The Company adopted the remainder of the amendments of this guidance in the first quarter of fiscal year 2020 and the guidance did not have a material impact on its consolidated financial statements and disclosures.</w:t>
      </w:r>
    </w:p>
    <w:p>
      <w:pPr>
        <w:spacing w:after="0" w:line="149" w:lineRule="exact"/>
        <w:rPr>
          <w:sz w:val="20"/>
          <w:szCs w:val="20"/>
          <w:color w:val="auto"/>
        </w:rPr>
      </w:pPr>
    </w:p>
    <w:p>
      <w:pPr>
        <w:ind w:right="180" w:firstLine="518"/>
        <w:spacing w:after="0" w:line="239" w:lineRule="auto"/>
        <w:rPr>
          <w:sz w:val="20"/>
          <w:szCs w:val="20"/>
          <w:color w:val="auto"/>
        </w:rPr>
      </w:pPr>
      <w:r>
        <w:rPr>
          <w:rFonts w:ascii="Arial" w:cs="Arial" w:eastAsia="Arial" w:hAnsi="Arial"/>
          <w:sz w:val="18"/>
          <w:szCs w:val="18"/>
          <w:color w:val="auto"/>
        </w:rPr>
        <w:t>In August 2018, the FASB issued ASU 2018-13, Fair Value Measurement (ASC 820): Disclosure Framework—Changes to the Disclosure Requirements for Fair Value Measurement, which modifies the disclosure requirements for fair value measurements by removing, modifying, or adding certain disclosures. The new standard will become effective for the Company beginning in fiscal year 2021, with early adoption permitted. The Company is currently evaluating the impact of this standard on its consolidated financial statements and disclosures.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color w:val="auto"/>
        </w:rPr>
        <w:t>In July 2019, the FASB issued ASU 2019-07, Codification Updates to SEC Sections. ASU 2019-07 modifies the disclosure and presentation requirements of a variety of codification topics by aligning them with the Securities and Exchange Commission’s regulations to eliminate redundancies and simplify the application of the codification. The Company adopted this guidance in the second quarter of fiscal year 2020 and the guidance did not have a material impact on the Company’s consolidated financial statements and disclosures.</w:t>
      </w:r>
    </w:p>
    <w:p>
      <w:pPr>
        <w:spacing w:after="0" w:line="148" w:lineRule="exact"/>
        <w:rPr>
          <w:sz w:val="20"/>
          <w:szCs w:val="20"/>
          <w:color w:val="auto"/>
        </w:rPr>
      </w:pPr>
    </w:p>
    <w:p>
      <w:pPr>
        <w:jc w:val="both"/>
        <w:ind w:right="120" w:firstLine="518"/>
        <w:spacing w:after="0" w:line="259" w:lineRule="auto"/>
        <w:rPr>
          <w:sz w:val="20"/>
          <w:szCs w:val="20"/>
          <w:color w:val="auto"/>
        </w:rPr>
      </w:pPr>
      <w:r>
        <w:rPr>
          <w:rFonts w:ascii="Arial" w:cs="Arial" w:eastAsia="Arial" w:hAnsi="Arial"/>
          <w:sz w:val="17"/>
          <w:szCs w:val="17"/>
          <w:color w:val="auto"/>
        </w:rPr>
        <w:t>In November 2019, the FASB issued ASU 2019-08, Compensation – Stock Compensation (ASC 718) and Revenue from Contracts with Customers (ASC 606): Codification Improvements – Share-Based Consideration Payable to a Customer. ASU 2019-08 expands the scope of ASC 718 to provide guidance for share-based payment awards granted to a customer in conjunction with selling goods or services accounted</w:t>
      </w:r>
    </w:p>
    <w:p>
      <w:pPr>
        <w:spacing w:after="0" w:line="2"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color w:val="auto"/>
        </w:rPr>
        <w:t>for under ASC 606. The Company early adopted this guidance beginning in the third quarter of fiscal year 2020 and the guidance did not have a material impact on the Company’s consolidated financial statements and disclosures.</w:t>
      </w:r>
    </w:p>
    <w:p>
      <w:pPr>
        <w:spacing w:after="0" w:line="129"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In December 2019, the FASB issued ASU 2019-12, Income Taxes (ASC 740): Simplifying the Accounting for Income Taxes, which is intended to simplify various areas related to accounting for income taxes. ASU 2019-12 removes certain exceptions to the general principles in ASC 740 and also clarifies and amends existing guidance to improve consistent application. ASU 2019-12 is effective for the Company beginning in fiscal year 2022, with early adoption permitted. The Company is currently evaluating the impact of this standard on its consolidated financial statements and disclosures.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1"/>
                <w:szCs w:val="11"/>
                <w:b w:val="1"/>
                <w:bCs w:val="1"/>
                <w:color w:val="auto"/>
              </w:rPr>
              <w:t>As of</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1"/>
                <w:szCs w:val="11"/>
                <w:b w:val="1"/>
                <w:bCs w:val="1"/>
                <w:color w:val="auto"/>
              </w:rPr>
              <w:t>As of</w:t>
            </w:r>
          </w:p>
        </w:tc>
        <w:tc>
          <w:tcPr>
            <w:tcW w:w="0" w:type="dxa"/>
            <w:vAlign w:val="bottom"/>
          </w:tcPr>
          <w:p>
            <w:pPr>
              <w:spacing w:after="0"/>
              <w:rPr>
                <w:sz w:val="1"/>
                <w:szCs w:val="1"/>
                <w:color w:val="auto"/>
              </w:rPr>
            </w:pPr>
          </w:p>
        </w:tc>
      </w:tr>
      <w:tr>
        <w:trPr>
          <w:trHeight w:val="137"/>
        </w:trPr>
        <w:tc>
          <w:tcPr>
            <w:tcW w:w="6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December 31, 2019</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1"/>
                <w:szCs w:val="11"/>
                <w:b w:val="1"/>
                <w:bCs w:val="1"/>
                <w:color w:val="auto"/>
              </w:rPr>
              <w:t>March 31, 2019</w:t>
            </w:r>
          </w:p>
        </w:tc>
        <w:tc>
          <w:tcPr>
            <w:tcW w:w="0" w:type="dxa"/>
            <w:vAlign w:val="bottom"/>
          </w:tcPr>
          <w:p>
            <w:pPr>
              <w:spacing w:after="0"/>
              <w:rPr>
                <w:sz w:val="1"/>
                <w:szCs w:val="1"/>
                <w:color w:val="auto"/>
              </w:rPr>
            </w:pPr>
          </w:p>
        </w:tc>
      </w:tr>
      <w:tr>
        <w:trPr>
          <w:trHeight w:val="129"/>
        </w:trPr>
        <w:tc>
          <w:tcPr>
            <w:tcW w:w="6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2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1"/>
                <w:szCs w:val="11"/>
                <w:b w:val="1"/>
                <w:bCs w:val="1"/>
                <w:color w:val="auto"/>
              </w:rPr>
              <w:t>(In thousands)</w:t>
            </w:r>
          </w:p>
        </w:tc>
        <w:tc>
          <w:tcPr>
            <w:tcW w:w="1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spacing w:after="0"/>
              <w:rPr>
                <w:sz w:val="20"/>
                <w:szCs w:val="20"/>
                <w:color w:val="auto"/>
              </w:rPr>
            </w:pPr>
            <w:r>
              <w:rPr>
                <w:rFonts w:ascii="Arial" w:cs="Arial" w:eastAsia="Arial" w:hAnsi="Arial"/>
                <w:sz w:val="12"/>
                <w:szCs w:val="12"/>
                <w:color w:val="auto"/>
              </w:rPr>
              <w:t>Accounts receivable, net:</w:t>
            </w: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Billed</w:t>
            </w:r>
          </w:p>
        </w:tc>
        <w:tc>
          <w:tcPr>
            <w:tcW w:w="15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220,068</w:t>
            </w:r>
          </w:p>
        </w:tc>
        <w:tc>
          <w:tcPr>
            <w:tcW w:w="160" w:type="dxa"/>
            <w:vAlign w:val="bottom"/>
          </w:tcPr>
          <w:p>
            <w:pPr>
              <w:spacing w:after="0"/>
              <w:rPr>
                <w:sz w:val="12"/>
                <w:szCs w:val="12"/>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218,276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Unbilled</w:t>
            </w: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98,517</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83,743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Allowance for doubtful accounts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2"/>
                <w:szCs w:val="12"/>
                <w:color w:val="auto"/>
              </w:rPr>
              <w:t>(2,146)</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2"/>
                <w:szCs w:val="12"/>
                <w:color w:val="auto"/>
              </w:rPr>
              <w:t>(1,712)</w:t>
            </w:r>
          </w:p>
        </w:tc>
        <w:tc>
          <w:tcPr>
            <w:tcW w:w="0" w:type="dxa"/>
            <w:vAlign w:val="bottom"/>
          </w:tcPr>
          <w:p>
            <w:pPr>
              <w:spacing w:after="0"/>
              <w:rPr>
                <w:sz w:val="1"/>
                <w:szCs w:val="1"/>
                <w:color w:val="auto"/>
              </w:rPr>
            </w:pPr>
          </w:p>
        </w:tc>
      </w:tr>
      <w:tr>
        <w:trPr>
          <w:trHeight w:val="20"/>
        </w:trPr>
        <w:tc>
          <w:tcPr>
            <w:tcW w:w="64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316,439</w:t>
            </w: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300,307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color w:val="auto"/>
              </w:rPr>
              <w:t>Inventories:</w:t>
            </w:r>
          </w:p>
        </w:tc>
        <w:tc>
          <w:tcPr>
            <w:tcW w:w="1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Raw materials</w:t>
            </w:r>
          </w:p>
        </w:tc>
        <w:tc>
          <w:tcPr>
            <w:tcW w:w="1580" w:type="dxa"/>
            <w:vAlign w:val="bottom"/>
            <w:gridSpan w:val="2"/>
            <w:shd w:val="clear" w:color="auto" w:fill="CFF0FC"/>
          </w:tcPr>
          <w:p>
            <w:pPr>
              <w:jc w:val="right"/>
              <w:ind w:right="73"/>
              <w:spacing w:after="0"/>
              <w:rPr>
                <w:sz w:val="20"/>
                <w:szCs w:val="20"/>
                <w:color w:val="auto"/>
              </w:rPr>
            </w:pPr>
            <w:r>
              <w:rPr>
                <w:rFonts w:ascii="Arial" w:cs="Arial" w:eastAsia="Arial" w:hAnsi="Arial"/>
                <w:sz w:val="12"/>
                <w:szCs w:val="12"/>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81,483</w:t>
            </w: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77,834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Work in process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61,125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52,084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Finished goods</w:t>
            </w:r>
          </w:p>
        </w:tc>
        <w:tc>
          <w:tcPr>
            <w:tcW w:w="14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140,692</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104,600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40" w:type="dxa"/>
            <w:vAlign w:val="bottom"/>
          </w:tcPr>
          <w:p>
            <w:pPr>
              <w:spacing w:after="0"/>
              <w:rPr>
                <w:sz w:val="15"/>
                <w:szCs w:val="15"/>
                <w:color w:val="auto"/>
              </w:rPr>
            </w:pPr>
          </w:p>
        </w:tc>
        <w:tc>
          <w:tcPr>
            <w:tcW w:w="15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283,300</w:t>
            </w:r>
          </w:p>
        </w:tc>
        <w:tc>
          <w:tcPr>
            <w:tcW w:w="160" w:type="dxa"/>
            <w:vAlign w:val="bottom"/>
          </w:tcPr>
          <w:p>
            <w:pPr>
              <w:spacing w:after="0"/>
              <w:rPr>
                <w:sz w:val="15"/>
                <w:szCs w:val="15"/>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234,518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4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Prepaid expenses and other current assets:</w:t>
            </w:r>
          </w:p>
        </w:tc>
        <w:tc>
          <w:tcPr>
            <w:tcW w:w="14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4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Prepaid expenses</w:t>
            </w:r>
          </w:p>
        </w:tc>
        <w:tc>
          <w:tcPr>
            <w:tcW w:w="15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84,297</w:t>
            </w:r>
          </w:p>
        </w:tc>
        <w:tc>
          <w:tcPr>
            <w:tcW w:w="160" w:type="dxa"/>
            <w:vAlign w:val="bottom"/>
          </w:tcPr>
          <w:p>
            <w:pPr>
              <w:spacing w:after="0"/>
              <w:rPr>
                <w:sz w:val="12"/>
                <w:szCs w:val="12"/>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72,369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4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18,427</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18,277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40" w:type="dxa"/>
            <w:vAlign w:val="bottom"/>
          </w:tcPr>
          <w:p>
            <w:pPr>
              <w:spacing w:after="0"/>
              <w:rPr>
                <w:sz w:val="15"/>
                <w:szCs w:val="15"/>
                <w:color w:val="auto"/>
              </w:rPr>
            </w:pPr>
          </w:p>
        </w:tc>
        <w:tc>
          <w:tcPr>
            <w:tcW w:w="15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102,724</w:t>
            </w:r>
          </w:p>
        </w:tc>
        <w:tc>
          <w:tcPr>
            <w:tcW w:w="160" w:type="dxa"/>
            <w:vAlign w:val="bottom"/>
          </w:tcPr>
          <w:p>
            <w:pPr>
              <w:spacing w:after="0"/>
              <w:rPr>
                <w:sz w:val="15"/>
                <w:szCs w:val="15"/>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90,646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4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Property, equipment and satellites, net</w:t>
            </w:r>
          </w:p>
        </w:tc>
        <w:tc>
          <w:tcPr>
            <w:tcW w:w="14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4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Equipment and software (estimated useful life of 3-7 years)</w:t>
            </w:r>
          </w:p>
        </w:tc>
        <w:tc>
          <w:tcPr>
            <w:tcW w:w="15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1,173,309</w:t>
            </w:r>
          </w:p>
        </w:tc>
        <w:tc>
          <w:tcPr>
            <w:tcW w:w="160" w:type="dxa"/>
            <w:vAlign w:val="bottom"/>
          </w:tcPr>
          <w:p>
            <w:pPr>
              <w:spacing w:after="0"/>
              <w:rPr>
                <w:sz w:val="12"/>
                <w:szCs w:val="12"/>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1,027,293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CPE leased equipment (estimated useful life of 4-5 years)</w:t>
            </w: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401,741</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373,357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Furniture and fixtures (estimated useful life of 7 years)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53,002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46,678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Leasehold improvements (estimated useful life of 2-17 years)</w:t>
            </w: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132,107</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126,528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Building (estimated useful life of 12 years)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8,923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8,923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Land</w:t>
            </w: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2,291</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Construction in progress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213,350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167,178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Satellites (estimated useful life of 12-17 years)</w:t>
            </w: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978,113</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978,118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Satellite Ka-band capacity obtained under finance leases (estimated useful life of 7-11 years)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171,801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99,090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Satellites under construction</w:t>
            </w:r>
          </w:p>
        </w:tc>
        <w:tc>
          <w:tcPr>
            <w:tcW w:w="14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839,420</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590,000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3,974,057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3,419,456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Less: accumulated depreciation and amortization</w:t>
            </w: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(1,461,044)</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(1,294,166)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2,513,013</w:t>
            </w:r>
          </w:p>
        </w:tc>
        <w:tc>
          <w:tcPr>
            <w:tcW w:w="160" w:type="dxa"/>
            <w:vAlign w:val="bottom"/>
          </w:tcPr>
          <w:p>
            <w:pPr>
              <w:spacing w:after="0"/>
              <w:rPr>
                <w:sz w:val="15"/>
                <w:szCs w:val="15"/>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2,125,290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4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Other acquired intangible assets, net:</w:t>
            </w:r>
          </w:p>
        </w:tc>
        <w:tc>
          <w:tcPr>
            <w:tcW w:w="14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4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Technology (weighted average useful life of 6 years)</w:t>
            </w:r>
          </w:p>
        </w:tc>
        <w:tc>
          <w:tcPr>
            <w:tcW w:w="15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89,882</w:t>
            </w:r>
          </w:p>
        </w:tc>
        <w:tc>
          <w:tcPr>
            <w:tcW w:w="160" w:type="dxa"/>
            <w:vAlign w:val="bottom"/>
          </w:tcPr>
          <w:p>
            <w:pPr>
              <w:spacing w:after="0"/>
              <w:rPr>
                <w:sz w:val="12"/>
                <w:szCs w:val="12"/>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89,972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Contracts and customer relationships (weighted average useful life of 7 years)</w:t>
            </w: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103,251</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103,283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Satellite co-location rights (weighted average useful life of 9 years)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8,600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8,600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Trade name (weighted average useful life of 3 years)</w:t>
            </w: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5,940</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5,940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Other (weighted average useful life of 6 years)</w:t>
            </w:r>
          </w:p>
        </w:tc>
        <w:tc>
          <w:tcPr>
            <w:tcW w:w="14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9,978</w:t>
            </w:r>
          </w:p>
        </w:tc>
        <w:tc>
          <w:tcPr>
            <w:tcW w:w="16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9,989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217,651</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217,784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Less: accumulated amortization</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2"/>
                <w:szCs w:val="12"/>
                <w:color w:val="auto"/>
              </w:rPr>
              <w:t>(201,380)</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2"/>
                <w:szCs w:val="12"/>
                <w:color w:val="auto"/>
              </w:rPr>
              <w:t>(195,483)</w:t>
            </w:r>
          </w:p>
        </w:tc>
        <w:tc>
          <w:tcPr>
            <w:tcW w:w="0" w:type="dxa"/>
            <w:vAlign w:val="bottom"/>
          </w:tcPr>
          <w:p>
            <w:pPr>
              <w:spacing w:after="0"/>
              <w:rPr>
                <w:sz w:val="1"/>
                <w:szCs w:val="1"/>
                <w:color w:val="auto"/>
              </w:rPr>
            </w:pPr>
          </w:p>
        </w:tc>
      </w:tr>
      <w:tr>
        <w:trPr>
          <w:trHeight w:val="20"/>
        </w:trPr>
        <w:tc>
          <w:tcPr>
            <w:tcW w:w="64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16,271</w:t>
            </w: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22,301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2"/>
                <w:szCs w:val="12"/>
                <w:color w:val="auto"/>
              </w:rPr>
              <w:t>Other assets:</w:t>
            </w:r>
          </w:p>
        </w:tc>
        <w:tc>
          <w:tcPr>
            <w:tcW w:w="1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4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Investment in unconsolidated affiliate</w:t>
            </w:r>
          </w:p>
        </w:tc>
        <w:tc>
          <w:tcPr>
            <w:tcW w:w="1580" w:type="dxa"/>
            <w:vAlign w:val="bottom"/>
            <w:gridSpan w:val="2"/>
            <w:shd w:val="clear" w:color="auto" w:fill="CFF0FC"/>
          </w:tcPr>
          <w:p>
            <w:pPr>
              <w:jc w:val="right"/>
              <w:ind w:right="73"/>
              <w:spacing w:after="0"/>
              <w:rPr>
                <w:sz w:val="20"/>
                <w:szCs w:val="20"/>
                <w:color w:val="auto"/>
              </w:rPr>
            </w:pPr>
            <w:r>
              <w:rPr>
                <w:rFonts w:ascii="Arial" w:cs="Arial" w:eastAsia="Arial" w:hAnsi="Arial"/>
                <w:sz w:val="12"/>
                <w:szCs w:val="12"/>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158,358</w:t>
            </w: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160,711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Deferred income taxes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275,657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258,834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Capitalized software costs, net</w:t>
            </w: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241,782</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244,368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Patents, orbital slots and other licenses, net</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39,056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23,059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4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85,052</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71,833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40" w:type="dxa"/>
            <w:vAlign w:val="bottom"/>
          </w:tcPr>
          <w:p>
            <w:pPr>
              <w:spacing w:after="0"/>
              <w:rPr>
                <w:sz w:val="15"/>
                <w:szCs w:val="15"/>
                <w:color w:val="auto"/>
              </w:rPr>
            </w:pPr>
          </w:p>
        </w:tc>
        <w:tc>
          <w:tcPr>
            <w:tcW w:w="15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799,905</w:t>
            </w:r>
          </w:p>
        </w:tc>
        <w:tc>
          <w:tcPr>
            <w:tcW w:w="160" w:type="dxa"/>
            <w:vAlign w:val="bottom"/>
          </w:tcPr>
          <w:p>
            <w:pPr>
              <w:spacing w:after="0"/>
              <w:rPr>
                <w:sz w:val="15"/>
                <w:szCs w:val="15"/>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758,805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4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Accrued and other liabilities:</w:t>
            </w:r>
          </w:p>
        </w:tc>
        <w:tc>
          <w:tcPr>
            <w:tcW w:w="14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4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Collections in excess of revenues and deferred revenues</w:t>
            </w:r>
          </w:p>
        </w:tc>
        <w:tc>
          <w:tcPr>
            <w:tcW w:w="15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120,275</w:t>
            </w:r>
          </w:p>
        </w:tc>
        <w:tc>
          <w:tcPr>
            <w:tcW w:w="160" w:type="dxa"/>
            <w:vAlign w:val="bottom"/>
          </w:tcPr>
          <w:p>
            <w:pPr>
              <w:spacing w:after="0"/>
              <w:rPr>
                <w:sz w:val="12"/>
                <w:szCs w:val="12"/>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125,540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Accrued employee compensation</w:t>
            </w: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59,395</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56,454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Accrued vacation</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45,030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43,077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Warranty reserve, current portion</w:t>
            </w: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5,845</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Operating lease liabilities</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42,829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Other</w:t>
            </w:r>
          </w:p>
        </w:tc>
        <w:tc>
          <w:tcPr>
            <w:tcW w:w="14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82,542</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77,320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40" w:type="dxa"/>
            <w:vAlign w:val="bottom"/>
          </w:tcPr>
          <w:p>
            <w:pPr>
              <w:spacing w:after="0"/>
              <w:rPr>
                <w:sz w:val="15"/>
                <w:szCs w:val="15"/>
                <w:color w:val="auto"/>
              </w:rPr>
            </w:pPr>
          </w:p>
        </w:tc>
        <w:tc>
          <w:tcPr>
            <w:tcW w:w="15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355,916</w:t>
            </w:r>
          </w:p>
        </w:tc>
        <w:tc>
          <w:tcPr>
            <w:tcW w:w="160" w:type="dxa"/>
            <w:vAlign w:val="bottom"/>
          </w:tcPr>
          <w:p>
            <w:pPr>
              <w:spacing w:after="0"/>
              <w:rPr>
                <w:sz w:val="15"/>
                <w:szCs w:val="15"/>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308,268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44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2"/>
                <w:szCs w:val="12"/>
                <w:color w:val="auto"/>
              </w:rPr>
              <w:t>Other liabilities:</w:t>
            </w:r>
          </w:p>
        </w:tc>
        <w:tc>
          <w:tcPr>
            <w:tcW w:w="14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4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320" w:type="dxa"/>
            <w:vAlign w:val="bottom"/>
            <w:tcBorders>
              <w:top w:val="single" w:sz="8" w:color="auto"/>
            </w:tcBorders>
            <w:shd w:val="clear" w:color="auto" w:fill="CFF0FC"/>
          </w:tcPr>
          <w:p>
            <w:pPr>
              <w:spacing w:after="0"/>
              <w:rPr>
                <w:sz w:val="11"/>
                <w:szCs w:val="11"/>
                <w:color w:val="auto"/>
              </w:rPr>
            </w:pPr>
          </w:p>
        </w:tc>
        <w:tc>
          <w:tcPr>
            <w:tcW w:w="128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Deferred revenues, long-term portion</w:t>
            </w:r>
          </w:p>
        </w:tc>
        <w:tc>
          <w:tcPr>
            <w:tcW w:w="1580" w:type="dxa"/>
            <w:vAlign w:val="bottom"/>
            <w:gridSpan w:val="2"/>
          </w:tcPr>
          <w:p>
            <w:pPr>
              <w:jc w:val="right"/>
              <w:ind w:right="73"/>
              <w:spacing w:after="0"/>
              <w:rPr>
                <w:sz w:val="20"/>
                <w:szCs w:val="20"/>
                <w:color w:val="auto"/>
              </w:rPr>
            </w:pPr>
            <w:r>
              <w:rPr>
                <w:rFonts w:ascii="Arial" w:cs="Arial" w:eastAsia="Arial" w:hAnsi="Arial"/>
                <w:sz w:val="12"/>
                <w:szCs w:val="12"/>
                <w:color w:val="auto"/>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83,423</w:t>
            </w:r>
          </w:p>
        </w:tc>
        <w:tc>
          <w:tcPr>
            <w:tcW w:w="160" w:type="dxa"/>
            <w:vAlign w:val="bottom"/>
          </w:tcPr>
          <w:p>
            <w:pPr>
              <w:spacing w:after="0"/>
              <w:rPr>
                <w:sz w:val="12"/>
                <w:szCs w:val="12"/>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71,230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Deferred rent, long-term portion</w:t>
            </w: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60"/>
              <w:spacing w:after="0"/>
              <w:rPr>
                <w:sz w:val="20"/>
                <w:szCs w:val="20"/>
                <w:color w:val="auto"/>
              </w:rPr>
            </w:pPr>
            <w:r>
              <w:rPr>
                <w:rFonts w:ascii="Arial" w:cs="Arial" w:eastAsia="Arial" w:hAnsi="Arial"/>
                <w:sz w:val="12"/>
                <w:szCs w:val="12"/>
                <w:color w:val="auto"/>
              </w:rPr>
              <w:t>Warranty reserve, long-term portion</w:t>
            </w: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4,226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1,707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FF0FC"/>
          </w:tcPr>
          <w:p>
            <w:pPr>
              <w:ind w:left="260"/>
              <w:spacing w:after="0"/>
              <w:rPr>
                <w:sz w:val="20"/>
                <w:szCs w:val="20"/>
                <w:color w:val="auto"/>
              </w:rPr>
            </w:pPr>
            <w:r>
              <w:rPr>
                <w:rFonts w:ascii="Arial" w:cs="Arial" w:eastAsia="Arial" w:hAnsi="Arial"/>
                <w:sz w:val="12"/>
                <w:szCs w:val="12"/>
                <w:color w:val="auto"/>
              </w:rPr>
              <w:t>Satellite performance incentive obligations, long-term portion</w:t>
            </w:r>
          </w:p>
        </w:tc>
        <w:tc>
          <w:tcPr>
            <w:tcW w:w="14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24,642</w:t>
            </w: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25,324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Other</w:t>
            </w:r>
          </w:p>
        </w:tc>
        <w:tc>
          <w:tcPr>
            <w:tcW w:w="14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5,829</w:t>
            </w:r>
          </w:p>
        </w:tc>
        <w:tc>
          <w:tcPr>
            <w:tcW w:w="16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5,755</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4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73"/>
              <w:spacing w:after="0"/>
              <w:rPr>
                <w:sz w:val="20"/>
                <w:szCs w:val="20"/>
                <w:color w:val="auto"/>
              </w:rPr>
            </w:pPr>
            <w:r>
              <w:rPr>
                <w:rFonts w:ascii="Arial" w:cs="Arial" w:eastAsia="Arial" w:hAnsi="Arial"/>
                <w:sz w:val="12"/>
                <w:szCs w:val="12"/>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118,120</w:t>
            </w:r>
          </w:p>
        </w:tc>
        <w:tc>
          <w:tcPr>
            <w:tcW w:w="1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120,826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85"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94"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94" w:lineRule="exact"/>
        <w:rPr>
          <w:rFonts w:ascii="Arial" w:cs="Arial" w:eastAsia="Arial" w:hAnsi="Arial"/>
          <w:sz w:val="18"/>
          <w:szCs w:val="18"/>
          <w:color w:val="auto"/>
        </w:rPr>
      </w:pPr>
    </w:p>
    <w:p>
      <w:pPr>
        <w:ind w:left="1040" w:hanging="519"/>
        <w:spacing w:after="0" w:line="246"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43" w:lineRule="exact"/>
        <w:rPr>
          <w:sz w:val="20"/>
          <w:szCs w:val="20"/>
          <w:color w:val="auto"/>
        </w:rPr>
      </w:pPr>
    </w:p>
    <w:p>
      <w:pPr>
        <w:jc w:val="both"/>
        <w:ind w:right="140" w:firstLine="518"/>
        <w:spacing w:after="0"/>
        <w:rPr>
          <w:sz w:val="20"/>
          <w:szCs w:val="20"/>
          <w:color w:val="auto"/>
        </w:rPr>
      </w:pPr>
      <w:r>
        <w:rPr>
          <w:rFonts w:ascii="Arial" w:cs="Arial" w:eastAsia="Arial" w:hAnsi="Arial"/>
          <w:sz w:val="18"/>
          <w:szCs w:val="18"/>
          <w:color w:val="auto"/>
        </w:rPr>
        <w:t>The Company had $5.0 million in cash equivalents (Level 1) and no assets measured at fair value on a recurring basis as of December 31, 2019 and March 31, 2019, respectively. The Company had an insignificant amount of foreign currency forward contract liabilities (Level 2) measured at fair value on a recurring basis as of December 31, 2019 and March 31, 2019.</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40" w:lineRule="exact"/>
        <w:rPr>
          <w:sz w:val="20"/>
          <w:szCs w:val="20"/>
          <w:color w:val="auto"/>
        </w:rPr>
      </w:pPr>
    </w:p>
    <w:p>
      <w:pPr>
        <w:ind w:right="380" w:firstLine="518"/>
        <w:spacing w:after="0" w:line="26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assets in an active market with sufficient volume and frequency of transactions (Level 1).</w:t>
      </w:r>
    </w:p>
    <w:p>
      <w:pPr>
        <w:spacing w:after="0" w:line="107" w:lineRule="exact"/>
        <w:rPr>
          <w:sz w:val="20"/>
          <w:szCs w:val="20"/>
          <w:color w:val="auto"/>
        </w:rPr>
      </w:pPr>
    </w:p>
    <w:p>
      <w:pPr>
        <w:ind w:right="80" w:firstLine="518"/>
        <w:spacing w:after="0" w:line="239" w:lineRule="auto"/>
        <w:rPr>
          <w:sz w:val="20"/>
          <w:szCs w:val="20"/>
          <w:color w:val="auto"/>
        </w:rPr>
      </w:pPr>
      <w:r>
        <w:rPr>
          <w:rFonts w:ascii="Arial" w:cs="Arial" w:eastAsia="Arial" w:hAnsi="Arial"/>
          <w:sz w:val="18"/>
          <w:szCs w:val="18"/>
          <w:i w:val="1"/>
          <w:iCs w:val="1"/>
          <w:color w:val="auto"/>
        </w:rPr>
        <w:t xml:space="preserve">Foreign currency forward contracts </w:t>
      </w:r>
      <w:r>
        <w:rPr>
          <w:rFonts w:ascii="Arial" w:cs="Arial" w:eastAsia="Arial" w:hAnsi="Arial"/>
          <w:sz w:val="18"/>
          <w:szCs w:val="18"/>
          <w:color w:val="auto"/>
        </w:rPr>
        <w:t>— The Company uses derivative financial instruments to manage foreign currency risk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and Ex-Im Credit Facility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(collectively, the Credit Facilities), finance lease obligations reported at the present value of future minimum lease payments with current</w:t>
      </w:r>
    </w:p>
    <w:p>
      <w:pPr>
        <w:spacing w:after="0" w:line="234" w:lineRule="auto"/>
        <w:rPr>
          <w:sz w:val="20"/>
          <w:szCs w:val="20"/>
          <w:color w:val="auto"/>
        </w:rPr>
      </w:pPr>
      <w:r>
        <w:rPr>
          <w:rFonts w:ascii="Arial" w:cs="Arial" w:eastAsia="Arial" w:hAnsi="Arial"/>
          <w:sz w:val="18"/>
          <w:szCs w:val="18"/>
          <w:color w:val="auto"/>
        </w:rPr>
        <w:t>accrued interest, as well as $700.0 million in aggregate principal amount of 2025 Notes and $600.0 million in aggregate principal amount of</w:t>
      </w:r>
    </w:p>
    <w:p>
      <w:pPr>
        <w:spacing w:after="0" w:line="235" w:lineRule="auto"/>
        <w:rPr>
          <w:sz w:val="20"/>
          <w:szCs w:val="20"/>
          <w:color w:val="auto"/>
        </w:rPr>
      </w:pPr>
      <w:r>
        <w:rPr>
          <w:rFonts w:ascii="Arial" w:cs="Arial" w:eastAsia="Arial" w:hAnsi="Arial"/>
          <w:sz w:val="18"/>
          <w:szCs w:val="18"/>
          <w:color w:val="auto"/>
        </w:rPr>
        <w:t>2027 Notes. Long-term debt related to the Revolving Credit Facility is reported at the outstanding principal amount of borrowings, while long-</w:t>
      </w:r>
    </w:p>
    <w:p>
      <w:pPr>
        <w:spacing w:after="0" w:line="235" w:lineRule="auto"/>
        <w:rPr>
          <w:sz w:val="20"/>
          <w:szCs w:val="20"/>
          <w:color w:val="auto"/>
        </w:rPr>
      </w:pPr>
      <w:r>
        <w:rPr>
          <w:rFonts w:ascii="Arial" w:cs="Arial" w:eastAsia="Arial" w:hAnsi="Arial"/>
          <w:sz w:val="18"/>
          <w:szCs w:val="18"/>
          <w:color w:val="auto"/>
        </w:rPr>
        <w:t>term debt related to the Ex-Im Credit Facility, 2025 Notes and 2027 Notes is reported at amortized cost. However, for disclosure purposes, the</w:t>
      </w:r>
    </w:p>
    <w:p>
      <w:pPr>
        <w:spacing w:after="0" w:line="235" w:lineRule="auto"/>
        <w:rPr>
          <w:sz w:val="20"/>
          <w:szCs w:val="20"/>
          <w:color w:val="auto"/>
        </w:rPr>
      </w:pPr>
      <w:r>
        <w:rPr>
          <w:rFonts w:ascii="Arial" w:cs="Arial" w:eastAsia="Arial" w:hAnsi="Arial"/>
          <w:sz w:val="18"/>
          <w:szCs w:val="18"/>
          <w:color w:val="auto"/>
        </w:rPr>
        <w:t>Company is required to measure the fair value of outstanding debt on a recurring basis. As of December 31, 2019 and March 31, 2019, the</w:t>
      </w:r>
    </w:p>
    <w:p>
      <w:pPr>
        <w:spacing w:after="0" w:line="235" w:lineRule="auto"/>
        <w:rPr>
          <w:sz w:val="20"/>
          <w:szCs w:val="20"/>
          <w:color w:val="auto"/>
        </w:rPr>
      </w:pPr>
      <w:r>
        <w:rPr>
          <w:rFonts w:ascii="Arial" w:cs="Arial" w:eastAsia="Arial" w:hAnsi="Arial"/>
          <w:sz w:val="18"/>
          <w:szCs w:val="18"/>
          <w:color w:val="auto"/>
        </w:rPr>
        <w:t>estimated fair value of the Company’s outstanding long-term debt related to the 2025 Notes was determined based on actual or estimated bids</w:t>
      </w:r>
    </w:p>
    <w:p>
      <w:pPr>
        <w:spacing w:after="0" w:line="235" w:lineRule="auto"/>
        <w:rPr>
          <w:sz w:val="20"/>
          <w:szCs w:val="20"/>
          <w:color w:val="auto"/>
        </w:rPr>
      </w:pPr>
      <w:r>
        <w:rPr>
          <w:rFonts w:ascii="Arial" w:cs="Arial" w:eastAsia="Arial" w:hAnsi="Arial"/>
          <w:sz w:val="18"/>
          <w:szCs w:val="18"/>
          <w:color w:val="auto"/>
        </w:rPr>
        <w:t>and offers for the 2025 Notes in an over-the-counter market (Level 2) and was $721.0 million and $670.3 million, respectively. As of</w:t>
      </w:r>
    </w:p>
    <w:p>
      <w:pPr>
        <w:spacing w:after="0" w:line="235" w:lineRule="auto"/>
        <w:rPr>
          <w:sz w:val="20"/>
          <w:szCs w:val="20"/>
          <w:color w:val="auto"/>
        </w:rPr>
      </w:pPr>
      <w:r>
        <w:rPr>
          <w:rFonts w:ascii="Arial" w:cs="Arial" w:eastAsia="Arial" w:hAnsi="Arial"/>
          <w:sz w:val="18"/>
          <w:szCs w:val="18"/>
          <w:color w:val="auto"/>
        </w:rPr>
        <w:t>December 31, 2019, the estimated fair value of the Company’s outstanding long-term debt related to the 2027 Notes was determined based on</w:t>
      </w:r>
    </w:p>
    <w:p>
      <w:pPr>
        <w:spacing w:after="0" w:line="235" w:lineRule="auto"/>
        <w:rPr>
          <w:sz w:val="20"/>
          <w:szCs w:val="20"/>
          <w:color w:val="auto"/>
        </w:rPr>
      </w:pPr>
      <w:r>
        <w:rPr>
          <w:rFonts w:ascii="Arial" w:cs="Arial" w:eastAsia="Arial" w:hAnsi="Arial"/>
          <w:sz w:val="18"/>
          <w:szCs w:val="18"/>
          <w:color w:val="auto"/>
        </w:rPr>
        <w:t>actual or estimated bids and offers for the 2027 Notes in an over-the-counter market (Level 2) and was $641.9 million. The fair value of the</w:t>
      </w:r>
    </w:p>
    <w:p>
      <w:pPr>
        <w:spacing w:after="0" w:line="235" w:lineRule="auto"/>
        <w:rPr>
          <w:sz w:val="20"/>
          <w:szCs w:val="20"/>
          <w:color w:val="auto"/>
        </w:rPr>
      </w:pPr>
      <w:r>
        <w:rPr>
          <w:rFonts w:ascii="Arial" w:cs="Arial" w:eastAsia="Arial" w:hAnsi="Arial"/>
          <w:sz w:val="18"/>
          <w:szCs w:val="18"/>
          <w:color w:val="auto"/>
        </w:rPr>
        <w:t>Company’s outstanding long-term debt as of March 31, 2019 related to the 2027 Notes approximated its carrying amount due to the proximity</w:t>
      </w:r>
    </w:p>
    <w:p>
      <w:pPr>
        <w:spacing w:after="0" w:line="234" w:lineRule="auto"/>
        <w:rPr>
          <w:sz w:val="20"/>
          <w:szCs w:val="20"/>
          <w:color w:val="auto"/>
        </w:rPr>
      </w:pPr>
      <w:r>
        <w:rPr>
          <w:rFonts w:ascii="Arial" w:cs="Arial" w:eastAsia="Arial" w:hAnsi="Arial"/>
          <w:sz w:val="18"/>
          <w:szCs w:val="18"/>
          <w:color w:val="auto"/>
        </w:rPr>
        <w:t>of the closing of the 2027 Notes compared to the reporting date. The fair value of the Company’s long-term debt related to the Revolving Credit</w:t>
      </w:r>
    </w:p>
    <w:p>
      <w:pPr>
        <w:spacing w:after="0" w:line="235" w:lineRule="auto"/>
        <w:rPr>
          <w:sz w:val="20"/>
          <w:szCs w:val="20"/>
          <w:color w:val="auto"/>
        </w:rPr>
      </w:pPr>
      <w:r>
        <w:rPr>
          <w:rFonts w:ascii="Arial" w:cs="Arial" w:eastAsia="Arial" w:hAnsi="Arial"/>
          <w:sz w:val="18"/>
          <w:szCs w:val="18"/>
          <w:color w:val="auto"/>
        </w:rPr>
        <w:t>Facility approximates its carrying amount due to its variable interest rate, which approximates a market interest rate. As of December 31, 2019</w:t>
      </w:r>
    </w:p>
    <w:p>
      <w:pPr>
        <w:spacing w:after="0" w:line="235" w:lineRule="auto"/>
        <w:rPr>
          <w:sz w:val="20"/>
          <w:szCs w:val="20"/>
          <w:color w:val="auto"/>
        </w:rPr>
      </w:pPr>
      <w:r>
        <w:rPr>
          <w:rFonts w:ascii="Arial" w:cs="Arial" w:eastAsia="Arial" w:hAnsi="Arial"/>
          <w:sz w:val="18"/>
          <w:szCs w:val="18"/>
          <w:color w:val="auto"/>
        </w:rPr>
        <w:t>and March 31, 2019, the fair value of the Company’s long-term debt related to the Ex-Im Credit Facility was determined based on a discounted</w:t>
      </w:r>
    </w:p>
    <w:p>
      <w:pPr>
        <w:spacing w:after="0" w:line="235" w:lineRule="auto"/>
        <w:rPr>
          <w:sz w:val="20"/>
          <w:szCs w:val="20"/>
          <w:color w:val="auto"/>
        </w:rPr>
      </w:pPr>
      <w:r>
        <w:rPr>
          <w:rFonts w:ascii="Arial" w:cs="Arial" w:eastAsia="Arial" w:hAnsi="Arial"/>
          <w:sz w:val="18"/>
          <w:szCs w:val="18"/>
          <w:color w:val="auto"/>
        </w:rPr>
        <w:t>cash flow analysis using observable market interest rates for instruments with similar terms (Level 2) and was approximately $117.0 million and</w:t>
      </w:r>
    </w:p>
    <w:p>
      <w:pPr>
        <w:spacing w:after="0" w:line="235" w:lineRule="auto"/>
        <w:rPr>
          <w:sz w:val="20"/>
          <w:szCs w:val="20"/>
          <w:color w:val="auto"/>
        </w:rPr>
      </w:pPr>
      <w:r>
        <w:rPr>
          <w:rFonts w:ascii="Arial" w:cs="Arial" w:eastAsia="Arial" w:hAnsi="Arial"/>
          <w:sz w:val="18"/>
          <w:szCs w:val="18"/>
          <w:color w:val="auto"/>
        </w:rPr>
        <w:t>$134.9 million, respectively. The fair value of the Company’s finance lease obligations is estimated at their carrying value based on current</w:t>
      </w:r>
    </w:p>
    <w:p>
      <w:pPr>
        <w:spacing w:after="0"/>
        <w:rPr>
          <w:sz w:val="20"/>
          <w:szCs w:val="20"/>
          <w:color w:val="auto"/>
        </w:rPr>
      </w:pPr>
      <w:r>
        <w:rPr>
          <w:rFonts w:ascii="Arial" w:cs="Arial" w:eastAsia="Arial" w:hAnsi="Arial"/>
          <w:sz w:val="18"/>
          <w:szCs w:val="18"/>
          <w:color w:val="auto"/>
        </w:rPr>
        <w:t>rates (Level 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ind w:right="240" w:firstLine="518"/>
        <w:spacing w:after="0" w:line="239" w:lineRule="auto"/>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the manufacturers of the ViaSat-1 and ViaSat-2 satellites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the Company to make monthly in-orbit satellite performance incentive payments, including interest, through approximately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December 31, 2019 and March 31, 2019, the Company’s estimated satellite performance incentive obligations relating to the ViaSat-1 and ViaSat-2 satellites, including accrued interest, were $27.9 million and $28.2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(Loss) Per Share</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2840" w:type="dxa"/>
            <w:vAlign w:val="bottom"/>
            <w:gridSpan w:val="4"/>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740" w:type="dxa"/>
            <w:vAlign w:val="bottom"/>
            <w:gridSpan w:val="4"/>
          </w:tcPr>
          <w:p>
            <w:pPr>
              <w:ind w:left="640"/>
              <w:spacing w:after="0"/>
              <w:rPr>
                <w:sz w:val="20"/>
                <w:szCs w:val="20"/>
                <w:color w:val="auto"/>
              </w:rPr>
            </w:pPr>
            <w:r>
              <w:rPr>
                <w:rFonts w:ascii="Arial" w:cs="Arial" w:eastAsia="Arial" w:hAnsi="Arial"/>
                <w:sz w:val="14"/>
                <w:szCs w:val="14"/>
                <w:b w:val="1"/>
                <w:bCs w:val="1"/>
                <w:color w:val="auto"/>
              </w:rPr>
              <w:t>Nine Months Ended</w:t>
            </w:r>
          </w:p>
        </w:tc>
      </w:tr>
      <w:tr>
        <w:trPr>
          <w:trHeight w:val="156"/>
        </w:trPr>
        <w:tc>
          <w:tcPr>
            <w:tcW w:w="4700" w:type="dxa"/>
            <w:vAlign w:val="bottom"/>
          </w:tcPr>
          <w:p>
            <w:pPr>
              <w:spacing w:after="0"/>
              <w:rPr>
                <w:sz w:val="13"/>
                <w:szCs w:val="13"/>
                <w:color w:val="auto"/>
              </w:rPr>
            </w:pPr>
          </w:p>
        </w:tc>
        <w:tc>
          <w:tcPr>
            <w:tcW w:w="1140" w:type="dxa"/>
            <w:vAlign w:val="bottom"/>
            <w:tcBorders>
              <w:top w:val="single" w:sz="8" w:color="auto"/>
            </w:tcBorders>
          </w:tcPr>
          <w:p>
            <w:pPr>
              <w:jc w:val="right"/>
              <w:ind w:right="16"/>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Borders>
              <w:top w:val="single" w:sz="8" w:color="auto"/>
            </w:tcBorders>
          </w:tcPr>
          <w:p>
            <w:pPr>
              <w:jc w:val="right"/>
              <w:ind w:right="36"/>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700" w:type="dxa"/>
            <w:vAlign w:val="bottom"/>
          </w:tcPr>
          <w:p>
            <w:pPr>
              <w:spacing w:after="0"/>
              <w:rPr>
                <w:sz w:val="15"/>
                <w:szCs w:val="15"/>
                <w:color w:val="auto"/>
              </w:rPr>
            </w:pPr>
          </w:p>
        </w:tc>
        <w:tc>
          <w:tcPr>
            <w:tcW w:w="114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70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 2018</w:t>
            </w:r>
          </w:p>
        </w:tc>
        <w:tc>
          <w:tcPr>
            <w:tcW w:w="114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60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 2018</w:t>
            </w:r>
          </w:p>
        </w:tc>
      </w:tr>
      <w:tr>
        <w:trPr>
          <w:trHeight w:val="169"/>
        </w:trPr>
        <w:tc>
          <w:tcPr>
            <w:tcW w:w="470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640" w:type="dxa"/>
            <w:vAlign w:val="bottom"/>
            <w:tcBorders>
              <w:top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rPr>
              <w:t>Common shares outstanding used in calculating</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basic net income (loss) per share attributable</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00" w:type="dxa"/>
            <w:vAlign w:val="bottom"/>
          </w:tcPr>
          <w:p>
            <w:pPr>
              <w:ind w:left="160"/>
              <w:spacing w:after="0" w:line="203" w:lineRule="exact"/>
              <w:rPr>
                <w:sz w:val="20"/>
                <w:szCs w:val="20"/>
                <w:color w:val="auto"/>
              </w:rPr>
            </w:pPr>
            <w:r>
              <w:rPr>
                <w:rFonts w:ascii="Arial" w:cs="Arial" w:eastAsia="Arial" w:hAnsi="Arial"/>
                <w:sz w:val="18"/>
                <w:szCs w:val="18"/>
                <w:color w:val="auto"/>
              </w:rPr>
              <w:t>to Viasat, Inc. common stockholders</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61,813</w:t>
            </w:r>
          </w:p>
        </w:tc>
        <w:tc>
          <w:tcPr>
            <w:tcW w:w="15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60,152</w:t>
            </w:r>
          </w:p>
        </w:tc>
        <w:tc>
          <w:tcPr>
            <w:tcW w:w="20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61,405</w:t>
            </w:r>
          </w:p>
        </w:tc>
        <w:tc>
          <w:tcPr>
            <w:tcW w:w="15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59,698</w:t>
            </w:r>
          </w:p>
        </w:tc>
        <w:tc>
          <w:tcPr>
            <w:tcW w:w="100" w:type="dxa"/>
            <w:vAlign w:val="bottom"/>
          </w:tcPr>
          <w:p>
            <w:pPr>
              <w:spacing w:after="0"/>
              <w:rPr>
                <w:sz w:val="17"/>
                <w:szCs w:val="17"/>
                <w:color w:val="auto"/>
              </w:rPr>
            </w:pPr>
          </w:p>
        </w:tc>
      </w:tr>
      <w:tr>
        <w:trPr>
          <w:trHeight w:val="215"/>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 as</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determined by application of the</w:t>
            </w: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treasury stock method</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90</w:t>
            </w:r>
          </w:p>
        </w:tc>
        <w:tc>
          <w:tcPr>
            <w:tcW w:w="2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rPr>
              <w:t>TSR performance stock options to purchase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common stock as determined by application</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00" w:type="dxa"/>
            <w:vAlign w:val="bottom"/>
          </w:tcPr>
          <w:p>
            <w:pPr>
              <w:ind w:left="160"/>
              <w:spacing w:after="0" w:line="203" w:lineRule="exact"/>
              <w:rPr>
                <w:sz w:val="20"/>
                <w:szCs w:val="20"/>
                <w:color w:val="auto"/>
              </w:rPr>
            </w:pPr>
            <w:r>
              <w:rPr>
                <w:rFonts w:ascii="Arial" w:cs="Arial" w:eastAsia="Arial" w:hAnsi="Arial"/>
                <w:sz w:val="18"/>
                <w:szCs w:val="18"/>
                <w:color w:val="auto"/>
              </w:rPr>
              <w:t>of the treasury stock method</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15"/>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to acquire common stock</w:t>
            </w: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as determined by application of the treasury</w:t>
            </w: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stock method</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773</w:t>
            </w:r>
          </w:p>
        </w:tc>
        <w:tc>
          <w:tcPr>
            <w:tcW w:w="20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rPr>
              <w:t>Potentially issuable shares in connection with</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certain terms of the ViaSat 401(k) Profit</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Sharing Plan and Employee Stock</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00" w:type="dxa"/>
            <w:vAlign w:val="bottom"/>
          </w:tcPr>
          <w:p>
            <w:pPr>
              <w:ind w:left="160"/>
              <w:spacing w:after="0" w:line="203" w:lineRule="exact"/>
              <w:rPr>
                <w:sz w:val="20"/>
                <w:szCs w:val="20"/>
                <w:color w:val="auto"/>
              </w:rPr>
            </w:pPr>
            <w:r>
              <w:rPr>
                <w:rFonts w:ascii="Arial" w:cs="Arial" w:eastAsia="Arial" w:hAnsi="Arial"/>
                <w:sz w:val="18"/>
                <w:szCs w:val="18"/>
                <w:color w:val="auto"/>
              </w:rPr>
              <w:t>Purchase Plan</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240</w:t>
            </w:r>
          </w:p>
        </w:tc>
        <w:tc>
          <w:tcPr>
            <w:tcW w:w="200" w:type="dxa"/>
            <w:vAlign w:val="bottom"/>
          </w:tcPr>
          <w:p>
            <w:pPr>
              <w:spacing w:after="0"/>
              <w:rPr>
                <w:sz w:val="17"/>
                <w:szCs w:val="17"/>
                <w:color w:val="auto"/>
              </w:rPr>
            </w:pPr>
          </w:p>
        </w:tc>
        <w:tc>
          <w:tcPr>
            <w:tcW w:w="15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9"/>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in computing diluted net income</w:t>
            </w:r>
          </w:p>
        </w:tc>
        <w:tc>
          <w:tcPr>
            <w:tcW w:w="11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4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(loss) per share attributable to Viasat, Inc.</w:t>
            </w: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common stockholders</w:t>
            </w: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62,916</w:t>
            </w:r>
          </w:p>
        </w:tc>
        <w:tc>
          <w:tcPr>
            <w:tcW w:w="15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60,152</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61,405</w:t>
            </w:r>
          </w:p>
        </w:tc>
        <w:tc>
          <w:tcPr>
            <w:tcW w:w="15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59,698</w:t>
            </w:r>
          </w:p>
        </w:tc>
        <w:tc>
          <w:tcPr>
            <w:tcW w:w="100" w:type="dxa"/>
            <w:vAlign w:val="bottom"/>
            <w:shd w:val="clear" w:color="auto" w:fill="CFF0FC"/>
          </w:tcPr>
          <w:p>
            <w:pPr>
              <w:spacing w:after="0"/>
              <w:rPr>
                <w:sz w:val="17"/>
                <w:szCs w:val="17"/>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Antidilutive shares excluded from the calculation for the three months ended December 31, 2019 consisted of 489,293 shares related to stock options (other than TSR performance stock options), 1,086,737 shares related to TSR performance stock options and 68,256 shares related to restricted stock units.</w:t>
      </w:r>
    </w:p>
    <w:p>
      <w:pPr>
        <w:spacing w:after="0" w:line="18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nine months ended December 31, 2019, and the three and nine months ended December 31, 2018, as the Company incurred a net loss attributable to Viasat, Inc. common stockholders for such periods and inclusion of potentially dilutive weighted average shares of common stock would be antidilutive. Potentially dilutive weighted average shares excluded from the calculation for the nine months ended December 31, 2019 consisted of 201,761 shares related to stock options (other than TSR performance stock options), 910,494 shares related to TSR performance stock options, 949,324 shares related to restricted stock units, and 230,588 shares related to certain terms of the ViaSat 401(k) Profit Sharing Plan and Employee Stock Purchase Plan. Potentially dilutive weighted average shares excluded from the calculation for the three and nine months ended December 31, 2018 consisted of 1,276,242 and 1,297,427 shares related to stock options (other than TSR performance stock options), respectively, 630,102 and 498,062 shares related to TSR performance stock options, respectively, 1,101,149 and 707,353 shares related to restricted stock units, respectively, and 289,006 and 249,077 shares related to certain terms of the ViaSat 401(k) Profit Sharing Plan and Employee Stock Purchase Plan, respectively.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99" w:lineRule="exact"/>
        <w:rPr>
          <w:sz w:val="20"/>
          <w:szCs w:val="20"/>
          <w:color w:val="auto"/>
        </w:rPr>
      </w:pPr>
    </w:p>
    <w:p>
      <w:pPr>
        <w:ind w:right="160" w:firstLine="518"/>
        <w:spacing w:after="0" w:line="239" w:lineRule="auto"/>
        <w:rPr>
          <w:sz w:val="20"/>
          <w:szCs w:val="20"/>
          <w:color w:val="auto"/>
        </w:rPr>
      </w:pPr>
      <w:r>
        <w:rPr>
          <w:rFonts w:ascii="Arial" w:cs="Arial" w:eastAsia="Arial" w:hAnsi="Arial"/>
          <w:sz w:val="18"/>
          <w:szCs w:val="18"/>
          <w:color w:val="auto"/>
        </w:rPr>
        <w:t>During the nine months ended December 31, 2019, the increase in the Company’s goodwill related to the effects of foreign currency translation recorded within all three of the Company’s segments. During the nine months ended December 31, 2018, the increase in the Company’s goodwill related to an insignificant acquisition, partially offset by the effects of foreign currency translation recorded within all three of the Company’s segments.</w:t>
      </w:r>
    </w:p>
    <w:p>
      <w:pPr>
        <w:spacing w:after="0" w:line="148" w:lineRule="exact"/>
        <w:rPr>
          <w:sz w:val="20"/>
          <w:szCs w:val="20"/>
          <w:color w:val="auto"/>
        </w:rPr>
      </w:pPr>
    </w:p>
    <w:p>
      <w:pPr>
        <w:ind w:right="260" w:firstLine="518"/>
        <w:spacing w:after="0"/>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ten years. Amortization expense related to other acquired intangible assets was $1.9 million and $2.5 million for the three months ended December 31, 2019 and 2018, respectively, and $5.9 million and $7.4 million for the nine months ended December 31, 2019 and 2018, respectively.</w:t>
      </w:r>
    </w:p>
    <w:p>
      <w:pPr>
        <w:spacing w:after="0" w:line="149"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272" w:lineRule="exact"/>
        <w:rPr>
          <w:sz w:val="20"/>
          <w:szCs w:val="20"/>
          <w:color w:val="auto"/>
        </w:rPr>
      </w:pPr>
    </w:p>
    <w:tbl>
      <w:tblPr>
        <w:tblLayout w:type="fixed"/>
        <w:tblInd w:w="2300" w:type="dxa"/>
        <w:tblCellMar>
          <w:top w:w="0" w:type="dxa"/>
          <w:left w:w="0" w:type="dxa"/>
          <w:bottom w:w="0" w:type="dxa"/>
          <w:right w:w="0" w:type="dxa"/>
        </w:tblCellMar>
      </w:tblPr>
      <w:tr>
        <w:trPr>
          <w:trHeight w:val="175"/>
        </w:trPr>
        <w:tc>
          <w:tcPr>
            <w:tcW w:w="4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69"/>
        </w:trPr>
        <w:tc>
          <w:tcPr>
            <w:tcW w:w="4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For the nine months ended December 31, 2019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5,920</w:t>
            </w:r>
          </w:p>
        </w:tc>
        <w:tc>
          <w:tcPr>
            <w:tcW w:w="6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6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5,120</w:t>
            </w:r>
          </w:p>
        </w:tc>
        <w:tc>
          <w:tcPr>
            <w:tcW w:w="6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w:t>
            </w:r>
          </w:p>
        </w:tc>
        <w:tc>
          <w:tcPr>
            <w:tcW w:w="6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2,993</w:t>
            </w:r>
          </w:p>
        </w:tc>
        <w:tc>
          <w:tcPr>
            <w:tcW w:w="6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60" w:type="dxa"/>
            <w:vAlign w:val="bottom"/>
            <w:shd w:val="clear" w:color="auto" w:fill="CFF0FC"/>
          </w:tcPr>
          <w:p>
            <w:pPr>
              <w:spacing w:after="0"/>
              <w:rPr>
                <w:sz w:val="18"/>
                <w:szCs w:val="18"/>
                <w:color w:val="auto"/>
              </w:rPr>
            </w:pPr>
          </w:p>
        </w:tc>
      </w:tr>
      <w:tr>
        <w:trPr>
          <w:trHeight w:val="216"/>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60" w:type="dxa"/>
            <w:vAlign w:val="bottom"/>
            <w:tcBorders>
              <w:bottom w:val="single" w:sz="8" w:color="CFF0FC"/>
            </w:tcBorders>
          </w:tcPr>
          <w:p>
            <w:pPr>
              <w:spacing w:after="0"/>
              <w:rPr>
                <w:sz w:val="18"/>
                <w:szCs w:val="18"/>
                <w:color w:val="auto"/>
              </w:rPr>
            </w:pPr>
          </w:p>
        </w:tc>
      </w:tr>
      <w:tr>
        <w:trPr>
          <w:trHeight w:val="210"/>
        </w:trPr>
        <w:tc>
          <w:tcPr>
            <w:tcW w:w="46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16,271</w:t>
            </w:r>
          </w:p>
        </w:tc>
        <w:tc>
          <w:tcPr>
            <w:tcW w:w="60" w:type="dxa"/>
            <w:vAlign w:val="bottom"/>
            <w:shd w:val="clear" w:color="auto" w:fill="CFF0FC"/>
          </w:tcPr>
          <w:p>
            <w:pPr>
              <w:spacing w:after="0"/>
              <w:rPr>
                <w:sz w:val="18"/>
                <w:szCs w:val="18"/>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from less than one year to ten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recognized right-of-use assets and lease liabilities for such leases in connection with its adoption of ASC 842 as of April 1, 2019 (see Note 1 — Basis of Presentation — Leases for more information).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154" w:lineRule="exact"/>
        <w:rPr>
          <w:sz w:val="20"/>
          <w:szCs w:val="20"/>
          <w:color w:val="auto"/>
        </w:rPr>
      </w:pPr>
    </w:p>
    <w:p>
      <w:pPr>
        <w:ind w:right="280" w:firstLine="518"/>
        <w:spacing w:after="0"/>
        <w:rPr>
          <w:sz w:val="20"/>
          <w:szCs w:val="20"/>
          <w:color w:val="auto"/>
        </w:rPr>
      </w:pPr>
      <w:r>
        <w:rPr>
          <w:rFonts w:ascii="Arial" w:cs="Arial" w:eastAsia="Arial" w:hAnsi="Arial"/>
          <w:sz w:val="18"/>
          <w:szCs w:val="18"/>
          <w:color w:val="auto"/>
        </w:rPr>
        <w:t>The Company’s finance leases consist primarily of satellite lifetime Ka-band capacity leases and have remaining terms from one to seven years. The Company reports assets obtained under finance leases in property, equipment and satellites, net and the current and non-current portions of its finance lease liabilities in current portion of long-term debt and other long-term debt,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lease costs, weighted average lease terms and discount rates are presented in the tables below:</w:t>
      </w:r>
    </w:p>
    <w:p>
      <w:pPr>
        <w:spacing w:after="0" w:line="280"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20" w:type="dxa"/>
            <w:vAlign w:val="bottom"/>
            <w:gridSpan w:val="7"/>
          </w:tcPr>
          <w:p>
            <w:pPr>
              <w:ind w:left="6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Operating lease cost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15,348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45,728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Depreciation of assets obtained under finance leases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3,659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7,676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on lease liabilities</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1,254</w:t>
            </w:r>
          </w:p>
        </w:tc>
        <w:tc>
          <w:tcPr>
            <w:tcW w:w="80" w:type="dxa"/>
            <w:vAlign w:val="bottom"/>
            <w:shd w:val="clear" w:color="auto" w:fill="CFF0FC"/>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1,474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3,491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5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2,724</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6,446</w:t>
            </w:r>
          </w:p>
        </w:tc>
        <w:tc>
          <w:tcPr>
            <w:tcW w:w="80" w:type="dxa"/>
            <w:vAlign w:val="bottom"/>
            <w:shd w:val="clear" w:color="auto" w:fill="CFF0FC"/>
          </w:tcPr>
          <w:p>
            <w:pPr>
              <w:spacing w:after="0"/>
              <w:rPr>
                <w:sz w:val="18"/>
                <w:szCs w:val="18"/>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Net lease cost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24,129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64,595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ind w:left="220"/>
              <w:spacing w:after="0"/>
              <w:rPr>
                <w:sz w:val="20"/>
                <w:szCs w:val="20"/>
                <w:color w:val="auto"/>
              </w:rPr>
            </w:pPr>
            <w:r>
              <w:rPr>
                <w:rFonts w:ascii="Arial" w:cs="Arial" w:eastAsia="Arial" w:hAnsi="Arial"/>
                <w:sz w:val="14"/>
                <w:szCs w:val="14"/>
                <w:b w:val="1"/>
                <w:bCs w:val="1"/>
                <w:color w:val="auto"/>
              </w:rPr>
              <w:t>As of</w:t>
            </w:r>
          </w:p>
        </w:tc>
      </w:tr>
      <w:tr>
        <w:trPr>
          <w:trHeight w:val="175"/>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5"/>
          </w:tcPr>
          <w:p>
            <w:pPr>
              <w:ind w:left="80"/>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20" w:type="dxa"/>
            <w:vAlign w:val="bottom"/>
          </w:tcPr>
          <w:p>
            <w:pPr>
              <w:spacing w:after="0"/>
              <w:rPr>
                <w:sz w:val="18"/>
                <w:szCs w:val="18"/>
                <w:color w:val="auto"/>
              </w:rPr>
            </w:pPr>
          </w:p>
        </w:tc>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Lease term and discount rate:</w:t>
            </w:r>
          </w:p>
        </w:tc>
        <w:tc>
          <w:tcPr>
            <w:tcW w:w="5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 (in years):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ind w:left="1180"/>
              <w:spacing w:after="0"/>
              <w:rPr>
                <w:sz w:val="20"/>
                <w:szCs w:val="20"/>
                <w:color w:val="auto"/>
              </w:rPr>
            </w:pPr>
            <w:r>
              <w:rPr>
                <w:rFonts w:ascii="Arial" w:cs="Arial" w:eastAsia="Arial" w:hAnsi="Arial"/>
                <w:sz w:val="18"/>
                <w:szCs w:val="18"/>
                <w:color w:val="auto"/>
                <w:w w:val="95"/>
              </w:rPr>
              <w:t>7.2</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ind w:left="1180"/>
              <w:spacing w:after="0"/>
              <w:rPr>
                <w:sz w:val="20"/>
                <w:szCs w:val="20"/>
                <w:color w:val="auto"/>
              </w:rPr>
            </w:pPr>
            <w:r>
              <w:rPr>
                <w:rFonts w:ascii="Arial" w:cs="Arial" w:eastAsia="Arial" w:hAnsi="Arial"/>
                <w:sz w:val="18"/>
                <w:szCs w:val="18"/>
                <w:color w:val="auto"/>
                <w:w w:val="95"/>
              </w:rPr>
              <w:t>6.6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3"/>
            <w:shd w:val="clear" w:color="auto" w:fill="CFF0FC"/>
          </w:tcPr>
          <w:p>
            <w:pPr>
              <w:ind w:left="1180"/>
              <w:spacing w:after="0"/>
              <w:rPr>
                <w:sz w:val="20"/>
                <w:szCs w:val="20"/>
                <w:color w:val="auto"/>
              </w:rPr>
            </w:pPr>
            <w:r>
              <w:rPr>
                <w:rFonts w:ascii="Arial" w:cs="Arial" w:eastAsia="Arial" w:hAnsi="Arial"/>
                <w:sz w:val="18"/>
                <w:szCs w:val="18"/>
                <w:color w:val="auto"/>
              </w:rPr>
              <w:t>5.4%</w:t>
            </w:r>
          </w:p>
        </w:tc>
      </w:tr>
      <w:tr>
        <w:trPr>
          <w:trHeight w:val="230"/>
        </w:trPr>
        <w:tc>
          <w:tcPr>
            <w:tcW w:w="2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ind w:left="1180"/>
              <w:spacing w:after="0"/>
              <w:rPr>
                <w:sz w:val="20"/>
                <w:szCs w:val="20"/>
                <w:color w:val="auto"/>
              </w:rPr>
            </w:pPr>
            <w:r>
              <w:rPr>
                <w:rFonts w:ascii="Arial" w:cs="Arial" w:eastAsia="Arial" w:hAnsi="Arial"/>
                <w:sz w:val="18"/>
                <w:szCs w:val="18"/>
                <w:color w:val="auto"/>
              </w:rPr>
              <w:t>5.4%</w:t>
            </w:r>
          </w:p>
        </w:tc>
      </w:tr>
    </w:tbl>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details components of the condensed consolidated statements of cash flows for operating and finance leases:</w:t>
      </w:r>
    </w:p>
    <w:p>
      <w:pPr>
        <w:spacing w:after="0" w:line="280"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2"/>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760" w:type="dxa"/>
            <w:vAlign w:val="bottom"/>
            <w:tcBorders>
              <w:top w:val="single" w:sz="8" w:color="auto"/>
            </w:tcBorders>
            <w:shd w:val="clear" w:color="auto" w:fill="CFF0FC"/>
          </w:tcPr>
          <w:p>
            <w:pPr>
              <w:spacing w:after="0" w:line="187" w:lineRule="exact"/>
              <w:rPr>
                <w:sz w:val="20"/>
                <w:szCs w:val="20"/>
                <w:color w:val="auto"/>
              </w:rPr>
            </w:pPr>
            <w:r>
              <w:rPr>
                <w:rFonts w:ascii="Arial" w:cs="Arial" w:eastAsia="Arial" w:hAnsi="Arial"/>
                <w:sz w:val="18"/>
                <w:szCs w:val="18"/>
                <w:b w:val="1"/>
                <w:bCs w:val="1"/>
                <w:color w:val="auto"/>
              </w:rPr>
              <w:t>Cash paid for amounts included in the measurement</w:t>
            </w:r>
          </w:p>
        </w:tc>
        <w:tc>
          <w:tcPr>
            <w:tcW w:w="1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8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of lease liabilities:</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44,522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5,495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Right-of-use assets obtained in exchange for lease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leases</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72,711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maturities of the Company’s lease liabilities as of December 31, 2019:</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Finance Leases</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20" w:type="dxa"/>
            <w:vAlign w:val="bottom"/>
            <w:gridSpan w:val="5"/>
          </w:tcPr>
          <w:p>
            <w:pPr>
              <w:ind w:left="116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2020</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13,596</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1140"/>
              <w:spacing w:after="0"/>
              <w:rPr>
                <w:sz w:val="20"/>
                <w:szCs w:val="20"/>
                <w:color w:val="auto"/>
              </w:rPr>
            </w:pPr>
            <w:r>
              <w:rPr>
                <w:rFonts w:ascii="Arial" w:cs="Arial" w:eastAsia="Arial" w:hAnsi="Arial"/>
                <w:sz w:val="18"/>
                <w:szCs w:val="18"/>
                <w:color w:val="auto"/>
              </w:rPr>
              <w:t>Expected for fiscal year 2021</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60,671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13,350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58,438</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1140"/>
              <w:spacing w:after="0"/>
              <w:rPr>
                <w:sz w:val="20"/>
                <w:szCs w:val="20"/>
                <w:color w:val="auto"/>
              </w:rPr>
            </w:pPr>
            <w:r>
              <w:rPr>
                <w:rFonts w:ascii="Arial" w:cs="Arial" w:eastAsia="Arial" w:hAnsi="Arial"/>
                <w:sz w:val="18"/>
                <w:szCs w:val="18"/>
                <w:color w:val="auto"/>
              </w:rPr>
              <w:t>Expected for fiscal year 2023</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52,817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52,572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1140"/>
              <w:spacing w:after="0"/>
              <w:rPr>
                <w:sz w:val="20"/>
                <w:szCs w:val="20"/>
                <w:color w:val="auto"/>
              </w:rPr>
            </w:pPr>
            <w:r>
              <w:rPr>
                <w:rFonts w:ascii="Arial" w:cs="Arial" w:eastAsia="Arial" w:hAnsi="Arial"/>
                <w:sz w:val="18"/>
                <w:szCs w:val="18"/>
                <w:color w:val="auto"/>
              </w:rPr>
              <w:t>Thereafter</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165,166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27,000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lease payments required</w:t>
            </w:r>
          </w:p>
        </w:tc>
        <w:tc>
          <w:tcPr>
            <w:tcW w:w="1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403,260</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79,800</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2"/>
          </w:tcPr>
          <w:p>
            <w:pPr>
              <w:ind w:left="1140"/>
              <w:spacing w:after="0"/>
              <w:rPr>
                <w:sz w:val="20"/>
                <w:szCs w:val="20"/>
                <w:color w:val="auto"/>
              </w:rPr>
            </w:pPr>
            <w:r>
              <w:rPr>
                <w:rFonts w:ascii="Arial" w:cs="Arial" w:eastAsia="Arial" w:hAnsi="Arial"/>
                <w:sz w:val="18"/>
                <w:szCs w:val="18"/>
                <w:color w:val="auto"/>
              </w:rPr>
              <w:t>Less: interest</w:t>
            </w: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71,271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12,285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406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331,989</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67,515</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bottom w:val="single" w:sz="8" w:color="CFF0FC"/>
            </w:tcBorders>
            <w:vMerge w:val="restart"/>
          </w:tcPr>
          <w:p>
            <w:pPr>
              <w:jc w:val="right"/>
              <w:ind w:right="570"/>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60" w:type="dxa"/>
            <w:vAlign w:val="bottom"/>
            <w:tcBorders>
              <w:bottom w:val="single" w:sz="8" w:color="9A9A9A"/>
            </w:tcBorders>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right="320" w:firstLine="518"/>
        <w:spacing w:after="0" w:line="246" w:lineRule="auto"/>
        <w:rPr>
          <w:sz w:val="20"/>
          <w:szCs w:val="20"/>
          <w:color w:val="auto"/>
        </w:rPr>
      </w:pPr>
      <w:r>
        <w:rPr>
          <w:rFonts w:ascii="Arial" w:cs="Arial" w:eastAsia="Arial" w:hAnsi="Arial"/>
          <w:sz w:val="18"/>
          <w:szCs w:val="18"/>
          <w:color w:val="auto"/>
        </w:rPr>
        <w:t>As of December 31, 2019, the Company had $93.0 million of additional lease commitments that will commence in the future between fiscal years 2020 and 2021 with lease terms of three to 12 years.</w:t>
      </w:r>
    </w:p>
    <w:p>
      <w:pPr>
        <w:spacing w:after="0" w:line="143" w:lineRule="exact"/>
        <w:rPr>
          <w:sz w:val="20"/>
          <w:szCs w:val="20"/>
          <w:color w:val="auto"/>
        </w:rPr>
      </w:pPr>
    </w:p>
    <w:p>
      <w:pPr>
        <w:ind w:right="300" w:firstLine="518"/>
        <w:spacing w:after="0"/>
        <w:rPr>
          <w:sz w:val="20"/>
          <w:szCs w:val="20"/>
          <w:color w:val="auto"/>
        </w:rPr>
      </w:pPr>
      <w:r>
        <w:rPr>
          <w:rFonts w:ascii="Arial" w:cs="Arial" w:eastAsia="Arial" w:hAnsi="Arial"/>
          <w:sz w:val="18"/>
          <w:szCs w:val="18"/>
          <w:color w:val="auto"/>
        </w:rPr>
        <w:t>As discussed in Note 1 — Basis of Presentation, the Company has adopted ASC 842 using the optional transition method presenting prior period amounts and disclosures under ASC 840. The following table presents the Company's future minimum lease payments for operating leases under ASC 840 at March 31, 2019:</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Operating Leases</w:t>
            </w:r>
          </w:p>
        </w:tc>
      </w:tr>
      <w:tr>
        <w:trPr>
          <w:trHeight w:val="175"/>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rPr>
              <w:t>March 31, 2019</w:t>
            </w:r>
          </w:p>
        </w:tc>
        <w:tc>
          <w:tcPr>
            <w:tcW w:w="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2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2020</w:t>
            </w:r>
          </w:p>
        </w:tc>
        <w:tc>
          <w:tcPr>
            <w:tcW w:w="23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59,164</w:t>
            </w:r>
          </w:p>
        </w:tc>
        <w:tc>
          <w:tcPr>
            <w:tcW w:w="80" w:type="dxa"/>
            <w:vAlign w:val="bottom"/>
            <w:shd w:val="clear" w:color="auto" w:fill="CFF0FC"/>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Expected for fiscal year 2021</w:t>
            </w: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59,452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2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57,500</w:t>
            </w:r>
          </w:p>
        </w:tc>
        <w:tc>
          <w:tcPr>
            <w:tcW w:w="80" w:type="dxa"/>
            <w:vAlign w:val="bottom"/>
            <w:shd w:val="clear" w:color="auto" w:fill="CFF0FC"/>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Expected for fiscal year 2023</w:t>
            </w: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50,933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2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51,000</w:t>
            </w:r>
          </w:p>
        </w:tc>
        <w:tc>
          <w:tcPr>
            <w:tcW w:w="80" w:type="dxa"/>
            <w:vAlign w:val="bottom"/>
            <w:shd w:val="clear" w:color="auto" w:fill="CFF0FC"/>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183,077</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payments required</w:t>
            </w:r>
          </w:p>
        </w:tc>
        <w:tc>
          <w:tcPr>
            <w:tcW w:w="204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461,126</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 expense was $53.5 million for the fiscal year ended March 31,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Senior Notes and Other Long-Term Debt</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December 31, 2019 and March 31, 2019:</w:t>
      </w:r>
    </w:p>
    <w:p>
      <w:pPr>
        <w:spacing w:after="0" w:line="19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 of</w:t>
            </w:r>
          </w:p>
        </w:tc>
      </w:tr>
      <w:tr>
        <w:trPr>
          <w:trHeight w:val="175"/>
        </w:trPr>
        <w:tc>
          <w:tcPr>
            <w:tcW w:w="5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2019</w:t>
            </w:r>
          </w:p>
        </w:tc>
        <w:tc>
          <w:tcPr>
            <w:tcW w:w="80" w:type="dxa"/>
            <w:vAlign w:val="bottom"/>
          </w:tcPr>
          <w:p>
            <w:pPr>
              <w:spacing w:after="0"/>
              <w:rPr>
                <w:sz w:val="15"/>
                <w:szCs w:val="15"/>
                <w:color w:val="auto"/>
              </w:rPr>
            </w:pPr>
          </w:p>
        </w:tc>
      </w:tr>
      <w:tr>
        <w:trPr>
          <w:trHeight w:val="169"/>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2027 Notes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2025 Notes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Ex-Im Credit Facility</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117,913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139,560</w:t>
            </w: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Finance lease obligations (see Note 6)</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67,515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Total debt</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1,595,428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1,439,560</w:t>
            </w: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and debt issuance costs</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(22,636)</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(26,720)</w:t>
            </w:r>
          </w:p>
        </w:tc>
      </w:tr>
      <w:tr>
        <w:trPr>
          <w:trHeight w:val="216"/>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current portion of long-term debt</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19,937</w:t>
            </w:r>
          </w:p>
        </w:tc>
        <w:tc>
          <w:tcPr>
            <w:tcW w:w="80" w:type="dxa"/>
            <w:vAlign w:val="bottom"/>
            <w:tcBorders>
              <w:bottom w:val="single" w:sz="8" w:color="CFF0FC"/>
            </w:tcBorders>
          </w:tcPr>
          <w:p>
            <w:pPr>
              <w:spacing w:after="0"/>
              <w:rPr>
                <w:sz w:val="18"/>
                <w:szCs w:val="18"/>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1,542,691</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1,392,903</w:t>
            </w:r>
          </w:p>
        </w:tc>
        <w:tc>
          <w:tcPr>
            <w:tcW w:w="80" w:type="dxa"/>
            <w:vAlign w:val="bottom"/>
            <w:shd w:val="clear" w:color="auto" w:fill="CFF0FC"/>
          </w:tcPr>
          <w:p>
            <w:pPr>
              <w:spacing w:after="0"/>
              <w:rPr>
                <w:sz w:val="18"/>
                <w:szCs w:val="18"/>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85"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As of December 31, 2019, the Revolving Credit Facility provided a $700.0 million revolving line of credit (including up to $150.0 million of letters of credit), with a maturity date of January 18, 2024. At December 31, 2019, the Company had $110.0 million in principal amount of outstanding borrowings under the Revolving Credit Facility and $27.6 million outstanding under standby letters of credit, leaving borrowing availability under the Revolving Credit Facility as of December 31, 2019 of $562.4 million.</w:t>
      </w:r>
    </w:p>
    <w:p>
      <w:pPr>
        <w:spacing w:after="0" w:line="14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Borrowings under the Revolving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As of December 31, 2019, the weighted average effective interest rate on the Company’s outstanding borrowings under the Revolving Credit Facility was 3.28%.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December 31, 2019, none of the Company’s subsidiaries guaranteed the Revolving Credit Facility.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Revolving Credit Facility as of December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w:t>
      </w:r>
    </w:p>
    <w:p>
      <w:pPr>
        <w:spacing w:after="0" w:line="234" w:lineRule="auto"/>
        <w:rPr>
          <w:sz w:val="20"/>
          <w:szCs w:val="20"/>
          <w:color w:val="auto"/>
        </w:rPr>
      </w:pPr>
      <w:r>
        <w:rPr>
          <w:rFonts w:ascii="Arial" w:cs="Arial" w:eastAsia="Arial" w:hAnsi="Arial"/>
          <w:sz w:val="18"/>
          <w:szCs w:val="18"/>
          <w:color w:val="auto"/>
        </w:rPr>
        <w:t>$362.4 million in principal amount of borrowings made under the Ex-Im Credit Facility, $321.2 million was used to finance up to 85% of the</w:t>
      </w:r>
    </w:p>
    <w:p>
      <w:pPr>
        <w:spacing w:after="0" w:line="235" w:lineRule="auto"/>
        <w:rPr>
          <w:sz w:val="20"/>
          <w:szCs w:val="20"/>
          <w:color w:val="auto"/>
        </w:rPr>
      </w:pPr>
      <w:r>
        <w:rPr>
          <w:rFonts w:ascii="Arial" w:cs="Arial" w:eastAsia="Arial" w:hAnsi="Arial"/>
          <w:sz w:val="18"/>
          <w:szCs w:val="18"/>
          <w:color w:val="auto"/>
        </w:rPr>
        <w:t>costs of construction, launch and insurance of the ViaSat-2 satellite and related goods and services (including costs incurred on or after</w:t>
      </w:r>
    </w:p>
    <w:p>
      <w:pPr>
        <w:spacing w:after="0" w:line="235" w:lineRule="auto"/>
        <w:rPr>
          <w:sz w:val="20"/>
          <w:szCs w:val="20"/>
          <w:color w:val="auto"/>
        </w:rPr>
      </w:pPr>
      <w:r>
        <w:rPr>
          <w:rFonts w:ascii="Arial" w:cs="Arial" w:eastAsia="Arial" w:hAnsi="Arial"/>
          <w:sz w:val="18"/>
          <w:szCs w:val="18"/>
          <w:color w:val="auto"/>
        </w:rPr>
        <w:t>September 18, 2012), with the remaining $41.2 million used to finance the total exposure fees incurred under the Ex-Im Credit Facility (which</w:t>
      </w:r>
    </w:p>
    <w:p>
      <w:pPr>
        <w:spacing w:after="0" w:line="235" w:lineRule="auto"/>
        <w:rPr>
          <w:sz w:val="20"/>
          <w:szCs w:val="20"/>
          <w:color w:val="auto"/>
        </w:rPr>
      </w:pPr>
      <w:r>
        <w:rPr>
          <w:rFonts w:ascii="Arial" w:cs="Arial" w:eastAsia="Arial" w:hAnsi="Arial"/>
          <w:sz w:val="18"/>
          <w:szCs w:val="18"/>
          <w:color w:val="auto"/>
        </w:rPr>
        <w:t>included all previously accrued completion exposure fees). As of December 31, 2019, the Company had $117.9 million in principal amount of</w:t>
      </w:r>
    </w:p>
    <w:p>
      <w:pPr>
        <w:spacing w:after="0"/>
        <w:rPr>
          <w:sz w:val="20"/>
          <w:szCs w:val="20"/>
          <w:color w:val="auto"/>
        </w:rPr>
      </w:pPr>
      <w:r>
        <w:rPr>
          <w:rFonts w:ascii="Arial" w:cs="Arial" w:eastAsia="Arial" w:hAnsi="Arial"/>
          <w:sz w:val="18"/>
          <w:szCs w:val="18"/>
          <w:color w:val="auto"/>
        </w:rPr>
        <w:t>outstanding borrowings under the Ex-Im Credit Facility.</w:t>
      </w:r>
    </w:p>
    <w:p>
      <w:pPr>
        <w:spacing w:after="0" w:line="15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During the first three months of fiscal year 2020, the Company received the remaining insurance proceeds of $ 2.3 million, which were in addition to the $185.7 million of insurance proceeds received in fiscal year 2019 related to the ViaSat-2 satellite, all of which were used to pay down outstanding borrowings under the Ex-Im Credit Facility upon receipt (see Note 1 — Basis of Presentation – Property, equipment and satellites for more information). The Ex-Im Credit Facility is guaranteed by Viasat and is secured by first-priority liens on the ViaSat-2 satellite and related assets, as well as a pledge of the capital stock of the borrower under the facility.</w:t>
      </w:r>
    </w:p>
    <w:p>
      <w:pPr>
        <w:spacing w:after="0" w:line="153"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December 31, 2019.</w:t>
      </w:r>
    </w:p>
    <w:p>
      <w:pPr>
        <w:spacing w:after="0" w:line="148"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 -term debt, net of unamortized discount and debt issuance costs, in the Company’s condensed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95"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49"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Revolving Credit Facility. As of December 31, 2019, none of the Company’s subsidiaries guaranteed the 2027 Notes. The 2027 Notes are secured, equally and ratably with the Revolving Credit Facility and any future parity lien debt, by liens on substantially all of the Company’s assets.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80" w:firstLine="518"/>
        <w:spacing w:after="0" w:line="237" w:lineRule="auto"/>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the Company’s subsidiaries that do not guarantee the 2027 Notes (including obligations of the borrower under the Ex-Im Credit Facility), and are senior in right of payment to all of the Company’s existing and future subordinated indebtedness.</w:t>
      </w:r>
    </w:p>
    <w:p>
      <w:pPr>
        <w:spacing w:after="0" w:line="149"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Prior to April 15, 2022, the Company may redeem up to 40% of the 2027 Notes at a redemption price of 105.625% of the principal amount thereof, plus accrued and unpaid interest, if any, thereon to the redemption date, from the net cash proceeds of specified equity offerings. The Company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 (1) 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 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51"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81"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51"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The 2025 Notes are required to be guaranteed on an unsecured senior basis by each of the Company’s existing and future subsidiaries that guarantees the Revolving Credit Facility. As of December 31, 2019,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149"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Prior to September 15, 2020, the Company may redeem up to 40% of the 2025 Notes at a redemption price of 105.625% of the principal amount thereof, plus accrued and unpaid interest, if any, thereon to the redemption date, from the net cash proceeds of specified equity offerings. The Company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governing the 2025 Notes)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 101.406%, and at any time on or after September 15, 2022 at a redemption price of 100%, in each case plus accrued and unpaid interest, if any, thereon to the redemption date.</w:t>
      </w:r>
    </w:p>
    <w:p>
      <w:pPr>
        <w:spacing w:after="0" w:line="151"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Product Warranty</w:t>
      </w:r>
    </w:p>
    <w:p>
      <w:pPr>
        <w:spacing w:after="0" w:line="85"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nine months ended December 31, 2019 and 2018:</w:t>
      </w:r>
    </w:p>
    <w:p>
      <w:pPr>
        <w:spacing w:after="0" w:line="276" w:lineRule="exact"/>
        <w:rPr>
          <w:sz w:val="20"/>
          <w:szCs w:val="20"/>
          <w:color w:val="auto"/>
        </w:rPr>
      </w:pPr>
    </w:p>
    <w:tbl>
      <w:tblPr>
        <w:tblLayout w:type="fixed"/>
        <w:tblInd w:w="172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5"/>
                <w:szCs w:val="15"/>
                <w:color w:val="auto"/>
              </w:rPr>
            </w:pPr>
          </w:p>
        </w:tc>
      </w:tr>
      <w:tr>
        <w:trPr>
          <w:trHeight w:val="156"/>
        </w:trPr>
        <w:tc>
          <w:tcPr>
            <w:tcW w:w="4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440"/>
              <w:spacing w:after="0" w:line="156"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300" w:type="dxa"/>
            <w:vAlign w:val="bottom"/>
            <w:gridSpan w:val="2"/>
          </w:tcPr>
          <w:p>
            <w:pPr>
              <w:jc w:val="right"/>
              <w:ind w:right="320"/>
              <w:spacing w:after="0" w:line="156"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4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r>
      <w:tr>
        <w:trPr>
          <w:trHeight w:val="169"/>
        </w:trPr>
        <w:tc>
          <w:tcPr>
            <w:tcW w:w="4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6,914</w:t>
            </w:r>
          </w:p>
        </w:tc>
        <w:tc>
          <w:tcPr>
            <w:tcW w:w="80" w:type="dxa"/>
            <w:vAlign w:val="bottom"/>
            <w:shd w:val="clear" w:color="auto" w:fill="CFF0FC"/>
          </w:tcPr>
          <w:p>
            <w:pPr>
              <w:spacing w:after="0"/>
              <w:rPr>
                <w:sz w:val="18"/>
                <w:szCs w:val="18"/>
                <w:color w:val="auto"/>
              </w:rPr>
            </w:pPr>
          </w:p>
        </w:tc>
      </w:tr>
      <w:tr>
        <w:trPr>
          <w:trHeight w:val="216"/>
        </w:trPr>
        <w:tc>
          <w:tcPr>
            <w:tcW w:w="4520" w:type="dxa"/>
            <w:vAlign w:val="bottom"/>
          </w:tcPr>
          <w:p>
            <w:pPr>
              <w:ind w:left="240"/>
              <w:spacing w:after="0"/>
              <w:rPr>
                <w:sz w:val="20"/>
                <w:szCs w:val="20"/>
                <w:color w:val="auto"/>
              </w:rPr>
            </w:pPr>
            <w:r>
              <w:rPr>
                <w:rFonts w:ascii="Arial" w:cs="Arial" w:eastAsia="Arial" w:hAnsi="Arial"/>
                <w:sz w:val="18"/>
                <w:szCs w:val="18"/>
                <w:color w:val="auto"/>
              </w:rPr>
              <w:t>Change in liability for warranties issued in period</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2,982</w:t>
            </w:r>
          </w:p>
        </w:tc>
        <w:tc>
          <w:tcPr>
            <w:tcW w:w="80" w:type="dxa"/>
            <w:vAlign w:val="bottom"/>
          </w:tcPr>
          <w:p>
            <w:pPr>
              <w:spacing w:after="0"/>
              <w:rPr>
                <w:sz w:val="18"/>
                <w:szCs w:val="18"/>
                <w:color w:val="auto"/>
              </w:rPr>
            </w:pPr>
          </w:p>
        </w:tc>
      </w:tr>
      <w:tr>
        <w:trPr>
          <w:trHeight w:val="215"/>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Settlements made (in cash or in kind) during the</w:t>
            </w: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452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period</w:t>
            </w:r>
          </w:p>
        </w:tc>
        <w:tc>
          <w:tcPr>
            <w:tcW w:w="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(3,729)</w:t>
            </w:r>
          </w:p>
        </w:tc>
        <w:tc>
          <w:tcPr>
            <w:tcW w:w="1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(2,889)</w:t>
            </w:r>
          </w:p>
        </w:tc>
      </w:tr>
      <w:tr>
        <w:trPr>
          <w:trHeight w:val="20"/>
        </w:trPr>
        <w:tc>
          <w:tcPr>
            <w:tcW w:w="4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Balance, end of period</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10,071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7,007</w:t>
            </w:r>
          </w:p>
        </w:tc>
        <w:tc>
          <w:tcPr>
            <w:tcW w:w="80" w:type="dxa"/>
            <w:vAlign w:val="bottom"/>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85"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In July 2019, the Company entered into an agreement with Boeing for the construction and purchase of a third ViaSat-3 class satellite and the integration of Viasat’s payload technologies into the satellite. This satellite is expected to provide broadband services over the Asia and Pacific (APAC) region.</w:t>
      </w:r>
    </w:p>
    <w:p>
      <w:pPr>
        <w:spacing w:after="0" w:line="18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From time to time,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2019. As of December 31, 2019, the DCAA had completed its incurred cost audit for fiscal years 2004 and 2016 and approved the Company’s incurred costs for those fiscal years, as well as approved the Company’s incurred costs for fiscal years 2005 through 2015, 2017 and 2018 without further audit based on the determination of low risk. Although the Company has recorded contract revenues subsequent to fiscal year 2018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31, 2019 and March 31, 2019, the Company had $6.8 million and $4.9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 However, when a reliable estimate cannot be made, the Company computes its provision for income taxes using the actual effective tax rate (discrete method) for the year-to-date period. The Company’s effective tax rate is highly influenced by the amount of its R&amp;D tax credits. A small change in estimated annual pretax income (loss) can produce a significant variance in the annual effective tax rate given the Company’s expected amount of R&amp;D tax credits. This variability provides an unreliable estimate of the annual effective tax rate. As a result, and in accordance with the authoritative guidance for accounting for income taxes in interim periods, the Company has computed its provision for income taxes for the three and nine months ended December 31, 2019 by applying the actual effective tax rate to the quarter-to-date and year-to-date income (loss) for the three-month and nine-month periods.</w:t>
      </w:r>
    </w:p>
    <w:p>
      <w:pPr>
        <w:spacing w:after="0" w:line="154" w:lineRule="exact"/>
        <w:rPr>
          <w:sz w:val="20"/>
          <w:szCs w:val="20"/>
          <w:color w:val="auto"/>
        </w:rPr>
      </w:pPr>
    </w:p>
    <w:p>
      <w:pPr>
        <w:ind w:right="60" w:firstLine="518"/>
        <w:spacing w:after="0"/>
        <w:rPr>
          <w:sz w:val="20"/>
          <w:szCs w:val="20"/>
          <w:color w:val="auto"/>
        </w:rPr>
      </w:pPr>
      <w:r>
        <w:rPr>
          <w:rFonts w:ascii="Arial" w:cs="Arial" w:eastAsia="Arial" w:hAnsi="Arial"/>
          <w:sz w:val="18"/>
          <w:szCs w:val="18"/>
          <w:color w:val="auto"/>
        </w:rPr>
        <w:t>For the three and nine months ended December 31, 2019, the Company recorded an income tax benefit of $3.9 million and $8.7 million, respectively, resulting in effective tax benefit rates of negative 80% and positive 211%, respectively. The effective tax rates for the periods differed from the U.S. statutory rate due primarily to the benefit of federal and state R&amp;D tax credits.</w:t>
      </w:r>
    </w:p>
    <w:p>
      <w:pPr>
        <w:spacing w:after="0" w:line="149"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For the three and nine months ended December 31, 2018, the Company recorded an income tax provision of $3.2 million and an income tax benefit of $35.7 million, respectively, resulting in a negative effective tax rate of 36% and an effective tax benefit rate of 32%, respectively. The effective tax rates for the periods differed from the U.S. statutory rate due primarily to the benefit of federal and state R&amp;D tax credits, offset by an increase in valuation allowances on state net operating losses and state R&amp;D tax credits.</w:t>
      </w:r>
    </w:p>
    <w:p>
      <w:pPr>
        <w:spacing w:after="0" w:line="148"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48"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For the three and nine months ended December 31, 2019, the Company’s gross unrecognized tax benefits increased by $3.6 million and $10.0 million, respectively. In the next 12 months it is reasonably possible that the amount of unrecognized tax benefits will not change significantly.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ind w:right="5400"/>
        <w:spacing w:after="0" w:line="333" w:lineRule="auto"/>
        <w:rPr>
          <w:sz w:val="20"/>
          <w:szCs w:val="20"/>
          <w:color w:val="auto"/>
        </w:rPr>
      </w:pPr>
      <w:r>
        <w:rPr>
          <w:rFonts w:ascii="Arial" w:cs="Arial" w:eastAsia="Arial" w:hAnsi="Arial"/>
          <w:sz w:val="18"/>
          <w:szCs w:val="18"/>
          <w:b w:val="1"/>
          <w:bCs w:val="1"/>
          <w:color w:val="auto"/>
        </w:rPr>
        <w:t xml:space="preserve">Note 11 — Equity Method Investments and Related-Party Transactions </w:t>
      </w:r>
      <w:r>
        <w:rPr>
          <w:rFonts w:ascii="Arial" w:cs="Arial" w:eastAsia="Arial" w:hAnsi="Arial"/>
          <w:sz w:val="18"/>
          <w:szCs w:val="18"/>
          <w:b w:val="1"/>
          <w:bCs w:val="1"/>
          <w:i w:val="1"/>
          <w:iCs w:val="1"/>
          <w:color w:val="auto"/>
        </w:rPr>
        <w:t>Eutelsat strategic partnering arrangement</w:t>
      </w:r>
    </w:p>
    <w:p>
      <w:pPr>
        <w:spacing w:after="0" w:line="1"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In March 2017, the Company acquired a 49% interest in Euro Broadband Infrastructure Sàrl (Euro Infrastructure Co.) for $139.5 million as part of the consummation of the Company’s strategic partnering arrangement with Eutelsat. The Company’s investment in Euro Infrastructure Co. is accounted for under the equity method and the total investment, including basis difference allocated to tangible assets, identifiable intangible assets, deferred income taxes and goodwill, is classified as a single line item, as an investment in unconsolidated affiliate, on the Company’s condensed consolidated balance sheets. Because the underlying net assets in Euro Infrastructure Co. and the related excess carrying value of investment over the proportionate share of net assets are denominated in Euros, foreign currency translation gains or losses impact the recorded value of the Company’s investment. The Company recorded foreign currency translation losses, net of tax, of approximately $4.2 million and $ 5.0 million for the three and nine months ended December 31, 2019, respectively, in accumulated other comprehensive income (loss). The Company recorded foreign currency translation losses, net of tax, of an insignificant amount and $3.8 million for the three and nine months ended December 31, 2018, respectively, in accumulated other comprehensive income (loss). The Company records its proportionate share of the results of Euro Infrastructure Co., and any related basis difference amortization expense, within equity in income (loss) of unconsolidated affiliate, net, one quarter in arrears. Accordingly, the Company included its share of the results of Euro Infrastructure Co. for the three and nine months ended September 30, 2019 in its condensed consolidated financial statements for the three and nine months ended December 31, 2019, respectively, and the Company included its share of the results of Euro Infrastructure Co. for the three and nine months ended September 30, 2018 in its condensed consolidated financial statements for the three and nine months ended December 31, 2018, respectively. The Company’s investment in Euro Infrastructure Co. is presented at cost of investment plus its accumulated proportional share of income or loss, including amortization of the difference in the historical basis of the Company’s contribution, less any distributions it has received.</w:t>
      </w:r>
    </w:p>
    <w:p>
      <w:pPr>
        <w:spacing w:after="0" w:line="160" w:lineRule="exact"/>
        <w:rPr>
          <w:sz w:val="20"/>
          <w:szCs w:val="20"/>
          <w:color w:val="auto"/>
        </w:rPr>
      </w:pPr>
    </w:p>
    <w:p>
      <w:pPr>
        <w:ind w:right="200" w:firstLine="518"/>
        <w:spacing w:after="0" w:line="246" w:lineRule="auto"/>
        <w:rPr>
          <w:sz w:val="20"/>
          <w:szCs w:val="20"/>
          <w:color w:val="auto"/>
        </w:rPr>
      </w:pPr>
      <w:r>
        <w:rPr>
          <w:rFonts w:ascii="Arial" w:cs="Arial" w:eastAsia="Arial" w:hAnsi="Arial"/>
          <w:sz w:val="18"/>
          <w:szCs w:val="18"/>
          <w:color w:val="auto"/>
        </w:rPr>
        <w:t>The difference between the Company’s carrying value of its investment in Euro Infrastructure Co. and its proportionate share of the net assets of Euro Infrastructure Co. as of December 31, 2019 and March 31, 2019 is summarized as follows:</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March 31, 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4600" w:type="dxa"/>
            <w:vAlign w:val="bottom"/>
            <w:shd w:val="clear" w:color="auto" w:fill="CFF0FC"/>
          </w:tcPr>
          <w:p>
            <w:pPr>
              <w:spacing w:after="0"/>
              <w:rPr>
                <w:sz w:val="20"/>
                <w:szCs w:val="20"/>
                <w:color w:val="auto"/>
              </w:rPr>
            </w:pPr>
            <w:r>
              <w:rPr>
                <w:rFonts w:ascii="Arial" w:cs="Arial" w:eastAsia="Arial" w:hAnsi="Arial"/>
                <w:sz w:val="17"/>
                <w:szCs w:val="17"/>
                <w:color w:val="auto"/>
              </w:rPr>
              <w:t>Carrying value of investment in Euro Infrastructure Co.</w:t>
            </w:r>
          </w:p>
        </w:tc>
        <w:tc>
          <w:tcPr>
            <w:tcW w:w="76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158,358</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160,711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tcPr>
          <w:p>
            <w:pPr>
              <w:spacing w:after="0"/>
              <w:rPr>
                <w:sz w:val="20"/>
                <w:szCs w:val="20"/>
                <w:color w:val="auto"/>
              </w:rPr>
            </w:pPr>
            <w:r>
              <w:rPr>
                <w:rFonts w:ascii="Arial" w:cs="Arial" w:eastAsia="Arial" w:hAnsi="Arial"/>
                <w:sz w:val="17"/>
                <w:szCs w:val="17"/>
                <w:color w:val="auto"/>
              </w:rPr>
              <w:t>Less: proportionate share of net assets of Euro</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600" w:type="dxa"/>
            <w:vAlign w:val="bottom"/>
            <w:tcBorders>
              <w:bottom w:val="single" w:sz="8" w:color="CFF0FC"/>
            </w:tcBorders>
          </w:tcPr>
          <w:p>
            <w:pPr>
              <w:ind w:left="140"/>
              <w:spacing w:after="0"/>
              <w:rPr>
                <w:sz w:val="20"/>
                <w:szCs w:val="20"/>
                <w:color w:val="auto"/>
              </w:rPr>
            </w:pPr>
            <w:r>
              <w:rPr>
                <w:rFonts w:ascii="Arial" w:cs="Arial" w:eastAsia="Arial" w:hAnsi="Arial"/>
                <w:sz w:val="17"/>
                <w:szCs w:val="17"/>
                <w:color w:val="auto"/>
              </w:rPr>
              <w:t>Infrastructure Co.</w:t>
            </w:r>
          </w:p>
        </w:tc>
        <w:tc>
          <w:tcPr>
            <w:tcW w:w="4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143,139</w:t>
            </w:r>
          </w:p>
        </w:tc>
        <w:tc>
          <w:tcPr>
            <w:tcW w:w="14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145,016</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0" w:type="dxa"/>
            <w:vAlign w:val="bottom"/>
            <w:shd w:val="clear" w:color="auto" w:fill="CFF0FC"/>
          </w:tcPr>
          <w:p>
            <w:pPr>
              <w:ind w:left="240"/>
              <w:spacing w:after="0" w:line="190" w:lineRule="exact"/>
              <w:rPr>
                <w:sz w:val="20"/>
                <w:szCs w:val="20"/>
                <w:color w:val="auto"/>
              </w:rPr>
            </w:pPr>
            <w:r>
              <w:rPr>
                <w:rFonts w:ascii="Arial" w:cs="Arial" w:eastAsia="Arial" w:hAnsi="Arial"/>
                <w:sz w:val="17"/>
                <w:szCs w:val="17"/>
                <w:color w:val="auto"/>
              </w:rPr>
              <w:t>Excess carrying value of investment over</w:t>
            </w:r>
          </w:p>
        </w:tc>
        <w:tc>
          <w:tcPr>
            <w:tcW w:w="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00" w:type="dxa"/>
            <w:vAlign w:val="bottom"/>
            <w:shd w:val="clear" w:color="auto" w:fill="CFF0FC"/>
          </w:tcPr>
          <w:p>
            <w:pPr>
              <w:ind w:left="400"/>
              <w:spacing w:after="0"/>
              <w:rPr>
                <w:sz w:val="20"/>
                <w:szCs w:val="20"/>
                <w:color w:val="auto"/>
              </w:rPr>
            </w:pPr>
            <w:r>
              <w:rPr>
                <w:rFonts w:ascii="Arial" w:cs="Arial" w:eastAsia="Arial" w:hAnsi="Arial"/>
                <w:sz w:val="17"/>
                <w:szCs w:val="17"/>
                <w:color w:val="auto"/>
              </w:rPr>
              <w:t>proportionate share of net assets</w:t>
            </w:r>
          </w:p>
        </w:tc>
        <w:tc>
          <w:tcPr>
            <w:tcW w:w="76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15,219</w:t>
            </w:r>
          </w:p>
        </w:tc>
        <w:tc>
          <w:tcPr>
            <w:tcW w:w="14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15,695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The excess carrying value has been primarily</w:t>
            </w:r>
          </w:p>
        </w:tc>
        <w:tc>
          <w:tcPr>
            <w:tcW w:w="4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600" w:type="dxa"/>
            <w:vAlign w:val="bottom"/>
          </w:tcPr>
          <w:p>
            <w:pPr>
              <w:ind w:left="140"/>
              <w:spacing w:after="0"/>
              <w:rPr>
                <w:sz w:val="20"/>
                <w:szCs w:val="20"/>
                <w:color w:val="auto"/>
              </w:rPr>
            </w:pPr>
            <w:r>
              <w:rPr>
                <w:rFonts w:ascii="Arial" w:cs="Arial" w:eastAsia="Arial" w:hAnsi="Arial"/>
                <w:sz w:val="17"/>
                <w:szCs w:val="17"/>
                <w:color w:val="auto"/>
              </w:rPr>
              <w:t>assigned to:</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Goodwill</w:t>
            </w:r>
          </w:p>
        </w:tc>
        <w:tc>
          <w:tcPr>
            <w:tcW w:w="76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21,548</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22,476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40"/>
              <w:spacing w:after="0"/>
              <w:rPr>
                <w:sz w:val="20"/>
                <w:szCs w:val="20"/>
                <w:color w:val="auto"/>
              </w:rPr>
            </w:pPr>
            <w:r>
              <w:rPr>
                <w:rFonts w:ascii="Arial" w:cs="Arial" w:eastAsia="Arial" w:hAnsi="Arial"/>
                <w:sz w:val="17"/>
                <w:szCs w:val="17"/>
                <w:color w:val="auto"/>
              </w:rPr>
              <w:t>Identifiable intangible assets</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9,090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10,670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Tangible assets</w:t>
            </w:r>
          </w:p>
        </w:tc>
        <w:tc>
          <w:tcPr>
            <w:tcW w:w="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(16,418)</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(18,522)</w:t>
            </w:r>
          </w:p>
        </w:tc>
        <w:tc>
          <w:tcPr>
            <w:tcW w:w="0" w:type="dxa"/>
            <w:vAlign w:val="bottom"/>
          </w:tcPr>
          <w:p>
            <w:pPr>
              <w:spacing w:after="0"/>
              <w:rPr>
                <w:sz w:val="1"/>
                <w:szCs w:val="1"/>
                <w:color w:val="auto"/>
              </w:rPr>
            </w:pPr>
          </w:p>
        </w:tc>
      </w:tr>
      <w:tr>
        <w:trPr>
          <w:trHeight w:val="203"/>
        </w:trPr>
        <w:tc>
          <w:tcPr>
            <w:tcW w:w="46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Deferred income taxes</w:t>
            </w:r>
          </w:p>
        </w:tc>
        <w:tc>
          <w:tcPr>
            <w:tcW w:w="4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999</w:t>
            </w:r>
          </w:p>
        </w:tc>
        <w:tc>
          <w:tcPr>
            <w:tcW w:w="14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1,071</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ind w:left="46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15,219</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40" w:firstLine="518"/>
        <w:spacing w:after="0" w:line="248" w:lineRule="auto"/>
        <w:rPr>
          <w:sz w:val="20"/>
          <w:szCs w:val="20"/>
          <w:color w:val="auto"/>
        </w:rPr>
      </w:pPr>
      <w:r>
        <w:rPr>
          <w:rFonts w:ascii="Arial" w:cs="Arial" w:eastAsia="Arial" w:hAnsi="Arial"/>
          <w:sz w:val="18"/>
          <w:szCs w:val="18"/>
          <w:color w:val="auto"/>
        </w:rPr>
        <w:t>The identifiable intangible assets have useful lives of up to 11 years and a weighted average useful life of approximately ten years, and tangible assets have useful lives of up to 11 years and a weighted average useful life of approximately 11 years. Goodwill is not deductible for tax purposes.</w:t>
      </w:r>
    </w:p>
    <w:p>
      <w:pPr>
        <w:spacing w:after="0" w:line="142"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The Company’s share of income on its investment in Euro Infrastructure Co. was income of $1.8 million and $4.3 million for the three and nine months ended December 31, 2019, respectively, and income of $1.4 million and $2.7 million for the three and nine months ended December 31, 2018, respectively, consisting of the Company’s share of equity in Euro Infrastructure Co.’s income, including amortization of the difference in the historical basis of the Company’s contribution.</w:t>
      </w:r>
    </w:p>
    <w:p>
      <w:pPr>
        <w:spacing w:after="0" w:line="148" w:lineRule="exact"/>
        <w:rPr>
          <w:sz w:val="20"/>
          <w:szCs w:val="20"/>
          <w:color w:val="auto"/>
        </w:rPr>
      </w:pPr>
    </w:p>
    <w:p>
      <w:pPr>
        <w:ind w:right="480" w:firstLine="518"/>
        <w:spacing w:after="0" w:line="246" w:lineRule="auto"/>
        <w:rPr>
          <w:sz w:val="20"/>
          <w:szCs w:val="20"/>
          <w:color w:val="auto"/>
        </w:rPr>
      </w:pPr>
      <w:r>
        <w:rPr>
          <w:rFonts w:ascii="Arial" w:cs="Arial" w:eastAsia="Arial" w:hAnsi="Arial"/>
          <w:sz w:val="18"/>
          <w:szCs w:val="18"/>
          <w:color w:val="auto"/>
        </w:rPr>
        <w:t>Since acquiring its interest in Euro Infrastructure Co., the Company has recorded $10.7 million in retained earnings of undistributed cumulative earnings in equity interests, net of tax, as of December 31, 2019.</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jc w:val="center"/>
        <w:ind w:right="-17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9" w:lineRule="exact"/>
        <w:rPr>
          <w:sz w:val="20"/>
          <w:szCs w:val="20"/>
          <w:color w:val="auto"/>
        </w:rPr>
      </w:pPr>
    </w:p>
    <w:p>
      <w:pPr>
        <w:ind w:right="440" w:firstLine="518"/>
        <w:spacing w:after="0"/>
        <w:rPr>
          <w:sz w:val="20"/>
          <w:szCs w:val="20"/>
          <w:color w:val="auto"/>
        </w:rPr>
      </w:pPr>
      <w:r>
        <w:rPr>
          <w:rFonts w:ascii="Arial" w:cs="Arial" w:eastAsia="Arial" w:hAnsi="Arial"/>
          <w:sz w:val="18"/>
          <w:szCs w:val="18"/>
          <w:color w:val="auto"/>
        </w:rPr>
        <w:t>Transactions with the equity method investee are considered related-party transactions. The following tables set forth the material related-party transactions entered into between Euro Infrastructure Co. and its subsidiaries, on the one hand, and the Company and its subsidiaries, on the other hand, in the ordinary course of business for the time periods presented: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left="119"/>
              <w:spacing w:after="0"/>
              <w:rPr>
                <w:sz w:val="20"/>
                <w:szCs w:val="20"/>
                <w:color w:val="auto"/>
              </w:rPr>
            </w:pPr>
            <w:r>
              <w:rPr>
                <w:rFonts w:ascii="Arial" w:cs="Arial" w:eastAsia="Arial" w:hAnsi="Arial"/>
                <w:sz w:val="14"/>
                <w:szCs w:val="14"/>
                <w:b w:val="1"/>
                <w:bCs w:val="1"/>
                <w:color w:val="auto"/>
              </w:rPr>
              <w:t>Nine Months Ended</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138"/>
              <w:spacing w:after="0" w:line="156" w:lineRule="exact"/>
              <w:rPr>
                <w:sz w:val="20"/>
                <w:szCs w:val="20"/>
                <w:color w:val="auto"/>
              </w:rPr>
            </w:pPr>
            <w:r>
              <w:rPr>
                <w:rFonts w:ascii="Arial" w:cs="Arial" w:eastAsia="Arial" w:hAnsi="Arial"/>
                <w:sz w:val="14"/>
                <w:szCs w:val="14"/>
                <w:b w:val="1"/>
                <w:bCs w:val="1"/>
                <w:color w:val="auto"/>
                <w:w w:val="98"/>
              </w:rPr>
              <w:t>December 31,</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39"/>
              <w:spacing w:after="0" w:line="156" w:lineRule="exact"/>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14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64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2018</w:t>
            </w:r>
          </w:p>
        </w:tc>
      </w:tr>
      <w:tr>
        <w:trPr>
          <w:trHeight w:val="169"/>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Revenue – Euro Infrastructure Co.</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1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w:t>
            </w:r>
          </w:p>
        </w:tc>
        <w:tc>
          <w:tcPr>
            <w:tcW w:w="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8,469</w:t>
            </w:r>
          </w:p>
        </w:tc>
        <w:tc>
          <w:tcPr>
            <w:tcW w:w="480" w:type="dxa"/>
            <w:vAlign w:val="bottom"/>
            <w:tcBorders>
              <w:right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60" w:type="dxa"/>
            <w:vAlign w:val="bottom"/>
            <w:gridSpan w:val="4"/>
          </w:tcPr>
          <w:p>
            <w:pPr>
              <w:ind w:left="240"/>
              <w:spacing w:after="0"/>
              <w:rPr>
                <w:sz w:val="20"/>
                <w:szCs w:val="20"/>
                <w:color w:val="auto"/>
              </w:rPr>
            </w:pPr>
            <w:r>
              <w:rPr>
                <w:rFonts w:ascii="Arial" w:cs="Arial" w:eastAsia="Arial" w:hAnsi="Arial"/>
                <w:sz w:val="18"/>
                <w:szCs w:val="18"/>
                <w:color w:val="auto"/>
              </w:rPr>
              <w:t>Expense – Euro Infrastructure Co.</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1,815</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5,664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10,720</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10,254</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received – Euro Infrastructure Co.</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6,253</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4,048</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8,605</w:t>
            </w:r>
          </w:p>
        </w:tc>
        <w:tc>
          <w:tcPr>
            <w:tcW w:w="480" w:type="dxa"/>
            <w:vAlign w:val="bottom"/>
            <w:tcBorders>
              <w:right w:val="single" w:sz="8" w:color="CFF0FC"/>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10,102</w:t>
            </w:r>
          </w:p>
        </w:tc>
        <w:tc>
          <w:tcPr>
            <w:tcW w:w="100" w:type="dxa"/>
            <w:vAlign w:val="bottom"/>
            <w:shd w:val="clear" w:color="auto" w:fill="CFF0FC"/>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4560" w:type="dxa"/>
            <w:vAlign w:val="bottom"/>
            <w:gridSpan w:val="4"/>
          </w:tcPr>
          <w:p>
            <w:pPr>
              <w:ind w:left="240"/>
              <w:spacing w:after="0"/>
              <w:rPr>
                <w:sz w:val="20"/>
                <w:szCs w:val="20"/>
                <w:color w:val="auto"/>
              </w:rPr>
            </w:pPr>
            <w:r>
              <w:rPr>
                <w:rFonts w:ascii="Arial" w:cs="Arial" w:eastAsia="Arial" w:hAnsi="Arial"/>
                <w:sz w:val="18"/>
                <w:szCs w:val="18"/>
                <w:color w:val="auto"/>
              </w:rPr>
              <w:t>Cash paid – Euro Infrastructure Co.</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3,198</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6,585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10,654</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10,677</w:t>
            </w:r>
          </w:p>
        </w:tc>
        <w:tc>
          <w:tcPr>
            <w:tcW w:w="100" w:type="dxa"/>
            <w:vAlign w:val="bottom"/>
          </w:tcPr>
          <w:p>
            <w:pPr>
              <w:spacing w:after="0"/>
              <w:rPr>
                <w:sz w:val="19"/>
                <w:szCs w:val="19"/>
                <w:color w:val="auto"/>
              </w:rPr>
            </w:pPr>
          </w:p>
        </w:tc>
      </w:tr>
      <w:tr>
        <w:trPr>
          <w:trHeight w:val="351"/>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2"/>
          </w:tcPr>
          <w:p>
            <w:pPr>
              <w:ind w:left="20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As of</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20" w:type="dxa"/>
            <w:vAlign w:val="bottom"/>
            <w:gridSpan w:val="5"/>
          </w:tcPr>
          <w:p>
            <w:pPr>
              <w:spacing w:after="0"/>
              <w:rPr>
                <w:sz w:val="20"/>
                <w:szCs w:val="20"/>
                <w:color w:val="auto"/>
              </w:rPr>
            </w:pPr>
            <w:r>
              <w:rPr>
                <w:rFonts w:ascii="Arial" w:cs="Arial" w:eastAsia="Arial" w:hAnsi="Arial"/>
                <w:sz w:val="14"/>
                <w:szCs w:val="14"/>
                <w:b w:val="1"/>
                <w:bCs w:val="1"/>
                <w:color w:val="auto"/>
              </w:rPr>
              <w:t>December 31, 2019</w:t>
            </w:r>
          </w:p>
        </w:tc>
        <w:tc>
          <w:tcPr>
            <w:tcW w:w="16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March 31, 2019</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20" w:type="dxa"/>
            <w:vAlign w:val="bottom"/>
            <w:tcBorders>
              <w:top w:val="single" w:sz="8" w:color="auto"/>
            </w:tcBorders>
            <w:gridSpan w:val="5"/>
          </w:tcPr>
          <w:p>
            <w:pPr>
              <w:jc w:val="right"/>
              <w:ind w:right="319"/>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5"/>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gridSpan w:val="4"/>
            <w:shd w:val="clear" w:color="auto" w:fill="CFF0FC"/>
          </w:tcPr>
          <w:p>
            <w:pPr>
              <w:jc w:val="right"/>
              <w:ind w:right="878"/>
              <w:spacing w:after="0"/>
              <w:rPr>
                <w:sz w:val="20"/>
                <w:szCs w:val="20"/>
                <w:color w:val="auto"/>
              </w:rPr>
            </w:pPr>
            <w:r>
              <w:rPr>
                <w:rFonts w:ascii="Arial" w:cs="Arial" w:eastAsia="Arial" w:hAnsi="Arial"/>
                <w:sz w:val="18"/>
                <w:szCs w:val="18"/>
                <w:color w:val="auto"/>
                <w:w w:val="99"/>
              </w:rPr>
              <w:t>Collections in excess of revenues and deferred</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tcBorders>
              <w:right w:val="single" w:sz="8" w:color="CFF0FC"/>
            </w:tcBorders>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revenues – Euro Infrastructure Co.</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8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3,113</w:t>
            </w:r>
          </w:p>
        </w:tc>
        <w:tc>
          <w:tcPr>
            <w:tcW w:w="760" w:type="dxa"/>
            <w:vAlign w:val="bottom"/>
            <w:shd w:val="clear" w:color="auto" w:fill="CFF0FC"/>
          </w:tcPr>
          <w:p>
            <w:pPr>
              <w:jc w:val="right"/>
              <w:ind w:right="499"/>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94"/>
              </w:rPr>
              <w:t>4,703</w:t>
            </w: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5"/>
        </w:trPr>
        <w:tc>
          <w:tcPr>
            <w:tcW w:w="3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360" w:type="dxa"/>
            <w:vAlign w:val="bottom"/>
            <w:gridSpan w:val="2"/>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340" w:type="dxa"/>
            <w:vAlign w:val="bottom"/>
          </w:tcPr>
          <w:p>
            <w:pPr>
              <w:jc w:val="right"/>
              <w:ind w:right="170"/>
              <w:spacing w:after="0"/>
              <w:rPr>
                <w:sz w:val="20"/>
                <w:szCs w:val="20"/>
                <w:color w:val="auto"/>
              </w:rPr>
            </w:pPr>
            <w:r>
              <w:rPr>
                <w:rFonts w:ascii="Arial" w:cs="Arial" w:eastAsia="Arial" w:hAnsi="Arial"/>
                <w:sz w:val="18"/>
                <w:szCs w:val="18"/>
                <w:color w:val="auto"/>
                <w:w w:val="84"/>
              </w:rPr>
              <w:t>*</w:t>
            </w:r>
          </w:p>
        </w:tc>
        <w:tc>
          <w:tcPr>
            <w:tcW w:w="240" w:type="dxa"/>
            <w:vAlign w:val="bottom"/>
          </w:tcPr>
          <w:p>
            <w:pPr>
              <w:spacing w:after="0"/>
              <w:rPr>
                <w:sz w:val="21"/>
                <w:szCs w:val="21"/>
                <w:color w:val="auto"/>
              </w:rPr>
            </w:pPr>
          </w:p>
        </w:tc>
        <w:tc>
          <w:tcPr>
            <w:tcW w:w="4320" w:type="dxa"/>
            <w:vAlign w:val="bottom"/>
            <w:gridSpan w:val="3"/>
          </w:tcPr>
          <w:p>
            <w:pPr>
              <w:ind w:left="140"/>
              <w:spacing w:after="0"/>
              <w:rPr>
                <w:sz w:val="20"/>
                <w:szCs w:val="20"/>
                <w:color w:val="auto"/>
              </w:rPr>
            </w:pPr>
            <w:r>
              <w:rPr>
                <w:rFonts w:ascii="Arial" w:cs="Arial" w:eastAsia="Arial" w:hAnsi="Arial"/>
                <w:sz w:val="18"/>
                <w:szCs w:val="18"/>
                <w:color w:val="auto"/>
              </w:rPr>
              <w:t>Amount was insignificant.</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and related services to residential customers, customers accessing the Company’s services via its Community and Urban Wi-Fi hotspot distribution channels, enterprises, commercial airlines and mobile broadband customers. The Company’s commercial networks segment develops and offers advanced satellite and wireless broadband platforms, ground networking equipment, radio frequency and advanced microwave solutions, Application-Specific Integrated Circuit chip design, satellite payload development and space-to-earth connectivity systems, some of which are ultimately used by the Company’s satellite services segment. The Company’s government systems segment provides global mobile broadband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and nine months ended December 31, 2019 and 2018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jc w:val="right"/>
              <w:ind w:right="97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5"/>
                <w:szCs w:val="15"/>
                <w:color w:val="auto"/>
              </w:rPr>
            </w:pPr>
          </w:p>
        </w:tc>
      </w:tr>
      <w:tr>
        <w:trPr>
          <w:trHeight w:val="169"/>
        </w:trPr>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14"/>
                <w:szCs w:val="1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 2018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4"/>
                <w:szCs w:val="1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December 31, 2018</w:t>
            </w:r>
          </w:p>
        </w:tc>
      </w:tr>
      <w:tr>
        <w:trPr>
          <w:trHeight w:val="169"/>
        </w:trPr>
        <w:tc>
          <w:tcPr>
            <w:tcW w:w="4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540" w:type="dxa"/>
            <w:vAlign w:val="bottom"/>
            <w:tcBorders>
              <w:top w:val="single" w:sz="8" w:color="auto"/>
            </w:tcBorders>
            <w:gridSpan w:val="6"/>
          </w:tcPr>
          <w:p>
            <w:pPr>
              <w:jc w:val="right"/>
              <w:ind w:right="14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ind w:left="260"/>
              <w:spacing w:after="0"/>
              <w:rPr>
                <w:sz w:val="20"/>
                <w:szCs w:val="20"/>
                <w:color w:val="auto"/>
              </w:rPr>
            </w:pPr>
            <w:r>
              <w:rPr>
                <w:rFonts w:ascii="Arial" w:cs="Arial" w:eastAsia="Arial" w:hAnsi="Arial"/>
                <w:sz w:val="18"/>
                <w:szCs w:val="18"/>
                <w:color w:val="auto"/>
              </w:rPr>
              <w:t>Satellite services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211,700</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177,651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614,232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494,174</w:t>
            </w:r>
          </w:p>
        </w:tc>
        <w:tc>
          <w:tcPr>
            <w:tcW w:w="120" w:type="dxa"/>
            <w:vAlign w:val="bottom"/>
            <w:tcBorders>
              <w:bottom w:val="single" w:sz="8" w:color="CFF0FC"/>
            </w:tcBorders>
          </w:tcPr>
          <w:p>
            <w:pPr>
              <w:spacing w:after="0"/>
              <w:rPr>
                <w:sz w:val="18"/>
                <w:szCs w:val="18"/>
                <w:color w:val="auto"/>
              </w:rPr>
            </w:pPr>
          </w:p>
        </w:tc>
      </w:tr>
      <w:tr>
        <w:trPr>
          <w:trHeight w:val="210"/>
        </w:trPr>
        <w:tc>
          <w:tcPr>
            <w:tcW w:w="41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177,651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614,232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494,174</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ind w:left="260"/>
              <w:spacing w:after="0"/>
              <w:rPr>
                <w:sz w:val="20"/>
                <w:szCs w:val="20"/>
                <w:color w:val="auto"/>
              </w:rPr>
            </w:pPr>
            <w:r>
              <w:rPr>
                <w:rFonts w:ascii="Arial" w:cs="Arial" w:eastAsia="Arial" w:hAnsi="Arial"/>
                <w:sz w:val="18"/>
                <w:szCs w:val="18"/>
                <w:color w:val="auto"/>
              </w:rPr>
              <w:t>Commercial networks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73,182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115,409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212,226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304,732</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11,544</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31,831</w:t>
            </w:r>
          </w:p>
        </w:tc>
        <w:tc>
          <w:tcPr>
            <w:tcW w:w="120" w:type="dxa"/>
            <w:vAlign w:val="bottom"/>
            <w:tcBorders>
              <w:bottom w:val="single" w:sz="8" w:color="CFF0FC"/>
            </w:tcBorders>
          </w:tcPr>
          <w:p>
            <w:pPr>
              <w:spacing w:after="0"/>
              <w:rPr>
                <w:sz w:val="18"/>
                <w:szCs w:val="18"/>
                <w:color w:val="auto"/>
              </w:rPr>
            </w:pPr>
          </w:p>
        </w:tc>
      </w:tr>
      <w:tr>
        <w:trPr>
          <w:trHeight w:val="210"/>
        </w:trPr>
        <w:tc>
          <w:tcPr>
            <w:tcW w:w="41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84,726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126,977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251,746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336,563</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ind w:left="260"/>
              <w:spacing w:after="0"/>
              <w:rPr>
                <w:sz w:val="20"/>
                <w:szCs w:val="20"/>
                <w:color w:val="auto"/>
              </w:rPr>
            </w:pPr>
            <w:r>
              <w:rPr>
                <w:rFonts w:ascii="Arial" w:cs="Arial" w:eastAsia="Arial" w:hAnsi="Arial"/>
                <w:sz w:val="18"/>
                <w:szCs w:val="18"/>
                <w:color w:val="auto"/>
              </w:rPr>
              <w:t>Government systems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Product</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229,908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186,456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661,309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495,697</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Service</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61,890</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63,610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190,230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184,603</w:t>
            </w:r>
          </w:p>
        </w:tc>
        <w:tc>
          <w:tcPr>
            <w:tcW w:w="120" w:type="dxa"/>
            <w:vAlign w:val="bottom"/>
            <w:tcBorders>
              <w:bottom w:val="single" w:sz="8" w:color="CFF0FC"/>
            </w:tcBorders>
          </w:tcPr>
          <w:p>
            <w:pPr>
              <w:spacing w:after="0"/>
              <w:rPr>
                <w:sz w:val="18"/>
                <w:szCs w:val="18"/>
                <w:color w:val="auto"/>
              </w:rPr>
            </w:pPr>
          </w:p>
        </w:tc>
      </w:tr>
      <w:tr>
        <w:trPr>
          <w:trHeight w:val="210"/>
        </w:trPr>
        <w:tc>
          <w:tcPr>
            <w:tcW w:w="41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291,798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250,066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851,539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680,300</w:t>
            </w: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Elimination of intersegment revenues</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r>
      <w:tr>
        <w:trPr>
          <w:trHeight w:val="21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588,224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554,694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1,717,517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1,511,037</w:t>
            </w:r>
          </w:p>
        </w:tc>
        <w:tc>
          <w:tcPr>
            <w:tcW w:w="120" w:type="dxa"/>
            <w:vAlign w:val="bottom"/>
            <w:shd w:val="clear" w:color="auto" w:fill="CFF0FC"/>
          </w:tcPr>
          <w:p>
            <w:pPr>
              <w:spacing w:after="0"/>
              <w:rPr>
                <w:sz w:val="18"/>
                <w:szCs w:val="18"/>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profits (losses):</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180" w:type="dxa"/>
            <w:vAlign w:val="bottom"/>
          </w:tcPr>
          <w:p>
            <w:pPr>
              <w:ind w:left="260"/>
              <w:spacing w:after="0"/>
              <w:rPr>
                <w:sz w:val="20"/>
                <w:szCs w:val="20"/>
                <w:color w:val="auto"/>
              </w:rPr>
            </w:pPr>
            <w:r>
              <w:rPr>
                <w:rFonts w:ascii="Arial" w:cs="Arial" w:eastAsia="Arial" w:hAnsi="Arial"/>
                <w:sz w:val="18"/>
                <w:szCs w:val="18"/>
                <w:color w:val="auto"/>
              </w:rPr>
              <w:t>Satellite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(10,196)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6,648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(64,971)</w:t>
            </w:r>
          </w:p>
        </w:tc>
      </w:tr>
      <w:tr>
        <w:trPr>
          <w:trHeight w:val="216"/>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networks</w:t>
            </w: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(46,917)</w:t>
            </w:r>
          </w:p>
        </w:tc>
        <w:tc>
          <w:tcPr>
            <w:tcW w:w="1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(31,219)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(143,559)</w:t>
            </w: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(117,424)</w:t>
            </w:r>
          </w:p>
        </w:tc>
      </w:tr>
      <w:tr>
        <w:trPr>
          <w:trHeight w:val="216"/>
        </w:trPr>
        <w:tc>
          <w:tcPr>
            <w:tcW w:w="4180" w:type="dxa"/>
            <w:vAlign w:val="bottom"/>
          </w:tcPr>
          <w:p>
            <w:pPr>
              <w:ind w:left="260"/>
              <w:spacing w:after="0"/>
              <w:rPr>
                <w:sz w:val="20"/>
                <w:szCs w:val="20"/>
                <w:color w:val="auto"/>
              </w:rPr>
            </w:pPr>
            <w:r>
              <w:rPr>
                <w:rFonts w:ascii="Arial" w:cs="Arial" w:eastAsia="Arial" w:hAnsi="Arial"/>
                <w:sz w:val="18"/>
                <w:szCs w:val="18"/>
                <w:color w:val="auto"/>
              </w:rPr>
              <w:t>Government systems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59,142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49,909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167,160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119,727</w:t>
            </w:r>
          </w:p>
        </w:tc>
        <w:tc>
          <w:tcPr>
            <w:tcW w:w="120" w:type="dxa"/>
            <w:vAlign w:val="bottom"/>
          </w:tcPr>
          <w:p>
            <w:pPr>
              <w:spacing w:after="0"/>
              <w:rPr>
                <w:sz w:val="18"/>
                <w:szCs w:val="18"/>
                <w:color w:val="auto"/>
              </w:rPr>
            </w:pPr>
          </w:p>
        </w:tc>
      </w:tr>
      <w:tr>
        <w:trPr>
          <w:trHeight w:val="215"/>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Elimination of intersegment operating</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41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profits</w:t>
            </w:r>
          </w:p>
        </w:tc>
        <w:tc>
          <w:tcPr>
            <w:tcW w:w="12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r>
      <w:tr>
        <w:trPr>
          <w:trHeight w:val="209"/>
        </w:trPr>
        <w:tc>
          <w:tcPr>
            <w:tcW w:w="4180" w:type="dxa"/>
            <w:vAlign w:val="bottom"/>
          </w:tcPr>
          <w:p>
            <w:pPr>
              <w:spacing w:after="0"/>
              <w:rPr>
                <w:sz w:val="20"/>
                <w:szCs w:val="20"/>
                <w:color w:val="auto"/>
              </w:rPr>
            </w:pPr>
            <w:r>
              <w:rPr>
                <w:rFonts w:ascii="Arial" w:cs="Arial" w:eastAsia="Arial" w:hAnsi="Arial"/>
                <w:sz w:val="18"/>
                <w:szCs w:val="18"/>
                <w:color w:val="auto"/>
              </w:rPr>
              <w:t>Segment operating profit (loss) before</w:t>
            </w: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4180" w:type="dxa"/>
            <w:vAlign w:val="bottom"/>
          </w:tcPr>
          <w:p>
            <w:pPr>
              <w:ind w:left="100"/>
              <w:spacing w:after="0" w:line="202" w:lineRule="exact"/>
              <w:rPr>
                <w:sz w:val="20"/>
                <w:szCs w:val="20"/>
                <w:color w:val="auto"/>
              </w:rPr>
            </w:pPr>
            <w:r>
              <w:rPr>
                <w:rFonts w:ascii="Arial" w:cs="Arial" w:eastAsia="Arial" w:hAnsi="Arial"/>
                <w:sz w:val="18"/>
                <w:szCs w:val="18"/>
                <w:color w:val="auto"/>
              </w:rPr>
              <w:t>corporate and amortization of acquired</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180" w:type="dxa"/>
            <w:vAlign w:val="bottom"/>
          </w:tcPr>
          <w:p>
            <w:pPr>
              <w:ind w:left="100"/>
              <w:spacing w:after="0" w:line="203" w:lineRule="exact"/>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15,825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8,494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30,249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(62,668)</w:t>
            </w:r>
          </w:p>
        </w:tc>
      </w:tr>
      <w:tr>
        <w:trPr>
          <w:trHeight w:val="216"/>
        </w:trPr>
        <w:tc>
          <w:tcPr>
            <w:tcW w:w="4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w:t>
            </w:r>
          </w:p>
        </w:tc>
        <w:tc>
          <w:tcPr>
            <w:tcW w:w="1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4180" w:type="dxa"/>
            <w:vAlign w:val="bottom"/>
          </w:tcPr>
          <w:p>
            <w:pPr>
              <w:ind w:left="260"/>
              <w:spacing w:after="0"/>
              <w:rPr>
                <w:sz w:val="20"/>
                <w:szCs w:val="20"/>
                <w:color w:val="auto"/>
              </w:rPr>
            </w:pPr>
            <w:r>
              <w:rPr>
                <w:rFonts w:ascii="Arial" w:cs="Arial" w:eastAsia="Arial" w:hAnsi="Arial"/>
                <w:sz w:val="18"/>
                <w:szCs w:val="18"/>
                <w:color w:val="auto"/>
              </w:rPr>
              <w:t>Amortization of acquired intangible</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4180" w:type="dxa"/>
            <w:vAlign w:val="bottom"/>
          </w:tcPr>
          <w:p>
            <w:pPr>
              <w:ind w:left="400"/>
              <w:spacing w:after="0" w:line="203" w:lineRule="exact"/>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7"/>
                <w:szCs w:val="17"/>
                <w:color w:val="auto"/>
              </w:rPr>
            </w:pPr>
          </w:p>
        </w:tc>
        <w:tc>
          <w:tcPr>
            <w:tcW w:w="17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(1,856)</w:t>
            </w:r>
          </w:p>
        </w:tc>
        <w:tc>
          <w:tcPr>
            <w:tcW w:w="140" w:type="dxa"/>
            <w:vAlign w:val="bottom"/>
          </w:tcPr>
          <w:p>
            <w:pPr>
              <w:spacing w:after="0"/>
              <w:rPr>
                <w:sz w:val="17"/>
                <w:szCs w:val="17"/>
                <w:color w:val="auto"/>
              </w:rPr>
            </w:pPr>
          </w:p>
        </w:tc>
        <w:tc>
          <w:tcPr>
            <w:tcW w:w="16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(2,487)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(5,920)</w:t>
            </w:r>
          </w:p>
        </w:tc>
        <w:tc>
          <w:tcPr>
            <w:tcW w:w="120" w:type="dxa"/>
            <w:vAlign w:val="bottom"/>
          </w:tcPr>
          <w:p>
            <w:pPr>
              <w:spacing w:after="0"/>
              <w:rPr>
                <w:sz w:val="17"/>
                <w:szCs w:val="17"/>
                <w:color w:val="auto"/>
              </w:rPr>
            </w:pPr>
          </w:p>
        </w:tc>
        <w:tc>
          <w:tcPr>
            <w:tcW w:w="16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(7,375)</w:t>
            </w:r>
          </w:p>
        </w:tc>
      </w:tr>
      <w:tr>
        <w:trPr>
          <w:trHeight w:val="20"/>
        </w:trPr>
        <w:tc>
          <w:tcPr>
            <w:tcW w:w="4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24,329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(70,043)</w:t>
            </w: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400" w:firstLine="518"/>
        <w:spacing w:after="0" w:line="239"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December 31, 2019 and March 31, 2019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494"/>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360"/>
              <w:spacing w:after="0"/>
              <w:rPr>
                <w:sz w:val="20"/>
                <w:szCs w:val="20"/>
                <w:color w:val="auto"/>
              </w:rPr>
            </w:pPr>
            <w:r>
              <w:rPr>
                <w:rFonts w:ascii="Arial" w:cs="Arial" w:eastAsia="Arial" w:hAnsi="Arial"/>
                <w:sz w:val="14"/>
                <w:szCs w:val="14"/>
                <w:b w:val="1"/>
                <w:bCs w:val="1"/>
                <w:color w:val="auto"/>
              </w:rPr>
              <w:t>As of</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5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March 31, 2019</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8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2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ind w:left="240"/>
              <w:spacing w:after="0"/>
              <w:rPr>
                <w:sz w:val="20"/>
                <w:szCs w:val="20"/>
                <w:color w:val="auto"/>
              </w:rPr>
            </w:pPr>
            <w:r>
              <w:rPr>
                <w:rFonts w:ascii="Arial" w:cs="Arial" w:eastAsia="Arial" w:hAnsi="Arial"/>
                <w:sz w:val="18"/>
                <w:szCs w:val="18"/>
                <w:color w:val="auto"/>
              </w:rPr>
              <w:t>Satellite services</w:t>
            </w:r>
          </w:p>
        </w:tc>
        <w:tc>
          <w:tcPr>
            <w:tcW w:w="31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80,739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85,907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networks</w:t>
            </w:r>
          </w:p>
        </w:tc>
        <w:tc>
          <w:tcPr>
            <w:tcW w:w="2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171,228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183,200</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Government systems</w:t>
            </w:r>
          </w:p>
        </w:tc>
        <w:tc>
          <w:tcPr>
            <w:tcW w:w="27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484,069</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408,422</w:t>
            </w:r>
          </w:p>
        </w:tc>
        <w:tc>
          <w:tcPr>
            <w:tcW w:w="80" w:type="dxa"/>
            <w:vAlign w:val="bottom"/>
            <w:tcBorders>
              <w:bottom w:val="single" w:sz="8" w:color="CFF0FC"/>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segment assets</w:t>
            </w:r>
          </w:p>
        </w:tc>
        <w:tc>
          <w:tcPr>
            <w:tcW w:w="2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736,036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677,529</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Corporate assets</w:t>
            </w:r>
          </w:p>
        </w:tc>
        <w:tc>
          <w:tcPr>
            <w:tcW w:w="27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3,777,648</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3,237,758</w:t>
            </w:r>
          </w:p>
        </w:tc>
        <w:tc>
          <w:tcPr>
            <w:tcW w:w="80" w:type="dxa"/>
            <w:vAlign w:val="bottom"/>
            <w:tcBorders>
              <w:bottom w:val="single" w:sz="8" w:color="CFF0FC"/>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312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4,513,684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3,915,287</w:t>
            </w:r>
          </w:p>
        </w:tc>
        <w:tc>
          <w:tcPr>
            <w:tcW w:w="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20" w:type="dxa"/>
            <w:vAlign w:val="bottom"/>
            <w:tcBorders>
              <w:top w:val="single" w:sz="8" w:color="CFF0FC"/>
            </w:tcBorders>
          </w:tcPr>
          <w:p>
            <w:pPr>
              <w:spacing w:after="0" w:line="20" w:lineRule="exact"/>
              <w:rPr>
                <w:sz w:val="1"/>
                <w:szCs w:val="1"/>
                <w:color w:val="auto"/>
              </w:rPr>
            </w:pPr>
          </w:p>
        </w:tc>
        <w:tc>
          <w:tcPr>
            <w:tcW w:w="2780" w:type="dxa"/>
            <w:vAlign w:val="bottom"/>
            <w:tcBorders>
              <w:top w:val="single" w:sz="8" w:color="CFF0FC"/>
              <w:bottom w:val="single" w:sz="8" w:color="CFF0FC"/>
            </w:tcBorders>
            <w:vMerge w:val="restart"/>
          </w:tcPr>
          <w:p>
            <w:pPr>
              <w:jc w:val="right"/>
              <w:ind w:right="1250"/>
              <w:spacing w:after="0"/>
              <w:rPr>
                <w:sz w:val="20"/>
                <w:szCs w:val="20"/>
                <w:color w:val="auto"/>
              </w:rPr>
            </w:pPr>
            <w:r>
              <w:rPr>
                <w:rFonts w:ascii="Arial" w:cs="Arial" w:eastAsia="Arial" w:hAnsi="Arial"/>
                <w:sz w:val="18"/>
                <w:szCs w:val="18"/>
                <w:color w:val="auto"/>
              </w:rPr>
              <w:t>33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6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jc w:val="center"/>
        <w:ind w:right="-299"/>
        <w:spacing w:after="0"/>
        <w:rPr>
          <w:sz w:val="20"/>
          <w:szCs w:val="20"/>
          <w:color w:val="auto"/>
        </w:rPr>
      </w:pPr>
      <w:r>
        <w:rPr>
          <w:rFonts w:ascii="Arial" w:cs="Arial" w:eastAsia="Arial" w:hAnsi="Arial"/>
          <w:sz w:val="18"/>
          <w:szCs w:val="18"/>
          <w:b w:val="1"/>
          <w:bCs w:val="1"/>
          <w:color w:val="auto"/>
        </w:rPr>
        <w:t>VIASAT, INC.</w:t>
      </w:r>
    </w:p>
    <w:p>
      <w:pPr>
        <w:spacing w:after="0" w:line="1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Other acquired intangible assets, net and goodwill included in segment assets as of December 31, 2019 and March 31, 2019 were as follows: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4"/>
          </w:tcPr>
          <w:p>
            <w:pPr>
              <w:ind w:left="320"/>
              <w:spacing w:after="0"/>
              <w:rPr>
                <w:sz w:val="20"/>
                <w:szCs w:val="20"/>
                <w:color w:val="auto"/>
              </w:rPr>
            </w:pPr>
            <w:r>
              <w:rPr>
                <w:rFonts w:ascii="Arial" w:cs="Arial" w:eastAsia="Arial" w:hAnsi="Arial"/>
                <w:sz w:val="14"/>
                <w:szCs w:val="14"/>
                <w:b w:val="1"/>
                <w:bCs w:val="1"/>
                <w:color w:val="auto"/>
              </w:rPr>
              <w:t>Other Acquired Intangible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3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3"/>
          </w:tcPr>
          <w:p>
            <w:pPr>
              <w:ind w:left="820"/>
              <w:spacing w:after="0"/>
              <w:rPr>
                <w:sz w:val="20"/>
                <w:szCs w:val="20"/>
                <w:color w:val="auto"/>
              </w:rPr>
            </w:pPr>
            <w:r>
              <w:rPr>
                <w:rFonts w:ascii="Arial" w:cs="Arial" w:eastAsia="Arial" w:hAnsi="Arial"/>
                <w:sz w:val="14"/>
                <w:szCs w:val="14"/>
                <w:b w:val="1"/>
                <w:bCs w:val="1"/>
                <w:color w:val="auto"/>
              </w:rPr>
              <w:t>Assets, Net</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5"/>
          </w:tcPr>
          <w:p>
            <w:pPr>
              <w:ind w:left="920"/>
              <w:spacing w:after="0"/>
              <w:rPr>
                <w:sz w:val="20"/>
                <w:szCs w:val="20"/>
                <w:color w:val="auto"/>
              </w:rPr>
            </w:pPr>
            <w:r>
              <w:rPr>
                <w:rFonts w:ascii="Arial" w:cs="Arial" w:eastAsia="Arial" w:hAnsi="Arial"/>
                <w:sz w:val="14"/>
                <w:szCs w:val="14"/>
                <w:b w:val="1"/>
                <w:bCs w:val="1"/>
                <w:color w:val="auto"/>
              </w:rPr>
              <w:t>Goodwill</w:t>
            </w:r>
          </w:p>
        </w:tc>
      </w:tr>
      <w:tr>
        <w:trPr>
          <w:trHeight w:val="156"/>
        </w:trPr>
        <w:tc>
          <w:tcPr>
            <w:tcW w:w="3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ind w:left="300"/>
              <w:spacing w:after="0" w:line="156" w:lineRule="exact"/>
              <w:rPr>
                <w:sz w:val="20"/>
                <w:szCs w:val="20"/>
                <w:color w:val="auto"/>
              </w:rPr>
            </w:pPr>
            <w:r>
              <w:rPr>
                <w:rFonts w:ascii="Arial" w:cs="Arial" w:eastAsia="Arial" w:hAnsi="Arial"/>
                <w:sz w:val="14"/>
                <w:szCs w:val="14"/>
                <w:b w:val="1"/>
                <w:bCs w:val="1"/>
                <w:color w:val="auto"/>
              </w:rPr>
              <w:t>As of</w:t>
            </w: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rPr>
              <w:t>As of</w:t>
            </w: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3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As of</w:t>
            </w:r>
          </w:p>
        </w:tc>
      </w:tr>
      <w:tr>
        <w:trPr>
          <w:trHeight w:val="175"/>
        </w:trPr>
        <w:tc>
          <w:tcPr>
            <w:tcW w:w="3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ind w:left="32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122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March 31, 2019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39"/>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 2019</w:t>
            </w:r>
          </w:p>
        </w:tc>
      </w:tr>
      <w:tr>
        <w:trPr>
          <w:trHeight w:val="169"/>
        </w:trPr>
        <w:tc>
          <w:tcPr>
            <w:tcW w:w="3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520" w:type="dxa"/>
            <w:vAlign w:val="bottom"/>
            <w:tcBorders>
              <w:top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7,966</w:t>
            </w:r>
          </w:p>
        </w:tc>
        <w:tc>
          <w:tcPr>
            <w:tcW w:w="54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10,453</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13,617</w:t>
            </w:r>
          </w:p>
        </w:tc>
        <w:tc>
          <w:tcPr>
            <w:tcW w:w="12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Commercial networks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43,933</w:t>
            </w:r>
          </w:p>
        </w:tc>
        <w:tc>
          <w:tcPr>
            <w:tcW w:w="120" w:type="dxa"/>
            <w:vAlign w:val="bottom"/>
          </w:tcPr>
          <w:p>
            <w:pPr>
              <w:spacing w:after="0"/>
              <w:rPr>
                <w:sz w:val="18"/>
                <w:szCs w:val="18"/>
                <w:color w:val="auto"/>
              </w:rPr>
            </w:pPr>
          </w:p>
        </w:tc>
      </w:tr>
      <w:tr>
        <w:trPr>
          <w:trHeight w:val="216"/>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4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7,663</w:t>
            </w:r>
          </w:p>
        </w:tc>
        <w:tc>
          <w:tcPr>
            <w:tcW w:w="2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10,050</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64,211</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64,169</w:t>
            </w:r>
          </w:p>
        </w:tc>
        <w:tc>
          <w:tcPr>
            <w:tcW w:w="120" w:type="dxa"/>
            <w:vAlign w:val="bottom"/>
            <w:shd w:val="clear" w:color="auto" w:fill="CFF0FC"/>
          </w:tcPr>
          <w:p>
            <w:pPr>
              <w:spacing w:after="0"/>
              <w:rPr>
                <w:sz w:val="18"/>
                <w:szCs w:val="18"/>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16,271</w:t>
            </w:r>
          </w:p>
        </w:tc>
        <w:tc>
          <w:tcPr>
            <w:tcW w:w="5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22,301</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121,745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121,719</w:t>
            </w:r>
          </w:p>
        </w:tc>
        <w:tc>
          <w:tcPr>
            <w:tcW w:w="120" w:type="dxa"/>
            <w:vAlign w:val="bottom"/>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00" w:firstLine="518"/>
        <w:spacing w:after="0" w:line="246" w:lineRule="auto"/>
        <w:rPr>
          <w:sz w:val="20"/>
          <w:szCs w:val="20"/>
          <w:color w:val="auto"/>
        </w:rPr>
      </w:pPr>
      <w:r>
        <w:rPr>
          <w:rFonts w:ascii="Arial" w:cs="Arial" w:eastAsia="Arial" w:hAnsi="Arial"/>
          <w:sz w:val="18"/>
          <w:szCs w:val="18"/>
          <w:color w:val="auto"/>
        </w:rPr>
        <w:t>Amortization of acquired intangible assets by segment for the three and nine months ended December 31, 2019 and 2018 was as follows:</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78"/>
              <w:spacing w:after="0" w:line="156"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152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 2018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14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December 31, 2018</w:t>
            </w:r>
          </w:p>
        </w:tc>
      </w:tr>
      <w:tr>
        <w:trPr>
          <w:trHeight w:val="169"/>
        </w:trPr>
        <w:tc>
          <w:tcPr>
            <w:tcW w:w="4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9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Commercial networks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1,156</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3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2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2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w:t>
            </w:r>
          </w:p>
        </w:tc>
        <w:tc>
          <w:tcPr>
            <w:tcW w:w="2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FF0FC"/>
          </w:tcPr>
          <w:p>
            <w:pPr>
              <w:spacing w:after="0"/>
              <w:rPr>
                <w:sz w:val="18"/>
                <w:szCs w:val="18"/>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1,856</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5,920</w:t>
            </w:r>
          </w:p>
        </w:tc>
        <w:tc>
          <w:tcPr>
            <w:tcW w:w="200" w:type="dxa"/>
            <w:vAlign w:val="bottom"/>
          </w:tcPr>
          <w:p>
            <w:pPr>
              <w:spacing w:after="0"/>
              <w:rPr>
                <w:sz w:val="18"/>
                <w:szCs w:val="18"/>
                <w:color w:val="auto"/>
              </w:rPr>
            </w:pP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7,375</w:t>
            </w:r>
          </w:p>
        </w:tc>
        <w:tc>
          <w:tcPr>
            <w:tcW w:w="100" w:type="dxa"/>
            <w:vAlign w:val="bottom"/>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40"/>
          </w:cols>
          <w:pgMar w:left="240" w:top="118" w:right="519" w:bottom="1440" w:gutter="0" w:footer="0" w:header="0"/>
        </w:sectPr>
      </w:pPr>
    </w:p>
    <w:bookmarkStart w:id="34" w:name="page35"/>
    <w:bookmarkEnd w:id="34"/>
    <w:p>
      <w:pPr>
        <w:ind w:right="3140"/>
        <w:spacing w:after="0" w:line="333"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impacts on overall coverage area, planned services and financial results of the identified antenna deployment issue on the ViaSat-2 satellite; the expected completion, capacity, service, coverage, service speeds and other features of our satellites, and the timing, cost, economics and other benefits associated therewith; anticipated subscriber growth; plans, objectives and strategies for future operations; the number of in-flight connectivity (IFC) systems expected to be installed under existing contracts with commercial airlines;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the ViaSat-2 and ViaSat-3 class satellites and any future satellite we may construct or acquire; unexpected expenses related to our satellite projects;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realize the anticipated benefits of our acquisitions or strategic partnering arrangements;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recent changes to U.S.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2019,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85"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We are an innovator in communications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military tactical data link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Satellite Services</w:t>
      </w:r>
    </w:p>
    <w:p>
      <w:pPr>
        <w:spacing w:after="0" w:line="9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with multiple applications to consumers, enterprises and mobile broadband customers (including commercial airlines and maritime vessels) both in the United States and abroad. Our Viasat Internet and Viasat Business Internet fixed broadband services offer high-speed, high-quality broadband internet access. For commercial aircraft, we offer high-speed internet and other in-flight services, including our wireless in-flight entertainment (W-IFE) platform. Our Community and Urban Wi-Fi hotspot services provide satellite-powered Wi-Fi to rural, suburban and urban areas in a number of countries in the Americas.</w:t>
      </w:r>
    </w:p>
    <w:p>
      <w:pPr>
        <w:spacing w:after="0" w:line="151"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Our proprietary Ka-band satellites are at the core of our technology platform. We own three Ka-band satellites in service: ViaSat-2 (our second-generation high-capacity Ka-band spot beam satellite, which was placed into service in the fourth quarter of fiscal year 2018), ViaSat-1 (our first-generation high-capacity Ka-band spot-beam satellite, which was placed into service in January 2012), and WildBlue-1 (which was placed into service in March 2007) and have lifetime leases of Ka-band capacity on two satellites. We also have two third-generation ViaSat-3 class satellites that have entered the phase of full construction. In July 2019, we entered into an agreement with The Boeing Company (Boeing) for the construction and purchase of a third ViaSat-3 class satellite and the integration of Viasat’s payload technologies into the satellite.</w:t>
      </w:r>
    </w:p>
    <w:p>
      <w:pPr>
        <w:spacing w:after="0" w:line="151"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In the fourth quarter of fiscal year 2018, shortly before the launch of commercial broadband services on our ViaSat-2 satellite, we reported an antenna deployment issue. We worked with the satellite manufacturer to determine the root cause of the antenna deployment issue, potential correcting measures, and resulting damage. In fiscal year 2019, we filed insurance claims for resulting damages and collected most of the claims. Pursuant to the terms of our direct loan facility with the Export-Import Bank of the United States (the Ex-Im Credit Facility) used to finance the ViaSat-2 satellite, insurance proceeds received from such claims were used to pay down outstanding borrowings under the Ex-Im Credit Facility (see Note 1 — Basis of Presentation – Property, equipment and satellites to our condensed consolidated financial statements for more information).</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104" w:lineRule="exact"/>
        <w:rPr>
          <w:sz w:val="20"/>
          <w:szCs w:val="20"/>
          <w:color w:val="auto"/>
        </w:rPr>
      </w:pPr>
    </w:p>
    <w:p>
      <w:pPr>
        <w:ind w:left="1040" w:right="60" w:hanging="519"/>
        <w:spacing w:after="0" w:line="239"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 broadband services, which provide consumers and businesses with high-speed broadband internet access and Voice over Internet Protocol (VoIP) services. As of December 31, 2019, we provided fixed broadband services to approximately 586,000 U.S. subscribers. In addition, since launch, our satellite-powered Community and Urban Wi-Fi services have reached approximately 2 million people living and working in thousands of rural, suburban and urban communities in Mexico.</w:t>
      </w:r>
    </w:p>
    <w:p>
      <w:pPr>
        <w:spacing w:after="0" w:line="93" w:lineRule="exact"/>
        <w:rPr>
          <w:rFonts w:ascii="Arial" w:cs="Arial" w:eastAsia="Arial" w:hAnsi="Arial"/>
          <w:sz w:val="18"/>
          <w:szCs w:val="18"/>
          <w:color w:val="auto"/>
        </w:rPr>
      </w:pPr>
    </w:p>
    <w:p>
      <w:pPr>
        <w:ind w:left="1040" w:right="260" w:hanging="519"/>
        <w:spacing w:after="0" w:line="246"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In-flight services including our flagship Viasat in-flight internet, W-IFE and aviation software services. As of December 31, 2019, 1,379 commercial aircraft were in service receiving our in-flight services through our IFC systems.</w:t>
      </w:r>
    </w:p>
    <w:p>
      <w:pPr>
        <w:spacing w:after="0" w:line="88" w:lineRule="exact"/>
        <w:rPr>
          <w:rFonts w:ascii="Arial" w:cs="Arial" w:eastAsia="Arial" w:hAnsi="Arial"/>
          <w:sz w:val="18"/>
          <w:szCs w:val="18"/>
          <w:color w:val="auto"/>
        </w:rPr>
      </w:pPr>
    </w:p>
    <w:p>
      <w:pPr>
        <w:ind w:left="1040" w:right="820" w:hanging="519"/>
        <w:spacing w:after="0" w:line="246"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143" w:lineRule="exact"/>
        <w:rPr>
          <w:sz w:val="20"/>
          <w:szCs w:val="20"/>
          <w:color w:val="auto"/>
        </w:rPr>
      </w:pPr>
    </w:p>
    <w:p>
      <w:pPr>
        <w:ind w:right="220" w:firstLine="518"/>
        <w:spacing w:after="0" w:line="246" w:lineRule="auto"/>
        <w:rPr>
          <w:sz w:val="20"/>
          <w:szCs w:val="20"/>
          <w:color w:val="auto"/>
        </w:rPr>
      </w:pPr>
      <w:r>
        <w:rPr>
          <w:rFonts w:ascii="Arial" w:cs="Arial" w:eastAsia="Arial" w:hAnsi="Arial"/>
          <w:sz w:val="18"/>
          <w:szCs w:val="18"/>
          <w:color w:val="auto"/>
        </w:rPr>
        <w:t>We also offer a variety of other broadband services and capabilities, including live on-line event streaming and oil and natural gas data gathering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8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Our commercial networks segment develops and produces a variety of advanced satellite and wireless products, systems and solutions that enable the provision of high-speed fixed and mobile broadband services. Our products, systems and solutions include an array of satellite-based and wireless broadband platforms, networking equipment, space hardware, radio frequency and advanced microwave solutions, space-to-earth connectivity systems, customer premise equipment (CPE), satellite modems and antenna technologies, as well as satellite payload development and Application-Specific Integrated Circuit (ASIC) chip design. Our products, systems and solutions, which are generally developed through a combination of customer and discretionary internal independent research and development (IR&amp;D) funding, are utilized to provide services through our satellite services segment and are also sold to commercial networks customers (with sales of complementary products, systems and solutions to government customers included in our government systems segment). The primary products, systems, solutions and services offered by our commercial networks segment are comprised of:</w:t>
      </w:r>
    </w:p>
    <w:p>
      <w:pPr>
        <w:spacing w:after="0" w:line="99"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and seagoing vessels.</w:t>
      </w:r>
    </w:p>
    <w:p>
      <w:pPr>
        <w:spacing w:after="0" w:line="117" w:lineRule="exact"/>
        <w:rPr>
          <w:rFonts w:ascii="Arial" w:cs="Arial" w:eastAsia="Arial" w:hAnsi="Arial"/>
          <w:sz w:val="18"/>
          <w:szCs w:val="18"/>
          <w:color w:val="auto"/>
        </w:rPr>
      </w:pPr>
    </w:p>
    <w:p>
      <w:pPr>
        <w:ind w:left="1040" w:right="680" w:hanging="519"/>
        <w:spacing w:after="0" w:line="246"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88" w:lineRule="exact"/>
        <w:rPr>
          <w:rFonts w:ascii="Arial" w:cs="Arial" w:eastAsia="Arial" w:hAnsi="Arial"/>
          <w:sz w:val="18"/>
          <w:szCs w:val="18"/>
          <w:color w:val="auto"/>
        </w:rPr>
      </w:pPr>
    </w:p>
    <w:p>
      <w:pPr>
        <w:ind w:left="1040" w:right="80" w:hanging="519"/>
        <w:spacing w:after="0" w:line="246"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Antenna systems specializing in earth imaging, remote sensing, mobile satellite communication, Ka-band earth stations and other multi-band antennas.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6" w:name="page37"/>
    <w:bookmarkEnd w:id="36"/>
    <w:p>
      <w:pPr>
        <w:ind w:left="1040" w:right="420" w:hanging="519"/>
        <w:spacing w:after="0" w:line="239"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Satellite networking development, including specialized design and technology services covering all aspects of satellite communication system architecture and technology, including satellite and ground systems, fabless semiconductor design for ASIC and Monolithic Microwave Integrated Circuit (MMIC) chips and network function virtualization, as well as modules and subsystems for various commercial, military and space uses and radio frequency and advanced microwave solutions.</w:t>
      </w:r>
    </w:p>
    <w:p>
      <w:pPr>
        <w:spacing w:after="0" w:line="93" w:lineRule="exact"/>
        <w:rPr>
          <w:rFonts w:ascii="Arial" w:cs="Arial" w:eastAsia="Arial" w:hAnsi="Arial"/>
          <w:sz w:val="18"/>
          <w:szCs w:val="18"/>
          <w:color w:val="auto"/>
        </w:rPr>
      </w:pPr>
    </w:p>
    <w:p>
      <w:pPr>
        <w:ind w:left="1040" w:right="220" w:hanging="519"/>
        <w:spacing w:after="0" w:line="246"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Space systems, including the design and development of high-capacity Ka-band satellites for our own satellite fleet and for third parties, including development and production of the associated satellite payload technologies.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85"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Our government systems segment provides global mobile broadband services to military and government users, and develops and produces network-centric internet protocol (IP)-based fixed and mobile secure communications products and solutions. Our government systems products and solutions are designed to enable the collection and dissemination of secure real-time digital information and intelligence between individuals on the tactical edge, in command centers, leveraging strategic communications nodes, and those individuals on the ground, in the air or on a maritime platform. Customers of our government systems segment include the U.S. Department of Defense, those serving the Five Eye (FVEY) intelligence alliance (Australia, Canada, New Zealand, the United Kingdom and the United States), allied foreign governments, allied armed forces, public safety first-responders and remote government employees.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04" w:lineRule="exact"/>
        <w:rPr>
          <w:sz w:val="20"/>
          <w:szCs w:val="20"/>
          <w:color w:val="auto"/>
        </w:rPr>
      </w:pPr>
    </w:p>
    <w:p>
      <w:pPr>
        <w:jc w:val="both"/>
        <w:ind w:left="1040" w:right="26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line-of-sight and beyond-line-of-sight Intelligence Surveillance and Reconnaissance (ISR) missions.</w:t>
      </w:r>
    </w:p>
    <w:p>
      <w:pPr>
        <w:spacing w:after="0" w:line="94" w:lineRule="exact"/>
        <w:rPr>
          <w:rFonts w:ascii="Arial" w:cs="Arial" w:eastAsia="Arial" w:hAnsi="Arial"/>
          <w:sz w:val="18"/>
          <w:szCs w:val="18"/>
          <w:color w:val="auto"/>
        </w:rPr>
      </w:pPr>
    </w:p>
    <w:p>
      <w:pPr>
        <w:ind w:left="1040" w:right="360" w:hanging="519"/>
        <w:spacing w:after="0" w:line="238"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satellite communication systems, which comprise an array of portable, mobile and fixed broadband modems, terminals, network access control systems and antenna systems using a range of satellite frequency bands for Command and Control (C2) missions, satellite networking services and network management systems for Wi-Fi and other internet access networks, and include products designed for manpacks, aircraft, unmanned aerial vehicles (UAVs), seagoing vessels, ground-mobile vehicles and fixed applications.</w:t>
      </w:r>
    </w:p>
    <w:p>
      <w:pPr>
        <w:spacing w:after="0" w:line="94" w:lineRule="exact"/>
        <w:rPr>
          <w:rFonts w:ascii="Arial" w:cs="Arial" w:eastAsia="Arial" w:hAnsi="Arial"/>
          <w:sz w:val="18"/>
          <w:szCs w:val="18"/>
          <w:color w:val="auto"/>
        </w:rPr>
      </w:pPr>
    </w:p>
    <w:p>
      <w:pPr>
        <w:jc w:val="both"/>
        <w:ind w:left="1040" w:right="12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Cybersecurity and information assurance products, which provide advanced, high-speed IP-based “Type 1” and High Assurance Internet Protocol Encryption (HAIPE</w:t>
      </w:r>
      <w:r>
        <w:rPr>
          <w:rFonts w:ascii="Arial" w:cs="Arial" w:eastAsia="Arial" w:hAnsi="Arial"/>
          <w:sz w:val="15"/>
          <w:szCs w:val="15"/>
          <w:color w:val="auto"/>
        </w:rPr>
        <w:t>®</w:t>
      </w:r>
      <w:r>
        <w:rPr>
          <w:rFonts w:ascii="Arial" w:cs="Arial" w:eastAsia="Arial" w:hAnsi="Arial"/>
          <w:sz w:val="18"/>
          <w:szCs w:val="18"/>
          <w:color w:val="auto"/>
        </w:rPr>
        <w:t>)-compliant encryption solutions that enable military and government users to communicate information securely over networks, and that protect the integrity of data stored on computers and storage devices.</w:t>
      </w:r>
    </w:p>
    <w:p>
      <w:pPr>
        <w:spacing w:after="0" w:line="94" w:lineRule="exact"/>
        <w:rPr>
          <w:rFonts w:ascii="Arial" w:cs="Arial" w:eastAsia="Arial" w:hAnsi="Arial"/>
          <w:sz w:val="18"/>
          <w:szCs w:val="18"/>
          <w:color w:val="auto"/>
        </w:rPr>
      </w:pPr>
    </w:p>
    <w:p>
      <w:pPr>
        <w:ind w:left="1040" w:hanging="519"/>
        <w:spacing w:after="0" w:line="23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Tactical data links, including our Battlefield Awareness and Targeting System — Dismounted (BATS-D) AN/PRC-161 handheld Link 16 radios, our Small Tactical Terminal (STT) KOR-24A 2-channel radios for manned and unmanned applications, “disposable” defense data links, our Multifunctional Information Distribution System (MIDS) terminals for military fighter jets and their successor, MIDS Joint Tactical Radio System (MIDS-JTRS).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85" w:lineRule="exact"/>
        <w:rPr>
          <w:sz w:val="20"/>
          <w:szCs w:val="20"/>
          <w:color w:val="auto"/>
        </w:rPr>
      </w:pPr>
    </w:p>
    <w:p>
      <w:pPr>
        <w:ind w:right="300" w:firstLine="518"/>
        <w:spacing w:after="0" w:line="246" w:lineRule="auto"/>
        <w:rPr>
          <w:sz w:val="20"/>
          <w:szCs w:val="20"/>
          <w:color w:val="auto"/>
        </w:rPr>
      </w:pPr>
      <w:r>
        <w:rPr>
          <w:rFonts w:ascii="Arial" w:cs="Arial" w:eastAsia="Arial" w:hAnsi="Arial"/>
          <w:sz w:val="18"/>
          <w:szCs w:val="18"/>
          <w:color w:val="auto"/>
        </w:rPr>
        <w:t>Our satellite services segment revenues are primarily derived from our fixed broadband services, in-flight services (including services using our IFC systems and W-IFE platform) and worldwide managed network services.</w:t>
      </w:r>
    </w:p>
    <w:p>
      <w:pPr>
        <w:spacing w:after="0" w:line="143"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cost-reimbursement and time-and-materials contracts. Fixed-price contracts (which require us to provide products and services under a contract at a specified price) comprised approximately 89% of our total revenues for these segments for both the three months ended December 31, 2019 and 2018, and approximately 89% of our total revenues for these segments for both the nine months ended December 31, 2019 and 2018. The remainder of our revenues in these segments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53"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7" w:name="page38"/>
    <w:bookmarkEnd w:id="37"/>
    <w:p>
      <w:pPr>
        <w:ind w:right="100" w:firstLine="518"/>
        <w:spacing w:after="0" w:line="237"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development from our customer contracts were approximately 24% and 18% of our total revenues for the three months ended December 31, 2019 and 2018, respectively, and approximately 23% and 17% of our total revenues for the nine months ended December 31, 2019 and 2018, respectively.</w:t>
      </w:r>
    </w:p>
    <w:p>
      <w:pPr>
        <w:spacing w:after="0" w:line="151"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We also incur IR&amp;D expenses, which are not directly funded by a third party. IR&amp;D expenses consist primarily of salaries and other personnel-related expenses, supplies, prototype materials, testing and certification related to research and development (R&amp;D) projects. IR&amp;D expenses were approximately 5% of total revenues during the three months ended December 31, 2019 and 2018, and approximately 6% of total revenues during both the nine months ended December 31, 2019 and 2018. As a government contractor, we are able to recover a portion of our IR&amp;D expenses pursuant to our government contracts.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right="120" w:firstLine="518"/>
        <w:spacing w:after="0" w:line="234" w:lineRule="auto"/>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Accounting Standards Codification (ASC) 606) to our contracts with our customers. Under this model we</w:t>
      </w:r>
    </w:p>
    <w:p>
      <w:pPr>
        <w:spacing w:after="0" w:line="2" w:lineRule="exact"/>
        <w:rPr>
          <w:sz w:val="20"/>
          <w:szCs w:val="20"/>
          <w:color w:val="auto"/>
        </w:rPr>
      </w:pPr>
    </w:p>
    <w:p>
      <w:pPr>
        <w:ind w:right="300" w:firstLine="8"/>
        <w:spacing w:after="0" w:line="238"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spacing w:after="0" w:line="18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ASC 842. As discussed in Note 1 – Basis of Presentation – Leases to our condensed consolidated financial statements, for broadband equipment leased to consumer broadband customers in conjunction with the delivery of connectivity services, we account for the lease and non-lease components of connectivity services arrangement as a single performance obligation as the connectivity services represent the predominant component.</w:t>
      </w:r>
    </w:p>
    <w:p>
      <w:pPr>
        <w:spacing w:after="0" w:line="153"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38" w:name="page39"/>
    <w:bookmarkEnd w:id="38"/>
    <w:p>
      <w:pPr>
        <w:ind w:firstLine="518"/>
        <w:spacing w:after="0" w:line="235" w:lineRule="auto"/>
        <w:rPr>
          <w:sz w:val="20"/>
          <w:szCs w:val="20"/>
          <w:color w:val="auto"/>
        </w:rPr>
      </w:pPr>
      <w:r>
        <w:rPr>
          <w:rFonts w:ascii="Arial" w:cs="Arial" w:eastAsia="Arial" w:hAnsi="Arial"/>
          <w:sz w:val="18"/>
          <w:szCs w:val="18"/>
          <w:color w:val="auto"/>
        </w:rPr>
        <w:t>The vast majority of our revenues from long-term contracts to develop and deliver complex equipment built to customer specifications are derived from contracts with the U.S. government (including foreign military sales contracted through the U.S. government). 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201"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December 31, 2019 would change our income (loss) before income taxes by an insignificant amount.</w:t>
      </w:r>
    </w:p>
    <w:p>
      <w:pPr>
        <w:spacing w:after="0" w:line="19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88" w:lineRule="exact"/>
        <w:rPr>
          <w:sz w:val="20"/>
          <w:szCs w:val="20"/>
          <w:color w:val="auto"/>
        </w:rPr>
      </w:pPr>
    </w:p>
    <w:p>
      <w:pPr>
        <w:ind w:right="160" w:firstLine="518"/>
        <w:spacing w:after="0" w:line="237"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12 months are classified as accrued liabilities and amounts expected to be incurred beyond 12 months are classified as other liabilities in the condensed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8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53" w:lineRule="exact"/>
        <w:rPr>
          <w:sz w:val="20"/>
          <w:szCs w:val="20"/>
          <w:color w:val="auto"/>
        </w:rPr>
      </w:pPr>
    </w:p>
    <w:p>
      <w:pPr>
        <w:ind w:right="180" w:firstLine="518"/>
        <w:spacing w:after="0" w:line="236" w:lineRule="auto"/>
        <w:rPr>
          <w:sz w:val="20"/>
          <w:szCs w:val="20"/>
          <w:color w:val="auto"/>
        </w:rPr>
      </w:pPr>
      <w:r>
        <w:rPr>
          <w:rFonts w:ascii="Arial" w:cs="Arial" w:eastAsia="Arial" w:hAnsi="Arial"/>
          <w:sz w:val="18"/>
          <w:szCs w:val="18"/>
          <w:color w:val="auto"/>
        </w:rPr>
        <w:t>We own three satellites in service (ViaSat-2 (our second-generation high-capacity Ka-band spot-beam satellite, which was placed into service in the fourth quarter of fiscal year 2018), ViaSat-1 (our first-generation high-capacity Ka-band spot-beam satellite, which was placed into service in January 2012) and WildBlue-1 (which was placed into service in March 2007)) and have lifetime leases of Ka-band capacity on two satellites. We also have two third-generation ViaSat-3 class satellites that have entered the phase of full construction. In July 2019, we entered into an agreement with Boeing for the construction and purchase of a third ViaSat-3 class satellite and the integration of Viasat’s payload technologies into the satellite. In addition, we own related earth stations and networking equipment for all of our satellites. Property, equipment and satellites, net also includes the CPE units leased to subscribers under a retail leasing program as part of our satellite services segment.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assess at contract inception whether the contract is, or contains, a lease. Generally, we determine that a lease exists when (i) the contract involves the use of a distinct identified asset, (ii) we obtain the right to substantially all economic benefits from use of the asset, and (iii) we have the right to direct the use of the asset. 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such a specialized nature that it is expected to have no alternative use to the lessor at the end of the lease term. A lease is classified as an operating lease if it does not meet any of these criteria.</w:t>
      </w:r>
    </w:p>
    <w:p>
      <w:pPr>
        <w:spacing w:after="0" w:line="154"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Starting at April 1, 2019, 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49"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Lease payments included in the measurement of lease liabilities consist of (i) fixed lease payments for the noncancelable lease term, (ii) fixed lease payments for optional renewal periods where it is reasonably certain the renewal option will be exercised, and (iii) variable 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0" w:name="page41"/>
    <w:bookmarkEnd w:id="40"/>
    <w:p>
      <w:pPr>
        <w:ind w:right="40" w:firstLine="518"/>
        <w:spacing w:after="0" w:line="239"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48"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For broadband equipment leased to consumer broadband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useful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nine months ended December 31, 2019 and 2018.</w:t>
      </w:r>
    </w:p>
    <w:p>
      <w:pPr>
        <w:spacing w:after="0" w:line="154"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53"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49"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Based on our qualitative assessment performed during the fourth quarter of fiscal year 2019, we concluded that it was more likely than not that the estimated fair value of our reporting units exceeded their carrying value as of March 31, 2019 and, therefore, determined it was not necessary to perform the two-step goodwill impairment test.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8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$33.5 million at March 31, 2019 to $40.0 million at December 31, 2019. The valuation allowance relates to state and foreign net operating loss carryforwards, state R&amp;D tax credit carryforwards and foreign tax credit carryforwards.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1" w:name="page42"/>
    <w:bookmarkEnd w:id="41"/>
    <w:p>
      <w:pPr>
        <w:ind w:right="80" w:firstLine="518"/>
        <w:spacing w:after="0" w:line="238"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w:t>
      </w:r>
    </w:p>
    <w:p>
      <w:pPr>
        <w:spacing w:after="0" w:line="149"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49" w:lineRule="exact"/>
        <w:rPr>
          <w:sz w:val="20"/>
          <w:szCs w:val="20"/>
          <w:color w:val="auto"/>
        </w:rPr>
      </w:pPr>
    </w:p>
    <w:p>
      <w:pPr>
        <w:ind w:right="100" w:firstLine="518"/>
        <w:spacing w:after="0" w:line="237"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8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236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36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5"/>
                <w:szCs w:val="15"/>
                <w:color w:val="auto"/>
              </w:rPr>
            </w:pPr>
          </w:p>
        </w:tc>
      </w:tr>
      <w:tr>
        <w:trPr>
          <w:trHeight w:val="156"/>
        </w:trPr>
        <w:tc>
          <w:tcPr>
            <w:tcW w:w="5100" w:type="dxa"/>
            <w:vAlign w:val="bottom"/>
          </w:tcPr>
          <w:p>
            <w:pPr>
              <w:spacing w:after="0"/>
              <w:rPr>
                <w:sz w:val="13"/>
                <w:szCs w:val="13"/>
                <w:color w:val="auto"/>
              </w:rPr>
            </w:pPr>
          </w:p>
        </w:tc>
        <w:tc>
          <w:tcPr>
            <w:tcW w:w="1320" w:type="dxa"/>
            <w:vAlign w:val="bottom"/>
            <w:gridSpan w:val="2"/>
          </w:tcPr>
          <w:p>
            <w:pPr>
              <w:jc w:val="right"/>
              <w:ind w:right="360"/>
              <w:spacing w:after="0" w:line="156" w:lineRule="exact"/>
              <w:rPr>
                <w:sz w:val="20"/>
                <w:szCs w:val="20"/>
                <w:color w:val="auto"/>
              </w:rPr>
            </w:pPr>
            <w:r>
              <w:rPr>
                <w:rFonts w:ascii="Arial" w:cs="Arial" w:eastAsia="Arial" w:hAnsi="Arial"/>
                <w:sz w:val="14"/>
                <w:szCs w:val="14"/>
                <w:b w:val="1"/>
                <w:bCs w:val="1"/>
                <w:color w:val="auto"/>
              </w:rPr>
              <w:t>December 31,</w:t>
            </w:r>
          </w:p>
        </w:tc>
        <w:tc>
          <w:tcPr>
            <w:tcW w:w="132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rPr>
              <w:t>December 31,</w:t>
            </w:r>
          </w:p>
        </w:tc>
        <w:tc>
          <w:tcPr>
            <w:tcW w:w="1340" w:type="dxa"/>
            <w:vAlign w:val="bottom"/>
            <w:gridSpan w:val="2"/>
          </w:tcPr>
          <w:p>
            <w:pPr>
              <w:jc w:val="right"/>
              <w:ind w:right="360"/>
              <w:spacing w:after="0" w:line="156" w:lineRule="exact"/>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jc w:val="right"/>
              <w:ind w:right="240"/>
              <w:spacing w:after="0" w:line="156"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51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5"/>
                <w:szCs w:val="15"/>
                <w:color w:val="auto"/>
              </w:rPr>
            </w:pPr>
          </w:p>
        </w:tc>
      </w:tr>
      <w:tr>
        <w:trPr>
          <w:trHeight w:val="21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100" w:type="dxa"/>
            <w:vAlign w:val="bottom"/>
          </w:tcPr>
          <w:p>
            <w:pPr>
              <w:ind w:left="240"/>
              <w:spacing w:after="0"/>
              <w:rPr>
                <w:sz w:val="20"/>
                <w:szCs w:val="20"/>
                <w:color w:val="auto"/>
              </w:rPr>
            </w:pPr>
            <w:r>
              <w:rPr>
                <w:rFonts w:ascii="Arial" w:cs="Arial" w:eastAsia="Arial" w:hAnsi="Arial"/>
                <w:sz w:val="18"/>
                <w:szCs w:val="18"/>
                <w:color w:val="auto"/>
              </w:rPr>
              <w:t>Product revenues</w:t>
            </w: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Service revenues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 of product revenues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8"/>
                <w:szCs w:val="18"/>
                <w:color w:val="auto"/>
              </w:rPr>
            </w:pPr>
          </w:p>
        </w:tc>
      </w:tr>
      <w:tr>
        <w:trPr>
          <w:trHeight w:val="216"/>
        </w:trPr>
        <w:tc>
          <w:tcPr>
            <w:tcW w:w="5100" w:type="dxa"/>
            <w:vAlign w:val="bottom"/>
          </w:tcPr>
          <w:p>
            <w:pPr>
              <w:ind w:left="240"/>
              <w:spacing w:after="0"/>
              <w:rPr>
                <w:sz w:val="20"/>
                <w:szCs w:val="20"/>
                <w:color w:val="auto"/>
              </w:rPr>
            </w:pPr>
            <w:r>
              <w:rPr>
                <w:rFonts w:ascii="Arial" w:cs="Arial" w:eastAsia="Arial" w:hAnsi="Arial"/>
                <w:sz w:val="18"/>
                <w:szCs w:val="18"/>
                <w:color w:val="auto"/>
              </w:rPr>
              <w:t>Cost of service revenues</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8"/>
                <w:szCs w:val="18"/>
                <w:color w:val="auto"/>
              </w:rPr>
            </w:pPr>
          </w:p>
        </w:tc>
      </w:tr>
      <w:tr>
        <w:trPr>
          <w:trHeight w:val="216"/>
        </w:trPr>
        <w:tc>
          <w:tcPr>
            <w:tcW w:w="5100" w:type="dxa"/>
            <w:vAlign w:val="bottom"/>
          </w:tcPr>
          <w:p>
            <w:pPr>
              <w:ind w:left="240"/>
              <w:spacing w:after="0"/>
              <w:rPr>
                <w:sz w:val="20"/>
                <w:szCs w:val="20"/>
                <w:color w:val="auto"/>
              </w:rPr>
            </w:pPr>
            <w:r>
              <w:rPr>
                <w:rFonts w:ascii="Arial" w:cs="Arial" w:eastAsia="Arial" w:hAnsi="Arial"/>
                <w:sz w:val="18"/>
                <w:szCs w:val="18"/>
                <w:color w:val="auto"/>
              </w:rPr>
              <w:t>Independent research and development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acquired intangible assets</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r>
      <w:tr>
        <w:trPr>
          <w:trHeight w:val="20"/>
        </w:trPr>
        <w:tc>
          <w:tcPr>
            <w:tcW w:w="5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Benefit from (provision for) income taxes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income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Viasat, Inc.</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r>
    </w:tbl>
    <w:p>
      <w:pPr>
        <w:spacing w:after="0" w:line="247" w:lineRule="exact"/>
        <w:rPr>
          <w:sz w:val="20"/>
          <w:szCs w:val="20"/>
          <w:color w:val="auto"/>
        </w:rPr>
      </w:pPr>
    </w:p>
    <w:p>
      <w:pPr>
        <w:ind w:right="4160"/>
        <w:spacing w:after="0" w:line="350" w:lineRule="auto"/>
        <w:rPr>
          <w:sz w:val="20"/>
          <w:szCs w:val="20"/>
          <w:color w:val="auto"/>
        </w:rPr>
      </w:pPr>
      <w:r>
        <w:rPr>
          <w:rFonts w:ascii="Arial" w:cs="Arial" w:eastAsia="Arial" w:hAnsi="Arial"/>
          <w:sz w:val="18"/>
          <w:szCs w:val="18"/>
          <w:b w:val="1"/>
          <w:bCs w:val="1"/>
          <w:color w:val="auto"/>
        </w:rPr>
        <w:t xml:space="preserve">Three Months Ended December 31, 2019 vs. Three Months Ended December 31, 2018 </w:t>
      </w:r>
      <w:r>
        <w:rPr>
          <w:rFonts w:ascii="Arial" w:cs="Arial" w:eastAsia="Arial" w:hAnsi="Arial"/>
          <w:sz w:val="18"/>
          <w:szCs w:val="18"/>
          <w:i w:val="1"/>
          <w:iCs w:val="1"/>
          <w:color w:val="auto"/>
        </w:rPr>
        <w:t>Revenues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18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303.1</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5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588.2</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554.7</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r>
      <w:tr>
        <w:trPr>
          <w:trHeight w:val="635"/>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2" w:name="page43"/>
    <w:bookmarkEnd w:id="42"/>
    <w:p>
      <w:pPr>
        <w:ind w:firstLine="518"/>
        <w:spacing w:after="0" w:line="257" w:lineRule="auto"/>
        <w:rPr>
          <w:sz w:val="20"/>
          <w:szCs w:val="20"/>
          <w:color w:val="auto"/>
        </w:rPr>
      </w:pPr>
      <w:r>
        <w:rPr>
          <w:rFonts w:ascii="Arial" w:cs="Arial" w:eastAsia="Arial" w:hAnsi="Arial"/>
          <w:sz w:val="17"/>
          <w:szCs w:val="17"/>
          <w:color w:val="auto"/>
        </w:rPr>
        <w:t>Our total revenues grew by $33.5 million as a result of a $ 32.3 million increase in service revenues and a $1.2 million increase in product revenues. The service revenue increase was due to an increase of $34.0 million in our satellite services segment, partially offset by a decrease of $1.7 million in our government systems segment. The product revenue increase was driven primarily by an increase of $43.5 million in our government systems segment, partially offset by a decrease in product revenues of $42.2 million in our commercial networks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(11.9)</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slight increase in cost of revenues compared to the prior year period was due to an increase of $13.4 million in cost of service revenues, partially offset by a decrease of $11.9 million in cost of product revenues. The cost of service revenue increase primarily related to increased revenues, mainly from revenue increases in our satellite services segment, causing a $22.6 million increase in cost of service revenues on a constant margin basis. The increase in cost of service revenues was partially offset by improved margins, primarily driven by our fixed broadband services and in-flight internet services in our satellite services segment. The cost of product revenue decrease was primarily due to improved margins, mainly from tactical satcom radio products in our government systems segment.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r>
    </w:tbl>
    <w:p>
      <w:pPr>
        <w:spacing w:after="0" w:line="202"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$21.4 million increase in selling, general and administrative (SG&amp;A) expenses was primarily due to an increase in support costs of $21.1 million, partially offset by a decrease in selling costs of $3.8 million. The increase in support costs was reflected in all three segments, and the decrease in selling costs was driven by our satellite services segment. Additionally, in the prior year period we recorded a gain of approximately $4.0 million related to our ViaSat-2 satellite insurance claims recorded as a reduction to SG&amp;A expenses in our satellite services segment. SG&amp;A expenses consisted primarily of personnel costs and expenses for business development, marketing and sales, bid and proposal, facilities, finance, contract administration and general management.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88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28.9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jc w:val="both"/>
        <w:ind w:right="440" w:firstLine="518"/>
        <w:spacing w:after="0"/>
        <w:rPr>
          <w:sz w:val="20"/>
          <w:szCs w:val="20"/>
          <w:color w:val="auto"/>
        </w:rPr>
      </w:pPr>
      <w:r>
        <w:rPr>
          <w:rFonts w:ascii="Arial" w:cs="Arial" w:eastAsia="Arial" w:hAnsi="Arial"/>
          <w:sz w:val="18"/>
          <w:szCs w:val="18"/>
          <w:color w:val="auto"/>
        </w:rPr>
        <w:t>The $3.2 million increase in IR&amp;D expenses was primarily the result of an increase of $4.6 million in IR&amp;D efforts in our commercial networks segment (primarily related to an increase in IR&amp;D expenses related to next-generation satellite payload technologies and mobile broadband satellite communications systems), partially offset by a decrease of $1.3 million in our government systems segment.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5"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slight decrease in amortization of acquired intangible assets in the third quarter of fiscal year 2020 compared to the prior year period was primarily the result of certain acquired intangibles in our satellite services segment becoming fully amortized during the prior fiscal year. Current and expected amortization expense for acquired intangible assets for each of the following periods is as follows:</w:t>
      </w:r>
    </w:p>
    <w:p>
      <w:pPr>
        <w:spacing w:after="0" w:line="271" w:lineRule="exact"/>
        <w:rPr>
          <w:sz w:val="20"/>
          <w:szCs w:val="20"/>
          <w:color w:val="auto"/>
        </w:rPr>
      </w:pPr>
    </w:p>
    <w:tbl>
      <w:tblPr>
        <w:tblLayout w:type="fixed"/>
        <w:tblInd w:w="2300" w:type="dxa"/>
        <w:tblCellMar>
          <w:top w:w="0" w:type="dxa"/>
          <w:left w:w="0" w:type="dxa"/>
          <w:bottom w:w="0" w:type="dxa"/>
          <w:right w:w="0" w:type="dxa"/>
        </w:tblCellMar>
      </w:tblPr>
      <w:tr>
        <w:trPr>
          <w:trHeight w:val="175"/>
        </w:trPr>
        <w:tc>
          <w:tcPr>
            <w:tcW w:w="4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69"/>
        </w:trPr>
        <w:tc>
          <w:tcPr>
            <w:tcW w:w="4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For the nine months ended December 31, 2019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5,920</w:t>
            </w:r>
          </w:p>
        </w:tc>
        <w:tc>
          <w:tcPr>
            <w:tcW w:w="6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6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5,120</w:t>
            </w:r>
          </w:p>
        </w:tc>
        <w:tc>
          <w:tcPr>
            <w:tcW w:w="6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w:t>
            </w:r>
          </w:p>
        </w:tc>
        <w:tc>
          <w:tcPr>
            <w:tcW w:w="6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2,993</w:t>
            </w:r>
          </w:p>
        </w:tc>
        <w:tc>
          <w:tcPr>
            <w:tcW w:w="6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60" w:type="dxa"/>
            <w:vAlign w:val="bottom"/>
            <w:shd w:val="clear" w:color="auto" w:fill="CFF0FC"/>
          </w:tcPr>
          <w:p>
            <w:pPr>
              <w:spacing w:after="0"/>
              <w:rPr>
                <w:sz w:val="18"/>
                <w:szCs w:val="18"/>
                <w:color w:val="auto"/>
              </w:rPr>
            </w:pPr>
          </w:p>
        </w:tc>
      </w:tr>
      <w:tr>
        <w:trPr>
          <w:trHeight w:val="216"/>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60" w:type="dxa"/>
            <w:vAlign w:val="bottom"/>
            <w:tcBorders>
              <w:bottom w:val="single" w:sz="8" w:color="CFF0FC"/>
            </w:tcBorders>
          </w:tcPr>
          <w:p>
            <w:pPr>
              <w:spacing w:after="0"/>
              <w:rPr>
                <w:sz w:val="18"/>
                <w:szCs w:val="18"/>
                <w:color w:val="auto"/>
              </w:rPr>
            </w:pPr>
          </w:p>
        </w:tc>
      </w:tr>
      <w:tr>
        <w:trPr>
          <w:trHeight w:val="210"/>
        </w:trPr>
        <w:tc>
          <w:tcPr>
            <w:tcW w:w="46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16,271</w:t>
            </w:r>
          </w:p>
        </w:tc>
        <w:tc>
          <w:tcPr>
            <w:tcW w:w="60" w:type="dxa"/>
            <w:vAlign w:val="bottom"/>
            <w:shd w:val="clear" w:color="auto" w:fill="CFF0FC"/>
          </w:tcPr>
          <w:p>
            <w:pPr>
              <w:spacing w:after="0"/>
              <w:rPr>
                <w:sz w:val="18"/>
                <w:szCs w:val="18"/>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81"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The slight increase in interest income for the three months ended December 31, 2019 compared to the prior year period was the result of higher average invested cash balances during the third quarter of fiscal year 2020 compared to the prior year period.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8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7"/>
          <w:szCs w:val="17"/>
          <w:color w:val="auto"/>
        </w:rPr>
        <w:t>The $5.6 million decrease in interest expense for the three months ended December 31, 2019 compared to the prior year period was primarily due to a decrease in interest expense attributable to the Ex-Im Credit Facility, as the insurance recovery proceeds related to the ViaSat-2 satellite were used to pay down outstanding borrowings under the Ex-Im Credit Facility in the prior year period, partially offset by 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increase in interest expense attributable to the 5.625% Senior Secured Notes due 2027 (the 2027 Notes), which were issued in March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5" w:lineRule="exact"/>
        <w:rPr>
          <w:sz w:val="20"/>
          <w:szCs w:val="20"/>
          <w:color w:val="auto"/>
        </w:rPr>
      </w:pPr>
    </w:p>
    <w:p>
      <w:pPr>
        <w:ind w:right="220" w:firstLine="518"/>
        <w:spacing w:after="0" w:line="239" w:lineRule="auto"/>
        <w:rPr>
          <w:sz w:val="20"/>
          <w:szCs w:val="20"/>
          <w:color w:val="auto"/>
        </w:rPr>
      </w:pPr>
      <w:r>
        <w:rPr>
          <w:rFonts w:ascii="Arial" w:cs="Arial" w:eastAsia="Arial" w:hAnsi="Arial"/>
          <w:sz w:val="18"/>
          <w:szCs w:val="18"/>
          <w:color w:val="auto"/>
        </w:rPr>
        <w:t>For the three months ended December 31, 2019, we recorded an income tax benefit of $3.9 million, resulting in an effective tax benefit rate of negative 80%. For the three months ended December 31, 2018, we recorded an income tax provision of $3.2 million, resulting in an effective tax rate of negative 36%. The effective tax rates for the periods differed from the U.S. statutory rate due primarily to the benefit of federal and state R&amp;D tax credits.</w:t>
      </w:r>
    </w:p>
    <w:p>
      <w:pPr>
        <w:spacing w:after="0" w:line="148"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Our effective tax rate is highly influenced by the amount of our R&amp;D tax credits. A small change in estimated annual pretax income (loss) can produce a significant variance in the annual effective tax rate given our expected amount of R&amp;D tax credits. This variability provides an unreliable estimate of the annual effective tax rate. As a result, and in accordance with the authoritative guidance for accounting for income taxes in interim periods, we have computed our provision for income taxes for the three months ended December 31, 2019 by applying the actual effective tax rate to the quarter-to-date income for the three-month period.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December 31, 2019 vs. Three Months Ended December 31, 2018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18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5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18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r>
      <w:tr>
        <w:trPr>
          <w:trHeight w:val="432"/>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4" w:name="page45"/>
    <w:bookmarkEnd w:id="44"/>
    <w:p>
      <w:pPr>
        <w:ind w:firstLine="518"/>
        <w:spacing w:after="0" w:line="236" w:lineRule="auto"/>
        <w:rPr>
          <w:sz w:val="20"/>
          <w:szCs w:val="20"/>
          <w:color w:val="auto"/>
        </w:rPr>
      </w:pPr>
      <w:r>
        <w:rPr>
          <w:rFonts w:ascii="Arial" w:cs="Arial" w:eastAsia="Arial" w:hAnsi="Arial"/>
          <w:sz w:val="18"/>
          <w:szCs w:val="18"/>
          <w:color w:val="auto"/>
        </w:rPr>
        <w:t>Our satellite services segment revenues increased by $34.0 million due to an increase in service revenues. The increase in service revenues was primarily driven by the expansion of our fixed broadband services and in-flight internet services. The fixed broadband service revenue increase was driven by higher average revenue per fixed broadband subscriber in the United States when compared to the same period last fiscal year, reflecting a higher mix of new and existing subscribers choosing Viasat’s premium highest speed plans. Total subscribers at December 31, 2019 were approximately 586,000 compared to 584,000 subscribers at December 31, 2018. The in-flight service revenue increase was driven primarily by the increase in the number of commercial aircraft receiving our in-flight services through our IFC systems, with 1,379 commercial aircraft in service utilizing our IFC systems as of December 31, 2019, compared to 1,123 commercial aircraft in service as of December 31,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right"/>
              <w:ind w:right="280"/>
              <w:spacing w:after="0" w:line="15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340" w:type="dxa"/>
            <w:vAlign w:val="bottom"/>
            <w:gridSpan w:val="3"/>
          </w:tcPr>
          <w:p>
            <w:pPr>
              <w:jc w:val="center"/>
              <w:ind w:right="320"/>
              <w:spacing w:after="0" w:line="15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 (loss)</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(10.2)</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135%</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right="140" w:firstLine="518"/>
        <w:spacing w:after="0"/>
        <w:rPr>
          <w:sz w:val="20"/>
          <w:szCs w:val="20"/>
          <w:color w:val="auto"/>
        </w:rPr>
      </w:pPr>
      <w:r>
        <w:rPr>
          <w:rFonts w:ascii="Arial" w:cs="Arial" w:eastAsia="Arial" w:hAnsi="Arial"/>
          <w:sz w:val="18"/>
          <w:szCs w:val="18"/>
          <w:color w:val="auto"/>
        </w:rPr>
        <w:t>The change from satellite services segment operating loss to operating profit was driven primarily by higher earnings contributions of $23.8 million, primarily due to an increase in revenues and improved margins from our fixed broadband services and in-flight internet services as services scaled efficiently, partially offset by higher support costs and our investments in global broadband businesses.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(42.2)</w:t>
            </w:r>
          </w:p>
        </w:tc>
        <w:tc>
          <w:tcPr>
            <w:tcW w:w="1280" w:type="dxa"/>
            <w:vAlign w:val="bottom"/>
            <w:gridSpan w:val="2"/>
            <w:shd w:val="clear" w:color="auto" w:fill="CFF0FC"/>
          </w:tcPr>
          <w:p>
            <w:pPr>
              <w:jc w:val="center"/>
              <w:ind w:left="619"/>
              <w:spacing w:after="0"/>
              <w:rPr>
                <w:sz w:val="20"/>
                <w:szCs w:val="20"/>
                <w:color w:val="auto"/>
              </w:rPr>
            </w:pPr>
            <w:r>
              <w:rPr>
                <w:rFonts w:ascii="Arial" w:cs="Arial" w:eastAsia="Arial" w:hAnsi="Arial"/>
                <w:sz w:val="18"/>
                <w:szCs w:val="18"/>
                <w:color w:val="auto"/>
              </w:rPr>
              <w:t>(37)%</w:t>
            </w:r>
          </w:p>
        </w:tc>
      </w:tr>
      <w:tr>
        <w:trPr>
          <w:trHeight w:val="216"/>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gridSpan w:val="2"/>
          </w:tcPr>
          <w:p>
            <w:pPr>
              <w:jc w:val="center"/>
              <w:ind w:left="639"/>
              <w:spacing w:after="0"/>
              <w:rPr>
                <w:sz w:val="20"/>
                <w:szCs w:val="20"/>
                <w:color w:val="auto"/>
              </w:rPr>
            </w:pPr>
            <w:r>
              <w:rPr>
                <w:rFonts w:ascii="Arial" w:cs="Arial" w:eastAsia="Arial" w:hAnsi="Arial"/>
                <w:sz w:val="18"/>
                <w:szCs w:val="18"/>
                <w:color w:val="auto"/>
              </w:rPr>
              <w:t>—%</w:t>
            </w: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(42.3)</w:t>
            </w:r>
          </w:p>
        </w:tc>
        <w:tc>
          <w:tcPr>
            <w:tcW w:w="1280" w:type="dxa"/>
            <w:vAlign w:val="bottom"/>
            <w:gridSpan w:val="2"/>
            <w:shd w:val="clear" w:color="auto" w:fill="CFF0FC"/>
          </w:tcPr>
          <w:p>
            <w:pPr>
              <w:jc w:val="center"/>
              <w:ind w:left="619"/>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Our commercial networks segment revenues decreased by $ 42.3 million, primarily due to a $42.2 million decrease in product revenues. The decrease in product revenues was primarily due to a decrease of $ 46.5 million in mobile broadband satellite communication systems products as IFC terminal deliveries returned to more normalized levels, following accelerated deliveries in the prior year period, partially offset by an increase of $4.3 million in fixed satellite networks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320"/>
              <w:spacing w:after="0" w:line="15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340" w:type="dxa"/>
            <w:vAlign w:val="bottom"/>
            <w:gridSpan w:val="3"/>
          </w:tcPr>
          <w:p>
            <w:pPr>
              <w:jc w:val="center"/>
              <w:ind w:right="320"/>
              <w:spacing w:after="0" w:line="15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(46.9)</w:t>
            </w: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(31.2)</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(15.7)</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45" w:name="page46"/>
    <w:bookmarkEnd w:id="45"/>
    <w:p>
      <w:pPr>
        <w:ind w:right="140" w:firstLine="518"/>
        <w:spacing w:after="0" w:line="239" w:lineRule="auto"/>
        <w:rPr>
          <w:sz w:val="20"/>
          <w:szCs w:val="20"/>
          <w:color w:val="auto"/>
        </w:rPr>
      </w:pPr>
      <w:r>
        <w:rPr>
          <w:rFonts w:ascii="Arial" w:cs="Arial" w:eastAsia="Arial" w:hAnsi="Arial"/>
          <w:sz w:val="18"/>
          <w:szCs w:val="18"/>
          <w:color w:val="auto"/>
        </w:rPr>
        <w:t>The $ 15.7 million increase in our commercial networks segment operating loss was driven primarily by lower earnings contributions of $7.8 million, primarily due to a decrease in revenues of our mobile broadband satellite communication systems products. Additionally the segment experienced a $4.6 million increase in IR&amp;D expenses (primarily related to next-generation satellite payload technologies and mobile broadband satellite communications systems) and a $3.3 million increase in SG&amp;A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5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291.8</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ind w:right="60" w:firstLine="518"/>
        <w:spacing w:after="0" w:line="237" w:lineRule="auto"/>
        <w:rPr>
          <w:sz w:val="20"/>
          <w:szCs w:val="20"/>
          <w:color w:val="auto"/>
        </w:rPr>
      </w:pPr>
      <w:r>
        <w:rPr>
          <w:rFonts w:ascii="Arial" w:cs="Arial" w:eastAsia="Arial" w:hAnsi="Arial"/>
          <w:sz w:val="18"/>
          <w:szCs w:val="18"/>
          <w:color w:val="auto"/>
        </w:rPr>
        <w:t>Our government systems segment revenues increased by $41.7 million due to an increase of $43.5 million in product revenues, partially offset by a decrease of $1.7 million in service revenues. The product revenue increase was due to a $24.4 million increase in tactical satcom radio products, a $14.0 million increase in government mobile broadband products, a $10.3 million increase in tactical data link products, and a $6.1 million increase in government satellite communication systems products, partially offset by a decrease of $ 11.2 million in cybersecurity and information assurance products. The service revenue decrease was primarily due to a $1.4 million decrease in government satellite communication systems services.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right"/>
              <w:ind w:right="300"/>
              <w:spacing w:after="0" w:line="15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260" w:type="dxa"/>
            <w:vAlign w:val="bottom"/>
            <w:gridSpan w:val="3"/>
          </w:tcPr>
          <w:p>
            <w:pPr>
              <w:jc w:val="center"/>
              <w:ind w:right="240"/>
              <w:spacing w:after="0" w:line="15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2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49.9</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right="320" w:firstLine="518"/>
        <w:spacing w:after="0" w:line="239" w:lineRule="auto"/>
        <w:rPr>
          <w:sz w:val="20"/>
          <w:szCs w:val="20"/>
          <w:color w:val="auto"/>
        </w:rPr>
      </w:pPr>
      <w:r>
        <w:rPr>
          <w:rFonts w:ascii="Arial" w:cs="Arial" w:eastAsia="Arial" w:hAnsi="Arial"/>
          <w:sz w:val="18"/>
          <w:szCs w:val="18"/>
          <w:color w:val="auto"/>
        </w:rPr>
        <w:t>The $9.2 million increase in our government systems segment operating profit was primarily due to higher earnings contributions of $16.0 million, primarily due to an increase in revenues in our tactical satcom radio products, government mobile broadband products and tactical data link products, and improved margins from our tactical satcom radio products. This increase was partially offset by higher SG&amp;A costs of $8.1 million.</w:t>
      </w:r>
    </w:p>
    <w:p>
      <w:pPr>
        <w:spacing w:after="0" w:line="193" w:lineRule="exact"/>
        <w:rPr>
          <w:sz w:val="20"/>
          <w:szCs w:val="20"/>
          <w:color w:val="auto"/>
        </w:rPr>
      </w:pPr>
    </w:p>
    <w:p>
      <w:pPr>
        <w:ind w:right="4360"/>
        <w:spacing w:after="0" w:line="350" w:lineRule="auto"/>
        <w:rPr>
          <w:sz w:val="20"/>
          <w:szCs w:val="20"/>
          <w:color w:val="auto"/>
        </w:rPr>
      </w:pPr>
      <w:r>
        <w:rPr>
          <w:rFonts w:ascii="Arial" w:cs="Arial" w:eastAsia="Arial" w:hAnsi="Arial"/>
          <w:sz w:val="18"/>
          <w:szCs w:val="18"/>
          <w:b w:val="1"/>
          <w:bCs w:val="1"/>
          <w:color w:val="auto"/>
        </w:rPr>
        <w:t xml:space="preserve">Nine Months Ended December 31, 2019 vs. Nine Months Ended December 31, 2018 </w:t>
      </w:r>
      <w:r>
        <w:rPr>
          <w:rFonts w:ascii="Arial" w:cs="Arial" w:eastAsia="Arial" w:hAnsi="Arial"/>
          <w:sz w:val="18"/>
          <w:szCs w:val="18"/>
          <w:i w:val="1"/>
          <w:iCs w:val="1"/>
          <w:color w:val="auto"/>
        </w:rPr>
        <w:t>Revenues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revenues</w:t>
            </w:r>
          </w:p>
        </w:tc>
        <w:tc>
          <w:tcPr>
            <w:tcW w:w="18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873.5</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revenues</w:t>
            </w:r>
          </w:p>
        </w:tc>
        <w:tc>
          <w:tcPr>
            <w:tcW w:w="15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844.0</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710.6</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1,717.5</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206.5</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r>
      <w:tr>
        <w:trPr>
          <w:trHeight w:val="635"/>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6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6" w:name="page47"/>
    <w:bookmarkEnd w:id="46"/>
    <w:p>
      <w:pPr>
        <w:ind w:right="60" w:firstLine="518"/>
        <w:spacing w:after="0" w:line="238" w:lineRule="auto"/>
        <w:rPr>
          <w:sz w:val="20"/>
          <w:szCs w:val="20"/>
          <w:color w:val="auto"/>
        </w:rPr>
      </w:pPr>
      <w:r>
        <w:rPr>
          <w:rFonts w:ascii="Arial" w:cs="Arial" w:eastAsia="Arial" w:hAnsi="Arial"/>
          <w:sz w:val="18"/>
          <w:szCs w:val="18"/>
          <w:color w:val="auto"/>
        </w:rPr>
        <w:t>Our total revenues grew by $206.5 million as a result of a $133.4 million increase in service revenues and a $73.1 million increase in product revenues. The service revenue increase was due to increases of $120.1 million in our satellite services segment, $7.7 million in our commercial networks segment and $5.6 million in our government systems segment. The product revenue increase was driven primarily by an increase of $165.6 million in our government systems segment, partially offset by a decrease in product revenues of $92.5 million in our commercial networks segment.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634.1</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564.7</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8%</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cost of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1,198.8</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1,139.7</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Cost of revenues increased by $59.1 million due to increases of $41.3 million in cost of service revenues and $17.7 million in cost of product revenues. The cost of service revenue increase primarily related to increased revenues, mainly from our satellite services segment, causing a $98.2 million increase in cost of service revenues on a constant margin basis. The increase in cost of service revenues was partially offset by improved margins, primarily driven by our fixed broadband services and in-flight internet services in our satellite services segment. The cost of product revenue increase was primarily due to increased revenues, causing a $56.3 million increase in cost of product revenues on a constant margin basis mainly from revenue increases in our government systems segment, partially offset by decreased revenues in our commercial networks segment. The increase in cost of product revenues was partially offset by improved margins, driven primarily by our tactical satcom radio products, cybersecurity and information assurance products and government satellite communication systems products in our government systems segment and our satellite networking development program products in our commercial networks segment.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388.5</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The $48.2 million increase in SG&amp;A expenses was primarily due to an increase in support costs of $45.6 million, which was reflected in all three segments. Additionally, in the prior year period we recorded a gain of approximately $4.0 million related to our ViaSat-2 satellite insurance claims recorded as a reduction to SG&amp;A expenses in our satellite services segment. SG&amp;A expenses consisted primarily of personnel costs and expenses for business development, marketing and sales, bid and proposal, facilities, finance, contract administration and general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Nine Months Ended</w:t>
            </w:r>
          </w:p>
        </w:tc>
        <w:tc>
          <w:tcPr>
            <w:tcW w:w="3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Independent research and development</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FF0FC"/>
          </w:tcPr>
          <w:p>
            <w:pPr>
              <w:jc w:val="right"/>
              <w:ind w:right="508"/>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93.7</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ind w:right="360" w:firstLine="518"/>
        <w:spacing w:after="0"/>
        <w:rPr>
          <w:sz w:val="20"/>
          <w:szCs w:val="20"/>
          <w:color w:val="auto"/>
        </w:rPr>
      </w:pPr>
      <w:r>
        <w:rPr>
          <w:rFonts w:ascii="Arial" w:cs="Arial" w:eastAsia="Arial" w:hAnsi="Arial"/>
          <w:sz w:val="18"/>
          <w:szCs w:val="18"/>
          <w:color w:val="auto"/>
        </w:rPr>
        <w:t>The $6.3 million increase in IR&amp;D expenses was primarily due to an increase in IR&amp;D efforts in our commercial networks segment (primarily related to an increase in IR&amp;D expenses related to next-generation satellite payload technologies and mobile broadband satellite communications systems).</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5" w:lineRule="exact"/>
        <w:rPr>
          <w:sz w:val="20"/>
          <w:szCs w:val="20"/>
          <w:color w:val="auto"/>
        </w:rPr>
      </w:pPr>
    </w:p>
    <w:p>
      <w:pPr>
        <w:jc w:val="both"/>
        <w:ind w:right="160" w:firstLine="518"/>
        <w:spacing w:after="0" w:line="239"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$1.5 million decrease in amortization of acquired intangible assets in the first nine months of fiscal year 2020 compared to the prior year period was primarily the result of certain acquired intangibles in our satellite services segment becoming fully amortized during the prior fiscal year. Current and expected amortization expense for acquired intangible assets for each of the following periods is as follows:</w:t>
      </w:r>
    </w:p>
    <w:p>
      <w:pPr>
        <w:spacing w:after="0" w:line="271" w:lineRule="exact"/>
        <w:rPr>
          <w:sz w:val="20"/>
          <w:szCs w:val="20"/>
          <w:color w:val="auto"/>
        </w:rPr>
      </w:pPr>
    </w:p>
    <w:tbl>
      <w:tblPr>
        <w:tblLayout w:type="fixed"/>
        <w:tblInd w:w="2300" w:type="dxa"/>
        <w:tblCellMar>
          <w:top w:w="0" w:type="dxa"/>
          <w:left w:w="0" w:type="dxa"/>
          <w:bottom w:w="0" w:type="dxa"/>
          <w:right w:w="0" w:type="dxa"/>
        </w:tblCellMar>
      </w:tblPr>
      <w:tr>
        <w:trPr>
          <w:trHeight w:val="175"/>
        </w:trPr>
        <w:tc>
          <w:tcPr>
            <w:tcW w:w="4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5"/>
                <w:szCs w:val="15"/>
                <w:color w:val="auto"/>
              </w:rPr>
            </w:pPr>
          </w:p>
        </w:tc>
      </w:tr>
      <w:tr>
        <w:trPr>
          <w:trHeight w:val="169"/>
        </w:trPr>
        <w:tc>
          <w:tcPr>
            <w:tcW w:w="4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For the nine months ended December 31, 2019</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5,920</w:t>
            </w:r>
          </w:p>
        </w:tc>
        <w:tc>
          <w:tcPr>
            <w:tcW w:w="6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Expected for the remainder of fiscal year 2020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w:t>
            </w:r>
          </w:p>
        </w:tc>
        <w:tc>
          <w:tcPr>
            <w:tcW w:w="6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Expected for fiscal year 2021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5,120</w:t>
            </w:r>
          </w:p>
        </w:tc>
        <w:tc>
          <w:tcPr>
            <w:tcW w:w="6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2022</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w:t>
            </w:r>
          </w:p>
        </w:tc>
        <w:tc>
          <w:tcPr>
            <w:tcW w:w="6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Expected for fiscal year 2023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2,993</w:t>
            </w:r>
          </w:p>
        </w:tc>
        <w:tc>
          <w:tcPr>
            <w:tcW w:w="6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2024</w:t>
            </w: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w:t>
            </w:r>
          </w:p>
        </w:tc>
        <w:tc>
          <w:tcPr>
            <w:tcW w:w="60" w:type="dxa"/>
            <w:vAlign w:val="bottom"/>
            <w:shd w:val="clear" w:color="auto" w:fill="CFF0FC"/>
          </w:tcPr>
          <w:p>
            <w:pPr>
              <w:spacing w:after="0"/>
              <w:rPr>
                <w:sz w:val="18"/>
                <w:szCs w:val="18"/>
                <w:color w:val="auto"/>
              </w:rPr>
            </w:pPr>
          </w:p>
        </w:tc>
      </w:tr>
      <w:tr>
        <w:trPr>
          <w:trHeight w:val="216"/>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60" w:type="dxa"/>
            <w:vAlign w:val="bottom"/>
            <w:tcBorders>
              <w:bottom w:val="single" w:sz="8" w:color="CFF0FC"/>
            </w:tcBorders>
          </w:tcPr>
          <w:p>
            <w:pPr>
              <w:spacing w:after="0"/>
              <w:rPr>
                <w:sz w:val="18"/>
                <w:szCs w:val="18"/>
                <w:color w:val="auto"/>
              </w:rPr>
            </w:pPr>
          </w:p>
        </w:tc>
      </w:tr>
      <w:tr>
        <w:trPr>
          <w:trHeight w:val="210"/>
        </w:trPr>
        <w:tc>
          <w:tcPr>
            <w:tcW w:w="46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16,271</w:t>
            </w:r>
          </w:p>
        </w:tc>
        <w:tc>
          <w:tcPr>
            <w:tcW w:w="60" w:type="dxa"/>
            <w:vAlign w:val="bottom"/>
            <w:shd w:val="clear" w:color="auto" w:fill="CFF0FC"/>
          </w:tcPr>
          <w:p>
            <w:pPr>
              <w:spacing w:after="0"/>
              <w:rPr>
                <w:sz w:val="18"/>
                <w:szCs w:val="18"/>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81" w:lineRule="exact"/>
        <w:rPr>
          <w:sz w:val="20"/>
          <w:szCs w:val="20"/>
          <w:color w:val="auto"/>
        </w:rPr>
      </w:pPr>
    </w:p>
    <w:p>
      <w:pPr>
        <w:ind w:right="240" w:firstLine="518"/>
        <w:spacing w:after="0" w:line="246" w:lineRule="auto"/>
        <w:rPr>
          <w:sz w:val="20"/>
          <w:szCs w:val="20"/>
          <w:color w:val="auto"/>
        </w:rPr>
      </w:pPr>
      <w:r>
        <w:rPr>
          <w:rFonts w:ascii="Arial" w:cs="Arial" w:eastAsia="Arial" w:hAnsi="Arial"/>
          <w:sz w:val="18"/>
          <w:szCs w:val="18"/>
          <w:color w:val="auto"/>
        </w:rPr>
        <w:t>The $1.4 million increase in interest income for the nine months ended December 31, 2019 compared to the prior year period was the result of higher average invested cash balances during the first nine months of fiscal year 2020 compared to the prior year period.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81" w:lineRule="exact"/>
        <w:rPr>
          <w:sz w:val="20"/>
          <w:szCs w:val="20"/>
          <w:color w:val="auto"/>
        </w:rPr>
      </w:pPr>
    </w:p>
    <w:p>
      <w:pPr>
        <w:ind w:right="240" w:firstLine="518"/>
        <w:spacing w:after="0" w:line="237" w:lineRule="auto"/>
        <w:rPr>
          <w:sz w:val="20"/>
          <w:szCs w:val="20"/>
          <w:color w:val="auto"/>
        </w:rPr>
      </w:pPr>
      <w:r>
        <w:rPr>
          <w:rFonts w:ascii="Arial" w:cs="Arial" w:eastAsia="Arial" w:hAnsi="Arial"/>
          <w:sz w:val="18"/>
          <w:szCs w:val="18"/>
          <w:color w:val="auto"/>
        </w:rPr>
        <w:t>The $10.3 million decrease in interest expense in the nine months ended December 31, 2019 compared to the prior year period was primarily related to a decrease in interest expense attributable to the Ex-Im Credit Facility, as the insurance recovery proceeds related to the ViaSat-2 satellite were used to pay down outstanding borrowings under the Ex-Im Credit Facility in the prior year period, coupled with an increase in the amount of interest capitalized. This decrease was partially offset by an increase in interest expense attributable to the 2027 Notes, which were issued in March 2019. Capitalized interest expense during the nine months ended December 31, 2019 related to the construction of our ViaSat-3 class satellites, gateway and networking equipment and other assets.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5"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For the nine months ended December 31, 2019, we recorded an income tax benefit of $8.7 million, resulting in an effective tax benefit rate of 211%. For the nine months ended December 31, 2018, we recorded an income tax benefit of $35.7 million, resulting in an effective tax benefit rate of 32%. The effective tax benefit rates for the periods differed from the U.S. statutory rate due primarily to the benefit of federal and state R&amp;D tax credits.</w:t>
      </w:r>
    </w:p>
    <w:p>
      <w:pPr>
        <w:spacing w:after="0" w:line="14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Ordinarily, the effective tax rate at the end of an interim period is calculated using an estimate of the annual effective tax rate expected to be applicable for the full fiscal year. However, when a reliable estimate cannot be made, we compute our provision for income taxes using the actual effective tax rate (discrete method) for the year-to-date period. Our effective tax rate is highly influenced by the amount of our R&amp;D tax credits. A small change in estimated annual pretax income (loss) can produce a significant variance in the annual effective tax rate given our expected amount of R&amp;D tax credits. This variability provides an unreliable estimate of the annual effective tax rate. As a result, and in accordance with the authoritative guidance for accounting for income taxes in interim periods, we have computed our provision for income taxes for the nine months ended December 31, 2019 by applying the actual effective tax rate to the year-to-date income (loss) for the nine-month period.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Segment Results for the Nine Months Ended December 31, 2019 vs. Nine Months Ended December 31, 2018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614.2</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24%</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614.2</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494.2</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Our satellite services segment revenues increased by $120.1 million due to an increase in service revenues. The increase in service revenues was primarily driven by the expansion of our fixed broadband services and in-flight internet services. The fixed broadband service revenue increase was driven by higher average revenue per fixed broadband subscriber in the United States when compared to the same period last fiscal year, reflecting a higher mix of new and existing subscribers choosing Viasat’s premium highest speed plans. Total subscribers at December 31, 2019 were approximately 586,000 compared to 584,000 subscribers at December 31, 2018. The in-flight service revenue increase was driven primarily by the increase in the number of commercial aircraft receiving our in-flight services through our IFC systems, with 1,379 commercial aircraft in service utilizing our IFC systems as of December 31, 2019, compared to 1,123 commercial aircraft in service as of December 31,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right"/>
              <w:ind w:right="280"/>
              <w:spacing w:after="0" w:line="15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340" w:type="dxa"/>
            <w:vAlign w:val="bottom"/>
            <w:gridSpan w:val="3"/>
          </w:tcPr>
          <w:p>
            <w:pPr>
              <w:jc w:val="center"/>
              <w:ind w:right="320"/>
              <w:spacing w:after="0" w:line="15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 (loss)</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(65.0)</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right="20" w:firstLine="518"/>
        <w:spacing w:after="0"/>
        <w:rPr>
          <w:sz w:val="20"/>
          <w:szCs w:val="20"/>
          <w:color w:val="auto"/>
        </w:rPr>
      </w:pPr>
      <w:r>
        <w:rPr>
          <w:rFonts w:ascii="Arial" w:cs="Arial" w:eastAsia="Arial" w:hAnsi="Arial"/>
          <w:sz w:val="18"/>
          <w:szCs w:val="18"/>
          <w:color w:val="auto"/>
        </w:rPr>
        <w:t>The change in our satellite services segment operating loss to an operating profit was driven primarily by higher earnings contributions of $90.9 million, primarily due to an increase in revenues and improved margins from our fixed broadband services and in-flight internet services as services scaled efficiently, partially offset by higher support costs and our investments in global broadband businesses.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60"/>
              <w:spacing w:after="0" w:line="156" w:lineRule="exact"/>
              <w:rPr>
                <w:sz w:val="20"/>
                <w:szCs w:val="20"/>
                <w:color w:val="auto"/>
              </w:rPr>
            </w:pPr>
            <w:r>
              <w:rPr>
                <w:rFonts w:ascii="Arial" w:cs="Arial" w:eastAsia="Arial" w:hAnsi="Arial"/>
                <w:sz w:val="14"/>
                <w:szCs w:val="14"/>
                <w:b w:val="1"/>
                <w:bCs w:val="1"/>
                <w:color w:val="auto"/>
              </w:rPr>
              <w:t>Increase</w:t>
            </w:r>
          </w:p>
        </w:tc>
        <w:tc>
          <w:tcPr>
            <w:tcW w:w="12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(92.5)</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3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251.8</w:t>
            </w:r>
          </w:p>
        </w:tc>
        <w:tc>
          <w:tcPr>
            <w:tcW w:w="4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(84.8)</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ind w:right="160" w:firstLine="518"/>
        <w:spacing w:after="0" w:line="234" w:lineRule="auto"/>
        <w:rPr>
          <w:sz w:val="20"/>
          <w:szCs w:val="20"/>
          <w:color w:val="auto"/>
        </w:rPr>
      </w:pPr>
      <w:r>
        <w:rPr>
          <w:rFonts w:ascii="Arial" w:cs="Arial" w:eastAsia="Arial" w:hAnsi="Arial"/>
          <w:sz w:val="18"/>
          <w:szCs w:val="18"/>
          <w:color w:val="auto"/>
        </w:rPr>
        <w:t>Our commercial networks segment revenues decreased by $84.8 million, primarily due to a $92.5 million decrease in product revenues partially offset by a $7.7 million increase in service revenues. The decrease in product revenues was primarily due to a decrease of</w:t>
      </w:r>
    </w:p>
    <w:p>
      <w:pPr>
        <w:spacing w:after="0" w:line="2"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$117.5 million in mobile broadband satellite communication systems products as IFC terminal deliveries returned to more normalized levels, following accelerated deliveries in the prior year period, partially offset by an increase of $10.8 million in satellite networking development program products. The increase in service revenues was primarily due to an increase of $9.7 million in mobile broadband satellite communication systems services, partially offset by a decrease of $3.1 million in fixed satellite network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Dollar</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Percentage</w:t>
            </w:r>
          </w:p>
        </w:tc>
        <w:tc>
          <w:tcPr>
            <w:tcW w:w="56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320"/>
              <w:spacing w:after="0" w:line="15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340" w:type="dxa"/>
            <w:vAlign w:val="bottom"/>
            <w:gridSpan w:val="3"/>
          </w:tcPr>
          <w:p>
            <w:pPr>
              <w:jc w:val="center"/>
              <w:ind w:right="320"/>
              <w:spacing w:after="0" w:line="15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(Increase)</w:t>
            </w:r>
          </w:p>
        </w:tc>
        <w:tc>
          <w:tcPr>
            <w:tcW w:w="126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60" w:type="dxa"/>
            <w:vAlign w:val="bottom"/>
            <w:tcBorders>
              <w:bottom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10"/>
        </w:trPr>
        <w:tc>
          <w:tcPr>
            <w:tcW w:w="58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loss</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(143.6)</w:t>
            </w:r>
          </w:p>
        </w:tc>
        <w:tc>
          <w:tcPr>
            <w:tcW w:w="30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(117.4)</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(26.1)</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560" w:type="dxa"/>
            <w:vAlign w:val="bottom"/>
          </w:tcPr>
          <w:p>
            <w:pPr>
              <w:spacing w:after="0"/>
              <w:rPr>
                <w:sz w:val="18"/>
                <w:szCs w:val="18"/>
                <w:color w:val="auto"/>
              </w:rPr>
            </w:pPr>
          </w:p>
        </w:tc>
      </w:tr>
      <w:tr>
        <w:trPr>
          <w:trHeight w:val="230"/>
        </w:trPr>
        <w:tc>
          <w:tcPr>
            <w:tcW w:w="5380" w:type="dxa"/>
            <w:vAlign w:val="bottom"/>
            <w:gridSpan w:val="2"/>
          </w:tcPr>
          <w:p>
            <w:pPr>
              <w:ind w:left="580"/>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621"/>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ind w:right="657"/>
              <w:spacing w:after="0"/>
              <w:rPr>
                <w:sz w:val="20"/>
                <w:szCs w:val="20"/>
                <w:color w:val="auto"/>
              </w:rPr>
            </w:pPr>
            <w:r>
              <w:rPr>
                <w:rFonts w:ascii="Arial" w:cs="Arial" w:eastAsia="Arial" w:hAnsi="Arial"/>
                <w:sz w:val="18"/>
                <w:szCs w:val="18"/>
                <w:color w:val="auto"/>
                <w:w w:val="99"/>
              </w:rPr>
              <w:t>49</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9" w:name="page50"/>
    <w:bookmarkEnd w:id="49"/>
    <w:p>
      <w:pPr>
        <w:ind w:firstLine="518"/>
        <w:spacing w:after="0" w:line="239" w:lineRule="auto"/>
        <w:rPr>
          <w:sz w:val="20"/>
          <w:szCs w:val="20"/>
          <w:color w:val="auto"/>
        </w:rPr>
      </w:pPr>
      <w:r>
        <w:rPr>
          <w:rFonts w:ascii="Arial" w:cs="Arial" w:eastAsia="Arial" w:hAnsi="Arial"/>
          <w:sz w:val="18"/>
          <w:szCs w:val="18"/>
          <w:color w:val="auto"/>
        </w:rPr>
        <w:t>The $26.1 million increase in our commercial networks segment operating loss was driven primarily by a $10.3 million increase in SG&amp;A costs, an increase of $9.4 million in IR&amp;D expenses (primarily related to next-generation satellite payload technologies and mobile broadband satellite communications systems), and lower earnings contributions of $6.4 million (primarily due to a decrease in revenues of our mobile broadband satellite communication systems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59"/>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040" w:type="dxa"/>
            <w:vAlign w:val="bottom"/>
            <w:gridSpan w:val="2"/>
          </w:tcPr>
          <w:p>
            <w:pPr>
              <w:jc w:val="right"/>
              <w:spacing w:after="0" w:line="156"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79"/>
              <w:spacing w:after="0" w:line="156"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Segment product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661.3</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495.7</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5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Segment service revenues</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3%</w:t>
            </w: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revenues</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851.5</w:t>
            </w: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680.3</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171.2</w:t>
            </w:r>
          </w:p>
        </w:tc>
        <w:tc>
          <w:tcPr>
            <w:tcW w:w="1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Our government systems segment revenues increased by $171.2 million due to increases of $165.6 million in product revenues and $5.6 million in service revenues. The product revenue increase was due to a $55.3 million increase in tactical satcom radio products, a $44.1 million increase in government satellite communication systems products, a $ 41.5 million increase in tactical data link products and a $31.1 million increase in government mobile broadband products, partially offset by a decrease of $6.6 million in cybersecurity and information assurance products. The service revenue increase was primarily due to a $5.6 million increase in government mobile broadband services.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456"/>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56"/>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right"/>
              <w:ind w:right="300"/>
              <w:spacing w:after="0" w:line="15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260" w:type="dxa"/>
            <w:vAlign w:val="bottom"/>
            <w:gridSpan w:val="3"/>
          </w:tcPr>
          <w:p>
            <w:pPr>
              <w:jc w:val="right"/>
              <w:ind w:right="280"/>
              <w:spacing w:after="0" w:line="156"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Increase</w:t>
            </w: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rPr>
              <w:t>Increase</w:t>
            </w:r>
          </w:p>
        </w:tc>
      </w:tr>
      <w:tr>
        <w:trPr>
          <w:trHeight w:val="175"/>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Borders>
              <w:bottom w:val="single" w:sz="8" w:color="CFF0FC"/>
            </w:tcBorders>
          </w:tcPr>
          <w:p>
            <w:pPr>
              <w:spacing w:after="0"/>
              <w:rPr>
                <w:sz w:val="15"/>
                <w:szCs w:val="15"/>
                <w:color w:val="auto"/>
              </w:rPr>
            </w:pP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Segment operating profit</w:t>
            </w:r>
          </w:p>
        </w:tc>
        <w:tc>
          <w:tcPr>
            <w:tcW w:w="34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167.2</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188" w:lineRule="exact"/>
        <w:rPr>
          <w:sz w:val="20"/>
          <w:szCs w:val="20"/>
          <w:color w:val="auto"/>
        </w:rPr>
      </w:pPr>
    </w:p>
    <w:p>
      <w:pPr>
        <w:ind w:right="200" w:firstLine="518"/>
        <w:spacing w:after="0" w:line="239" w:lineRule="auto"/>
        <w:rPr>
          <w:sz w:val="20"/>
          <w:szCs w:val="20"/>
          <w:color w:val="auto"/>
        </w:rPr>
      </w:pPr>
      <w:r>
        <w:rPr>
          <w:rFonts w:ascii="Arial" w:cs="Arial" w:eastAsia="Arial" w:hAnsi="Arial"/>
          <w:sz w:val="18"/>
          <w:szCs w:val="18"/>
          <w:color w:val="auto"/>
        </w:rPr>
        <w:t>The $47.4 million increase in our government systems segment operating profit was primarily due to higher earnings contributions of $63.0 million, primarily due to an increase in revenues from our tactical satcom radio products, government satellite communication systems products and tactical data link products, and improved margins from our tactical satcom radio products and cybersecurity and information assurance products. This increase was partially offset by higher SG&amp;A costs of $18.2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9" w:lineRule="exact"/>
        <w:rPr>
          <w:sz w:val="20"/>
          <w:szCs w:val="20"/>
          <w:color w:val="auto"/>
        </w:rPr>
      </w:pPr>
    </w:p>
    <w:p>
      <w:pPr>
        <w:ind w:right="200" w:firstLine="518"/>
        <w:spacing w:after="0"/>
        <w:rPr>
          <w:sz w:val="20"/>
          <w:szCs w:val="20"/>
          <w:color w:val="auto"/>
        </w:rPr>
      </w:pPr>
      <w:r>
        <w:rPr>
          <w:rFonts w:ascii="Arial" w:cs="Arial" w:eastAsia="Arial" w:hAnsi="Arial"/>
          <w:sz w:val="18"/>
          <w:szCs w:val="18"/>
          <w:color w:val="auto"/>
        </w:rPr>
        <w:t>As reflected in the table below, our overall firm and funded backlog increased during the first nine months of fiscal year 2020. The increases in both firm and funded backlog were primarily attributable to increases in our commercial networks systems and satellite services segments.</w:t>
      </w:r>
    </w:p>
    <w:p>
      <w:pPr>
        <w:spacing w:after="0" w:line="190"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31, 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9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611.1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Government systems segment</w:t>
            </w:r>
          </w:p>
        </w:tc>
        <w:tc>
          <w:tcPr>
            <w:tcW w:w="5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927.5</w:t>
            </w:r>
          </w:p>
        </w:tc>
        <w:tc>
          <w:tcPr>
            <w:tcW w:w="1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931.2</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1,923.7</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5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9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56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912.1</w:t>
            </w:r>
          </w:p>
        </w:tc>
        <w:tc>
          <w:tcPr>
            <w:tcW w:w="1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1,908.3</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The firm backlog does not include contract options. Of the $1.9 billion in firm backlog, a little over half is expected to be delivered during the next twelve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50" w:name="page51"/>
    <w:bookmarkEnd w:id="50"/>
    <w:p>
      <w:pPr>
        <w:ind w:right="40"/>
        <w:spacing w:after="0" w:line="239" w:lineRule="auto"/>
        <w:rPr>
          <w:sz w:val="20"/>
          <w:szCs w:val="20"/>
          <w:color w:val="auto"/>
        </w:rPr>
      </w:pPr>
      <w:r>
        <w:rPr>
          <w:rFonts w:ascii="Arial" w:cs="Arial" w:eastAsia="Arial" w:hAnsi="Arial"/>
          <w:sz w:val="18"/>
          <w:szCs w:val="18"/>
          <w:color w:val="auto"/>
        </w:rPr>
        <w:t>include future recurring in-flight internet service revenues under our agreements with commercial airlines. As of December 31, 2019, we provided in-flight internet services to 1,379 commercial aircraft, with in-flight internet services anticipated to be activated on over 690 additional commercial aircraft under our existing customer agreements with commercial airlines. There can be no assurance that all anticipated purchase orders and requests will be placed or that anticipated in-flight internet services will be activated.</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total new awards exclude future revenue under recurring consumer commitment arrangements and were approximately</w:t>
      </w:r>
    </w:p>
    <w:p>
      <w:pPr>
        <w:spacing w:after="0" w:line="234" w:lineRule="auto"/>
        <w:rPr>
          <w:sz w:val="20"/>
          <w:szCs w:val="20"/>
          <w:color w:val="auto"/>
        </w:rPr>
      </w:pPr>
      <w:r>
        <w:rPr>
          <w:rFonts w:ascii="Arial" w:cs="Arial" w:eastAsia="Arial" w:hAnsi="Arial"/>
          <w:sz w:val="18"/>
          <w:szCs w:val="18"/>
          <w:color w:val="auto"/>
        </w:rPr>
        <w:t>$577.4 million and $1,775.5 million for the three and nine months ended December 31, 2019, respectively, and approximately $448.6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$1,756.9 million for the three and nine months ended December 31, 2018, respectively.</w:t>
      </w:r>
    </w:p>
    <w:p>
      <w:pPr>
        <w:spacing w:after="0" w:line="158"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8"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85" w:lineRule="exact"/>
        <w:rPr>
          <w:sz w:val="20"/>
          <w:szCs w:val="20"/>
          <w:color w:val="auto"/>
        </w:rPr>
      </w:pPr>
    </w:p>
    <w:p>
      <w:pPr>
        <w:ind w:right="180" w:firstLine="518"/>
        <w:spacing w:after="0" w:line="237"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December 31, 2019, we had $47.8 million in cash and cash equivalents, $211.8 million in working capital, $110.0 million in principal amount of outstanding borrowings under our revolving credit facility (the Revolving Credit Facility) and borrowing availability of $562.4 million under the Revolving Credit Facility. At March 31, 2019, we had $261.7 million in cash and cash equivalents, $401.7 million in working capital, and no outstanding borrowings and borrowing availability of $680.4 million under the Revolving Credit Facility. We invest our cash in excess of current operating requirements in short-term, highly liquid bank money market accounts.</w:t>
      </w:r>
    </w:p>
    <w:p>
      <w:pPr>
        <w:spacing w:after="0" w:line="151"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satellite projects and any future broadband satellite projects we may engage in, expansion of our R&amp;D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48"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 general cash needs of our satellite services, commercial networks and government systems segments can vary significantly. 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 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51" w:lineRule="exact"/>
        <w:rPr>
          <w:sz w:val="20"/>
          <w:szCs w:val="20"/>
          <w:color w:val="auto"/>
        </w:rPr>
      </w:pPr>
    </w:p>
    <w:p>
      <w:pPr>
        <w:ind w:right="140" w:firstLine="518"/>
        <w:spacing w:after="0" w:line="237" w:lineRule="auto"/>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February 2019, we filed a universal shelf registration statement with the SEC for the future sale of an unlimited amount of common stock, preferred stock, debt securities, depositary shares, warrants and rights. The securities may be offered from time to time, separately or together, directly by us, by selling security holders, or through</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03" w:right="279" w:bottom="1440" w:gutter="0" w:footer="0" w:header="0"/>
        </w:sectPr>
      </w:pPr>
    </w:p>
    <w:bookmarkStart w:id="51" w:name="page52"/>
    <w:bookmarkEnd w:id="51"/>
    <w:p>
      <w:pPr>
        <w:ind w:right="180"/>
        <w:spacing w:after="0"/>
        <w:rPr>
          <w:sz w:val="20"/>
          <w:szCs w:val="20"/>
          <w:color w:val="auto"/>
        </w:rPr>
      </w:pPr>
      <w:r>
        <w:rPr>
          <w:rFonts w:ascii="Arial" w:cs="Arial" w:eastAsia="Arial" w:hAnsi="Arial"/>
          <w:sz w:val="18"/>
          <w:szCs w:val="18"/>
          <w:color w:val="auto"/>
        </w:rPr>
        <w:t>underwriters, dealers or agents at amounts, prices, interest rates and other terms to be determined at the time of the offering. We believe that our current cash balances and net cash expected to be provided by operating activities along with availability under our Revolving Credit Facility will be sufficient to meet our anticipated operating requirements for at least the next 12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provided by operating activities for the first nine months of fiscal year 2020 was $293.4 million compared to $214.7 million in the</w:t>
      </w:r>
    </w:p>
    <w:p>
      <w:pPr>
        <w:spacing w:after="0" w:line="234" w:lineRule="auto"/>
        <w:rPr>
          <w:sz w:val="20"/>
          <w:szCs w:val="20"/>
          <w:color w:val="auto"/>
        </w:rPr>
      </w:pPr>
      <w:r>
        <w:rPr>
          <w:rFonts w:ascii="Arial" w:cs="Arial" w:eastAsia="Arial" w:hAnsi="Arial"/>
          <w:sz w:val="18"/>
          <w:szCs w:val="18"/>
          <w:color w:val="auto"/>
        </w:rPr>
        <w:t>prior year period. This $78.7 million increase was primarily driven by our operating results (net loss adjusted for depreciation, amortization and</w:t>
      </w:r>
    </w:p>
    <w:p>
      <w:pPr>
        <w:spacing w:after="0" w:line="235" w:lineRule="auto"/>
        <w:rPr>
          <w:sz w:val="20"/>
          <w:szCs w:val="20"/>
          <w:color w:val="auto"/>
        </w:rPr>
      </w:pPr>
      <w:r>
        <w:rPr>
          <w:rFonts w:ascii="Arial" w:cs="Arial" w:eastAsia="Arial" w:hAnsi="Arial"/>
          <w:sz w:val="18"/>
          <w:szCs w:val="18"/>
          <w:color w:val="auto"/>
        </w:rPr>
        <w:t>other non-cash charges) which resulted in $117.0 million of higher cash provided by operating activities year-over-year, partially offset by a</w:t>
      </w:r>
    </w:p>
    <w:p>
      <w:pPr>
        <w:spacing w:after="0" w:line="235" w:lineRule="auto"/>
        <w:rPr>
          <w:sz w:val="20"/>
          <w:szCs w:val="20"/>
          <w:color w:val="auto"/>
        </w:rPr>
      </w:pPr>
      <w:r>
        <w:rPr>
          <w:rFonts w:ascii="Arial" w:cs="Arial" w:eastAsia="Arial" w:hAnsi="Arial"/>
          <w:sz w:val="18"/>
          <w:szCs w:val="18"/>
          <w:color w:val="auto"/>
        </w:rPr>
        <w:t>$38.3 million year-over-year increase in cash used to fund net operating assets. The increase in cash used to fund net operating assets during</w:t>
      </w:r>
    </w:p>
    <w:p>
      <w:pPr>
        <w:spacing w:after="0" w:line="235" w:lineRule="auto"/>
        <w:rPr>
          <w:sz w:val="20"/>
          <w:szCs w:val="20"/>
          <w:color w:val="auto"/>
        </w:rPr>
      </w:pPr>
      <w:r>
        <w:rPr>
          <w:rFonts w:ascii="Arial" w:cs="Arial" w:eastAsia="Arial" w:hAnsi="Arial"/>
          <w:sz w:val="18"/>
          <w:szCs w:val="18"/>
          <w:color w:val="auto"/>
        </w:rPr>
        <w:t>the first nine months of fiscal year 2020 when compared to the prior year period was primarily due to higher cash payments made in our</w:t>
      </w:r>
    </w:p>
    <w:p>
      <w:pPr>
        <w:spacing w:after="0"/>
        <w:rPr>
          <w:sz w:val="20"/>
          <w:szCs w:val="20"/>
          <w:color w:val="auto"/>
        </w:rPr>
      </w:pPr>
      <w:r>
        <w:rPr>
          <w:rFonts w:ascii="Arial" w:cs="Arial" w:eastAsia="Arial" w:hAnsi="Arial"/>
          <w:sz w:val="18"/>
          <w:szCs w:val="18"/>
          <w:color w:val="auto"/>
        </w:rPr>
        <w:t>accrued liabilities due to timing of payments.</w:t>
      </w:r>
    </w:p>
    <w:p>
      <w:pPr>
        <w:spacing w:after="0" w:line="158"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Cash used in investing activities for the first nine months of fiscal year 2020 was $595.6 million compared to $340.4 million in the prior year period. This $255.1 million increase in cash used in investing activities year-over-year reflects an increase of $78.3 million in cash used for satellite construction, as well as $169.9 million in proceeds received from the insurance claims for the ViaSat-2 satellite and $14.0 million of cash proceeds from sales of real property during the prior year period compared to none in the current year period.</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provided by financing activities for the first nine months of fiscal year 2020 was $88.5 million compared to $100.6 million for the</w:t>
      </w:r>
    </w:p>
    <w:p>
      <w:pPr>
        <w:spacing w:after="0" w:line="234" w:lineRule="auto"/>
        <w:rPr>
          <w:sz w:val="20"/>
          <w:szCs w:val="20"/>
          <w:color w:val="auto"/>
        </w:rPr>
      </w:pPr>
      <w:r>
        <w:rPr>
          <w:rFonts w:ascii="Arial" w:cs="Arial" w:eastAsia="Arial" w:hAnsi="Arial"/>
          <w:sz w:val="18"/>
          <w:szCs w:val="18"/>
          <w:color w:val="auto"/>
        </w:rPr>
        <w:t>prior year period. This $12.2 million decrease in cash provided by financing activities year-over-year was primarily related to a decrease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$355.0 million in proceeds from borrowings under our Revolving Credit Facility, partially offset by a decrease in payments on borrowings of debt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 $323.0 million, primarily due to $140.0 million in payments under our Revolving Credit Facility in the first nine months of fiscal year 2019</w:t>
      </w:r>
    </w:p>
    <w:p>
      <w:pPr>
        <w:spacing w:after="0" w:line="234" w:lineRule="auto"/>
        <w:rPr>
          <w:sz w:val="20"/>
          <w:szCs w:val="20"/>
          <w:color w:val="auto"/>
        </w:rPr>
      </w:pPr>
      <w:r>
        <w:rPr>
          <w:rFonts w:ascii="Arial" w:cs="Arial" w:eastAsia="Arial" w:hAnsi="Arial"/>
          <w:sz w:val="18"/>
          <w:szCs w:val="18"/>
          <w:color w:val="auto"/>
        </w:rPr>
        <w:t>compared to none in the current year period and a $188.5 million decrease in payments on borrowings under the Ex-Im Credit Facility year-</w:t>
      </w:r>
    </w:p>
    <w:p>
      <w:pPr>
        <w:spacing w:after="0" w:line="235" w:lineRule="auto"/>
        <w:rPr>
          <w:sz w:val="20"/>
          <w:szCs w:val="20"/>
          <w:color w:val="auto"/>
        </w:rPr>
      </w:pPr>
      <w:r>
        <w:rPr>
          <w:rFonts w:ascii="Arial" w:cs="Arial" w:eastAsia="Arial" w:hAnsi="Arial"/>
          <w:sz w:val="18"/>
          <w:szCs w:val="18"/>
          <w:color w:val="auto"/>
        </w:rPr>
        <w:t>over-year. Cash provided by financing activities for both periods included cash received from stock option exercises and employee stock</w:t>
      </w:r>
    </w:p>
    <w:p>
      <w:pPr>
        <w:spacing w:after="0" w:line="235" w:lineRule="auto"/>
        <w:rPr>
          <w:sz w:val="20"/>
          <w:szCs w:val="20"/>
          <w:color w:val="auto"/>
        </w:rPr>
      </w:pPr>
      <w:r>
        <w:rPr>
          <w:rFonts w:ascii="Arial" w:cs="Arial" w:eastAsia="Arial" w:hAnsi="Arial"/>
          <w:sz w:val="18"/>
          <w:szCs w:val="18"/>
          <w:color w:val="auto"/>
        </w:rPr>
        <w:t>purchase plan purchases, offset by cash used for the repurchase of common stock related to net share settlement of certain employee tax</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liabilities in connection with the vesting of restricted stock unit awards.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85"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On June 1, 2017, our second-generation ViaSat-2 satellite was successfully launched into orbit. Following satellite launch, in fiscal years 2018 and 2019 we incurred additional operating costs as we prepared for and launched commercial services on the satellite. These additional operating costs included depreciation, amortization of capitalized software development, earth station connectivity, marketing and advertising costs, logistics, customer care and various support systems, and contributed to an operating loss for our satellite services segment in fiscal year 2019. However, as the services we provide using the new satellite continue to scale, we expect to expand the revenue base for our fixed broadband and in-flight services and gain operating cost efficiencies, which together we expect will yield incremental segment earnings contributions, partially offset by investments associated with our global business and emerging markets growth. However, there can be no assurance that we will be successful in significantly increasing revenues or achieving operating profit in our satellite services segment. Moreover, we anticipate that we will incur a similar cycle of increased operating costs as we prepare for and launch commercial services on future satellites, including our ViaSat-3 constellation, followed by increases in revenue base and in scale.</w:t>
      </w:r>
    </w:p>
    <w:p>
      <w:pPr>
        <w:spacing w:after="0" w:line="153"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Our first two ViaSat-3 class satellites, which are expected to cover the Americas and the Europe, Middle East and Africa (EMEA) region, respectively, entered the phase of full construction during the second half of fiscal year 2018. In July 2019, we entered into an agreement with Boeing for the construction and purchase of a third ViaSat-3 class satellite and the integration of Viasat’s payload technologies into the satellite. This satellite is expected to provide broadband services over the Asia and Pacific (APAC) region, enabling us, following the launch of commercial service on all three ViaSat-3 class satellites, to deliver affordable connectivity worldwide. We are targeting to launch the first ViaSat-3 class satellite in mid calendar 2021, although the actual launch date will be dependent on the completion of deliverables by our contract manufacturers, subcontractors, and other third party service providers, available launch windows, and other variables. We believe we have adequate sources of funding for the ViaSat-3 class satellites, which include our cash on hand, borrowing capacity and the cash we expect to generate from operations over the next few years. Our total cash funding may be reduced through various third-party agreements, including potential joint service offerings and other strategic partnering arrangements.</w:t>
      </w:r>
    </w:p>
    <w:p>
      <w:pPr>
        <w:spacing w:after="0" w:line="153"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Our IR&amp;D investments are expected to continue through fiscal year 2020 and beyond relating to ViaSat-3 ground infrastructure and support of our growing government and commercial air mobility businesses. We expect to continue to invest in IR&amp;D at a significant level as we continue our focus on leadership and innovation in satellite and space technologies. However, the level of investment in a given fiscal year will depend on a variety of factors, including the stage of development of our satellite projects, new market opportunities and our overall operating</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performance. In fiscal year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2" w:name="page53"/>
    <w:bookmarkEnd w:id="52"/>
    <w:p>
      <w:pPr>
        <w:ind w:right="520"/>
        <w:spacing w:after="0" w:line="246" w:lineRule="auto"/>
        <w:rPr>
          <w:sz w:val="20"/>
          <w:szCs w:val="20"/>
          <w:color w:val="auto"/>
        </w:rPr>
      </w:pPr>
      <w:r>
        <w:rPr>
          <w:rFonts w:ascii="Arial" w:cs="Arial" w:eastAsia="Arial" w:hAnsi="Arial"/>
          <w:sz w:val="18"/>
          <w:szCs w:val="18"/>
          <w:color w:val="auto"/>
        </w:rPr>
        <w:t>2020, capital expenditures are expected to increase when compared to fiscal year 2019, as we have a third ViaSat-3 class satellite under construction, as well as increased ground network investments related to international expansion.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99"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As of December 31, 2019, the Revolving Credit Facility provided a $700.0 million revolving line of credit (including up to $150.0 million of letters of credit), with a maturity date of January 18, 2024. As of December 31, 2019, we had $110.0 million in principal amount of outstanding borrowings under the Revolving Credit Facility and $27.6 million outstanding under standby letters of credit, leaving borrowing availability under the Revolving Credit Facility as of December 31, 2019 of $562.4 million.</w:t>
      </w:r>
    </w:p>
    <w:p>
      <w:pPr>
        <w:spacing w:after="0" w:line="148"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At December 31, 2019, the weighted average effective interest rate on our outstanding borrowings under the Revolving Credit Facility was 3.28%. The Revolving Credit Facility is required to be guaranteed by certain significant domestic subsidiaries of Viasat (as defined in the Revolving Credit Facility) and secured by substantially all of our assets. As of December 31, 2019, none of our subsidiaries guaranteed the Revolving Credit Facility.</w:t>
      </w:r>
    </w:p>
    <w:p>
      <w:pPr>
        <w:spacing w:after="0" w:line="151" w:lineRule="exact"/>
        <w:rPr>
          <w:sz w:val="20"/>
          <w:szCs w:val="20"/>
          <w:color w:val="auto"/>
        </w:rPr>
      </w:pPr>
    </w:p>
    <w:p>
      <w:pPr>
        <w:ind w:right="120" w:firstLine="518"/>
        <w:spacing w:after="0"/>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w:t>
      </w:r>
    </w:p>
    <w:p>
      <w:pPr>
        <w:spacing w:after="0" w:line="234" w:lineRule="auto"/>
        <w:rPr>
          <w:sz w:val="20"/>
          <w:szCs w:val="20"/>
          <w:color w:val="auto"/>
        </w:rPr>
      </w:pPr>
      <w:r>
        <w:rPr>
          <w:rFonts w:ascii="Arial" w:cs="Arial" w:eastAsia="Arial" w:hAnsi="Arial"/>
          <w:sz w:val="18"/>
          <w:szCs w:val="18"/>
          <w:color w:val="auto"/>
        </w:rPr>
        <w:t>$362.4 million in principal amount of borrowings made under the Ex-Im Credit Facility, $321.2 million was used to finance up to 85% of the</w:t>
      </w:r>
    </w:p>
    <w:p>
      <w:pPr>
        <w:spacing w:after="0" w:line="235" w:lineRule="auto"/>
        <w:rPr>
          <w:sz w:val="20"/>
          <w:szCs w:val="20"/>
          <w:color w:val="auto"/>
        </w:rPr>
      </w:pPr>
      <w:r>
        <w:rPr>
          <w:rFonts w:ascii="Arial" w:cs="Arial" w:eastAsia="Arial" w:hAnsi="Arial"/>
          <w:sz w:val="18"/>
          <w:szCs w:val="18"/>
          <w:color w:val="auto"/>
        </w:rPr>
        <w:t>costs of construction, launch and insurance of the ViaSat-2 satellite and related goods and services (including costs incurred on or after</w:t>
      </w:r>
    </w:p>
    <w:p>
      <w:pPr>
        <w:spacing w:after="0" w:line="235" w:lineRule="auto"/>
        <w:rPr>
          <w:sz w:val="20"/>
          <w:szCs w:val="20"/>
          <w:color w:val="auto"/>
        </w:rPr>
      </w:pPr>
      <w:r>
        <w:rPr>
          <w:rFonts w:ascii="Arial" w:cs="Arial" w:eastAsia="Arial" w:hAnsi="Arial"/>
          <w:sz w:val="18"/>
          <w:szCs w:val="18"/>
          <w:color w:val="auto"/>
        </w:rPr>
        <w:t>September 18, 2012), with the remaining $41.2 million used to finance the total exposure fees incurred under the Ex-Im Credit Facility (which</w:t>
      </w:r>
    </w:p>
    <w:p>
      <w:pPr>
        <w:spacing w:after="0" w:line="235" w:lineRule="auto"/>
        <w:rPr>
          <w:sz w:val="20"/>
          <w:szCs w:val="20"/>
          <w:color w:val="auto"/>
        </w:rPr>
      </w:pPr>
      <w:r>
        <w:rPr>
          <w:rFonts w:ascii="Arial" w:cs="Arial" w:eastAsia="Arial" w:hAnsi="Arial"/>
          <w:sz w:val="18"/>
          <w:szCs w:val="18"/>
          <w:color w:val="auto"/>
        </w:rPr>
        <w:t>included all previously accrued completion exposure fees). At December 31, 2019, we had $117.9 million in principal amount of outstanding</w:t>
      </w:r>
    </w:p>
    <w:p>
      <w:pPr>
        <w:spacing w:after="0"/>
        <w:rPr>
          <w:sz w:val="20"/>
          <w:szCs w:val="20"/>
          <w:color w:val="auto"/>
        </w:rPr>
      </w:pPr>
      <w:r>
        <w:rPr>
          <w:rFonts w:ascii="Arial" w:cs="Arial" w:eastAsia="Arial" w:hAnsi="Arial"/>
          <w:sz w:val="18"/>
          <w:szCs w:val="18"/>
          <w:color w:val="auto"/>
        </w:rPr>
        <w:t>borrowings under the Ex-Im Credit Facility.</w:t>
      </w:r>
    </w:p>
    <w:p>
      <w:pPr>
        <w:spacing w:after="0" w:line="15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our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Pursuant to the terms of the Ex-Im Credit Facility, certain insurance proceeds related to the ViaSat-2 satellite must be used to pay down outstanding borrowings under the Ex-Im Credit Facility upon receipt. During the first three months of fiscal year 2020, we received the remaining insurance proceeds of $2.3 million, which were in addition to the $185.7 million of insurance proceeds received during fiscal year 2019 related to the ViaSat-2 satellite, all of which were used to pay down outstanding borrowings under the Ex-Im Credit Facility upon receipt. The Ex-Im Credit Facility is guaranteed by Viasat and is secured by first-priority liens on the ViaSat-2 satellite and related assets as well as a pledge of the capital stock of the borrower under the facility.</w:t>
      </w:r>
    </w:p>
    <w:p>
      <w:pPr>
        <w:spacing w:after="0" w:line="153" w:lineRule="exact"/>
        <w:rPr>
          <w:sz w:val="20"/>
          <w:szCs w:val="20"/>
          <w:color w:val="auto"/>
        </w:rPr>
      </w:pPr>
    </w:p>
    <w:p>
      <w:pPr>
        <w:ind w:right="80" w:firstLine="518"/>
        <w:spacing w:after="0"/>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49"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The borrowings under the Ex-Im Credit Facility are recorded as current portion of long-term debt and as other long-term debt, net of unamortized discount and debt issuance costs, in our condensed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81"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In March 2019, we issued $ 600.0 million in principal amount of 2027 Notes in a private placement to institutional buyers. The 2027 Notes were issued at face value and are recorded as long-term debt, net of debt issuance costs, in our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49" w:lineRule="exact"/>
        <w:rPr>
          <w:sz w:val="20"/>
          <w:szCs w:val="20"/>
          <w:color w:val="auto"/>
        </w:rPr>
      </w:pPr>
    </w:p>
    <w:p>
      <w:pPr>
        <w:ind w:right="40" w:firstLine="518"/>
        <w:spacing w:after="0"/>
        <w:rPr>
          <w:sz w:val="20"/>
          <w:szCs w:val="20"/>
          <w:color w:val="auto"/>
        </w:rPr>
      </w:pPr>
      <w:r>
        <w:rPr>
          <w:rFonts w:ascii="Arial" w:cs="Arial" w:eastAsia="Arial" w:hAnsi="Arial"/>
          <w:sz w:val="18"/>
          <w:szCs w:val="18"/>
          <w:color w:val="auto"/>
        </w:rPr>
        <w:t>The 2027 Notes are required to be guaranteed on a senior secured basis by each of our existing and future subsidiaries that guarantees the Revolving Credit Facility. As of December 31, 2019, none of our subsidiaries guaranteed the 2027 Notes. The 2027 Notes are secured, equally and ratably with the Revolving Credit Facility and any future parity lien debt, by liens on substantially all of our assets.</w:t>
      </w:r>
    </w:p>
    <w:p>
      <w:pPr>
        <w:spacing w:after="0" w:line="149" w:lineRule="exact"/>
        <w:rPr>
          <w:sz w:val="20"/>
          <w:szCs w:val="20"/>
          <w:color w:val="auto"/>
        </w:rPr>
      </w:pPr>
    </w:p>
    <w:p>
      <w:pPr>
        <w:ind w:right="20" w:firstLine="518"/>
        <w:spacing w:after="0" w:line="237" w:lineRule="auto"/>
        <w:rPr>
          <w:sz w:val="20"/>
          <w:szCs w:val="20"/>
          <w:color w:val="auto"/>
        </w:rPr>
      </w:pPr>
      <w:r>
        <w:rPr>
          <w:rFonts w:ascii="Arial" w:cs="Arial" w:eastAsia="Arial" w:hAnsi="Arial"/>
          <w:sz w:val="18"/>
          <w:szCs w:val="18"/>
          <w:color w:val="auto"/>
        </w:rPr>
        <w:t>The 2027 Notes are our general senior secured obligations and rank equally in right of payment with all of our existing and future unsubordinated debt. The 2027 Notes are effectively senior to all of our existing and future unsecured debt (including our 5.625% Senior Notes due 2025 (the 2025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are structurally subordinated to all existing and future liabilities (including trade payables) of our subsidiaries that do not guarantee the 2027 Notes (including obligations of the borrower under the Ex-Im Credit Facility), and are senior in right of payment to all of our existing and future subordinated indebtedness.</w:t>
      </w:r>
    </w:p>
    <w:p>
      <w:pPr>
        <w:spacing w:after="0" w:line="149"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The indenture governing the 2027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9" w:lineRule="exact"/>
        <w:rPr>
          <w:sz w:val="20"/>
          <w:szCs w:val="20"/>
          <w:color w:val="auto"/>
        </w:rPr>
      </w:pPr>
    </w:p>
    <w:p>
      <w:pPr>
        <w:ind w:right="60" w:firstLine="518"/>
        <w:spacing w:after="0" w:line="248" w:lineRule="auto"/>
        <w:rPr>
          <w:sz w:val="20"/>
          <w:szCs w:val="20"/>
          <w:color w:val="auto"/>
        </w:rPr>
      </w:pPr>
      <w:r>
        <w:rPr>
          <w:rFonts w:ascii="Arial" w:cs="Arial" w:eastAsia="Arial" w:hAnsi="Arial"/>
          <w:sz w:val="17"/>
          <w:szCs w:val="17"/>
          <w:color w:val="auto"/>
        </w:rPr>
        <w:t>Prior to April 15, 2022, we may redeem up to 40% of the 2027 Notes at a redemption price of 105.625% of the principal amount thereof, plus accrued and unpaid interest, if any, thereon to the redemption date, from the net cash proceeds of specified equity offerings. We may also redeem the 2027 Notes prior to April 15, 2022,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2027 Notes and (ii) the excess, if any, of (a) the present value at such date of redemption of</w:t>
      </w:r>
    </w:p>
    <w:p>
      <w:pPr>
        <w:spacing w:after="0" w:line="3" w:lineRule="exact"/>
        <w:rPr>
          <w:sz w:val="20"/>
          <w:szCs w:val="20"/>
          <w:color w:val="auto"/>
        </w:rPr>
      </w:pPr>
    </w:p>
    <w:p>
      <w:pPr>
        <w:ind w:right="40" w:firstLine="8"/>
        <w:spacing w:after="0" w:line="234"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redemption price of such 2027 Notes on April 15, 2022 plus (2) all required interest payments due on such 2027 Notes through April 15, 2022 (excluding accrued but unpaid interest to the date of redemption), computed using a discount rate equal to the treasury rate (as defined under the indenture governing the 2027 Notes) plus 50 basis points, over (b) the then-outstanding principal amount of such 2027 Notes. The 2027 Notes may be redeemed, in whole or in part, at any time during the 12 months beginning on April 15, 2022 at a redemption price of</w:t>
      </w:r>
    </w:p>
    <w:p>
      <w:pPr>
        <w:spacing w:after="0" w:line="3" w:lineRule="exact"/>
        <w:rPr>
          <w:rFonts w:ascii="Arial" w:cs="Arial" w:eastAsia="Arial" w:hAnsi="Arial"/>
          <w:sz w:val="18"/>
          <w:szCs w:val="18"/>
          <w:color w:val="auto"/>
        </w:rPr>
      </w:pPr>
    </w:p>
    <w:p>
      <w:pPr>
        <w:ind w:right="40"/>
        <w:spacing w:after="0" w:line="246" w:lineRule="auto"/>
        <w:rPr>
          <w:rFonts w:ascii="Arial" w:cs="Arial" w:eastAsia="Arial" w:hAnsi="Arial"/>
          <w:sz w:val="18"/>
          <w:szCs w:val="18"/>
          <w:color w:val="auto"/>
        </w:rPr>
      </w:pPr>
      <w:r>
        <w:rPr>
          <w:rFonts w:ascii="Arial" w:cs="Arial" w:eastAsia="Arial" w:hAnsi="Arial"/>
          <w:sz w:val="18"/>
          <w:szCs w:val="18"/>
          <w:color w:val="auto"/>
        </w:rPr>
        <w:t>102.813%, during the 12 months beginning on April 15, 2023 at a redemption price of 101.406%, and at any time on or after April 15, 2024 at a redemption price of 100%, in each case plus accrued and unpaid interest, if any, thereon to the redemption date.</w:t>
      </w:r>
    </w:p>
    <w:p>
      <w:pPr>
        <w:spacing w:after="0" w:line="143"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us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81"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In September 2017, we issued $700.0 million in principal amount of the 2025 Notes in a private placement to institutional buyers. The 2025 Notes were issued at face value and are recorded as long-term debt, net of debt issuance costs, in our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49" w:lineRule="exact"/>
        <w:rPr>
          <w:sz w:val="20"/>
          <w:szCs w:val="20"/>
          <w:color w:val="auto"/>
        </w:rPr>
      </w:pPr>
    </w:p>
    <w:p>
      <w:pPr>
        <w:ind w:right="140" w:firstLine="518"/>
        <w:spacing w:after="0" w:line="239" w:lineRule="auto"/>
        <w:rPr>
          <w:sz w:val="20"/>
          <w:szCs w:val="20"/>
          <w:color w:val="auto"/>
        </w:rPr>
      </w:pPr>
      <w:r>
        <w:rPr>
          <w:rFonts w:ascii="Arial" w:cs="Arial" w:eastAsia="Arial" w:hAnsi="Arial"/>
          <w:sz w:val="18"/>
          <w:szCs w:val="18"/>
          <w:color w:val="auto"/>
        </w:rPr>
        <w:t>The 2025 Notes are required to be guaranteed on an unsecured senior basis by each of our existing and future subsidiaries that guarantees the Revolving Credit Facility. As of December 31, 2019, none of our subsidiaries guaranteed the 2025 Notes. The 2025 Notes are our general senior unsecured obligations and rank equally in right of payment with all of our existing and future unsecured unsubordinated debt. The 2025 Notes are effectively junior in right of payment to our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54" w:name="page55"/>
    <w:bookmarkEnd w:id="54"/>
    <w:p>
      <w:pPr>
        <w:ind w:right="20"/>
        <w:spacing w:after="0" w:line="239" w:lineRule="auto"/>
        <w:rPr>
          <w:sz w:val="20"/>
          <w:szCs w:val="20"/>
          <w:color w:val="auto"/>
        </w:rPr>
      </w:pPr>
      <w:r>
        <w:rPr>
          <w:rFonts w:ascii="Arial" w:cs="Arial" w:eastAsia="Arial" w:hAnsi="Arial"/>
          <w:sz w:val="18"/>
          <w:szCs w:val="18"/>
          <w:color w:val="auto"/>
        </w:rPr>
        <w:t>existing and future secured debt, including under the Revolving Credit Facility and the Ex-Im Credit Facility (collectively, the Credit Facilities) and the 2027 Notes (to the extent of the value of the assets securing such debt), are structurally subordinated to all existing and future liabilities (including trade payables) of our subsidiaries that do not guarantee the 2025 Notes, and are senior in right of payment to all of our existing and future subordinated indebtedness.</w:t>
      </w:r>
    </w:p>
    <w:p>
      <w:pPr>
        <w:spacing w:after="0" w:line="148" w:lineRule="exact"/>
        <w:rPr>
          <w:sz w:val="20"/>
          <w:szCs w:val="20"/>
          <w:color w:val="auto"/>
        </w:rPr>
      </w:pPr>
    </w:p>
    <w:p>
      <w:pPr>
        <w:ind w:right="220" w:firstLine="518"/>
        <w:spacing w:after="0" w:line="238" w:lineRule="auto"/>
        <w:rPr>
          <w:sz w:val="20"/>
          <w:szCs w:val="20"/>
          <w:color w:val="auto"/>
        </w:rPr>
      </w:pPr>
      <w:r>
        <w:rPr>
          <w:rFonts w:ascii="Arial" w:cs="Arial" w:eastAsia="Arial" w:hAnsi="Arial"/>
          <w:sz w:val="18"/>
          <w:szCs w:val="18"/>
          <w:color w:val="auto"/>
        </w:rPr>
        <w:t>The indenture governing the 2025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9" w:lineRule="exact"/>
        <w:rPr>
          <w:sz w:val="20"/>
          <w:szCs w:val="20"/>
          <w:color w:val="auto"/>
        </w:rPr>
      </w:pPr>
    </w:p>
    <w:p>
      <w:pPr>
        <w:ind w:right="40" w:firstLine="518"/>
        <w:spacing w:after="0" w:line="234" w:lineRule="auto"/>
        <w:rPr>
          <w:sz w:val="20"/>
          <w:szCs w:val="20"/>
          <w:color w:val="auto"/>
        </w:rPr>
      </w:pPr>
      <w:r>
        <w:rPr>
          <w:rFonts w:ascii="Arial" w:cs="Arial" w:eastAsia="Arial" w:hAnsi="Arial"/>
          <w:sz w:val="18"/>
          <w:szCs w:val="18"/>
          <w:color w:val="auto"/>
        </w:rPr>
        <w:t>Prior to September 15, 2020, we may redeem up to 40% of the 2025 Notes at a redemption price of 105.625% of the principal amount thereof, plus accrued and unpaid interest, if any, thereon to the redemption date, from the net cash proceeds of specified equity offerings. We may also redeem the 2025 Notes prior to September 15, 2020,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2025 Notes and (ii) the excess, if any, of (a) the present value at such date of redemption of (1) the redemption price of such 2025 Notes on September 15, 2020 plus (2) all required interest payments due on such 2025 Notes through September 15, 2020 (excluding accrued but unpaid interest to the date of redemption), computed using a discount rate equal to the treasury rate (as defined under the indenture governing the 2025 Notes) plus 50 basis points, over (b) the then-outstanding principal amount of such 2025 Notes. The 2025 Notes may be redeemed, in whole or in part, at any time during the 12 months beginning on September 15, 2020 at a redemption price of 102.813%, during the 12 months beginning on September 15, 2021 at a redemption price of</w:t>
      </w:r>
    </w:p>
    <w:p>
      <w:pPr>
        <w:spacing w:after="0" w:line="8"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101.406%, and at any time on or after September 15, 2022 at a redemption price of 100%, in each case plus accrued and unpaid interest, if any, thereon to the redemption date.</w:t>
      </w:r>
    </w:p>
    <w:p>
      <w:pPr>
        <w:spacing w:after="0" w:line="143"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us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obligations at December 31,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For the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Remainder of</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7"/>
          </w:tcPr>
          <w:p>
            <w:pPr>
              <w:jc w:val="right"/>
              <w:ind w:right="772"/>
              <w:spacing w:after="0"/>
              <w:rPr>
                <w:sz w:val="20"/>
                <w:szCs w:val="20"/>
                <w:color w:val="auto"/>
              </w:rPr>
            </w:pPr>
            <w:r>
              <w:rPr>
                <w:rFonts w:ascii="Arial" w:cs="Arial" w:eastAsia="Arial" w:hAnsi="Arial"/>
                <w:sz w:val="14"/>
                <w:szCs w:val="14"/>
                <w:b w:val="1"/>
                <w:bCs w:val="1"/>
                <w:color w:val="auto"/>
              </w:rPr>
              <w:t>For the Fiscal Years Ending</w:t>
            </w:r>
          </w:p>
        </w:tc>
        <w:tc>
          <w:tcPr>
            <w:tcW w:w="100" w:type="dxa"/>
            <w:vAlign w:val="bottom"/>
          </w:tcPr>
          <w:p>
            <w:pPr>
              <w:spacing w:after="0"/>
              <w:rPr>
                <w:sz w:val="15"/>
                <w:szCs w:val="15"/>
                <w:color w:val="auto"/>
              </w:rPr>
            </w:pPr>
          </w:p>
        </w:tc>
      </w:tr>
      <w:tr>
        <w:trPr>
          <w:trHeight w:val="169"/>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2021-2022</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2023-2024</w:t>
            </w:r>
          </w:p>
        </w:tc>
        <w:tc>
          <w:tcPr>
            <w:tcW w:w="2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FF0FC"/>
            </w:tcBorders>
          </w:tcPr>
          <w:p>
            <w:pPr>
              <w:spacing w:after="0"/>
              <w:rPr>
                <w:sz w:val="14"/>
                <w:szCs w:val="14"/>
                <w:color w:val="auto"/>
              </w:rPr>
            </w:pPr>
          </w:p>
        </w:tc>
      </w:tr>
      <w:tr>
        <w:trPr>
          <w:trHeight w:val="21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leases and satellite capacity agreements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676,495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37,333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258,051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144,424</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236,687</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Finance lease obligations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79,800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18"/>
                <w:szCs w:val="18"/>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2027 Notes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853,125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718,125</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2025 Notes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936,251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78,750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759,063</w:t>
            </w:r>
          </w:p>
        </w:tc>
        <w:tc>
          <w:tcPr>
            <w:tcW w:w="100" w:type="dxa"/>
            <w:vAlign w:val="bottom"/>
          </w:tcPr>
          <w:p>
            <w:pPr>
              <w:spacing w:after="0"/>
              <w:rPr>
                <w:sz w:val="18"/>
                <w:szCs w:val="18"/>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Revolving Credit Facility (1)</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124,819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116,593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Ex-Im Credit Facility</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127,042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42,344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40,476</w:t>
            </w:r>
          </w:p>
        </w:tc>
        <w:tc>
          <w:tcPr>
            <w:tcW w:w="100" w:type="dxa"/>
            <w:vAlign w:val="bottom"/>
          </w:tcPr>
          <w:p>
            <w:pPr>
              <w:spacing w:after="0"/>
              <w:rPr>
                <w:sz w:val="18"/>
                <w:szCs w:val="18"/>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Satellite performance incentive obligations</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35,467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19,117</w:t>
            </w:r>
          </w:p>
        </w:tc>
        <w:tc>
          <w:tcPr>
            <w:tcW w:w="100" w:type="dxa"/>
            <w:vAlign w:val="bottom"/>
            <w:shd w:val="clear" w:color="auto" w:fill="CFF0FC"/>
          </w:tcPr>
          <w:p>
            <w:pPr>
              <w:spacing w:after="0"/>
              <w:rPr>
                <w:sz w:val="18"/>
                <w:szCs w:val="18"/>
                <w:color w:val="auto"/>
              </w:rPr>
            </w:pPr>
          </w:p>
        </w:tc>
      </w:tr>
      <w:tr>
        <w:trPr>
          <w:trHeight w:val="215"/>
        </w:trPr>
        <w:tc>
          <w:tcPr>
            <w:tcW w:w="5240" w:type="dxa"/>
            <w:vAlign w:val="bottom"/>
            <w:gridSpan w:val="2"/>
          </w:tcPr>
          <w:p>
            <w:pPr>
              <w:spacing w:after="0"/>
              <w:rPr>
                <w:sz w:val="20"/>
                <w:szCs w:val="20"/>
                <w:color w:val="auto"/>
              </w:rPr>
            </w:pPr>
            <w:r>
              <w:rPr>
                <w:rFonts w:ascii="Arial" w:cs="Arial" w:eastAsia="Arial" w:hAnsi="Arial"/>
                <w:sz w:val="18"/>
                <w:szCs w:val="18"/>
                <w:color w:val="auto"/>
              </w:rPr>
              <w:t>Purchase commitments including satellite-related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240" w:type="dxa"/>
            <w:vAlign w:val="bottom"/>
            <w:tcBorders>
              <w:bottom w:val="single" w:sz="8" w:color="CFF0FC"/>
            </w:tcBorders>
            <w:gridSpan w:val="2"/>
          </w:tcPr>
          <w:p>
            <w:pPr>
              <w:ind w:left="160"/>
              <w:spacing w:after="0" w:line="203" w:lineRule="exact"/>
              <w:rPr>
                <w:sz w:val="20"/>
                <w:szCs w:val="20"/>
                <w:color w:val="auto"/>
              </w:rPr>
            </w:pPr>
            <w:r>
              <w:rPr>
                <w:rFonts w:ascii="Arial" w:cs="Arial" w:eastAsia="Arial" w:hAnsi="Arial"/>
                <w:sz w:val="18"/>
                <w:szCs w:val="18"/>
                <w:color w:val="auto"/>
              </w:rPr>
              <w:t>agreements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1,643,953</w:t>
            </w:r>
          </w:p>
        </w:tc>
        <w:tc>
          <w:tcPr>
            <w:tcW w:w="2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342,581</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1,057,463</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211,327</w:t>
            </w:r>
          </w:p>
        </w:tc>
        <w:tc>
          <w:tcPr>
            <w:tcW w:w="2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32,582</w:t>
            </w:r>
          </w:p>
        </w:tc>
        <w:tc>
          <w:tcPr>
            <w:tcW w:w="100" w:type="dxa"/>
            <w:vAlign w:val="bottom"/>
            <w:tcBorders>
              <w:bottom w:val="single" w:sz="8" w:color="CFF0FC"/>
            </w:tcBorders>
          </w:tcPr>
          <w:p>
            <w:pPr>
              <w:spacing w:after="0"/>
              <w:rPr>
                <w:sz w:val="17"/>
                <w:szCs w:val="17"/>
                <w:color w:val="auto"/>
              </w:rPr>
            </w:pPr>
          </w:p>
        </w:tc>
      </w:tr>
      <w:tr>
        <w:trPr>
          <w:trHeight w:val="21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4,476,952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405,085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1,544,511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694,306</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1,833,050</w:t>
            </w:r>
          </w:p>
        </w:tc>
        <w:tc>
          <w:tcPr>
            <w:tcW w:w="100" w:type="dxa"/>
            <w:vAlign w:val="bottom"/>
            <w:shd w:val="clear" w:color="auto" w:fill="CFF0FC"/>
          </w:tcPr>
          <w:p>
            <w:pPr>
              <w:spacing w:after="0"/>
              <w:rPr>
                <w:sz w:val="18"/>
                <w:szCs w:val="18"/>
                <w:color w:val="auto"/>
              </w:rPr>
            </w:pPr>
          </w:p>
        </w:tc>
      </w:tr>
      <w:tr>
        <w:trPr>
          <w:trHeight w:val="20"/>
        </w:trPr>
        <w:tc>
          <w:tcPr>
            <w:tcW w:w="5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82" w:lineRule="exact"/>
        <w:rPr>
          <w:sz w:val="20"/>
          <w:szCs w:val="20"/>
          <w:color w:val="auto"/>
        </w:rPr>
      </w:pPr>
    </w:p>
    <w:p>
      <w:pPr>
        <w:ind w:left="520" w:right="8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Revolving Credit Facility may fluctuate, amounts reflected represent estimated interest payments on our current outstanding balances based on the weighted average effective interest rate at December 31, 2019 until the maturity date in January 2024.</w:t>
      </w:r>
    </w:p>
    <w:p>
      <w:pPr>
        <w:spacing w:after="0" w:line="18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5" w:name="page56"/>
    <w:bookmarkEnd w:id="55"/>
    <w:p>
      <w:pPr>
        <w:ind w:right="20" w:firstLine="518"/>
        <w:spacing w:after="0" w:line="236" w:lineRule="auto"/>
        <w:rPr>
          <w:sz w:val="20"/>
          <w:szCs w:val="20"/>
          <w:color w:val="auto"/>
        </w:rPr>
      </w:pPr>
      <w:r>
        <w:rPr>
          <w:rFonts w:ascii="Arial" w:cs="Arial" w:eastAsia="Arial" w:hAnsi="Arial"/>
          <w:sz w:val="18"/>
          <w:szCs w:val="18"/>
          <w:color w:val="auto"/>
        </w:rPr>
        <w:t>Our condensed consolidated balance sheets included $118.1 million and $120.8 million of “other liabilities” as of December 31, 2019 and March 31, 2019, respectively, which primarily consisted of the long-term portion of deferred revenues, the long-term portion of our satellite performance incentive obligations relating to the ViaSat-1 and ViaSat-2 satellites, our long-term warranty obligations, the long-term portion of deferred rent and deferred income taxes. With the exception of the long-term portion of our satellite performance incentive obligations relating to the ViaSat-1 and ViaSat-2 satellites (which is included under “Satellite performance incentive obligations”), these remaining liabilities have been excluded from the above table as the timing and/or the amount of any cash payment is uncertain. See Note 11 — Commitments to our consolidated financial statements included in our Annual Report on Form 10-K for the year ended March 31, 2019 for additional information regarding satellite performance incentive obligations relating to the ViaSat-1 and ViaSat-2 satellites. See Note 10 — Income Taxes to our condensed consolidated financial statements for additional information regarding our income taxes and related tax positions and Note 8— Product Warranty to our condensed consolidated financial statements for a discussion of our product warranties.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jc w:val="both"/>
        <w:ind w:right="280" w:firstLine="518"/>
        <w:spacing w:after="0"/>
        <w:rPr>
          <w:sz w:val="20"/>
          <w:szCs w:val="20"/>
          <w:color w:val="auto"/>
        </w:rPr>
      </w:pPr>
      <w:r>
        <w:rPr>
          <w:rFonts w:ascii="Arial" w:cs="Arial" w:eastAsia="Arial" w:hAnsi="Arial"/>
          <w:sz w:val="18"/>
          <w:szCs w:val="18"/>
          <w:color w:val="auto"/>
        </w:rPr>
        <w:t>We had no material off-balance sheet arrangements at December 31, 2019 as defined in Regulation S-K Item 303(a)(4) other than as discussed under Contractual Obligations above or disclosed in the notes to our consolidated financial statements included in this report or in our Annual Report on Form 10-K for the year ended March 31,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85" w:lineRule="exact"/>
        <w:rPr>
          <w:sz w:val="20"/>
          <w:szCs w:val="20"/>
          <w:color w:val="auto"/>
        </w:rPr>
      </w:pPr>
    </w:p>
    <w:p>
      <w:pPr>
        <w:ind w:right="800" w:firstLine="518"/>
        <w:spacing w:after="0" w:line="246" w:lineRule="auto"/>
        <w:rPr>
          <w:sz w:val="20"/>
          <w:szCs w:val="20"/>
          <w:color w:val="auto"/>
        </w:rPr>
      </w:pPr>
      <w:r>
        <w:rPr>
          <w:rFonts w:ascii="Arial" w:cs="Arial" w:eastAsia="Arial" w:hAnsi="Arial"/>
          <w:sz w:val="18"/>
          <w:szCs w:val="18"/>
          <w:color w:val="auto"/>
        </w:rPr>
        <w:t>For information regarding recently adopted and issued accounting pronouncements, see Note 1 — Basis of Presentation to our condensed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financial instruments consist of cash and cash equivalents, accounts receivable, accounts payable, short-term and long-term obligations, including the Credit Facilities, the 2025 Notes and the 2027 Notes, and foreign currency forward contracts. We consider investments in highly liquid instruments purchased with a remaining maturity of three months or less at the date of purchase to be cash equivalents. As of December 31, 2019, we had $ 110.0 million in principal amount of outstanding borrowings under our Revolving Credit Facility, $117.9 million in principal amount of outstanding borrowings under our Ex-Im Credit Facility, $700.0 million in aggregate principal amount outstanding of the 2025 Notes and $600.0 million in aggregate principal amount outstanding of the 2027 Notes, and we held $5.0 million in short-term investments. Our 2025 Notes, 2027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53"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amount of our cash balance in money market accounts.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an insignificant amount for the three and nine months ended December 31, 2019 and 2018.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53"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As of December 31, 2019, we had $110.0 million in principal amount of outstanding borrowings under our Revolving Credit Facility. Our primary interest rate under the Revolving Credit Facility is the Eurodollar rate plus an applicable margin that is based on our total leverage ratio. At December 31, 2019, the weighted average effective interest rate on our outstanding borrowings under the Revolving Credit Facility was</w:t>
      </w:r>
    </w:p>
    <w:p>
      <w:pPr>
        <w:spacing w:after="0" w:line="2"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3.28%. Assuming the outstanding balance remained constant over a year, a 50 basis point increase in the interest rate would increase interest incurred, prior to effects of capitalized interest, by an insignificant amount over a twelve-month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85" w:lineRule="exact"/>
        <w:rPr>
          <w:sz w:val="20"/>
          <w:szCs w:val="20"/>
          <w:color w:val="auto"/>
        </w:rPr>
      </w:pPr>
    </w:p>
    <w:p>
      <w:pPr>
        <w:ind w:right="20" w:firstLine="518"/>
        <w:spacing w:after="0" w:line="239"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Our investment in Euro Broadband Infrastructure Sàrl during the fourth quarter of fiscal year 2017, which is denominated in Euros, increases our exposure to foreign currency risk. A five percent variance in foreign currencies in which our international business is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6" w:name="page57"/>
    <w:bookmarkEnd w:id="56"/>
    <w:p>
      <w:pPr>
        <w:ind w:right="40"/>
        <w:spacing w:after="0" w:line="239" w:lineRule="auto"/>
        <w:rPr>
          <w:sz w:val="20"/>
          <w:szCs w:val="20"/>
          <w:color w:val="auto"/>
        </w:rPr>
      </w:pPr>
      <w:r>
        <w:rPr>
          <w:rFonts w:ascii="Arial" w:cs="Arial" w:eastAsia="Arial" w:hAnsi="Arial"/>
          <w:sz w:val="18"/>
          <w:szCs w:val="18"/>
          <w:color w:val="auto"/>
        </w:rPr>
        <w:t>conducted would change our income (loss) before income taxes by an insignificant amount for the three and nine months ended December 31, 2019 and 2018.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48"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As of December 31, 2019, we had a number of foreign currency forward contracts outstanding which are intended to reduce the foreign currency risk for amounts payable to vendors in Euros. The foreign currency forward contracts with a notional amount of an insignificant amount had an insignificant amount of fair value recorded in accrued and other liabilities as of December 31, 2019. If the foreign currency forward rate on these foreign currency forward contracts had changed by 10%, the fair value of these foreign currency forward contracts as of December 31, 2019 would have changed by an insignificant amount.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5" w:lineRule="exact"/>
        <w:rPr>
          <w:sz w:val="20"/>
          <w:szCs w:val="20"/>
          <w:color w:val="auto"/>
        </w:rPr>
      </w:pPr>
    </w:p>
    <w:p>
      <w:pPr>
        <w:ind w:right="40" w:firstLine="518"/>
        <w:spacing w:after="0" w:line="237" w:lineRule="auto"/>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9" w:lineRule="exact"/>
        <w:rPr>
          <w:sz w:val="20"/>
          <w:szCs w:val="20"/>
          <w:color w:val="auto"/>
        </w:rPr>
      </w:pPr>
    </w:p>
    <w:p>
      <w:pPr>
        <w:ind w:right="100" w:firstLine="518"/>
        <w:spacing w:after="0" w:line="23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December 31, 2019, the end of the period covered by this report. Based upon the foregoing, our Chief Executive Officer and Chief Financial Officer concluded that our disclosure controls and procedures were effective at a reasonable assurance level as of December 31, 2019.</w:t>
      </w:r>
    </w:p>
    <w:p>
      <w:pPr>
        <w:spacing w:after="0" w:line="148" w:lineRule="exact"/>
        <w:rPr>
          <w:sz w:val="20"/>
          <w:szCs w:val="20"/>
          <w:color w:val="auto"/>
        </w:rPr>
      </w:pPr>
    </w:p>
    <w:p>
      <w:pPr>
        <w:ind w:right="560" w:firstLine="518"/>
        <w:spacing w:after="0" w:line="246"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9"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2019,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Incorporated by Reference</w:t>
            </w: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6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5"/>
        </w:trPr>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9"/>
          </w:tcPr>
          <w:p>
            <w:pPr>
              <w:ind w:left="7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5"/>
                <w:szCs w:val="15"/>
                <w:color w:val="auto"/>
              </w:rPr>
            </w:pP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12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77"/>
        </w:trPr>
        <w:tc>
          <w:tcPr>
            <w:tcW w:w="960" w:type="dxa"/>
            <w:vAlign w:val="bottom"/>
          </w:tcPr>
          <w:p>
            <w:pPr>
              <w:ind w:left="220"/>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24"/>
                <w:szCs w:val="24"/>
                <w:color w:val="auto"/>
              </w:rPr>
            </w:pPr>
          </w:p>
        </w:tc>
        <w:tc>
          <w:tcPr>
            <w:tcW w:w="4140" w:type="dxa"/>
            <w:vAlign w:val="bottom"/>
            <w:tcBorders>
              <w:bottom w:val="single" w:sz="8" w:color="0000EE"/>
            </w:tcBorders>
            <w:gridSpan w:val="8"/>
          </w:tcPr>
          <w:p>
            <w:pPr>
              <w:spacing w:after="0"/>
              <w:rPr>
                <w:rFonts w:ascii="Arial" w:cs="Arial" w:eastAsia="Arial" w:hAnsi="Arial"/>
                <w:sz w:val="16"/>
                <w:szCs w:val="16"/>
                <w:color w:val="0000EE"/>
              </w:rPr>
            </w:pPr>
            <w:hyperlink r:id="rId83">
              <w:r>
                <w:rPr>
                  <w:rFonts w:ascii="Arial" w:cs="Arial" w:eastAsia="Arial" w:hAnsi="Arial"/>
                  <w:sz w:val="16"/>
                  <w:szCs w:val="16"/>
                  <w:color w:val="0000EE"/>
                </w:rPr>
                <w:t>Viasat, Inc. Employee Stock Purchase Plan (As Amended</w:t>
              </w:r>
            </w:hyperlink>
          </w:p>
        </w:tc>
        <w:tc>
          <w:tcPr>
            <w:tcW w:w="240" w:type="dxa"/>
            <w:vAlign w:val="bottom"/>
            <w:gridSpan w:val="3"/>
          </w:tcPr>
          <w:p>
            <w:pPr>
              <w:spacing w:after="0"/>
              <w:rPr>
                <w:sz w:val="24"/>
                <w:szCs w:val="24"/>
                <w:color w:val="auto"/>
              </w:rPr>
            </w:pPr>
          </w:p>
        </w:tc>
        <w:tc>
          <w:tcPr>
            <w:tcW w:w="980" w:type="dxa"/>
            <w:vAlign w:val="bottom"/>
            <w:gridSpan w:val="2"/>
          </w:tcPr>
          <w:p>
            <w:pPr>
              <w:ind w:left="380"/>
              <w:spacing w:after="0"/>
              <w:rPr>
                <w:sz w:val="20"/>
                <w:szCs w:val="20"/>
                <w:color w:val="auto"/>
              </w:rPr>
            </w:pPr>
            <w:r>
              <w:rPr>
                <w:rFonts w:ascii="Arial" w:cs="Arial" w:eastAsia="Arial" w:hAnsi="Arial"/>
                <w:sz w:val="16"/>
                <w:szCs w:val="16"/>
                <w:color w:val="auto"/>
              </w:rPr>
              <w:t>S-8</w:t>
            </w:r>
          </w:p>
        </w:tc>
        <w:tc>
          <w:tcPr>
            <w:tcW w:w="1220" w:type="dxa"/>
            <w:vAlign w:val="bottom"/>
          </w:tcPr>
          <w:p>
            <w:pPr>
              <w:jc w:val="center"/>
              <w:ind w:left="43"/>
              <w:spacing w:after="0"/>
              <w:rPr>
                <w:sz w:val="20"/>
                <w:szCs w:val="20"/>
                <w:color w:val="auto"/>
              </w:rPr>
            </w:pPr>
            <w:r>
              <w:rPr>
                <w:rFonts w:ascii="Arial" w:cs="Arial" w:eastAsia="Arial" w:hAnsi="Arial"/>
                <w:sz w:val="16"/>
                <w:szCs w:val="16"/>
                <w:color w:val="auto"/>
              </w:rPr>
              <w:t>333-234634</w:t>
            </w:r>
          </w:p>
        </w:tc>
        <w:tc>
          <w:tcPr>
            <w:tcW w:w="100" w:type="dxa"/>
            <w:vAlign w:val="bottom"/>
          </w:tcPr>
          <w:p>
            <w:pPr>
              <w:spacing w:after="0"/>
              <w:rPr>
                <w:sz w:val="24"/>
                <w:szCs w:val="24"/>
                <w:color w:val="auto"/>
              </w:rPr>
            </w:pPr>
          </w:p>
        </w:tc>
        <w:tc>
          <w:tcPr>
            <w:tcW w:w="980" w:type="dxa"/>
            <w:vAlign w:val="bottom"/>
          </w:tcPr>
          <w:p>
            <w:pPr>
              <w:jc w:val="right"/>
              <w:ind w:right="202"/>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Arial" w:cs="Arial" w:eastAsia="Arial" w:hAnsi="Arial"/>
                <w:sz w:val="16"/>
                <w:szCs w:val="16"/>
                <w:color w:val="auto"/>
              </w:rPr>
              <w:t>11/12/2019</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80" w:type="dxa"/>
            <w:vAlign w:val="bottom"/>
            <w:gridSpan w:val="11"/>
          </w:tcPr>
          <w:p>
            <w:pPr>
              <w:spacing w:after="0" w:line="169" w:lineRule="exact"/>
              <w:rPr>
                <w:rFonts w:ascii="Arial" w:cs="Arial" w:eastAsia="Arial" w:hAnsi="Arial"/>
                <w:sz w:val="16"/>
                <w:szCs w:val="16"/>
                <w:color w:val="0000EE"/>
              </w:rPr>
            </w:pPr>
            <w:hyperlink r:id="rId83">
              <w:r>
                <w:rPr>
                  <w:rFonts w:ascii="Arial" w:cs="Arial" w:eastAsia="Arial" w:hAnsi="Arial"/>
                  <w:sz w:val="16"/>
                  <w:szCs w:val="16"/>
                  <w:color w:val="0000EE"/>
                </w:rPr>
                <w:t>and Restated Effective September 4, 2019)</w:t>
              </w:r>
            </w:hyperlink>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24"/>
                <w:szCs w:val="24"/>
                <w:color w:val="auto"/>
              </w:rPr>
            </w:pPr>
          </w:p>
        </w:tc>
        <w:tc>
          <w:tcPr>
            <w:tcW w:w="4380" w:type="dxa"/>
            <w:vAlign w:val="bottom"/>
            <w:gridSpan w:val="11"/>
          </w:tcPr>
          <w:p>
            <w:pPr>
              <w:spacing w:after="0"/>
              <w:rPr>
                <w:rFonts w:ascii="Arial" w:cs="Arial" w:eastAsia="Arial" w:hAnsi="Arial"/>
                <w:sz w:val="16"/>
                <w:szCs w:val="16"/>
                <w:color w:val="0000EE"/>
              </w:rPr>
            </w:pPr>
            <w:hyperlink r:id="rId84">
              <w:r>
                <w:rPr>
                  <w:rFonts w:ascii="Arial" w:cs="Arial" w:eastAsia="Arial" w:hAnsi="Arial"/>
                  <w:sz w:val="16"/>
                  <w:szCs w:val="16"/>
                  <w:color w:val="0000EE"/>
                </w:rPr>
                <w:t>1996 Equity Participation Plan of Viasat, Inc. (As Amended</w:t>
              </w:r>
            </w:hyperlink>
          </w:p>
        </w:tc>
        <w:tc>
          <w:tcPr>
            <w:tcW w:w="980" w:type="dxa"/>
            <w:vAlign w:val="bottom"/>
            <w:gridSpan w:val="2"/>
          </w:tcPr>
          <w:p>
            <w:pPr>
              <w:ind w:left="380"/>
              <w:spacing w:after="0"/>
              <w:rPr>
                <w:sz w:val="20"/>
                <w:szCs w:val="20"/>
                <w:color w:val="auto"/>
              </w:rPr>
            </w:pPr>
            <w:r>
              <w:rPr>
                <w:rFonts w:ascii="Arial" w:cs="Arial" w:eastAsia="Arial" w:hAnsi="Arial"/>
                <w:sz w:val="16"/>
                <w:szCs w:val="16"/>
                <w:color w:val="auto"/>
              </w:rPr>
              <w:t>S-8</w:t>
            </w:r>
          </w:p>
        </w:tc>
        <w:tc>
          <w:tcPr>
            <w:tcW w:w="1220" w:type="dxa"/>
            <w:vAlign w:val="bottom"/>
          </w:tcPr>
          <w:p>
            <w:pPr>
              <w:jc w:val="center"/>
              <w:ind w:left="43"/>
              <w:spacing w:after="0"/>
              <w:rPr>
                <w:sz w:val="20"/>
                <w:szCs w:val="20"/>
                <w:color w:val="auto"/>
              </w:rPr>
            </w:pPr>
            <w:r>
              <w:rPr>
                <w:rFonts w:ascii="Arial" w:cs="Arial" w:eastAsia="Arial" w:hAnsi="Arial"/>
                <w:sz w:val="16"/>
                <w:szCs w:val="16"/>
                <w:color w:val="auto"/>
              </w:rPr>
              <w:t>333-234634</w:t>
            </w:r>
          </w:p>
        </w:tc>
        <w:tc>
          <w:tcPr>
            <w:tcW w:w="100" w:type="dxa"/>
            <w:vAlign w:val="bottom"/>
          </w:tcPr>
          <w:p>
            <w:pPr>
              <w:spacing w:after="0"/>
              <w:rPr>
                <w:sz w:val="24"/>
                <w:szCs w:val="24"/>
                <w:color w:val="auto"/>
              </w:rPr>
            </w:pPr>
          </w:p>
        </w:tc>
        <w:tc>
          <w:tcPr>
            <w:tcW w:w="980" w:type="dxa"/>
            <w:vAlign w:val="bottom"/>
          </w:tcPr>
          <w:p>
            <w:pPr>
              <w:jc w:val="right"/>
              <w:ind w:right="202"/>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Arial" w:cs="Arial" w:eastAsia="Arial" w:hAnsi="Arial"/>
                <w:sz w:val="16"/>
                <w:szCs w:val="16"/>
                <w:color w:val="auto"/>
              </w:rPr>
              <w:t>11/12/2019</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tcBorders>
              <w:top w:val="single" w:sz="8" w:color="0000EE"/>
            </w:tcBorders>
            <w:gridSpan w:val="9"/>
          </w:tcPr>
          <w:p>
            <w:pPr>
              <w:spacing w:after="0" w:line="169" w:lineRule="exact"/>
              <w:rPr>
                <w:rFonts w:ascii="Arial" w:cs="Arial" w:eastAsia="Arial" w:hAnsi="Arial"/>
                <w:sz w:val="16"/>
                <w:szCs w:val="16"/>
                <w:color w:val="0000EE"/>
              </w:rPr>
            </w:pPr>
            <w:hyperlink r:id="rId84">
              <w:r>
                <w:rPr>
                  <w:rFonts w:ascii="Arial" w:cs="Arial" w:eastAsia="Arial" w:hAnsi="Arial"/>
                  <w:sz w:val="16"/>
                  <w:szCs w:val="16"/>
                  <w:color w:val="0000EE"/>
                </w:rPr>
                <w:t>and Restated Effective September 4, 2019)</w:t>
              </w:r>
            </w:hyperlink>
          </w:p>
        </w:tc>
        <w:tc>
          <w:tcPr>
            <w:tcW w:w="18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31.1</w:t>
            </w:r>
          </w:p>
        </w:tc>
        <w:tc>
          <w:tcPr>
            <w:tcW w:w="160" w:type="dxa"/>
            <w:vAlign w:val="bottom"/>
          </w:tcPr>
          <w:p>
            <w:pPr>
              <w:spacing w:after="0"/>
              <w:rPr>
                <w:sz w:val="24"/>
                <w:szCs w:val="24"/>
                <w:color w:val="auto"/>
              </w:rPr>
            </w:pPr>
          </w:p>
        </w:tc>
        <w:tc>
          <w:tcPr>
            <w:tcW w:w="3600" w:type="dxa"/>
            <w:vAlign w:val="bottom"/>
            <w:tcBorders>
              <w:bottom w:val="single" w:sz="8" w:color="0000EE"/>
            </w:tcBorders>
            <w:gridSpan w:val="5"/>
          </w:tcPr>
          <w:p>
            <w:pPr>
              <w:spacing w:after="0"/>
              <w:rPr>
                <w:rFonts w:ascii="Arial" w:cs="Arial" w:eastAsia="Arial" w:hAnsi="Arial"/>
                <w:sz w:val="16"/>
                <w:szCs w:val="16"/>
                <w:color w:val="0000EE"/>
              </w:rPr>
            </w:pPr>
            <w:hyperlink w:anchor="page60">
              <w:r>
                <w:rPr>
                  <w:rFonts w:ascii="Arial" w:cs="Arial" w:eastAsia="Arial" w:hAnsi="Arial"/>
                  <w:sz w:val="16"/>
                  <w:szCs w:val="16"/>
                  <w:color w:val="0000EE"/>
                </w:rPr>
                <w:t>Certification of Chief Executive Officer Pursuant to</w:t>
              </w:r>
            </w:hyperlink>
          </w:p>
        </w:tc>
        <w:tc>
          <w:tcPr>
            <w:tcW w:w="78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tcBorders>
              <w:bottom w:val="single" w:sz="8" w:color="0000EE"/>
            </w:tcBorders>
            <w:gridSpan w:val="3"/>
          </w:tcPr>
          <w:p>
            <w:pPr>
              <w:spacing w:after="0" w:line="169" w:lineRule="exact"/>
              <w:rPr>
                <w:rFonts w:ascii="Arial" w:cs="Arial" w:eastAsia="Arial" w:hAnsi="Arial"/>
                <w:sz w:val="16"/>
                <w:szCs w:val="16"/>
                <w:color w:val="0000EE"/>
              </w:rPr>
            </w:pPr>
            <w:hyperlink w:anchor="page60">
              <w:r>
                <w:rPr>
                  <w:rFonts w:ascii="Arial" w:cs="Arial" w:eastAsia="Arial" w:hAnsi="Arial"/>
                  <w:sz w:val="16"/>
                  <w:szCs w:val="16"/>
                  <w:color w:val="0000EE"/>
                </w:rPr>
                <w:t>Section 302 of the Sarbanes-Oxley Act of 2002</w:t>
              </w:r>
            </w:hyperlink>
          </w:p>
        </w:tc>
        <w:tc>
          <w:tcPr>
            <w:tcW w:w="1000" w:type="dxa"/>
            <w:vAlign w:val="bottom"/>
            <w:gridSpan w:val="8"/>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31.2</w:t>
            </w:r>
          </w:p>
        </w:tc>
        <w:tc>
          <w:tcPr>
            <w:tcW w:w="160" w:type="dxa"/>
            <w:vAlign w:val="bottom"/>
          </w:tcPr>
          <w:p>
            <w:pPr>
              <w:spacing w:after="0"/>
              <w:rPr>
                <w:sz w:val="24"/>
                <w:szCs w:val="24"/>
                <w:color w:val="auto"/>
              </w:rPr>
            </w:pPr>
          </w:p>
        </w:tc>
        <w:tc>
          <w:tcPr>
            <w:tcW w:w="4380" w:type="dxa"/>
            <w:vAlign w:val="bottom"/>
            <w:gridSpan w:val="11"/>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Certification of Chief Financial Officer Pursuant to</w:t>
              </w:r>
            </w:hyperlink>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rPr>
            </w:pPr>
            <w:hyperlink w:anchor="page61">
              <w:r>
                <w:rPr>
                  <w:rFonts w:ascii="Arial" w:cs="Arial" w:eastAsia="Arial" w:hAnsi="Arial"/>
                  <w:sz w:val="16"/>
                  <w:szCs w:val="16"/>
                  <w:color w:val="0000EE"/>
                </w:rPr>
                <w:t>Section 302 of the Sarbanes-Oxley Act of 2002</w:t>
              </w:r>
            </w:hyperlink>
          </w:p>
        </w:tc>
        <w:tc>
          <w:tcPr>
            <w:tcW w:w="160" w:type="dxa"/>
            <w:vAlign w:val="bottom"/>
            <w:tcBorders>
              <w:top w:val="single" w:sz="8" w:color="0000EE"/>
            </w:tcBorders>
          </w:tcPr>
          <w:p>
            <w:pPr>
              <w:spacing w:after="0"/>
              <w:rPr>
                <w:sz w:val="14"/>
                <w:szCs w:val="14"/>
                <w:color w:val="auto"/>
              </w:rPr>
            </w:pPr>
          </w:p>
        </w:tc>
        <w:tc>
          <w:tcPr>
            <w:tcW w:w="840" w:type="dxa"/>
            <w:vAlign w:val="bottom"/>
            <w:gridSpan w:val="7"/>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60" w:type="dxa"/>
            <w:vAlign w:val="bottom"/>
          </w:tcPr>
          <w:p>
            <w:pPr>
              <w:ind w:left="220"/>
              <w:spacing w:after="0"/>
              <w:rPr>
                <w:sz w:val="20"/>
                <w:szCs w:val="20"/>
                <w:color w:val="auto"/>
              </w:rPr>
            </w:pPr>
            <w:r>
              <w:rPr>
                <w:rFonts w:ascii="Arial" w:cs="Arial" w:eastAsia="Arial" w:hAnsi="Arial"/>
                <w:sz w:val="16"/>
                <w:szCs w:val="16"/>
                <w:color w:val="auto"/>
              </w:rPr>
              <w:t>32.1</w:t>
            </w:r>
          </w:p>
        </w:tc>
        <w:tc>
          <w:tcPr>
            <w:tcW w:w="160" w:type="dxa"/>
            <w:vAlign w:val="bottom"/>
          </w:tcPr>
          <w:p>
            <w:pPr>
              <w:spacing w:after="0"/>
              <w:rPr>
                <w:sz w:val="24"/>
                <w:szCs w:val="24"/>
                <w:color w:val="auto"/>
              </w:rPr>
            </w:pPr>
          </w:p>
        </w:tc>
        <w:tc>
          <w:tcPr>
            <w:tcW w:w="4380" w:type="dxa"/>
            <w:vAlign w:val="bottom"/>
            <w:gridSpan w:val="11"/>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Certifications Pursuant to 18 U.S.C. Section 1350, as</w:t>
              </w:r>
            </w:hyperlink>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40" w:type="dxa"/>
            <w:vAlign w:val="bottom"/>
            <w:tcBorders>
              <w:bottom w:val="single" w:sz="8" w:color="0000EE"/>
            </w:tcBorders>
            <w:gridSpan w:val="7"/>
          </w:tcPr>
          <w:p>
            <w:pPr>
              <w:spacing w:after="0" w:line="169" w:lineRule="exact"/>
              <w:rPr>
                <w:rFonts w:ascii="Arial" w:cs="Arial" w:eastAsia="Arial" w:hAnsi="Arial"/>
                <w:sz w:val="16"/>
                <w:szCs w:val="16"/>
                <w:color w:val="0000EE"/>
              </w:rPr>
            </w:pPr>
            <w:hyperlink w:anchor="page62">
              <w:r>
                <w:rPr>
                  <w:rFonts w:ascii="Arial" w:cs="Arial" w:eastAsia="Arial" w:hAnsi="Arial"/>
                  <w:sz w:val="16"/>
                  <w:szCs w:val="16"/>
                  <w:color w:val="0000EE"/>
                </w:rPr>
                <w:t>Adopted Pursuant to Section 906 of the Sarbanes-Oxley</w:t>
              </w:r>
            </w:hyperlink>
          </w:p>
        </w:tc>
        <w:tc>
          <w:tcPr>
            <w:tcW w:w="340" w:type="dxa"/>
            <w:vAlign w:val="bottom"/>
            <w:gridSpan w:val="4"/>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0000EE"/>
            </w:tcBorders>
          </w:tcPr>
          <w:p>
            <w:pPr>
              <w:spacing w:after="0" w:line="169" w:lineRule="exact"/>
              <w:rPr>
                <w:rFonts w:ascii="Arial" w:cs="Arial" w:eastAsia="Arial" w:hAnsi="Arial"/>
                <w:sz w:val="16"/>
                <w:szCs w:val="16"/>
                <w:color w:val="0000EE"/>
                <w:w w:val="98"/>
              </w:rPr>
            </w:pPr>
            <w:hyperlink w:anchor="page62">
              <w:r>
                <w:rPr>
                  <w:rFonts w:ascii="Arial" w:cs="Arial" w:eastAsia="Arial" w:hAnsi="Arial"/>
                  <w:sz w:val="16"/>
                  <w:szCs w:val="16"/>
                  <w:color w:val="0000EE"/>
                  <w:w w:val="98"/>
                </w:rPr>
                <w:t>Act of 2002</w:t>
              </w:r>
            </w:hyperlink>
          </w:p>
        </w:tc>
        <w:tc>
          <w:tcPr>
            <w:tcW w:w="3560" w:type="dxa"/>
            <w:vAlign w:val="bottom"/>
            <w:gridSpan w:val="10"/>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960" w:type="dxa"/>
            <w:vAlign w:val="bottom"/>
          </w:tcPr>
          <w:p>
            <w:pPr>
              <w:ind w:left="140"/>
              <w:spacing w:after="0"/>
              <w:rPr>
                <w:sz w:val="20"/>
                <w:szCs w:val="20"/>
                <w:color w:val="auto"/>
              </w:rPr>
            </w:pPr>
            <w:r>
              <w:rPr>
                <w:rFonts w:ascii="Arial" w:cs="Arial" w:eastAsia="Arial" w:hAnsi="Arial"/>
                <w:sz w:val="16"/>
                <w:szCs w:val="16"/>
                <w:color w:val="auto"/>
              </w:rPr>
              <w:t>101.INS</w:t>
            </w:r>
          </w:p>
        </w:tc>
        <w:tc>
          <w:tcPr>
            <w:tcW w:w="160" w:type="dxa"/>
            <w:vAlign w:val="bottom"/>
          </w:tcPr>
          <w:p>
            <w:pPr>
              <w:spacing w:after="0"/>
              <w:rPr>
                <w:sz w:val="24"/>
                <w:szCs w:val="24"/>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Inline XBRL Instance Document - the instance document</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does not appear in the Interactive Data File because its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XBRL tags are embedded within the inline XBRL</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960" w:type="dxa"/>
            <w:vAlign w:val="bottom"/>
          </w:tcPr>
          <w:p>
            <w:pPr>
              <w:ind w:left="140"/>
              <w:spacing w:after="0"/>
              <w:rPr>
                <w:sz w:val="20"/>
                <w:szCs w:val="20"/>
                <w:color w:val="auto"/>
              </w:rPr>
            </w:pPr>
            <w:r>
              <w:rPr>
                <w:rFonts w:ascii="Arial" w:cs="Arial" w:eastAsia="Arial" w:hAnsi="Arial"/>
                <w:sz w:val="16"/>
                <w:szCs w:val="16"/>
                <w:color w:val="auto"/>
              </w:rPr>
              <w:t>101.SCH</w:t>
            </w:r>
          </w:p>
        </w:tc>
        <w:tc>
          <w:tcPr>
            <w:tcW w:w="160" w:type="dxa"/>
            <w:vAlign w:val="bottom"/>
          </w:tcPr>
          <w:p>
            <w:pPr>
              <w:spacing w:after="0"/>
              <w:rPr>
                <w:sz w:val="24"/>
                <w:szCs w:val="24"/>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101.CAL</w:t>
            </w:r>
          </w:p>
        </w:tc>
        <w:tc>
          <w:tcPr>
            <w:tcW w:w="160" w:type="dxa"/>
            <w:vAlign w:val="bottom"/>
          </w:tcPr>
          <w:p>
            <w:pPr>
              <w:spacing w:after="0"/>
              <w:rPr>
                <w:sz w:val="24"/>
                <w:szCs w:val="24"/>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Inline XBRL Taxonomy Extension Calculation Linkbase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101.DEF</w:t>
            </w:r>
          </w:p>
        </w:tc>
        <w:tc>
          <w:tcPr>
            <w:tcW w:w="160" w:type="dxa"/>
            <w:vAlign w:val="bottom"/>
          </w:tcPr>
          <w:p>
            <w:pPr>
              <w:spacing w:after="0"/>
              <w:rPr>
                <w:sz w:val="24"/>
                <w:szCs w:val="24"/>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101.LAB</w:t>
            </w:r>
          </w:p>
        </w:tc>
        <w:tc>
          <w:tcPr>
            <w:tcW w:w="160" w:type="dxa"/>
            <w:vAlign w:val="bottom"/>
          </w:tcPr>
          <w:p>
            <w:pPr>
              <w:spacing w:after="0"/>
              <w:rPr>
                <w:sz w:val="24"/>
                <w:szCs w:val="24"/>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Labels Linkbase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24"/>
        </w:trPr>
        <w:tc>
          <w:tcPr>
            <w:tcW w:w="960" w:type="dxa"/>
            <w:vAlign w:val="bottom"/>
          </w:tcPr>
          <w:p>
            <w:pPr>
              <w:ind w:left="140"/>
              <w:spacing w:after="0"/>
              <w:rPr>
                <w:sz w:val="20"/>
                <w:szCs w:val="20"/>
                <w:color w:val="auto"/>
              </w:rPr>
            </w:pPr>
            <w:r>
              <w:rPr>
                <w:rFonts w:ascii="Arial" w:cs="Arial" w:eastAsia="Arial" w:hAnsi="Arial"/>
                <w:sz w:val="16"/>
                <w:szCs w:val="16"/>
                <w:color w:val="auto"/>
              </w:rPr>
              <w:t>101.PRE</w:t>
            </w:r>
          </w:p>
        </w:tc>
        <w:tc>
          <w:tcPr>
            <w:tcW w:w="160" w:type="dxa"/>
            <w:vAlign w:val="bottom"/>
          </w:tcPr>
          <w:p>
            <w:pPr>
              <w:spacing w:after="0"/>
              <w:rPr>
                <w:sz w:val="24"/>
                <w:szCs w:val="24"/>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319"/>
        </w:trPr>
        <w:tc>
          <w:tcPr>
            <w:tcW w:w="960" w:type="dxa"/>
            <w:vAlign w:val="bottom"/>
          </w:tcPr>
          <w:p>
            <w:pPr>
              <w:ind w:left="140"/>
              <w:spacing w:after="0"/>
              <w:rPr>
                <w:sz w:val="20"/>
                <w:szCs w:val="20"/>
                <w:color w:val="auto"/>
              </w:rPr>
            </w:pPr>
            <w:r>
              <w:rPr>
                <w:rFonts w:ascii="Arial" w:cs="Arial" w:eastAsia="Arial" w:hAnsi="Arial"/>
                <w:sz w:val="16"/>
                <w:szCs w:val="16"/>
                <w:color w:val="auto"/>
              </w:rPr>
              <w:t>104</w:t>
            </w:r>
          </w:p>
        </w:tc>
        <w:tc>
          <w:tcPr>
            <w:tcW w:w="160" w:type="dxa"/>
            <w:vAlign w:val="bottom"/>
          </w:tcPr>
          <w:p>
            <w:pPr>
              <w:spacing w:after="0"/>
              <w:rPr>
                <w:sz w:val="24"/>
                <w:szCs w:val="24"/>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Cover Page Interactive Data File (formatted as inline XBRL</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ind w:left="600"/>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95"/>
        </w:trPr>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80" w:type="dxa"/>
            <w:vAlign w:val="bottom"/>
            <w:gridSpan w:val="11"/>
          </w:tcPr>
          <w:p>
            <w:pPr>
              <w:spacing w:after="0"/>
              <w:rPr>
                <w:sz w:val="20"/>
                <w:szCs w:val="20"/>
                <w:color w:val="auto"/>
              </w:rPr>
            </w:pPr>
            <w:r>
              <w:rPr>
                <w:rFonts w:ascii="Arial" w:cs="Arial" w:eastAsia="Arial" w:hAnsi="Arial"/>
                <w:sz w:val="16"/>
                <w:szCs w:val="16"/>
                <w:color w:val="auto"/>
              </w:rPr>
              <w:t>and contained in Exhibit 101)</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51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VIASAT, INC.</w:t>
      </w:r>
    </w:p>
    <w:p>
      <w:pPr>
        <w:spacing w:after="0" w:line="19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February 7, 2020</w:t>
      </w:r>
      <w:r>
        <w:rPr>
          <w:sz w:val="20"/>
          <w:szCs w:val="20"/>
          <w:color w:val="auto"/>
        </w:rPr>
        <w:tab/>
      </w:r>
      <w:r>
        <w:rPr>
          <w:rFonts w:ascii="Arial" w:cs="Arial" w:eastAsia="Arial" w:hAnsi="Arial"/>
          <w:sz w:val="18"/>
          <w:szCs w:val="18"/>
          <w:color w:val="auto"/>
        </w:rPr>
        <w:t>/s/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-1905</wp:posOffset>
            </wp:positionV>
            <wp:extent cx="35502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Mark Dankberg</w:t>
      </w:r>
    </w:p>
    <w:p>
      <w:pPr>
        <w:ind w:left="5820"/>
        <w:spacing w:after="0" w:line="234" w:lineRule="auto"/>
        <w:rPr>
          <w:sz w:val="20"/>
          <w:szCs w:val="20"/>
          <w:color w:val="auto"/>
        </w:rPr>
      </w:pPr>
      <w:r>
        <w:rPr>
          <w:rFonts w:ascii="Arial" w:cs="Arial" w:eastAsia="Arial" w:hAnsi="Arial"/>
          <w:sz w:val="18"/>
          <w:szCs w:val="18"/>
          <w:color w:val="auto"/>
        </w:rPr>
        <w:t>Chairman of the Board and Chief Executive Officer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-1905</wp:posOffset>
            </wp:positionV>
            <wp:extent cx="35502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5820"/>
        <w:spacing w:after="0"/>
        <w:rPr>
          <w:sz w:val="20"/>
          <w:szCs w:val="20"/>
          <w:color w:val="auto"/>
        </w:rPr>
      </w:pPr>
      <w:r>
        <w:rPr>
          <w:rFonts w:ascii="Arial" w:cs="Arial" w:eastAsia="Arial" w:hAnsi="Arial"/>
          <w:sz w:val="18"/>
          <w:szCs w:val="18"/>
          <w:color w:val="auto"/>
        </w:rPr>
        <w:t>Shawn Duffy</w:t>
      </w:r>
    </w:p>
    <w:p>
      <w:pPr>
        <w:ind w:left="582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319" w:right="25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160" w:hanging="512"/>
        <w:spacing w:after="0" w:line="275"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520" w:right="120" w:hanging="512"/>
        <w:spacing w:after="0" w:line="234"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8"/>
          <w:szCs w:val="18"/>
          <w:color w:val="auto"/>
        </w:rPr>
      </w:pPr>
    </w:p>
    <w:p>
      <w:pPr>
        <w:jc w:val="both"/>
        <w:ind w:left="1040" w:right="100" w:hanging="519"/>
        <w:spacing w:after="0"/>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40" w:right="440" w:hanging="519"/>
        <w:spacing w:after="0"/>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040" w:hanging="519"/>
        <w:spacing w:after="0"/>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40" w:right="180" w:hanging="519"/>
        <w:spacing w:after="0"/>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1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40" w:right="60" w:hanging="519"/>
        <w:spacing w:after="0" w:line="246"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1040" w:right="300" w:hanging="519"/>
        <w:spacing w:after="0" w:line="246"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February 7, 2020</w:t>
      </w:r>
      <w:r>
        <w:rPr>
          <w:sz w:val="20"/>
          <w:szCs w:val="20"/>
          <w:color w:val="auto"/>
        </w:rPr>
        <w:tab/>
      </w: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w:t>
      </w:r>
      <w:r>
        <w:rPr>
          <w:rFonts w:ascii="Arial" w:cs="Arial" w:eastAsia="Arial" w:hAnsi="Arial"/>
          <w:sz w:val="12"/>
          <w:szCs w:val="12"/>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6350</wp:posOffset>
            </wp:positionV>
            <wp:extent cx="28213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Dankberg</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3"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CERTIFICATION OF CHIEF FINANCIAL OFFICER PURSUANT</w:t>
      </w:r>
    </w:p>
    <w:p>
      <w:pPr>
        <w:ind w:left="3220"/>
        <w:spacing w:after="0"/>
        <w:rPr>
          <w:sz w:val="20"/>
          <w:szCs w:val="20"/>
          <w:color w:val="auto"/>
        </w:rPr>
      </w:pPr>
      <w:r>
        <w:rPr>
          <w:rFonts w:ascii="Arial" w:cs="Arial" w:eastAsia="Arial" w:hAnsi="Arial"/>
          <w:sz w:val="18"/>
          <w:szCs w:val="18"/>
          <w:color w:val="auto"/>
        </w:rPr>
        <w:t>TO SECTION 302 OF THE SARBANES-OXLEY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160" w:hanging="512"/>
        <w:spacing w:after="0" w:line="275"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520" w:right="120" w:hanging="512"/>
        <w:spacing w:after="0" w:line="234"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103" w:lineRule="exact"/>
        <w:rPr>
          <w:rFonts w:ascii="Arial" w:cs="Arial" w:eastAsia="Arial" w:hAnsi="Arial"/>
          <w:sz w:val="18"/>
          <w:szCs w:val="18"/>
          <w:color w:val="auto"/>
        </w:rPr>
      </w:pPr>
    </w:p>
    <w:p>
      <w:pPr>
        <w:jc w:val="both"/>
        <w:ind w:left="1040" w:right="100" w:hanging="519"/>
        <w:spacing w:after="0"/>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40" w:right="440" w:hanging="519"/>
        <w:spacing w:after="0"/>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1040" w:hanging="519"/>
        <w:spacing w:after="0"/>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40" w:right="180" w:hanging="519"/>
        <w:spacing w:after="0"/>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1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8"/>
          <w:szCs w:val="18"/>
          <w:color w:val="auto"/>
        </w:rPr>
      </w:pPr>
    </w:p>
    <w:p>
      <w:pPr>
        <w:ind w:left="1040" w:right="60" w:hanging="519"/>
        <w:spacing w:after="0" w:line="246"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1040" w:right="300" w:hanging="519"/>
        <w:spacing w:after="0" w:line="246"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February 7, 2020</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6350</wp:posOffset>
            </wp:positionV>
            <wp:extent cx="28213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3"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40" w:right="22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31, 2019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40" w:right="160" w:hanging="519"/>
        <w:spacing w:after="0" w:line="246"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February 7, 2020</w:t>
      </w:r>
      <w:r>
        <w:rPr>
          <w:sz w:val="20"/>
          <w:szCs w:val="20"/>
          <w:color w:val="auto"/>
        </w:rPr>
        <w:tab/>
      </w:r>
      <w:r>
        <w:rPr>
          <w:rFonts w:ascii="Arial" w:cs="Arial" w:eastAsia="Arial" w:hAnsi="Arial"/>
          <w:sz w:val="18"/>
          <w:szCs w:val="18"/>
          <w:color w:val="auto"/>
        </w:rPr>
        <w:t>/s/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6350</wp:posOffset>
            </wp:positionV>
            <wp:extent cx="28213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Mark Dankberg</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104" w:lineRule="exact"/>
        <w:rPr>
          <w:sz w:val="20"/>
          <w:szCs w:val="20"/>
          <w:color w:val="auto"/>
        </w:rPr>
      </w:pPr>
    </w:p>
    <w:p>
      <w:pPr>
        <w:ind w:left="1040" w:right="22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December 31, 2019 (the “Report”) fully complies with the requirements of Section 13(a) or Section 15(d), as applicable, of the Securities Exchange Act of 1934, as amended; and</w:t>
      </w:r>
    </w:p>
    <w:p>
      <w:pPr>
        <w:spacing w:after="0" w:line="94" w:lineRule="exact"/>
        <w:rPr>
          <w:rFonts w:ascii="Arial" w:cs="Arial" w:eastAsia="Arial" w:hAnsi="Arial"/>
          <w:sz w:val="18"/>
          <w:szCs w:val="18"/>
          <w:color w:val="auto"/>
        </w:rPr>
      </w:pPr>
    </w:p>
    <w:p>
      <w:pPr>
        <w:ind w:left="1040" w:right="160" w:hanging="519"/>
        <w:spacing w:after="0" w:line="246"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color w:val="auto"/>
        </w:rPr>
        <w:t>Date: February 7, 2020</w:t>
      </w:r>
      <w:r>
        <w:rPr>
          <w:sz w:val="20"/>
          <w:szCs w:val="20"/>
          <w:color w:val="auto"/>
        </w:rPr>
        <w:tab/>
      </w:r>
      <w:r>
        <w:rPr>
          <w:rFonts w:ascii="Arial" w:cs="Arial" w:eastAsia="Arial" w:hAnsi="Arial"/>
          <w:sz w:val="18"/>
          <w:szCs w:val="18"/>
          <w:color w:val="auto"/>
        </w:rPr>
        <w:t>/s/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6350</wp:posOffset>
            </wp:positionV>
            <wp:extent cx="28213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Shawn Duffy</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lowerRoman"/>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83" Type="http://schemas.openxmlformats.org/officeDocument/2006/relationships/hyperlink" Target="http://www.sec.gov/Archives/edgar/data/0000797721/000119312519289747/d823563dex107.htm" TargetMode="External"/><Relationship Id="rId84" Type="http://schemas.openxmlformats.org/officeDocument/2006/relationships/hyperlink" Target="http://www.sec.gov/Archives/edgar/data/0000797721/000119312519289747/d82356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2020-02-10T06:22:25Z</dcterms:created>
  <dcterms:modified xsi:type="dcterms:W3CDTF">2020-02-10T06:22:25Z</dcterms:modified>
</cp:coreProperties>
</file>