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FitzGerald Camellia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3"/>
        <w:gridCol w:w="905"/>
        <w:gridCol w:w="774"/>
        <w:gridCol w:w="601"/>
        <w:gridCol w:w="351"/>
        <w:gridCol w:w="854"/>
        <w:gridCol w:w="461"/>
        <w:gridCol w:w="759"/>
        <w:gridCol w:w="1174"/>
        <w:gridCol w:w="1006"/>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14,300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r>
        <w:trPr/>
        <w:tc>
          <w:tcPr>
            <w:tcW w:w="23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8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46"/>
        <w:gridCol w:w="681"/>
        <w:gridCol w:w="801"/>
        <w:gridCol w:w="936"/>
        <w:gridCol w:w="831"/>
        <w:gridCol w:w="846"/>
      </w:tblGrid>
      <w:tr>
        <w:trPr>
          <w:tblHeader w:val="true"/>
        </w:trPr>
        <w:tc>
          <w:tcPr>
            <w:tcW w:w="118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restricted stock unit grant was for 11,000 units on 08/17/2025. The units vest and convert into shares of common stock (on a 1-for-1 basis) in three substantially equal installments on August 17, 2026, June 7, 2027 and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4965"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3873</Characters>
  <CharactersWithSpaces>4508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