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5702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0293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Duffy Shawn Lynn</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VIASAT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12/12/2025</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38"/>
        <w:spacing w:after="0"/>
        <w:rPr>
          <w:sz w:val="20"/>
          <w:szCs w:val="20"/>
          <w:color w:val="auto"/>
        </w:rPr>
      </w:pPr>
      <w:r>
        <w:rPr>
          <w:rFonts w:ascii="Times New Roman" w:cs="Times New Roman" w:eastAsia="Times New Roman" w:hAnsi="Times New Roman"/>
          <w:sz w:val="17"/>
          <w:szCs w:val="17"/>
          <w:color w:val="0000FF"/>
        </w:rPr>
        <w:t>SVP, Chief Accounting Officer</w:t>
      </w:r>
    </w:p>
    <w:p>
      <w:pPr>
        <w:spacing w:after="0" w:line="31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4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gridSpan w:val="7"/>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3520" w:type="dxa"/>
            <w:vAlign w:val="bottom"/>
            <w:tcBorders>
              <w:bottom w:val="single" w:sz="8" w:color="2C2C2C"/>
            </w:tcBorders>
            <w:gridSpan w:val="7"/>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5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12/12/2025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20,695</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15.96</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57,501</w:t>
            </w:r>
          </w:p>
        </w:tc>
        <w:tc>
          <w:tcPr>
            <w:tcW w:w="26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12/12/2025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39,970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36.2815</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17,531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12/12/2025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11,510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36.7377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6,021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5,141</w:t>
            </w:r>
          </w:p>
        </w:tc>
        <w:tc>
          <w:tcPr>
            <w:tcW w:w="260" w:type="dxa"/>
            <w:vAlign w:val="bottom"/>
          </w:tcPr>
          <w:p>
            <w:pPr>
              <w:spacing w:after="0"/>
              <w:rPr>
                <w:sz w:val="21"/>
                <w:szCs w:val="21"/>
                <w:color w:val="auto"/>
              </w:rPr>
            </w:pPr>
          </w:p>
        </w:tc>
        <w:tc>
          <w:tcPr>
            <w:tcW w:w="68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352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20,695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15.96</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12/12/2025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2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3"/>
                <w:szCs w:val="13"/>
                <w:color w:val="0000FF"/>
              </w:rPr>
              <w:t>20,695</w:t>
            </w:r>
          </w:p>
        </w:tc>
        <w:tc>
          <w:tcPr>
            <w:tcW w:w="780" w:type="dxa"/>
            <w:vAlign w:val="bottom"/>
            <w:vMerge w:val="continue"/>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10/09/2029</w:t>
            </w: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22,805</w:t>
            </w:r>
          </w:p>
        </w:tc>
        <w:tc>
          <w:tcPr>
            <w:tcW w:w="260" w:type="dxa"/>
            <w:vAlign w:val="bottom"/>
          </w:tcPr>
          <w:p>
            <w:pPr>
              <w:spacing w:after="0"/>
              <w:rPr>
                <w:sz w:val="11"/>
                <w:szCs w:val="11"/>
                <w:color w:val="auto"/>
              </w:rPr>
            </w:pPr>
          </w:p>
        </w:tc>
        <w:tc>
          <w:tcPr>
            <w:tcW w:w="6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$35.61 to $36.605.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$36.61 to $36.99.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with respect to the remaining shares on October 9, 2026, subject to the achievement of certain stock price thresholds described in the option award.</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Stacy Nguyen, Attorney-in-</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12/16/2025</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Fact</w:t>
            </w:r>
          </w:p>
        </w:tc>
        <w:tc>
          <w:tcPr>
            <w:tcW w:w="158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8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8472"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2025-12-16T15:37:30Z</dcterms:created>
  <dcterms:modified xsi:type="dcterms:W3CDTF">2025-12-16T15:37:30Z</dcterms:modified>
</cp:coreProperties>
</file>