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6330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3303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FitzGerald Camellia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6155 EL CAMINO REAL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VIASAT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VSAT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55"/>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92009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jc w:val="center"/>
              <w:ind w:left="59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6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06/07/2026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ind w:left="155"/>
              <w:spacing w:after="0"/>
              <w:rPr>
                <w:sz w:val="20"/>
                <w:szCs w:val="20"/>
                <w:color w:val="auto"/>
              </w:rPr>
            </w:pPr>
            <w:r>
              <w:rPr>
                <w:rFonts w:ascii="Times New Roman" w:cs="Times New Roman" w:eastAsia="Times New Roman" w:hAnsi="Times New Roman"/>
                <w:sz w:val="17"/>
                <w:szCs w:val="17"/>
                <w:color w:val="0000FF"/>
              </w:rPr>
              <w:t>203</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0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9,030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06/07/2026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35"/>
              <w:spacing w:after="0"/>
              <w:rPr>
                <w:sz w:val="20"/>
                <w:szCs w:val="20"/>
                <w:color w:val="auto"/>
              </w:rPr>
            </w:pPr>
            <w:r>
              <w:rPr>
                <w:rFonts w:ascii="Times New Roman" w:cs="Times New Roman" w:eastAsia="Times New Roman" w:hAnsi="Times New Roman"/>
                <w:sz w:val="17"/>
                <w:szCs w:val="17"/>
                <w:color w:val="0000FF"/>
                <w:w w:val="93"/>
              </w:rPr>
              <w:t>72</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8,958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6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06/07/2026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2,500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0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11,458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06/07/2026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55"/>
              <w:spacing w:after="0"/>
              <w:rPr>
                <w:sz w:val="20"/>
                <w:szCs w:val="20"/>
                <w:color w:val="auto"/>
              </w:rPr>
            </w:pPr>
            <w:r>
              <w:rPr>
                <w:rFonts w:ascii="Times New Roman" w:cs="Times New Roman" w:eastAsia="Times New Roman" w:hAnsi="Times New Roman"/>
                <w:sz w:val="17"/>
                <w:szCs w:val="17"/>
                <w:color w:val="0000FF"/>
              </w:rPr>
              <w:t>898</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67.18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10,560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85"/>
              </w:rPr>
              <w:t>180</w:t>
            </w:r>
            <w:r>
              <w:rPr>
                <w:rFonts w:ascii="Times New Roman" w:cs="Times New Roman" w:eastAsia="Times New Roman" w:hAnsi="Times New Roman"/>
                <w:sz w:val="21"/>
                <w:szCs w:val="21"/>
                <w:color w:val="008000"/>
                <w:w w:val="85"/>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$.0001 par value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240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6"/>
              <w:spacing w:after="0" w:line="129" w:lineRule="exact"/>
              <w:rPr>
                <w:sz w:val="20"/>
                <w:szCs w:val="20"/>
                <w:color w:val="auto"/>
              </w:rPr>
            </w:pPr>
            <w:r>
              <w:rPr>
                <w:rFonts w:ascii="Arial" w:cs="Arial" w:eastAsia="Arial" w:hAnsi="Arial"/>
                <w:sz w:val="12"/>
                <w:szCs w:val="12"/>
                <w:b w:val="1"/>
                <w:bCs w:val="1"/>
                <w:color w:val="auto"/>
                <w:w w:val="93"/>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06/07/2026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5"/>
                <w:szCs w:val="15"/>
                <w:color w:val="auto"/>
              </w:rPr>
            </w:pPr>
          </w:p>
        </w:tc>
        <w:tc>
          <w:tcPr>
            <w:tcW w:w="48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color w:val="0000FF"/>
              </w:rPr>
              <w:t>203</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3"/>
              </w:rPr>
              <w:t>203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06/07/2026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5"/>
                <w:szCs w:val="15"/>
                <w:color w:val="auto"/>
              </w:rPr>
            </w:pPr>
          </w:p>
        </w:tc>
        <w:tc>
          <w:tcPr>
            <w:tcW w:w="480" w:type="dxa"/>
            <w:vAlign w:val="bottom"/>
            <w:vMerge w:val="restart"/>
          </w:tcPr>
          <w:p>
            <w:pPr>
              <w:jc w:val="right"/>
              <w:ind w:right="58"/>
              <w:spacing w:after="0"/>
              <w:rPr>
                <w:sz w:val="20"/>
                <w:szCs w:val="20"/>
                <w:color w:val="auto"/>
              </w:rPr>
            </w:pPr>
            <w:r>
              <w:rPr>
                <w:rFonts w:ascii="Times New Roman" w:cs="Times New Roman" w:eastAsia="Times New Roman" w:hAnsi="Times New Roman"/>
                <w:sz w:val="13"/>
                <w:szCs w:val="13"/>
                <w:color w:val="0000FF"/>
              </w:rPr>
              <w:t>2,500</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2,500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06/07/2026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4,505</w:t>
            </w: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4,505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4,505</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-2280285</wp:posOffset>
            </wp:positionV>
            <wp:extent cx="29210" cy="2285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53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180 shares of common stock the Reporting Person acquired under the Viasat 401(k) Plan since the date of the Reporting Person's last ownership report.</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restricted stock unit grant was for 815 units on 06/07/2022. The units vest and convert into shares of common stock (on a 1-for-1 basis) at the rate of 1/4 on the first anniversary of the grant date; 1/4 on the second anniversary of the grant date; 1/4 on the third anniversary and 1/4 on the fourth anniversary of the grant date.</w:t>
      </w:r>
    </w:p>
    <w:p>
      <w:pPr>
        <w:spacing w:after="0" w:line="17"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restricted stock unit grant was for 7,500 units on 06/07/2024. The units vest and convert into shares of common stock (on a 1-for-1 basis) at the rate of 1/3 on the first anniversary of the grant date; 1/3 on the second anniversary of the grant date; and 1/3 on the third anniversary of the grant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Viasat, Inc.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 and convert into shares of common stock (on a 1-for-1 basis) in three substantially equal installments on June 7, 2027, June 7, 2028 and June 7, 2029.</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Until vested, the restricted stock unit shall be subject to forfeiture in the event of termination of employment or service with the Issuer.</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Stacy Nguyen,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4965" TargetMode="External"/><Relationship Id="rId14"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2026-06-09T20:06:39Z</dcterms:created>
  <dcterms:modified xsi:type="dcterms:W3CDTF">2026-06-09T20:06:39Z</dcterms:modified>
</cp:coreProperties>
</file>