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4"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1" w:lineRule="exact"/>
        <w:rPr>
          <w:sz w:val="24"/>
          <w:szCs w:val="24"/>
          <w:color w:val="auto"/>
        </w:rPr>
      </w:pPr>
    </w:p>
    <w:p>
      <w:pPr>
        <w:ind w:left="460" w:right="460" w:hanging="452"/>
        <w:spacing w:after="0" w:line="244"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October 4, 2013.</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12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16" w:lineRule="exact"/>
        <w:rPr>
          <w:sz w:val="24"/>
          <w:szCs w:val="24"/>
          <w:color w:val="auto"/>
        </w:rPr>
      </w:pPr>
    </w:p>
    <w:p>
      <w:pPr>
        <w:sectPr>
          <w:pgSz w:w="11900" w:h="16838" w:orient="portrait"/>
          <w:cols w:equalWidth="0" w:num="3">
            <w:col w:w="6160" w:space="620"/>
            <w:col w:w="140" w:space="580"/>
            <w:col w:w="392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tbl>
      <w:tblPr>
        <w:tblLayout w:type="fixed"/>
        <w:tblInd w:w="2020" w:type="dxa"/>
        <w:tblCellMar>
          <w:top w:w="0" w:type="dxa"/>
          <w:left w:w="0" w:type="dxa"/>
          <w:bottom w:w="0" w:type="dxa"/>
          <w:right w:w="0" w:type="dxa"/>
        </w:tblCellMar>
      </w:tblPr>
      <w:tr>
        <w:trPr>
          <w:trHeight w:val="529"/>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43"/>
                <w:szCs w:val="43"/>
                <w:b w:val="1"/>
                <w:bCs w:val="1"/>
                <w:color w:val="auto"/>
                <w:w w:val="94"/>
              </w:rPr>
              <w:t>ViaSat, Inc.</w:t>
            </w:r>
          </w:p>
        </w:tc>
      </w:tr>
      <w:tr>
        <w:trPr>
          <w:trHeight w:val="228"/>
        </w:trPr>
        <w:tc>
          <w:tcPr>
            <w:tcW w:w="1760" w:type="dxa"/>
            <w:vAlign w:val="bottom"/>
          </w:tcPr>
          <w:p>
            <w:pPr>
              <w:spacing w:after="0"/>
              <w:rPr>
                <w:sz w:val="19"/>
                <w:szCs w:val="19"/>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r>
      <w:tr>
        <w:trPr>
          <w:trHeight w:val="178"/>
        </w:trPr>
        <w:tc>
          <w:tcPr>
            <w:tcW w:w="1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2280" w:type="dxa"/>
            <w:vAlign w:val="bottom"/>
          </w:tcPr>
          <w:p>
            <w:pPr>
              <w:spacing w:after="0"/>
              <w:rPr>
                <w:sz w:val="15"/>
                <w:szCs w:val="15"/>
                <w:color w:val="auto"/>
              </w:rPr>
            </w:pPr>
          </w:p>
        </w:tc>
      </w:tr>
      <w:tr>
        <w:trPr>
          <w:trHeight w:val="305"/>
        </w:trPr>
        <w:tc>
          <w:tcPr>
            <w:tcW w:w="1760" w:type="dxa"/>
            <w:vAlign w:val="bottom"/>
          </w:tcPr>
          <w:p>
            <w:pPr>
              <w:jc w:val="center"/>
              <w:spacing w:after="0"/>
              <w:rPr>
                <w:sz w:val="20"/>
                <w:szCs w:val="20"/>
                <w:color w:val="auto"/>
              </w:rPr>
            </w:pPr>
            <w:r>
              <w:rPr>
                <w:rFonts w:ascii="Arial" w:cs="Arial" w:eastAsia="Arial" w:hAnsi="Arial"/>
                <w:sz w:val="18"/>
                <w:szCs w:val="18"/>
                <w:b w:val="1"/>
                <w:bCs w:val="1"/>
                <w:color w:val="auto"/>
                <w:w w:val="88"/>
              </w:rPr>
              <w:t>Delaware</w:t>
            </w:r>
          </w:p>
        </w:tc>
        <w:tc>
          <w:tcPr>
            <w:tcW w:w="5400" w:type="dxa"/>
            <w:vAlign w:val="bottom"/>
            <w:gridSpan w:val="3"/>
          </w:tcPr>
          <w:p>
            <w:pPr>
              <w:jc w:val="center"/>
              <w:ind w:left="4257"/>
              <w:spacing w:after="0"/>
              <w:rPr>
                <w:sz w:val="20"/>
                <w:szCs w:val="20"/>
                <w:color w:val="auto"/>
              </w:rPr>
            </w:pPr>
            <w:r>
              <w:rPr>
                <w:rFonts w:ascii="Arial" w:cs="Arial" w:eastAsia="Arial" w:hAnsi="Arial"/>
                <w:sz w:val="18"/>
                <w:szCs w:val="18"/>
                <w:b w:val="1"/>
                <w:bCs w:val="1"/>
                <w:color w:val="auto"/>
                <w:w w:val="89"/>
              </w:rPr>
              <w:t>33-0174996</w:t>
            </w:r>
          </w:p>
        </w:tc>
      </w:tr>
      <w:tr>
        <w:trPr>
          <w:trHeight w:val="149"/>
        </w:trPr>
        <w:tc>
          <w:tcPr>
            <w:tcW w:w="1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80" w:type="dxa"/>
            <w:vAlign w:val="bottom"/>
          </w:tcPr>
          <w:p>
            <w:pPr>
              <w:jc w:val="center"/>
              <w:ind w:left="115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incorporation or organization)</w:t>
            </w:r>
          </w:p>
        </w:tc>
        <w:tc>
          <w:tcPr>
            <w:tcW w:w="7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280" w:type="dxa"/>
            <w:vAlign w:val="bottom"/>
          </w:tcPr>
          <w:p>
            <w:pPr>
              <w:jc w:val="center"/>
              <w:ind w:left="1152"/>
              <w:spacing w:after="0"/>
              <w:rPr>
                <w:sz w:val="20"/>
                <w:szCs w:val="20"/>
                <w:color w:val="auto"/>
              </w:rPr>
            </w:pPr>
            <w:r>
              <w:rPr>
                <w:rFonts w:ascii="Arial" w:cs="Arial" w:eastAsia="Arial" w:hAnsi="Arial"/>
                <w:sz w:val="14"/>
                <w:szCs w:val="14"/>
                <w:b w:val="1"/>
                <w:bCs w:val="1"/>
                <w:color w:val="auto"/>
                <w:w w:val="89"/>
              </w:rPr>
              <w:t>Identification No.)</w:t>
            </w:r>
          </w:p>
        </w:tc>
      </w:tr>
      <w:tr>
        <w:trPr>
          <w:trHeight w:val="364"/>
        </w:trPr>
        <w:tc>
          <w:tcPr>
            <w:tcW w:w="1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60" w:type="dxa"/>
            <w:vAlign w:val="bottom"/>
            <w:gridSpan w:val="2"/>
          </w:tcPr>
          <w:p>
            <w:pPr>
              <w:jc w:val="center"/>
              <w:ind w:right="2212"/>
              <w:spacing w:after="0"/>
              <w:rPr>
                <w:sz w:val="20"/>
                <w:szCs w:val="20"/>
                <w:color w:val="auto"/>
              </w:rPr>
            </w:pPr>
            <w:r>
              <w:rPr>
                <w:rFonts w:ascii="Arial" w:cs="Arial" w:eastAsia="Arial" w:hAnsi="Arial"/>
                <w:sz w:val="18"/>
                <w:szCs w:val="18"/>
                <w:b w:val="1"/>
                <w:bCs w:val="1"/>
                <w:color w:val="auto"/>
                <w:w w:val="89"/>
              </w:rPr>
              <w:t>6155 El Camino Real</w:t>
            </w:r>
          </w:p>
        </w:tc>
      </w:tr>
      <w:tr>
        <w:trPr>
          <w:trHeight w:val="216"/>
        </w:trPr>
        <w:tc>
          <w:tcPr>
            <w:tcW w:w="1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60" w:type="dxa"/>
            <w:vAlign w:val="bottom"/>
            <w:gridSpan w:val="2"/>
          </w:tcPr>
          <w:p>
            <w:pPr>
              <w:jc w:val="center"/>
              <w:ind w:right="2192"/>
              <w:spacing w:after="0"/>
              <w:rPr>
                <w:sz w:val="20"/>
                <w:szCs w:val="20"/>
                <w:color w:val="auto"/>
              </w:rPr>
            </w:pPr>
            <w:r>
              <w:rPr>
                <w:rFonts w:ascii="Arial" w:cs="Arial" w:eastAsia="Arial" w:hAnsi="Arial"/>
                <w:sz w:val="18"/>
                <w:szCs w:val="18"/>
                <w:b w:val="1"/>
                <w:bCs w:val="1"/>
                <w:color w:val="auto"/>
                <w:w w:val="90"/>
              </w:rPr>
              <w:t>Carlsbad, California 92009</w:t>
            </w:r>
          </w:p>
        </w:tc>
      </w:tr>
      <w:tr>
        <w:trPr>
          <w:trHeight w:val="218"/>
        </w:trPr>
        <w:tc>
          <w:tcPr>
            <w:tcW w:w="1760" w:type="dxa"/>
            <w:vAlign w:val="bottom"/>
          </w:tcPr>
          <w:p>
            <w:pPr>
              <w:spacing w:after="0"/>
              <w:rPr>
                <w:sz w:val="18"/>
                <w:szCs w:val="18"/>
                <w:color w:val="auto"/>
              </w:rPr>
            </w:pPr>
          </w:p>
        </w:tc>
        <w:tc>
          <w:tcPr>
            <w:tcW w:w="3120" w:type="dxa"/>
            <w:vAlign w:val="bottom"/>
            <w:gridSpan w:val="2"/>
          </w:tcPr>
          <w:p>
            <w:pPr>
              <w:jc w:val="center"/>
              <w:ind w:left="657"/>
              <w:spacing w:after="0"/>
              <w:rPr>
                <w:sz w:val="20"/>
                <w:szCs w:val="20"/>
                <w:color w:val="auto"/>
              </w:rPr>
            </w:pPr>
            <w:r>
              <w:rPr>
                <w:rFonts w:ascii="Arial" w:cs="Arial" w:eastAsia="Arial" w:hAnsi="Arial"/>
                <w:sz w:val="18"/>
                <w:szCs w:val="18"/>
                <w:b w:val="1"/>
                <w:bCs w:val="1"/>
                <w:color w:val="auto"/>
                <w:w w:val="89"/>
              </w:rPr>
              <w:t>(760) 476-2200</w:t>
            </w:r>
          </w:p>
        </w:tc>
        <w:tc>
          <w:tcPr>
            <w:tcW w:w="2280" w:type="dxa"/>
            <w:vAlign w:val="bottom"/>
          </w:tcPr>
          <w:p>
            <w:pPr>
              <w:spacing w:after="0"/>
              <w:rPr>
                <w:sz w:val="18"/>
                <w:szCs w:val="18"/>
                <w:color w:val="auto"/>
              </w:rPr>
            </w:pPr>
          </w:p>
        </w:tc>
      </w:tr>
      <w:tr>
        <w:trPr>
          <w:trHeight w:val="174"/>
        </w:trPr>
        <w:tc>
          <w:tcPr>
            <w:tcW w:w="1760" w:type="dxa"/>
            <w:vAlign w:val="bottom"/>
          </w:tcPr>
          <w:p>
            <w:pPr>
              <w:spacing w:after="0"/>
              <w:rPr>
                <w:sz w:val="15"/>
                <w:szCs w:val="15"/>
                <w:color w:val="auto"/>
              </w:rPr>
            </w:pPr>
          </w:p>
        </w:tc>
        <w:tc>
          <w:tcPr>
            <w:tcW w:w="5400" w:type="dxa"/>
            <w:vAlign w:val="bottom"/>
            <w:gridSpan w:val="3"/>
          </w:tcPr>
          <w:p>
            <w:pPr>
              <w:jc w:val="center"/>
              <w:ind w:right="1452"/>
              <w:spacing w:after="0"/>
              <w:rPr>
                <w:sz w:val="20"/>
                <w:szCs w:val="20"/>
                <w:color w:val="auto"/>
              </w:rPr>
            </w:pPr>
            <w:r>
              <w:rPr>
                <w:rFonts w:ascii="Arial" w:cs="Arial" w:eastAsia="Arial" w:hAnsi="Arial"/>
                <w:sz w:val="14"/>
                <w:szCs w:val="14"/>
                <w:b w:val="1"/>
                <w:bCs w:val="1"/>
                <w:color w:val="auto"/>
                <w:w w:val="85"/>
              </w:rPr>
              <w:t>(Address of principal executive offices and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type w:val="continuous"/>
        </w:sectPr>
      </w:pPr>
    </w:p>
    <w:p>
      <w:pPr>
        <w:spacing w:after="0" w:line="126" w:lineRule="exact"/>
        <w:rPr>
          <w:sz w:val="24"/>
          <w:szCs w:val="24"/>
          <w:color w:val="auto"/>
        </w:rPr>
      </w:pPr>
    </w:p>
    <w:p>
      <w:pPr>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580" w:space="340"/>
            <w:col w:w="6220" w:space="720"/>
            <w:col w:w="1680" w:space="720"/>
            <w:col w:w="160"/>
          </w:cols>
          <w:pgMar w:left="240" w:top="230"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4">
            <w:col w:w="1500" w:space="420"/>
            <w:col w:w="6220" w:space="720"/>
            <w:col w:w="1920" w:space="480"/>
            <w:col w:w="160"/>
          </w:cols>
          <w:pgMar w:left="240" w:top="230" w:right="239" w:bottom="1440" w:gutter="0" w:footer="0" w:header="0"/>
          <w:type w:val="continuous"/>
        </w:sectPr>
      </w:pPr>
    </w:p>
    <w:p>
      <w:pPr>
        <w:spacing w:after="0" w:line="3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64" w:lineRule="exact"/>
        <w:rPr>
          <w:sz w:val="24"/>
          <w:szCs w:val="24"/>
          <w:color w:val="auto"/>
        </w:rPr>
      </w:pPr>
    </w:p>
    <w:p>
      <w:pPr>
        <w:sectPr>
          <w:pgSz w:w="11900" w:h="16838" w:orient="portrait"/>
          <w:cols w:equalWidth="0" w:num="5">
            <w:col w:w="8440" w:space="160"/>
            <w:col w:w="260" w:space="100"/>
            <w:col w:w="140" w:space="200"/>
            <w:col w:w="200" w:space="100"/>
            <w:col w:w="1820"/>
          </w:cols>
          <w:pgMar w:left="240" w:top="230" w:right="239" w:bottom="1440" w:gutter="0" w:footer="0" w:header="0"/>
          <w:type w:val="continuous"/>
        </w:sectPr>
      </w:pPr>
    </w:p>
    <w:p>
      <w:pPr>
        <w:spacing w:after="0" w:line="6" w:lineRule="exact"/>
        <w:rPr>
          <w:sz w:val="24"/>
          <w:szCs w:val="24"/>
          <w:color w:val="auto"/>
        </w:rPr>
      </w:pPr>
    </w:p>
    <w:p>
      <w:pPr>
        <w:ind w:left="460"/>
        <w:spacing w:after="0"/>
        <w:rPr>
          <w:sz w:val="20"/>
          <w:szCs w:val="20"/>
          <w:color w:val="auto"/>
        </w:rPr>
      </w:pPr>
      <w:r>
        <w:rPr>
          <w:rFonts w:ascii="Arial" w:cs="Arial" w:eastAsia="Arial" w:hAnsi="Arial"/>
          <w:sz w:val="15"/>
          <w:szCs w:val="15"/>
          <w:color w:val="auto"/>
        </w:rPr>
        <w:t>The number of shares outstanding of the registrant’s common stock, $0.0001 par value, as of November 1, 2013 was 45,584,107.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40" w:type="dxa"/>
            <w:vAlign w:val="bottom"/>
            <w:gridSpan w:val="16"/>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88"/>
        </w:trPr>
        <w:tc>
          <w:tcPr>
            <w:tcW w:w="11040" w:type="dxa"/>
            <w:vAlign w:val="bottom"/>
            <w:gridSpan w:val="16"/>
            <w:vMerge w:val="continue"/>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1040" w:type="dxa"/>
            <w:vAlign w:val="bottom"/>
            <w:gridSpan w:val="16"/>
          </w:tcPr>
          <w:p>
            <w:pPr>
              <w:spacing w:after="0" w:line="184"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 (Unaudited)</w:t>
              </w:r>
            </w:hyperlink>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6080" w:type="dxa"/>
            <w:vAlign w:val="bottom"/>
            <w:tcBorders>
              <w:bottom w:val="single" w:sz="8" w:color="0000EE"/>
            </w:tcBorders>
            <w:gridSpan w:val="13"/>
          </w:tcPr>
          <w:p>
            <w:pPr>
              <w:spacing w:after="0" w:line="196" w:lineRule="exact"/>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and Comprehensive Income (Loss)</w:t>
              </w:r>
            </w:hyperlink>
          </w:p>
        </w:tc>
        <w:tc>
          <w:tcPr>
            <w:tcW w:w="45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600" w:type="dxa"/>
            <w:vAlign w:val="bottom"/>
            <w:gridSpan w:val="15"/>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20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Statement of Equity</w:t>
              </w:r>
            </w:hyperlink>
          </w:p>
        </w:tc>
        <w:tc>
          <w:tcPr>
            <w:tcW w:w="420" w:type="dxa"/>
            <w:vAlign w:val="bottom"/>
            <w:tcBorders>
              <w:top w:val="single" w:sz="8" w:color="0000EE"/>
            </w:tcBorders>
          </w:tcPr>
          <w:p>
            <w:pPr>
              <w:spacing w:after="0"/>
              <w:rPr>
                <w:sz w:val="17"/>
                <w:szCs w:val="17"/>
                <w:color w:val="auto"/>
              </w:rPr>
            </w:pPr>
          </w:p>
        </w:tc>
        <w:tc>
          <w:tcPr>
            <w:tcW w:w="69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7">
              <w:r>
                <w:rPr>
                  <w:rFonts w:ascii="Arial" w:cs="Arial" w:eastAsia="Arial" w:hAnsi="Arial"/>
                  <w:sz w:val="18"/>
                  <w:szCs w:val="18"/>
                  <w:color w:val="0000EE"/>
                  <w:w w:val="86"/>
                </w:rPr>
                <w:t>Notes to the Condensed Consolidated Financial Statements</w:t>
              </w:r>
            </w:hyperlink>
          </w:p>
        </w:tc>
        <w:tc>
          <w:tcPr>
            <w:tcW w:w="644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Item 2. Management’s Discussion and Analysis of Financial Condition and Results of Operations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3.</w:t>
              </w:r>
            </w:hyperlink>
          </w:p>
        </w:tc>
        <w:tc>
          <w:tcPr>
            <w:tcW w:w="63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Quantitative and Qualitative Disclosures About Market Risk</w:t>
              </w:r>
            </w:hyperlink>
          </w:p>
        </w:tc>
        <w:tc>
          <w:tcPr>
            <w:tcW w:w="420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Item 4.</w:t>
              </w:r>
            </w:hyperlink>
          </w:p>
        </w:tc>
        <w:tc>
          <w:tcPr>
            <w:tcW w:w="1760" w:type="dxa"/>
            <w:vAlign w:val="bottom"/>
            <w:tcBorders>
              <w:top w:val="single" w:sz="8" w:color="0000EE"/>
              <w:bottom w:val="single" w:sz="8" w:color="0000EE"/>
            </w:tcBorders>
            <w:gridSpan w:val="5"/>
          </w:tcPr>
          <w:p>
            <w:pPr>
              <w:ind w:left="20"/>
              <w:spacing w:after="0" w:line="196" w:lineRule="exact"/>
              <w:rPr>
                <w:rFonts w:ascii="Arial" w:cs="Arial" w:eastAsia="Arial" w:hAnsi="Arial"/>
                <w:sz w:val="18"/>
                <w:szCs w:val="18"/>
                <w:color w:val="0000EE"/>
                <w:w w:val="86"/>
              </w:rPr>
            </w:pPr>
            <w:hyperlink w:anchor="page41">
              <w:r>
                <w:rPr>
                  <w:rFonts w:ascii="Arial" w:cs="Arial" w:eastAsia="Arial" w:hAnsi="Arial"/>
                  <w:sz w:val="18"/>
                  <w:szCs w:val="18"/>
                  <w:color w:val="0000EE"/>
                  <w:w w:val="86"/>
                </w:rPr>
                <w:t>Controls and Procedures</w:t>
              </w:r>
            </w:hyperlink>
          </w:p>
        </w:tc>
        <w:tc>
          <w:tcPr>
            <w:tcW w:w="2520" w:type="dxa"/>
            <w:vAlign w:val="bottom"/>
            <w:tcBorders>
              <w:top w:val="single" w:sz="8" w:color="0000EE"/>
            </w:tcBorders>
            <w:gridSpan w:val="6"/>
          </w:tcPr>
          <w:p>
            <w:pPr>
              <w:spacing w:after="0"/>
              <w:rPr>
                <w:sz w:val="17"/>
                <w:szCs w:val="17"/>
                <w:color w:val="auto"/>
              </w:rPr>
            </w:pPr>
          </w:p>
        </w:tc>
        <w:tc>
          <w:tcPr>
            <w:tcW w:w="624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8"/>
        </w:trPr>
        <w:tc>
          <w:tcPr>
            <w:tcW w:w="11040" w:type="dxa"/>
            <w:vAlign w:val="bottom"/>
            <w:gridSpan w:val="16"/>
          </w:tcPr>
          <w:p>
            <w:pPr>
              <w:spacing w:after="0"/>
              <w:rPr>
                <w:sz w:val="20"/>
                <w:szCs w:val="20"/>
                <w:color w:val="auto"/>
              </w:rPr>
            </w:pPr>
            <w:r>
              <w:rPr>
                <w:rFonts w:ascii="Arial" w:cs="Arial" w:eastAsia="Arial" w:hAnsi="Arial"/>
                <w:sz w:val="18"/>
                <w:szCs w:val="18"/>
                <w:b w:val="1"/>
                <w:bCs w:val="1"/>
                <w:color w:val="auto"/>
              </w:rPr>
              <w:t>PART II. OTHER INFORMATION</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520" w:type="dxa"/>
            <w:vAlign w:val="bottom"/>
            <w:tcBorders>
              <w:bottom w:val="single" w:sz="8" w:color="0000EE"/>
            </w:tcBorders>
            <w:gridSpan w:val="2"/>
          </w:tcPr>
          <w:p>
            <w:pPr>
              <w:spacing w:after="0" w:line="184"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1.</w:t>
              </w:r>
            </w:hyperlink>
          </w:p>
        </w:tc>
        <w:tc>
          <w:tcPr>
            <w:tcW w:w="1340" w:type="dxa"/>
            <w:vAlign w:val="bottom"/>
            <w:tcBorders>
              <w:bottom w:val="single" w:sz="8" w:color="0000EE"/>
            </w:tcBorders>
            <w:gridSpan w:val="4"/>
          </w:tcPr>
          <w:p>
            <w:pPr>
              <w:ind w:left="20"/>
              <w:spacing w:after="0" w:line="184" w:lineRule="exact"/>
              <w:rPr>
                <w:rFonts w:ascii="Arial" w:cs="Arial" w:eastAsia="Arial" w:hAnsi="Arial"/>
                <w:sz w:val="18"/>
                <w:szCs w:val="18"/>
                <w:color w:val="0000EE"/>
                <w:w w:val="87"/>
              </w:rPr>
            </w:pPr>
            <w:hyperlink w:anchor="page42">
              <w:r>
                <w:rPr>
                  <w:rFonts w:ascii="Arial" w:cs="Arial" w:eastAsia="Arial" w:hAnsi="Arial"/>
                  <w:sz w:val="18"/>
                  <w:szCs w:val="18"/>
                  <w:color w:val="0000EE"/>
                  <w:w w:val="87"/>
                </w:rPr>
                <w:t>Legal Proceedings</w:t>
              </w:r>
            </w:hyperlink>
          </w:p>
        </w:tc>
        <w:tc>
          <w:tcPr>
            <w:tcW w:w="9180" w:type="dxa"/>
            <w:vAlign w:val="bottom"/>
            <w:gridSpan w:val="10"/>
          </w:tcPr>
          <w:p>
            <w:pPr>
              <w:spacing w:after="0"/>
              <w:rPr>
                <w:sz w:val="15"/>
                <w:szCs w:val="15"/>
                <w:color w:val="auto"/>
              </w:rPr>
            </w:pPr>
          </w:p>
        </w:tc>
        <w:tc>
          <w:tcPr>
            <w:tcW w:w="280" w:type="dxa"/>
            <w:vAlign w:val="bottom"/>
          </w:tcPr>
          <w:p>
            <w:pPr>
              <w:jc w:val="right"/>
              <w:spacing w:after="0" w:line="184"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Item 1A. Risk Factors</w:t>
              </w:r>
            </w:hyperlink>
          </w:p>
        </w:tc>
        <w:tc>
          <w:tcPr>
            <w:tcW w:w="948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Item 6.</w:t>
              </w:r>
            </w:hyperlink>
          </w:p>
        </w:tc>
        <w:tc>
          <w:tcPr>
            <w:tcW w:w="620" w:type="dxa"/>
            <w:vAlign w:val="bottom"/>
            <w:tcBorders>
              <w:bottom w:val="single" w:sz="8" w:color="0000EE"/>
            </w:tcBorders>
            <w:gridSpan w:val="2"/>
          </w:tcPr>
          <w:p>
            <w:pPr>
              <w:ind w:left="20"/>
              <w:spacing w:after="0" w:line="196" w:lineRule="exact"/>
              <w:rPr>
                <w:rFonts w:ascii="Arial" w:cs="Arial" w:eastAsia="Arial" w:hAnsi="Arial"/>
                <w:sz w:val="18"/>
                <w:szCs w:val="18"/>
                <w:color w:val="0000EE"/>
                <w:w w:val="91"/>
              </w:rPr>
            </w:pPr>
            <w:hyperlink w:anchor="page42">
              <w:r>
                <w:rPr>
                  <w:rFonts w:ascii="Arial" w:cs="Arial" w:eastAsia="Arial" w:hAnsi="Arial"/>
                  <w:sz w:val="18"/>
                  <w:szCs w:val="18"/>
                  <w:color w:val="0000EE"/>
                  <w:w w:val="91"/>
                </w:rPr>
                <w:t>Exhibits</w:t>
              </w:r>
            </w:hyperlink>
          </w:p>
        </w:tc>
        <w:tc>
          <w:tcPr>
            <w:tcW w:w="99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11040" w:type="dxa"/>
            <w:vAlign w:val="bottom"/>
            <w:gridSpan w:val="1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Signatures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October 4, 2013</w:t>
            </w:r>
          </w:p>
        </w:tc>
        <w:tc>
          <w:tcPr>
            <w:tcW w:w="2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4"/>
          </w:tcPr>
          <w:p>
            <w:pPr>
              <w:ind w:left="62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92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67,103</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273,231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266,970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25,087</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530,538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544,873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583,830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417,754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378,691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acquired intangible assets,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83,139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241,684</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1,899,553</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1,794,072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920" w:type="dxa"/>
            <w:vAlign w:val="bottom"/>
            <w:shd w:val="clear" w:color="auto" w:fill="CCEEFF"/>
          </w:tcPr>
          <w:p>
            <w:pPr>
              <w:ind w:left="3120"/>
              <w:spacing w:after="0"/>
              <w:rPr>
                <w:sz w:val="20"/>
                <w:szCs w:val="20"/>
                <w:color w:val="auto"/>
              </w:rPr>
            </w:pPr>
            <w:r>
              <w:rPr>
                <w:rFonts w:ascii="Arial" w:cs="Arial" w:eastAsia="Arial" w:hAnsi="Arial"/>
                <w:sz w:val="18"/>
                <w:szCs w:val="18"/>
                <w:b w:val="1"/>
                <w:bCs w:val="1"/>
                <w:color w:val="auto"/>
              </w:rPr>
              <w:t>LIABILITIES AND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125,795</w:t>
            </w:r>
          </w:p>
        </w:tc>
        <w:tc>
          <w:tcPr>
            <w:tcW w:w="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155,954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161,909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other long-term debt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283,336</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247,148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Senior notes, net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584,436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584,993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long-term debt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35,914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51,669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955,355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886,237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8)</w:t>
            </w: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Equity:</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ViaSat, Inc.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Common stock</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750,019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715,115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221,109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221,046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held in treasury</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(34,449)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1,949</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ViaSat, Inc. stockholders’ equity</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938,633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Noncontrolling interest in subsidiary</w:t>
            </w: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944,198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907,835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20" w:type="dxa"/>
            <w:vAlign w:val="bottom"/>
          </w:tcPr>
          <w:p>
            <w:pPr>
              <w:ind w:left="420"/>
              <w:spacing w:after="0"/>
              <w:rPr>
                <w:sz w:val="20"/>
                <w:szCs w:val="20"/>
                <w:color w:val="auto"/>
              </w:rPr>
            </w:pPr>
            <w:r>
              <w:rPr>
                <w:rFonts w:ascii="Arial" w:cs="Arial" w:eastAsia="Arial" w:hAnsi="Arial"/>
                <w:sz w:val="18"/>
                <w:szCs w:val="18"/>
                <w:color w:val="auto"/>
              </w:rPr>
              <w:t>Total liabilities and equity</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1,899,553</w:t>
            </w:r>
          </w:p>
        </w:tc>
        <w:tc>
          <w:tcPr>
            <w:tcW w:w="300" w:type="dxa"/>
            <w:vAlign w:val="bottom"/>
          </w:tcPr>
          <w:p>
            <w:pPr>
              <w:spacing w:after="0"/>
              <w:rPr>
                <w:sz w:val="19"/>
                <w:szCs w:val="19"/>
                <w:color w:val="auto"/>
              </w:rPr>
            </w:pP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1,794,072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4"/>
          </w:tcPr>
          <w:p>
            <w:pPr>
              <w:ind w:left="580"/>
              <w:spacing w:after="0"/>
              <w:rPr>
                <w:sz w:val="20"/>
                <w:szCs w:val="20"/>
                <w:color w:val="auto"/>
              </w:rPr>
            </w:pPr>
            <w:r>
              <w:rPr>
                <w:rFonts w:ascii="Arial" w:cs="Arial" w:eastAsia="Arial" w:hAnsi="Arial"/>
                <w:sz w:val="14"/>
                <w:szCs w:val="14"/>
                <w:b w:val="1"/>
                <w:bCs w:val="1"/>
                <w:color w:val="auto"/>
                <w:w w:val="95"/>
              </w:rPr>
              <w:t>Six Months Ended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3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28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780" w:type="dxa"/>
            <w:vAlign w:val="bottom"/>
            <w:gridSpan w:val="6"/>
          </w:tcPr>
          <w:p>
            <w:pPr>
              <w:jc w:val="right"/>
              <w:ind w:right="500"/>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Product revenues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210,391</w:t>
            </w:r>
          </w:p>
        </w:tc>
        <w:tc>
          <w:tcPr>
            <w:tcW w:w="340" w:type="dxa"/>
            <w:vAlign w:val="bottom"/>
          </w:tcPr>
          <w:p>
            <w:pPr>
              <w:spacing w:after="0"/>
              <w:rPr>
                <w:sz w:val="18"/>
                <w:szCs w:val="18"/>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168,475</w:t>
            </w:r>
          </w:p>
        </w:tc>
        <w:tc>
          <w:tcPr>
            <w:tcW w:w="340" w:type="dxa"/>
            <w:vAlign w:val="bottom"/>
          </w:tcPr>
          <w:p>
            <w:pPr>
              <w:spacing w:after="0"/>
              <w:rPr>
                <w:sz w:val="18"/>
                <w:szCs w:val="18"/>
                <w:color w:val="auto"/>
              </w:rPr>
            </w:pP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392,552</w:t>
            </w:r>
          </w:p>
        </w:tc>
        <w:tc>
          <w:tcPr>
            <w:tcW w:w="3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Service revenues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143,490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114,347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282,431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3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353,881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282,822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674,983</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524,585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Cost of product revenues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157,573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121,421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286,987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230,470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service 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104,511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210,404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73,593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54,079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138,374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110,580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Independent research and development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4,041</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7,297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(9,869)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(11,553)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(20,032)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(23,099)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(10,375)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(12,367)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(17,093)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Benefit from income taxes</w:t>
            </w: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(12,656)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(17,887)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(15,352)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Less: Net income attributable to the noncontrolling interest, net of</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tax</w:t>
            </w: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(7,907)</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(22,327)</w:t>
            </w: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Basic net income (loss) per share attributable to ViaSat, Inc.</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34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tcPr>
          <w:p>
            <w:pPr>
              <w:ind w:left="200"/>
              <w:spacing w:after="0"/>
              <w:rPr>
                <w:sz w:val="20"/>
                <w:szCs w:val="20"/>
                <w:color w:val="auto"/>
              </w:rPr>
            </w:pPr>
            <w:r>
              <w:rPr>
                <w:rFonts w:ascii="Arial" w:cs="Arial" w:eastAsia="Arial" w:hAnsi="Arial"/>
                <w:sz w:val="18"/>
                <w:szCs w:val="18"/>
                <w:color w:val="auto"/>
              </w:rPr>
              <w:t>common stockholders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(0.18)</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0.00</w:t>
            </w:r>
          </w:p>
        </w:tc>
        <w:tc>
          <w:tcPr>
            <w:tcW w:w="34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 attributable to ViaSat, Inc.</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stockholders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3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(0.18)</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Shares used in computing basic net income (loss) per share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45,484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43,615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45,304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diluted net income (loss) per share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47,067</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43,615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w:t>
            </w:r>
          </w:p>
        </w:tc>
        <w:tc>
          <w:tcPr>
            <w:tcW w:w="3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(7,857)</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on hedging, net of tax</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 net of tax</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(6,829)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2,137</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(21,963)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Less: comprehensive income attributable to the noncontrolling</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net of tax</w:t>
            </w: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Comprehensive income (loss) attributable to ViaSat, Inc.</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3,205</w:t>
            </w:r>
          </w:p>
        </w:tc>
        <w:tc>
          <w:tcPr>
            <w:tcW w:w="340" w:type="dxa"/>
            <w:vAlign w:val="bottom"/>
          </w:tcPr>
          <w:p>
            <w:pPr>
              <w:spacing w:after="0"/>
              <w:rPr>
                <w:sz w:val="19"/>
                <w:szCs w:val="19"/>
                <w:color w:val="auto"/>
              </w:rPr>
            </w:pPr>
          </w:p>
        </w:tc>
        <w:tc>
          <w:tcPr>
            <w:tcW w:w="5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(6,879)</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19"/>
                <w:szCs w:val="19"/>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ind w:left="453"/>
              <w:spacing w:after="0"/>
              <w:rPr>
                <w:sz w:val="20"/>
                <w:szCs w:val="20"/>
                <w:color w:val="auto"/>
              </w:rPr>
            </w:pPr>
            <w:r>
              <w:rPr>
                <w:rFonts w:ascii="Arial" w:cs="Arial" w:eastAsia="Arial" w:hAnsi="Arial"/>
                <w:sz w:val="14"/>
                <w:szCs w:val="14"/>
                <w:b w:val="1"/>
                <w:bCs w:val="1"/>
                <w:color w:val="auto"/>
                <w:w w:val="88"/>
              </w:rPr>
              <w:t>Six Months Ended</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92"/>
              </w:rPr>
              <w:t>October 4, 2013</w:t>
            </w:r>
          </w:p>
        </w:tc>
        <w:tc>
          <w:tcPr>
            <w:tcW w:w="7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2"/>
          </w:tcPr>
          <w:p>
            <w:pPr>
              <w:jc w:val="center"/>
              <w:ind w:right="192"/>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Net income (loss)</w:t>
            </w:r>
          </w:p>
        </w:tc>
        <w:tc>
          <w:tcPr>
            <w:tcW w:w="7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794</w:t>
            </w:r>
          </w:p>
        </w:tc>
        <w:tc>
          <w:tcPr>
            <w:tcW w:w="114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(22,290)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(loss) to net cash provided by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Depreciation</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77,219</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64,359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12,032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(19,164)</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(15,407)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Stock-based compensation expense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15,678</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Loss on disposition of fixed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15,457</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non-cash adjustments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2,492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w w:val="93"/>
              </w:rPr>
              <w:t>Increase (decrease) in cash resulting from changes in operating assets and liabilities, net of effect of</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20" w:type="dxa"/>
            <w:vAlign w:val="bottom"/>
          </w:tcPr>
          <w:p>
            <w:pPr>
              <w:ind w:left="640"/>
              <w:spacing w:after="0"/>
              <w:rPr>
                <w:sz w:val="20"/>
                <w:szCs w:val="20"/>
                <w:color w:val="auto"/>
              </w:rPr>
            </w:pPr>
            <w:r>
              <w:rPr>
                <w:rFonts w:ascii="Arial" w:cs="Arial" w:eastAsia="Arial" w:hAnsi="Arial"/>
                <w:sz w:val="18"/>
                <w:szCs w:val="18"/>
                <w:color w:val="auto"/>
              </w:rPr>
              <w:t>acquisition:</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(7,929)</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(18,308)</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(5,184)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assets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3,115</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20,724</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liabilities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454</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860"/>
              <w:spacing w:after="0"/>
              <w:rPr>
                <w:sz w:val="20"/>
                <w:szCs w:val="20"/>
                <w:color w:val="auto"/>
              </w:rPr>
            </w:pPr>
            <w:r>
              <w:rPr>
                <w:rFonts w:ascii="Arial" w:cs="Arial" w:eastAsia="Arial" w:hAnsi="Arial"/>
                <w:sz w:val="18"/>
                <w:szCs w:val="18"/>
                <w:color w:val="auto"/>
              </w:rPr>
              <w:t>Other liabilities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190</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7,396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102,754</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property, equipment and satellites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(160,782)</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Cash paid for patents, licenses and other assets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(21,558)</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related to acquisition of business, net of cash acquired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20" w:type="dxa"/>
            <w:vAlign w:val="bottom"/>
            <w:vMerge w:val="restart"/>
          </w:tcPr>
          <w:p>
            <w:pPr>
              <w:ind w:left="1280"/>
              <w:spacing w:after="0"/>
              <w:rPr>
                <w:sz w:val="20"/>
                <w:szCs w:val="20"/>
                <w:color w:val="auto"/>
              </w:rPr>
            </w:pPr>
            <w:r>
              <w:rPr>
                <w:rFonts w:ascii="Arial" w:cs="Arial" w:eastAsia="Arial" w:hAnsi="Arial"/>
                <w:sz w:val="18"/>
                <w:szCs w:val="18"/>
                <w:color w:val="auto"/>
              </w:rPr>
              <w:t>Net cash used in investing activities</w:t>
            </w: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7920" w:type="dxa"/>
            <w:vAlign w:val="bottom"/>
            <w:vMerge w:val="continue"/>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(184,740)</w:t>
            </w: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(87,003)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Proceeds from revolving credit facility borrowings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35,000</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debt issuance costs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under equity plans</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10,921</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common stock in treasury</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ind w:left="420"/>
              <w:spacing w:after="0"/>
              <w:rPr>
                <w:sz w:val="20"/>
                <w:szCs w:val="20"/>
                <w:color w:val="auto"/>
              </w:rPr>
            </w:pPr>
            <w:r>
              <w:rPr>
                <w:rFonts w:ascii="Arial" w:cs="Arial" w:eastAsia="Arial" w:hAnsi="Arial"/>
                <w:sz w:val="18"/>
                <w:szCs w:val="18"/>
                <w:color w:val="auto"/>
              </w:rPr>
              <w:t>Other</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(1,951)</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43,291</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(38,635)</w:t>
            </w: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105,738</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172,583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67,103</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136,118</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94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9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9"/>
              </w:rPr>
              <w:t>Issuance of common stock in satisfaction of certain accrued employee compensation liabilities</w:t>
            </w:r>
          </w:p>
        </w:tc>
        <w:tc>
          <w:tcPr>
            <w:tcW w:w="7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8,018</w:t>
            </w: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7,060</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ind w:left="640"/>
              <w:spacing w:after="0"/>
              <w:rPr>
                <w:sz w:val="20"/>
                <w:szCs w:val="20"/>
                <w:color w:val="auto"/>
              </w:rPr>
            </w:pPr>
            <w:r>
              <w:rPr>
                <w:rFonts w:ascii="Arial" w:cs="Arial" w:eastAsia="Arial" w:hAnsi="Arial"/>
                <w:sz w:val="14"/>
                <w:szCs w:val="14"/>
                <w:b w:val="1"/>
                <w:bCs w:val="1"/>
                <w:color w:val="auto"/>
              </w:rPr>
              <w:t>ViaSat, Inc. Stockholders</w:t>
            </w: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940" w:type="dxa"/>
            <w:vAlign w:val="bottom"/>
          </w:tcPr>
          <w:p>
            <w:pPr>
              <w:spacing w:after="0"/>
              <w:rPr>
                <w:sz w:val="12"/>
                <w:szCs w:val="12"/>
                <w:color w:val="auto"/>
              </w:rPr>
            </w:pPr>
          </w:p>
        </w:tc>
        <w:tc>
          <w:tcPr>
            <w:tcW w:w="1260" w:type="dxa"/>
            <w:vAlign w:val="bottom"/>
            <w:tcBorders>
              <w:bottom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5"/>
          </w:tcPr>
          <w:p>
            <w:pPr>
              <w:jc w:val="right"/>
              <w:ind w:right="420"/>
              <w:spacing w:after="0" w:line="129" w:lineRule="exact"/>
              <w:rPr>
                <w:sz w:val="20"/>
                <w:szCs w:val="20"/>
                <w:color w:val="auto"/>
              </w:rPr>
            </w:pPr>
            <w:r>
              <w:rPr>
                <w:rFonts w:ascii="Arial" w:cs="Arial" w:eastAsia="Arial" w:hAnsi="Arial"/>
                <w:sz w:val="14"/>
                <w:szCs w:val="14"/>
                <w:b w:val="1"/>
                <w:bCs w:val="1"/>
                <w:color w:val="auto"/>
              </w:rPr>
              <w:t>Common Stock Held</w:t>
            </w: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6"/>
              </w:rPr>
              <w:t>Accumulated</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9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8"/>
              </w:rPr>
              <w:t>Number of</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20" w:type="dxa"/>
            <w:vAlign w:val="bottom"/>
            <w:gridSpan w:val="5"/>
          </w:tcPr>
          <w:p>
            <w:pPr>
              <w:jc w:val="right"/>
              <w:ind w:right="700"/>
              <w:spacing w:after="0" w:line="142" w:lineRule="exact"/>
              <w:rPr>
                <w:sz w:val="20"/>
                <w:szCs w:val="20"/>
                <w:color w:val="auto"/>
              </w:rPr>
            </w:pPr>
            <w:r>
              <w:rPr>
                <w:rFonts w:ascii="Arial" w:cs="Arial" w:eastAsia="Arial" w:hAnsi="Arial"/>
                <w:sz w:val="14"/>
                <w:szCs w:val="14"/>
                <w:b w:val="1"/>
                <w:bCs w:val="1"/>
                <w:color w:val="auto"/>
              </w:rPr>
              <w:t>in Treasury</w:t>
            </w:r>
          </w:p>
        </w:tc>
        <w:tc>
          <w:tcPr>
            <w:tcW w:w="200" w:type="dxa"/>
            <w:vAlign w:val="bottom"/>
          </w:tcPr>
          <w:p>
            <w:pPr>
              <w:spacing w:after="0"/>
              <w:rPr>
                <w:sz w:val="12"/>
                <w:szCs w:val="12"/>
                <w:color w:val="auto"/>
              </w:rPr>
            </w:pPr>
          </w:p>
        </w:tc>
        <w:tc>
          <w:tcPr>
            <w:tcW w:w="720" w:type="dxa"/>
            <w:vAlign w:val="bottom"/>
          </w:tcPr>
          <w:p>
            <w:pPr>
              <w:jc w:val="center"/>
              <w:ind w:right="114"/>
              <w:spacing w:after="0" w:line="142" w:lineRule="exact"/>
              <w:rPr>
                <w:sz w:val="20"/>
                <w:szCs w:val="20"/>
                <w:color w:val="auto"/>
              </w:rPr>
            </w:pPr>
            <w:r>
              <w:rPr>
                <w:rFonts w:ascii="Arial" w:cs="Arial" w:eastAsia="Arial" w:hAnsi="Arial"/>
                <w:sz w:val="14"/>
                <w:szCs w:val="14"/>
                <w:b w:val="1"/>
                <w:bCs w:val="1"/>
                <w:color w:val="auto"/>
                <w:w w:val="96"/>
              </w:rPr>
              <w:t>Other</w:t>
            </w:r>
          </w:p>
        </w:tc>
        <w:tc>
          <w:tcPr>
            <w:tcW w:w="240" w:type="dxa"/>
            <w:vAlign w:val="bottom"/>
          </w:tcPr>
          <w:p>
            <w:pPr>
              <w:spacing w:after="0"/>
              <w:rPr>
                <w:sz w:val="12"/>
                <w:szCs w:val="12"/>
                <w:color w:val="auto"/>
              </w:rPr>
            </w:pPr>
          </w:p>
        </w:tc>
        <w:tc>
          <w:tcPr>
            <w:tcW w:w="10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8"/>
              </w:rPr>
              <w:t>Noncontrolling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29"/>
        </w:trPr>
        <w:tc>
          <w:tcPr>
            <w:tcW w:w="294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Shares</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Paid-in</w:t>
            </w:r>
          </w:p>
        </w:tc>
        <w:tc>
          <w:tcPr>
            <w:tcW w:w="9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Retained</w:t>
            </w:r>
          </w:p>
        </w:tc>
        <w:tc>
          <w:tcPr>
            <w:tcW w:w="84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3"/>
              </w:rPr>
              <w:t>Comprehensive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Interest in</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9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1"/>
              </w:rPr>
              <w:t>Issued</w:t>
            </w:r>
          </w:p>
        </w:tc>
        <w:tc>
          <w:tcPr>
            <w:tcW w:w="24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4"/>
                <w:szCs w:val="14"/>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b w:val="1"/>
                <w:bCs w:val="1"/>
                <w:color w:val="auto"/>
              </w:rPr>
              <w:t>Capital</w:t>
            </w: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Income (Loss)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Subsidiary</w:t>
            </w:r>
          </w:p>
        </w:tc>
        <w:tc>
          <w:tcPr>
            <w:tcW w:w="12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r>
      <w:tr>
        <w:trPr>
          <w:trHeight w:val="142"/>
        </w:trPr>
        <w:tc>
          <w:tcPr>
            <w:tcW w:w="294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7"/>
          </w:tcPr>
          <w:p>
            <w:pPr>
              <w:ind w:left="540"/>
              <w:spacing w:after="0" w:line="142" w:lineRule="exact"/>
              <w:rPr>
                <w:sz w:val="20"/>
                <w:szCs w:val="20"/>
                <w:color w:val="auto"/>
              </w:rPr>
            </w:pPr>
            <w:r>
              <w:rPr>
                <w:rFonts w:ascii="Arial" w:cs="Arial" w:eastAsia="Arial" w:hAnsi="Arial"/>
                <w:sz w:val="14"/>
                <w:szCs w:val="14"/>
                <w:b w:val="1"/>
                <w:bCs w:val="1"/>
                <w:color w:val="auto"/>
                <w:w w:val="97"/>
              </w:rPr>
              <w:t>(In thousands, except share data)</w:t>
            </w: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Balance at March 29, 2013</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45,921,793</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$ 715,115</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7"/>
              </w:rPr>
              <w:t>$221,046</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(947,607)</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5"/>
              </w:rPr>
              <w:t>$ (33,770)</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6"/>
              </w:rPr>
              <w:t>606</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4,834</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$907,835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40" w:type="dxa"/>
            <w:vAlign w:val="bottom"/>
          </w:tcPr>
          <w:p>
            <w:pPr>
              <w:jc w:val="right"/>
              <w:spacing w:after="0"/>
              <w:rPr>
                <w:sz w:val="20"/>
                <w:szCs w:val="20"/>
                <w:color w:val="auto"/>
              </w:rPr>
            </w:pPr>
            <w:r>
              <w:rPr>
                <w:rFonts w:ascii="Arial" w:cs="Arial" w:eastAsia="Arial" w:hAnsi="Arial"/>
                <w:sz w:val="18"/>
                <w:szCs w:val="18"/>
                <w:color w:val="auto"/>
              </w:rPr>
              <w:t>380,157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8,235</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8,236</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Issuance of stock under Employee</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Purchase Plan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81,193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2,685</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2,685</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15,966</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15,966</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7"/>
              </w:rPr>
              <w:t>Shares issued in settlement of certain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employee compensation</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liabilities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113,126</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8,018</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8,018</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RSU awards vesting</w:t>
            </w:r>
          </w:p>
        </w:tc>
        <w:tc>
          <w:tcPr>
            <w:tcW w:w="840" w:type="dxa"/>
            <w:vAlign w:val="bottom"/>
          </w:tcPr>
          <w:p>
            <w:pPr>
              <w:jc w:val="right"/>
              <w:spacing w:after="0"/>
              <w:rPr>
                <w:sz w:val="20"/>
                <w:szCs w:val="20"/>
                <w:color w:val="auto"/>
              </w:rPr>
            </w:pPr>
            <w:r>
              <w:rPr>
                <w:rFonts w:ascii="Arial" w:cs="Arial" w:eastAsia="Arial" w:hAnsi="Arial"/>
                <w:sz w:val="18"/>
                <w:szCs w:val="18"/>
                <w:color w:val="auto"/>
              </w:rPr>
              <w:t>33,222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w w:val="91"/>
              </w:rPr>
              <w:t>Purchase of treasury shares pursuant to</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vesting of certain RSU agreements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(9,726)</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(679)</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(679)</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Net income</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63</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20" w:type="dxa"/>
            <w:vAlign w:val="bottom"/>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731</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794</w:t>
            </w:r>
          </w:p>
        </w:tc>
      </w:tr>
      <w:tr>
        <w:trPr>
          <w:trHeight w:val="208"/>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w:t>
            </w: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84"/>
              </w:rPr>
              <w:t>1,343</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shd w:val="clear" w:color="auto" w:fill="CCEEFF"/>
          </w:tcPr>
          <w:p>
            <w:pPr>
              <w:spacing w:after="0"/>
              <w:rPr>
                <w:sz w:val="19"/>
                <w:szCs w:val="19"/>
                <w:color w:val="auto"/>
              </w:rPr>
            </w:pPr>
          </w:p>
        </w:tc>
      </w:tr>
      <w:tr>
        <w:trPr>
          <w:trHeight w:val="222"/>
        </w:trPr>
        <w:tc>
          <w:tcPr>
            <w:tcW w:w="2940" w:type="dxa"/>
            <w:vAlign w:val="bottom"/>
          </w:tcPr>
          <w:p>
            <w:pPr>
              <w:spacing w:after="0"/>
              <w:rPr>
                <w:sz w:val="20"/>
                <w:szCs w:val="20"/>
                <w:color w:val="auto"/>
              </w:rPr>
            </w:pPr>
            <w:r>
              <w:rPr>
                <w:rFonts w:ascii="Arial" w:cs="Arial" w:eastAsia="Arial" w:hAnsi="Arial"/>
                <w:sz w:val="18"/>
                <w:szCs w:val="18"/>
                <w:color w:val="auto"/>
              </w:rPr>
              <w:t>Balance at October 4, 2013</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46,529,491</w:t>
            </w:r>
          </w:p>
        </w:tc>
        <w:tc>
          <w:tcPr>
            <w:tcW w:w="42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750,019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221,109</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(957,333)</w:t>
            </w:r>
          </w:p>
        </w:tc>
        <w:tc>
          <w:tcPr>
            <w:tcW w:w="98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 xml:space="preserve"> (34,449)</w:t>
            </w:r>
          </w:p>
        </w:tc>
        <w:tc>
          <w:tcPr>
            <w:tcW w:w="200" w:type="dxa"/>
            <w:vAlign w:val="bottom"/>
          </w:tcPr>
          <w:p>
            <w:pPr>
              <w:jc w:val="right"/>
              <w:ind w:right="24"/>
              <w:spacing w:after="0"/>
              <w:rPr>
                <w:sz w:val="20"/>
                <w:szCs w:val="20"/>
                <w:color w:val="auto"/>
              </w:rPr>
            </w:pPr>
            <w:r>
              <w:rPr>
                <w:rFonts w:ascii="Arial" w:cs="Arial" w:eastAsia="Arial" w:hAnsi="Arial"/>
                <w:sz w:val="18"/>
                <w:szCs w:val="18"/>
                <w:color w:val="auto"/>
                <w:w w:val="79"/>
              </w:rPr>
              <w:t>$</w:t>
            </w:r>
          </w:p>
        </w:tc>
        <w:tc>
          <w:tcPr>
            <w:tcW w:w="720" w:type="dxa"/>
            <w:vAlign w:val="bottom"/>
          </w:tcPr>
          <w:p>
            <w:pPr>
              <w:ind w:left="320"/>
              <w:spacing w:after="0"/>
              <w:rPr>
                <w:sz w:val="20"/>
                <w:szCs w:val="20"/>
                <w:color w:val="auto"/>
              </w:rPr>
            </w:pPr>
            <w:r>
              <w:rPr>
                <w:rFonts w:ascii="Arial" w:cs="Arial" w:eastAsia="Arial" w:hAnsi="Arial"/>
                <w:sz w:val="18"/>
                <w:szCs w:val="18"/>
                <w:color w:val="auto"/>
                <w:w w:val="84"/>
              </w:rPr>
              <w:t>1,949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5,565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944,198</w:t>
            </w:r>
          </w:p>
        </w:tc>
      </w:tr>
      <w:tr>
        <w:trPr>
          <w:trHeight w:val="20"/>
        </w:trPr>
        <w:tc>
          <w:tcPr>
            <w:tcW w:w="29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77"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accompanying condensed consolidated balance sheet at October 4, 2013, the condensed consolidated statements of operations and comprehensive income (loss) for the three and six months ended October 4, 2013 and September 28, 2012, the condensed consolidated statements of cash flows for the six months ended October 4, 2013 and September 28, 2012 and the condensed consolidated statement of equity for the six months ended October 4, 2013 have been prepared by the management of ViaSat, Inc. (also referred to hereafter as the Company or ViaSat), and have not been audited. These financial statements have been prepared on the same basis as the audited consolidated financial statements for the fiscal year ended March 29, 2013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29, 2013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23"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The Company’s condensed consolidated financial statements include the assets, liabilities and results of operations of ViaSat, its wholly owned subsidiaries and TrellisWare Technologies, Inc. (TrellisWare), a majority-owned subsidiary. All significant intercompany amounts have been eliminated.</w:t>
      </w:r>
    </w:p>
    <w:p>
      <w:pPr>
        <w:spacing w:after="0" w:line="85" w:lineRule="exact"/>
        <w:rPr>
          <w:sz w:val="20"/>
          <w:szCs w:val="20"/>
          <w:color w:val="auto"/>
        </w:rPr>
      </w:pPr>
    </w:p>
    <w:p>
      <w:pPr>
        <w:jc w:val="both"/>
        <w:ind w:firstLine="456"/>
        <w:spacing w:after="0" w:line="303" w:lineRule="auto"/>
        <w:rPr>
          <w:sz w:val="20"/>
          <w:szCs w:val="20"/>
          <w:color w:val="auto"/>
        </w:rPr>
      </w:pPr>
      <w:r>
        <w:rPr>
          <w:rFonts w:ascii="Arial" w:cs="Arial" w:eastAsia="Arial" w:hAnsi="Arial"/>
          <w:sz w:val="15"/>
          <w:szCs w:val="15"/>
          <w:color w:val="auto"/>
        </w:rPr>
        <w:t>The Company’s fiscal year is the 52 or 53 weeks ending on the Friday closest to March 31 of the specified year. For example, references to fiscal year 2014 refer to the fiscal year ending on April 4, 2014. The Company’s quarters for fiscal year 2014 end on June 28, 2013, October 4, 2013, January 3, 2014 and April 4, 2014. This results in a 53 week fiscal year approximately every four to five years. Fiscal year 2014 is a 53 week year, compared with a 52 week year in fiscal year</w:t>
      </w:r>
    </w:p>
    <w:p>
      <w:pPr>
        <w:spacing w:after="0" w:line="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2013. As a result of the shift in the fiscal calendar, the second quarter of fiscal year 2014 included an additional week. The Company does not believe that the extra week results in any material impact on its financial results.</w:t>
      </w:r>
    </w:p>
    <w:p>
      <w:pPr>
        <w:spacing w:after="0" w:line="138"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During the first quarter of fiscal year 2014, the Company completed the acquisition of LonoCloud, Inc. (LonoCloud), an early-stage privately held company. This acquisition was accounted for as a purchase and, accordingly, the condensed consolidated financial statements include the operating results of LonoCloud from the date of acquisition.</w:t>
      </w:r>
    </w:p>
    <w:p>
      <w:pPr>
        <w:spacing w:after="0" w:line="140" w:lineRule="exact"/>
        <w:rPr>
          <w:sz w:val="20"/>
          <w:szCs w:val="20"/>
          <w:color w:val="auto"/>
        </w:rPr>
      </w:pPr>
    </w:p>
    <w:p>
      <w:pPr>
        <w:ind w:right="80" w:firstLine="456"/>
        <w:spacing w:after="0" w:line="314" w:lineRule="auto"/>
        <w:rPr>
          <w:sz w:val="20"/>
          <w:szCs w:val="20"/>
          <w:color w:val="auto"/>
        </w:rPr>
      </w:pPr>
      <w:r>
        <w:rPr>
          <w:rFonts w:ascii="Arial" w:cs="Arial" w:eastAsia="Arial" w:hAnsi="Arial"/>
          <w:sz w:val="15"/>
          <w:szCs w:val="15"/>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self-insurance reserves, allowance for doubtful accounts, warranty accruals,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 substantial portion of the Company’s revenues is derived from long-term contracts requiring development and delivery of complex equipment built to customer specifications. Sales related to long-term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 Anticipated losses on contracts are recognized in full in the period in which losses become probable and estimable. Changes in estimates of profit or loss on contracts are included in earnings on a cumulative basis in the period the estimate is changed. During the three months ended October 4, 2013 and September 28, 2012, the Company recorded losses of approximately $0.6 million and $1.1 million, respectively, related to loss contracts. During the six months ended October 4, 2013 and September 28, 2012, the Company recorded losses of approximately $1.0 million and $2.4 million, respectively, related to loss contracts.</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Company also derives a substantial portion of its revenues from contracts and purchase orders where revenue is recorded on delivery of products or performance of services in accordance with the authoritative guidance for revenue recognition (ASC 605). Under this standard, the Company recognizes revenue when an arrangement exists, prices are determinable, collectability is reasonably assured and the goods or services have been delivered.</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Company also enters into certain leasing arrangements with customers and evaluates the contracts in accordance with the authoritative guidance for leases (ASC 840). The Company’s accounting for equipment leases involves specific determinations under the authoritative guidance for leases, which often involve complex provisions and significant judgments. In accordance with the authoritative guidance for leases, the Company classifies the transactions as sales type or operating leases based on: (1) 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the Company considers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7"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the Company allocates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the Company determines VSOE, TPE and ESP is provided below). If a tangible hardware systems product includes software, the Company determines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09"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color w:val="auto"/>
        </w:rPr>
        <w:t>To determine the selling price in multiple-element arrangements, the Company establishes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the Company is unable to determine the selling price because VSOE or TPE doesn’t exist, the Company determines ESP for the purposes of allocating the arrangement by reviewing historical transactions, including transactions whereby the deliverable was sold on a standalone basis and considers several other external and internal factors including, but not limited to, pricing practices including discounting, margin objectives, competition, the geographies in which the Company offers its products and services, the type of customer (i.e., distributor, value added reseller, government agency or direct end user, among others) and the stage of the product lifecycle. The determination of ESP considers the Company’s pricing model and go-to-market strategy. As the Company, or its competitors’, pricing and go-to-market strategies evolve, the Company may modify its pricing practices in the future, which could result in changes to its determination of VSOE, TPE and ESP. As a result, the Company’s future revenue recognition for multiple-element arrangements could differ materially from those in the current period.</w:t>
      </w:r>
    </w:p>
    <w:p>
      <w:pPr>
        <w:spacing w:after="0" w:line="12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In accordance with the authoritative guidance for shipping and handling fees and costs (ASC 605-45), the Company records shipping and handling costs billed to customers as a component of revenues, and shipping and handling costs incurred by the Company for inbound and outbound freight as a component of cost of revenues.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twelve months are recorded within other liabilities in the condensed consolidated financial statements.</w:t>
      </w:r>
    </w:p>
    <w:p>
      <w:pPr>
        <w:spacing w:after="0" w:line="14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Contract costs on U.S. government contracts are subject to audit and review by the Defense Contracting Management Agency (DCMA), the Defense Contract Audit Agency (DCAA), and other U.S. government agencies, as well as negotiations with U.S. government representatives. The Company’s incurred cost audits by the DCAA have 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October 4, 2013 and March 29, 2013, the Company had $7.3 million and $7.2 million, respectively, in contract-related reserves for its estimate of potential refunds to customers for potential cost adjustments on several multi-year U.S. government cost reimbursable contracts (see Note 8).</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Advertising expenses for the three months ended October 4, 2013 and September 28, 2012 were $6.2 million and $6.0 million, respectively, and for the six months ended October 4, 2013 and September 28, 2012 were $9.1 million and $11.5 million,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Commissions</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Company compensates third parties based on specific commission programs directly related to certain product and service sales and these commissions costs are expensed as incurred.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gateway facilities, network operations systems and other assets to support its satellites, and those construction costs, including interest, are capitalized as incurred. At the time satellites are placed in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computes depreciation using the straight-line method over the estimated useful lives of the assets ranging from two to twenty-four years. Leasehold improvements are capitalized and amortized using the straight-line method over the shorter of the lease term or the life of the improvement.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w:t>
      </w:r>
    </w:p>
    <w:p>
      <w:pPr>
        <w:spacing w:after="0" w:line="121"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Interest expense is capitalized on the carrying value of assets under construction, in accordance with the authoritative guidance for the capitalization of interest (ASC 835-20). During the three and six months ended October 4, 2013, the Company capitalized $2.0 million and $2.9 million of interest expense, respectively, with respect to assets under construction. During the three and six months ended September 28, 2012, the Company capitalized $0.8 million and $1.6 million of interest expense, respectively, with respect to assets under construction.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owns two satellites: ViaSat-1 (its high-capacity Ka-band spot-beam satellite, which was placed into service in January 2012) and WildBlue-1</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was placed into service in March 2007). During the first quarter of fiscal year 2014, the Company announced the entry into a satellite construction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contract for ViaSat-2, a second high-capacity Ka-band satellite. In addition, the Company has an exclusive prepaid lifetime capital lease of Ka-band capacity over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continental United States on Telesat Canada’s Anik F2 satellite (which was placed into service in April 2005) and owns related gateway and networking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equipment for all of its satellites. The Company periodically reviews the remaining estimated useful life of its satellites to determine if revisions to estimated lives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are necessary. The Company procured indoor and outdoor customer premise equipment (CPE) units leased to subscribers under a retail leasing program as part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Company’s satellite services segment, which are reflected in investing activities and property and equipment in the accompanying condensed consolidated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The Company depreciates the satellites, gateway and networking equipment, CPE units and related installation costs over their estimated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useful lives. The total cost and accumulated depreciation of CPE units included in property and equipment, net, as of October 4, 2013 were $206.8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$66.1 million, respectively. The total cost and accumulated depreciation of CPE units included in property and equipment, net, as of March 29, 2013 were $170.9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and $51.5 million, respectively.</w:t>
      </w:r>
    </w:p>
    <w:p>
      <w:pPr>
        <w:spacing w:after="0" w:line="16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Occasionally, the Company may enter into capital lease arrangements for various machinery, equipment, computer-related equipment, software, furniture or fixtures. The Company records amortization of assets leased under capital lease arrangements within depreciation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90"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As of October 4, 2013 and March 29, 2013, the Company had $3.2 million of capitalized costs related to patents included in other assets. As of October 4, 2013 and March 29, 2013, the Company had $13.5 million and $8.6 million, respectively, of capitalized costs related to</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acquiring and obtaining orbital slots and other licenses included in other assets. Accumulated amortization related to these assets was approximately $0.8 million and $0.7 million as of October 4, 2013 and March 29, 2013, respectively. Amortization expense related to these assets was an insignificant amount for the three and six months ended October 4, 2013 and September 28, 2012. If a patent, orbital slot or orbital license is rejected, abandoned or otherwise invalidated, the unamortized cost is expensed in that period. During the three and six months ended October 4, 2013 and September 28, 2012, the Company did not write off any significant costs due to abandonment or impairment.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Debt issuance costs are amortized and recognized as interest expense on a straight-line basis over the expected term of the related debt, the results of which are not materially different from the effective interest rate basis. During the three and six months ended October 4, 2013 and the three months ended September 28, 2012, no amounts were paid or capitalized for debt issuance costs. During the six months ended September 28, 2012, the Company paid and capitalized debt issuance costs of approximately $2.2 million. Unamortized debt issuance costs related to extinguished debt are expensed at the time the debt is extinguished and recorded in loss on extinguishment of debt in the consolidated statements of operations and comprehensive income (loss). Other unamortized debt issuance costs are recorded in prepaid expenses and other current assets and in other long-term assets in the consolidated balance sheets, depending on the amounts expected to be amortized to interest expense within the next twelve months.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90"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Costs of developing software for sale are charged to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Capitalized costs, net, of $72.9 million and $60.6 million related to software developed for resale were included in other assets as of October 4, 2013 and March 29, 2013, respectively. The Company capitalized $10.5 million and $16.9 million of costs related to software developed for resale for the three and six months ended October 4, 2013, respectively. The Company capitalized $6.1 million and $12.5 million of costs related to software developed for resale for the three and six months ended September 28, 2012, respectively. Amortization expense for software development costs was $2.2 million and $4.6 million for the three and six months ended October 4, 2013, respectively, and $2.3 million and $3.8 million for the three and six months ended September 28, 2012, respectively.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liabilities</w:t>
      </w:r>
    </w:p>
    <w:p>
      <w:pPr>
        <w:spacing w:after="0" w:line="90" w:lineRule="exact"/>
        <w:rPr>
          <w:sz w:val="20"/>
          <w:szCs w:val="20"/>
          <w:color w:val="auto"/>
        </w:rPr>
      </w:pPr>
    </w:p>
    <w:p>
      <w:pPr>
        <w:ind w:firstLine="456"/>
        <w:spacing w:after="0" w:line="283" w:lineRule="auto"/>
        <w:rPr>
          <w:sz w:val="20"/>
          <w:szCs w:val="20"/>
          <w:color w:val="auto"/>
        </w:rPr>
      </w:pPr>
      <w:r>
        <w:rPr>
          <w:rFonts w:ascii="Arial" w:cs="Arial" w:eastAsia="Arial" w:hAnsi="Arial"/>
          <w:sz w:val="16"/>
          <w:szCs w:val="16"/>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internal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$2.9 million and $2.3 million as of October 4,</w:t>
      </w:r>
    </w:p>
    <w:p>
      <w:pPr>
        <w:spacing w:after="0" w:line="3"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2013 and March 29, 2013,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liabilities in accordance with the estimated timing of the projected payments.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October 4, 2013 and March 29, 2013, no such amounts were accrued related to the aforementioned provisions.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90"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separately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ectPr>
          <w:pgSz w:w="11900" w:h="16838" w:orient="portrait"/>
          <w:cols w:equalWidth="0" w:num="1">
            <w:col w:w="11420"/>
          </w:cols>
          <w:pgMar w:left="240" w:top="459" w:right="239" w:bottom="1440" w:gutter="0" w:footer="0" w:header="0"/>
        </w:sectPr>
      </w:pP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the first six months of fiscal years 2014 and 2013, the Company issued 33,222 and 137,979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9,726 and 50,983 shares of common stock with a total value of $0.7 million and $2.1 million during the first six months of fiscal years 2014 and 2013, respectively. Repurchased shares of common stock of 957,333 and 947,607 were held in treasury as of October 4, 2013 and March 29, 2013,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90"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The Company enters into foreign currency forward and option contracts from time to time to hedge certain forecasted foreign currency transactions. Gains and losses arising from foreign currency forward and option contracts not designated as hedging instruments are recorded in other income (expense) as gains (losses) on derivative instruments. Gains and losses arising from the effective portion of foreign currency forward and option contracts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w:t>
      </w:r>
    </w:p>
    <w:p>
      <w:pPr>
        <w:spacing w:after="0" w:line="100" w:lineRule="exact"/>
        <w:rPr>
          <w:sz w:val="20"/>
          <w:szCs w:val="20"/>
          <w:color w:val="auto"/>
        </w:rPr>
      </w:pPr>
    </w:p>
    <w:p>
      <w:pPr>
        <w:ind w:right="240" w:firstLine="456"/>
        <w:spacing w:after="0" w:line="290" w:lineRule="auto"/>
        <w:rPr>
          <w:sz w:val="20"/>
          <w:szCs w:val="20"/>
          <w:color w:val="auto"/>
        </w:rPr>
      </w:pPr>
      <w:r>
        <w:rPr>
          <w:rFonts w:ascii="Arial" w:cs="Arial" w:eastAsia="Arial" w:hAnsi="Arial"/>
          <w:sz w:val="16"/>
          <w:szCs w:val="16"/>
          <w:color w:val="auto"/>
        </w:rPr>
        <w:t>During the three months ended October 4, 2013 and September 28, 2012, the Company settled certain foreign exchange contracts and in connection therewith recognized a loss of less than $0.1 million and $0.5 million, respectively, recorded in cost of revenues based on the nature of the underlying transactions. During the six months ended October 4, 2013 and September 28, 2012, the Company settled certain foreign exchange contracts and in connection therewith recognized a loss of less than $0.1 million and $0.6 million, respectively, recorded in cost of revenues based on the nature of the underlying transactions. The fair value of the Company’s foreign currency forward contracts was an other current asset of $0.1 million and an accrued liability of $0.3 million at October 4, 2013 and March 29, 2013, respectively. The notional value of foreign currency forward contracts outstanding as of October 4, 2013 and March 29, 2013 was $9.2 million and $7.0 million, respectively.</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At October 4, 2013, the estimated net amount of unrealized gains or losses related to foreign currency forward contracts that was expected to be reclassified to earnings within the next twelve months was approximately $0.1 million. The Company’s foreign currency forward contracts outstanding as of October 4, 2013 will mature within one to twenty-three months from their inception. There were no gains or losses from ineffectiveness of these derivative instruments recorded for the three and six months ended October 4, 2013 and September 28, 2012.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accordance with the authoritative guidance for share-based payments (ASC 718), the Company measures stock-based compensation cost at the grant date, based on the estimated fair value of the award, and recognizes expense on a straight-line basis over the employee’s requisite service period. Stock-based compensation expense is recognized in the condensed consolidated statements of operations and comprehensive income (loss) for the three and six months ended October 4, 2013 and September 28, 2012 only for those awards ultimately expected to vest, with forfeitures estimated at the date of grant. The authoritative guidance for share-based payments requires forfeitures to be estimated at the time of grant and revised, if necessary, in subsequent periods if actual forfeitures differ from those estimates. The Company recognized $8.2 million and $15.7 million of stock-based compensation expense for the three and six months ended October 4, 2013, respectively, and $5.8 million and $12.4 million of stock-based compensation expense for the three and six months ended September 28, 2012, respectively.</w:t>
      </w:r>
    </w:p>
    <w:p>
      <w:pPr>
        <w:spacing w:after="0" w:line="118"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For the six months ended October 4, 2013 and September 28, 2012, the Company recorded no incremental tax benefits from stock options exercised and restricted stock unit awards vesting as the excess tax benefit from stock options exercised and restricted stock unit awards vesting increased the Company’s net operating loss carryforward.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current and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Current income tax expense is the amount of income taxes expected to be payable for the current fiscal year. 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 Deferred income tax expense (benefit) is the net change during the year in the deferred income tax asset or liability.</w:t>
      </w:r>
    </w:p>
    <w:p>
      <w:pPr>
        <w:spacing w:after="0" w:line="116"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The Company’s analysis of the need for a valuation allowance on its deferred tax assets considered the net income generated during the three and six months ended October 4, 2013 and the net losses incurred during both the three months ended June 28, 2013 and the fiscal year ended March 29, 2013. The cumulative loss from fiscal year 2013 and the three months ended June 28, 2013 was more significant than the income from the three and six months ended October 4, 2013 and a substantial portion of such loss resulted from an extinguishment of debt charge that was recorded upon the refinancing of the Company’s former 8.875% Senior Notes due 2016 (2016 Notes) with the proceeds from the issuance of additional 6.875% Senior Notes due 2020 (2020 Notes), which provides a benefit to net income due to the lower interest rate of the 2020 Notes. The Company’s evaluation considered other factors, including the Company’s history of positive earnings, current earnings trends as the Company’s satellite subscriber base scales on its recently launched satellite, ViaSat-1, taxable income adjusted for certain items, the Company’s large contractual backlog, and forecasted income by jurisdiction. In the conclusion, consideration was also given to the lengthy period over which these net deferred tax assets can be realized, and the Company’s history of not having federal tax loss carryforwards expire unused. The Company evaluated its valuation allowance on state net operating loss carryforwards after the merger of ViaSat Communications, Inc. into ViaSat during the second quarter of fiscal year 2014. As a result $3.7 million of the valuation allowance on state net operating loss carryforwards was released during the three months ended October 4, 2013.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December 2011, the FASB issued ASU 2011-11, Balance Sheet (ASC 210): Disclosures about offsetting Assets and Liabilities. The new authoritative guidance requires an entity to disclose information about offsetting and related arrangements to enable users of its financial statements to evaluate the effect or potential effect of netting arrangements on an entity’s financial position, including the effect or potential effect of rights of setoff associated with certain financial instruments and derivative instruments in the scope of this authoritative guidance. This authoritative guidance became effective for the Company beginning in the first quarter of fiscal year 2014 and has been applied retrospectively for all comparative periods presented. Adoption of this authoritative guidance did not have a material impact on the Company’s consolidated financial statements and disclosures.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July 2012, the FASB issued ASU 2012-02, Intangibles—Goodwill and Other (ASC 350): Testing Indefinite-Lived Intangible Assets for Impairment. The new authoritative guidance simplifies the requirements for testing for indefinite-lived intangible assets other than goodwill and permits an entity to first assess qualitative factors to determine whether it is necessary to perform a quantitative fair value test. The guidance is effective for the Company for annual and, if any, interim impairment tests during the current fiscal year. Adoption of this standard will not have a material impact on the Company or its consolidated financial statements and disclosures.</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February 2013, the FASB issued ASU 2013-02, Comprehensive Income (ASC 220): Reporting of Amounts Reclassified Out of Accumulated Other Comprehensive Income. ASU 2013-02 requires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The guidance, which became effective for the Company beginning in the first quarter of fiscal year 2014, required changes in presentation only and the adoption of this standard did not have a significant impact on the Company’s consolidated financial statements and disclosures. The Company considers information related to rollforward amounts and amounts reclassified out of accumulated other comprehensive income to be insignificant and therefore immaterial for separate disclosures.</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March 2013, the FASB issued ASU 2013-05, Foreign Currency Matters (ASC 830): Parent’s Accounting for the Cumulative Translation Adjustment upon Derecognition of Certain Subsidiaries or Groups of Assets within a Foreign Entity or of an Investment in a Foreign Entity. ASU 2013-05 clarifies that the cumulative translation adjustment should be released into net income only when a reporting entity ceases to have a controlling financial interest in a subsidiary or a business within a foreign entity. Further, for an equity method investment that is a foreign entity, a pro rata portion of the cumulative translation adjustment should be released into net income upon a partial sale of such an equity method investment. These amendments are to be applied prospectively to derecognition events occurring after the effective date. This guidance is effective for the Company beginning in the first quarter of fiscal year 2015 and the adoption of this standard is not expected to have a material impact on its consolidated financial statements and disclosures.</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July 2013, the FASB issued ASU 2013-11, Income Taxes (ASC 740): Presentation of an Unrecognized Tax Benefit When a Net Operating Loss Carryforward, a Similar Tax Loss, or a Tax Credit Carryforward Exists</w:t>
      </w:r>
      <w:r>
        <w:rPr>
          <w:rFonts w:ascii="Arial" w:cs="Arial" w:eastAsia="Arial" w:hAnsi="Arial"/>
          <w:sz w:val="16"/>
          <w:szCs w:val="16"/>
          <w:i w:val="1"/>
          <w:iCs w:val="1"/>
          <w:color w:val="auto"/>
        </w:rPr>
        <w:t>.</w:t>
      </w:r>
      <w:r>
        <w:rPr>
          <w:rFonts w:ascii="Arial" w:cs="Arial" w:eastAsia="Arial" w:hAnsi="Arial"/>
          <w:sz w:val="16"/>
          <w:szCs w:val="16"/>
          <w:color w:val="auto"/>
        </w:rPr>
        <w:t xml:space="preserve"> ASU 2013-11 requires the netting of unrecognized tax benefits against available deferred tax assets for losses and other carryforward benefits that would be available to offset the liability for uncertain tax positions rather than presenting the unrecognized tax benefits on a gross basis. This guidance is effective for the Company beginning in the first quarter of fiscal year 2015 and the adoption of this standard is not expected to have a material impact on its consolidated financial statements and disclosures.</w:t>
      </w:r>
    </w:p>
    <w:p>
      <w:pPr>
        <w:sectPr>
          <w:pgSz w:w="11900" w:h="16838" w:orient="portrait"/>
          <w:cols w:equalWidth="0" w:num="1">
            <w:col w:w="11420"/>
          </w:cols>
          <w:pgMar w:left="240" w:top="459" w:right="239" w:bottom="1440" w:gutter="0" w:footer="0" w:header="0"/>
        </w:sectPr>
      </w:pP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As of</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780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October 4, 2013</w:t>
            </w:r>
          </w:p>
        </w:tc>
        <w:tc>
          <w:tcPr>
            <w:tcW w:w="3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78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ind w:left="70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Billed</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129,725</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134,206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Unbilled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145,528</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134,198</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273,231</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43,461</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40,308</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20,898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21,298</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128,159</w:t>
            </w:r>
          </w:p>
        </w:tc>
        <w:tc>
          <w:tcPr>
            <w:tcW w:w="42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106,281</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33,828</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34,257</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36,958</w:t>
            </w:r>
          </w:p>
        </w:tc>
        <w:tc>
          <w:tcPr>
            <w:tcW w:w="420" w:type="dxa"/>
            <w:vAlign w:val="bottom"/>
          </w:tcPr>
          <w:p>
            <w:pPr>
              <w:spacing w:after="0"/>
              <w:rPr>
                <w:sz w:val="19"/>
                <w:szCs w:val="19"/>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40,819</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Satellites,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Satellite — WildBlue-1 (estimated useful life of 10 years)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195,890</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195,890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Capital lease of satellite capacity — Anik F2 (estimated useful life of 10 years)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99,090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99,090</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Satellite — ViaSat-1 (estimated useful life of 17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363,204</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363,204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 ViaSat-2 (under construction)</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74,653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732,837</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658,184</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(149,007)</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(123,094)</w:t>
            </w: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583,830</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Machinery and equipment (estimated useful life of 2-5 years)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236,043</w:t>
            </w:r>
          </w:p>
        </w:tc>
        <w:tc>
          <w:tcPr>
            <w:tcW w:w="42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226,884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Computer equipment and software (estimated useful life of 2-7 years)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171,523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154,202</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CPE leased equipment (estimated useful life of 3-5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206,818</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170,934</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Furniture and fixtures (estimated useful life of 7 years)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18,006</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Leasehold improvements (estimated useful life of 2-17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60,357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57,691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Building (estimated useful life of 24 years)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8,923</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Land held for sale</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2,846</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Land</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auto"/>
              </w:rPr>
              <w:t>Construction in progress</w:t>
            </w: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26,344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732,120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661,481</w:t>
            </w:r>
          </w:p>
        </w:tc>
        <w:tc>
          <w:tcPr>
            <w:tcW w:w="0" w:type="dxa"/>
            <w:vAlign w:val="bottom"/>
          </w:tcPr>
          <w:p>
            <w:pPr>
              <w:spacing w:after="0"/>
              <w:rPr>
                <w:sz w:val="1"/>
                <w:szCs w:val="1"/>
                <w:color w:val="auto"/>
              </w:rPr>
            </w:pPr>
          </w:p>
        </w:tc>
      </w:tr>
      <w:tr>
        <w:trPr>
          <w:trHeight w:val="223"/>
        </w:trPr>
        <w:tc>
          <w:tcPr>
            <w:tcW w:w="7800" w:type="dxa"/>
            <w:vAlign w:val="bottom"/>
          </w:tcPr>
          <w:p>
            <w:pPr>
              <w:ind w:left="440"/>
              <w:spacing w:after="0"/>
              <w:rPr>
                <w:sz w:val="20"/>
                <w:szCs w:val="20"/>
                <w:color w:val="auto"/>
              </w:rPr>
            </w:pPr>
            <w:r>
              <w:rPr>
                <w:rFonts w:ascii="Arial" w:cs="Arial" w:eastAsia="Arial" w:hAnsi="Arial"/>
                <w:sz w:val="18"/>
                <w:szCs w:val="18"/>
                <w:color w:val="auto"/>
              </w:rPr>
              <w:t>Less accumulated depreciation and amortization</w:t>
            </w:r>
          </w:p>
        </w:tc>
        <w:tc>
          <w:tcPr>
            <w:tcW w:w="1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(314,366)</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(282,790)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417,754</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Technology (weighted average useful life of 6 years)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56,819</w:t>
            </w:r>
          </w:p>
        </w:tc>
        <w:tc>
          <w:tcPr>
            <w:tcW w:w="4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53,714</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Contracts and customer relationships (weighted average useful life of 7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88,797</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88,651</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Satellite co-location rights (weighted average useful life of 9 years)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8,600</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8,600</w:t>
            </w:r>
          </w:p>
        </w:tc>
        <w:tc>
          <w:tcPr>
            <w:tcW w:w="0" w:type="dxa"/>
            <w:vAlign w:val="bottom"/>
          </w:tcPr>
          <w:p>
            <w:pPr>
              <w:spacing w:after="0"/>
              <w:rPr>
                <w:sz w:val="1"/>
                <w:szCs w:val="1"/>
                <w:color w:val="auto"/>
              </w:rPr>
            </w:pPr>
          </w:p>
        </w:tc>
      </w:tr>
      <w:tr>
        <w:trPr>
          <w:trHeight w:val="216"/>
        </w:trPr>
        <w:tc>
          <w:tcPr>
            <w:tcW w:w="7800" w:type="dxa"/>
            <w:vAlign w:val="bottom"/>
          </w:tcPr>
          <w:p>
            <w:pPr>
              <w:ind w:left="440"/>
              <w:spacing w:after="0"/>
              <w:rPr>
                <w:sz w:val="20"/>
                <w:szCs w:val="20"/>
                <w:color w:val="auto"/>
              </w:rPr>
            </w:pPr>
            <w:r>
              <w:rPr>
                <w:rFonts w:ascii="Arial" w:cs="Arial" w:eastAsia="Arial" w:hAnsi="Arial"/>
                <w:sz w:val="18"/>
                <w:szCs w:val="18"/>
                <w:color w:val="auto"/>
              </w:rPr>
              <w:t>Trade name (weighted average useful life of 3 years)</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5,680</w:t>
            </w: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16"/>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(weighted average useful life of 9 years)</w:t>
            </w: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166,208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162,932</w:t>
            </w:r>
          </w:p>
        </w:tc>
        <w:tc>
          <w:tcPr>
            <w:tcW w:w="0" w:type="dxa"/>
            <w:vAlign w:val="bottom"/>
          </w:tcPr>
          <w:p>
            <w:pPr>
              <w:spacing w:after="0"/>
              <w:rPr>
                <w:sz w:val="1"/>
                <w:szCs w:val="1"/>
                <w:color w:val="auto"/>
              </w:rPr>
            </w:pPr>
          </w:p>
        </w:tc>
      </w:tr>
      <w:tr>
        <w:trPr>
          <w:trHeight w:val="217"/>
        </w:trPr>
        <w:tc>
          <w:tcPr>
            <w:tcW w:w="7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 accumulated amortization</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(123,600)</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(115,762)</w:t>
            </w:r>
          </w:p>
        </w:tc>
        <w:tc>
          <w:tcPr>
            <w:tcW w:w="0" w:type="dxa"/>
            <w:vAlign w:val="bottom"/>
          </w:tcPr>
          <w:p>
            <w:pPr>
              <w:spacing w:after="0"/>
              <w:rPr>
                <w:sz w:val="1"/>
                <w:szCs w:val="1"/>
                <w:color w:val="auto"/>
              </w:rPr>
            </w:pPr>
          </w:p>
        </w:tc>
      </w:tr>
      <w:tr>
        <w:trPr>
          <w:trHeight w:val="221"/>
        </w:trPr>
        <w:tc>
          <w:tcPr>
            <w:tcW w:w="78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47,170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vMerge w:val="restart"/>
          </w:tcPr>
          <w:p>
            <w:pPr>
              <w:ind w:left="5160"/>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60" w:lineRule="exact"/>
        <w:rPr>
          <w:sz w:val="20"/>
          <w:szCs w:val="20"/>
          <w:color w:val="auto"/>
        </w:rPr>
      </w:pPr>
    </w:p>
    <w:tbl>
      <w:tblPr>
        <w:tblLayout w:type="fixed"/>
        <w:tblInd w:w="1380" w:type="dxa"/>
        <w:tblCellMar>
          <w:top w:w="0" w:type="dxa"/>
          <w:left w:w="0" w:type="dxa"/>
          <w:bottom w:w="0" w:type="dxa"/>
          <w:right w:w="0" w:type="dxa"/>
        </w:tblCellMar>
      </w:tblP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Capitalized software costs, net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72,862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60,596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Patents, orbital slots and other licenses, net</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income taxes</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116,576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36,346</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241,684</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205,248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Collections in excess of revenues and deferred revenues</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65,388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employee compensation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Accrued vacation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20,099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current portion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440"/>
              <w:spacing w:after="0"/>
              <w:rPr>
                <w:sz w:val="20"/>
                <w:szCs w:val="20"/>
                <w:color w:val="auto"/>
              </w:rPr>
            </w:pPr>
            <w:r>
              <w:rPr>
                <w:rFonts w:ascii="Arial" w:cs="Arial" w:eastAsia="Arial" w:hAnsi="Arial"/>
                <w:sz w:val="18"/>
                <w:szCs w:val="18"/>
                <w:color w:val="auto"/>
              </w:rPr>
              <w:t>Other</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47,893</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155,954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Other liabilities:</w:t>
            </w: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revenue, long-term portion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rent, long-term portion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9,245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Warranty reserve, long-term portion</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440"/>
              <w:spacing w:after="0"/>
              <w:rPr>
                <w:sz w:val="20"/>
                <w:szCs w:val="20"/>
                <w:color w:val="auto"/>
              </w:rPr>
            </w:pPr>
            <w:r>
              <w:rPr>
                <w:rFonts w:ascii="Arial" w:cs="Arial" w:eastAsia="Arial" w:hAnsi="Arial"/>
                <w:sz w:val="18"/>
                <w:szCs w:val="18"/>
                <w:color w:val="auto"/>
              </w:rPr>
              <w:t>Deferred income taxes, long-term portion</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1,379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Unrecognized tax position liabilities</w:t>
            </w: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440"/>
              <w:spacing w:after="0"/>
              <w:rPr>
                <w:sz w:val="20"/>
                <w:szCs w:val="20"/>
                <w:color w:val="auto"/>
              </w:rPr>
            </w:pPr>
            <w:r>
              <w:rPr>
                <w:rFonts w:ascii="Arial" w:cs="Arial" w:eastAsia="Arial" w:hAnsi="Arial"/>
                <w:sz w:val="18"/>
                <w:szCs w:val="18"/>
                <w:color w:val="auto"/>
              </w:rPr>
              <w:t>Satellite performance incentives obligation, long-term portion</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20,729</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51,669</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prioritizes the inputs used to measure fair value from market-based assumptions to entity specific assumptions:</w:t>
      </w:r>
    </w:p>
    <w:p>
      <w:pPr>
        <w:spacing w:after="0" w:line="51" w:lineRule="exact"/>
        <w:rPr>
          <w:sz w:val="20"/>
          <w:szCs w:val="20"/>
          <w:color w:val="auto"/>
        </w:rPr>
      </w:pPr>
    </w:p>
    <w:p>
      <w:pPr>
        <w:ind w:left="440" w:hanging="324"/>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90" w:lineRule="exact"/>
        <w:rPr>
          <w:rFonts w:ascii="Arial" w:cs="Arial" w:eastAsia="Arial" w:hAnsi="Arial"/>
          <w:sz w:val="18"/>
          <w:szCs w:val="18"/>
          <w:color w:val="auto"/>
        </w:rPr>
      </w:pPr>
    </w:p>
    <w:p>
      <w:pPr>
        <w:ind w:left="440" w:right="40" w:hanging="324"/>
        <w:spacing w:after="0" w:line="259"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rFonts w:ascii="Arial" w:cs="Arial" w:eastAsia="Arial" w:hAnsi="Arial"/>
          <w:sz w:val="18"/>
          <w:szCs w:val="18"/>
          <w:color w:val="auto"/>
        </w:rPr>
      </w:pPr>
    </w:p>
    <w:p>
      <w:pPr>
        <w:ind w:left="440" w:hanging="324"/>
        <w:spacing w:after="0" w:line="268"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hierarchy for its assets and liabilities measured at fair value on a recurring basis as of October 4, 2013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March 29, 2013:</w:t>
      </w:r>
    </w:p>
    <w:p>
      <w:pPr>
        <w:spacing w:after="0" w:line="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October 4, 2013</w:t>
            </w:r>
          </w:p>
        </w:tc>
        <w:tc>
          <w:tcPr>
            <w:tcW w:w="560" w:type="dxa"/>
            <w:vAlign w:val="bottom"/>
          </w:tcPr>
          <w:p>
            <w:pPr>
              <w:spacing w:after="0"/>
              <w:rPr>
                <w:sz w:val="14"/>
                <w:szCs w:val="14"/>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1,086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1,086</w:t>
            </w:r>
          </w:p>
        </w:tc>
        <w:tc>
          <w:tcPr>
            <w:tcW w:w="56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1,208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1,086</w:t>
            </w:r>
          </w:p>
        </w:tc>
        <w:tc>
          <w:tcPr>
            <w:tcW w:w="56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$ 122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4"/>
              </w:rPr>
              <w:t>Fair Value as of</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88"/>
              </w:rPr>
              <w:t>March 29, 2013</w:t>
            </w:r>
          </w:p>
        </w:tc>
        <w:tc>
          <w:tcPr>
            <w:tcW w:w="560" w:type="dxa"/>
            <w:vAlign w:val="bottom"/>
          </w:tcPr>
          <w:p>
            <w:pPr>
              <w:spacing w:after="0"/>
              <w:rPr>
                <w:sz w:val="14"/>
                <w:szCs w:val="14"/>
                <w:color w:val="auto"/>
              </w:rPr>
            </w:pPr>
          </w:p>
        </w:tc>
        <w:tc>
          <w:tcPr>
            <w:tcW w:w="11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Level 1</w:t>
            </w: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4"/>
              </w:rPr>
              <w:t>Level 2</w:t>
            </w:r>
          </w:p>
        </w:tc>
        <w:tc>
          <w:tcPr>
            <w:tcW w:w="26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w w:val="96"/>
              </w:rPr>
              <w:t>Level 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(In thousands)</w:t>
            </w:r>
          </w:p>
        </w:tc>
        <w:tc>
          <w:tcPr>
            <w:tcW w:w="4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Cash equivalents</w:t>
            </w: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47,427</w:t>
            </w:r>
          </w:p>
        </w:tc>
        <w:tc>
          <w:tcPr>
            <w:tcW w:w="5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47,427</w:t>
            </w:r>
          </w:p>
        </w:tc>
        <w:tc>
          <w:tcPr>
            <w:tcW w:w="560" w:type="dxa"/>
            <w:vAlign w:val="bottom"/>
          </w:tcPr>
          <w:p>
            <w:pPr>
              <w:spacing w:after="0"/>
              <w:rPr>
                <w:sz w:val="19"/>
                <w:szCs w:val="19"/>
                <w:color w:val="auto"/>
              </w:rPr>
            </w:pPr>
          </w:p>
        </w:tc>
        <w:tc>
          <w:tcPr>
            <w:tcW w:w="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 assets measured at fair value on a recurring basis</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47,427</w:t>
            </w:r>
          </w:p>
        </w:tc>
        <w:tc>
          <w:tcPr>
            <w:tcW w:w="5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Liabilities: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4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forward contracts</w:t>
            </w: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$ 318</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440" w:type="dxa"/>
            <w:vAlign w:val="bottom"/>
            <w:gridSpan w:val="2"/>
          </w:tcPr>
          <w:p>
            <w:pPr>
              <w:spacing w:after="0"/>
              <w:rPr>
                <w:sz w:val="20"/>
                <w:szCs w:val="20"/>
                <w:color w:val="auto"/>
              </w:rPr>
            </w:pPr>
            <w:r>
              <w:rPr>
                <w:rFonts w:ascii="Arial" w:cs="Arial" w:eastAsia="Arial" w:hAnsi="Arial"/>
                <w:sz w:val="18"/>
                <w:szCs w:val="18"/>
                <w:color w:val="auto"/>
              </w:rPr>
              <w:t>Total liabilities measured at fair value on a recurring basis</w:t>
            </w: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318</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700" w:type="dxa"/>
            <w:vAlign w:val="bottom"/>
            <w:gridSpan w:val="2"/>
          </w:tcPr>
          <w:p>
            <w:pPr>
              <w:spacing w:after="0"/>
              <w:rPr>
                <w:sz w:val="20"/>
                <w:szCs w:val="20"/>
                <w:color w:val="auto"/>
              </w:rPr>
            </w:pPr>
            <w:r>
              <w:rPr>
                <w:rFonts w:ascii="Arial" w:cs="Arial" w:eastAsia="Arial" w:hAnsi="Arial"/>
                <w:sz w:val="18"/>
                <w:szCs w:val="18"/>
                <w:color w:val="auto"/>
              </w:rPr>
              <w:t>$ 318</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Money market funds are valued using quoted prices for identical</w:t>
      </w:r>
      <w:r>
        <w:rPr>
          <w:rFonts w:ascii="Arial" w:cs="Arial" w:eastAsia="Arial" w:hAnsi="Arial"/>
          <w:sz w:val="18"/>
          <w:szCs w:val="18"/>
          <w:i w:val="1"/>
          <w:iCs w:val="1"/>
          <w:color w:val="auto"/>
        </w:rPr>
        <w:t xml:space="preserve"> </w:t>
      </w:r>
      <w:r>
        <w:rPr>
          <w:rFonts w:ascii="Arial" w:cs="Arial" w:eastAsia="Arial" w:hAnsi="Arial"/>
          <w:sz w:val="18"/>
          <w:szCs w:val="18"/>
          <w:color w:val="auto"/>
        </w:rPr>
        <w:t>assets in an active market with sufficient volume and frequency of transactions (Level 1).</w:t>
      </w:r>
    </w:p>
    <w:p>
      <w:pPr>
        <w:sectPr>
          <w:pgSz w:w="11900" w:h="16838" w:orient="portrait"/>
          <w:cols w:equalWidth="0" w:num="1">
            <w:col w:w="11320"/>
          </w:cols>
          <w:pgMar w:left="240" w:top="459" w:right="339" w:bottom="1440" w:gutter="0" w:footer="0" w:header="0"/>
        </w:sectPr>
      </w:pP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320"/>
          </w:cols>
          <w:pgMar w:left="240" w:top="459" w:right="33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i w:val="1"/>
          <w:iCs w:val="1"/>
          <w:color w:val="auto"/>
        </w:rPr>
        <w:t xml:space="preserve">Foreign currency forward contracts </w:t>
      </w:r>
      <w:r>
        <w:rPr>
          <w:rFonts w:ascii="Arial" w:cs="Arial" w:eastAsia="Arial" w:hAnsi="Arial"/>
          <w:sz w:val="16"/>
          <w:szCs w:val="16"/>
          <w:color w:val="auto"/>
        </w:rPr>
        <w:t>— The Company uses derivative financial instruments to manage foreign currency risk relating to foreign exchange</w:t>
      </w:r>
      <w:r>
        <w:rPr>
          <w:rFonts w:ascii="Arial" w:cs="Arial" w:eastAsia="Arial" w:hAnsi="Arial"/>
          <w:sz w:val="16"/>
          <w:szCs w:val="16"/>
          <w:i w:val="1"/>
          <w:iCs w:val="1"/>
          <w:color w:val="auto"/>
        </w:rPr>
        <w:t xml:space="preserve"> </w:t>
      </w:r>
      <w:r>
        <w:rPr>
          <w:rFonts w:ascii="Arial" w:cs="Arial" w:eastAsia="Arial" w:hAnsi="Arial"/>
          <w:sz w:val="16"/>
          <w:szCs w:val="16"/>
          <w:color w:val="auto"/>
        </w:rPr>
        <w:t>rates. The Company does not use these instruments for speculative or trading purposes. The Company’s objective is to reduce the risk to earnings and cash flows associated with changes in foreign currency exchange rates. Derivative instruments are recognized as either assets or liabilities in the accompanying condensed consolidated financial statements and are measured at fair value. Gains and losses resulting from changes in the fair values of those derivative instruments are recorded to earnings or other comprehensive income (loss) depending on the use of the derivative instrument and whether it qualifies for hedge accounting. The Company’s foreign currency forward contracts are valued using standard calculations/models that are primarily based on observable inputs, such as foreign currency exchange rates, or can be corroborated by observable market data (Level 2).</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The Company’s long-term debt consists of borrowings under its revolving credit facility (the Credit Facility) and $575.0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amount of 2020 Notes reported at amortized cost. However, for disclosure purposes, the Company is required to measure the fair value of outstanding debt on a recurring basis. As of October 4, 2013 and March 29, 2013, the fair value of the Company’s 2020 Notes was determined using quoted prices in active markets for identical liabilities (Level 1) and was approximately $595.8 million and $616.7 million, respectively. The fair value of the Company’s long-term debt related to the Credit Facility approximates its carrying amount due to the variable interest rate on the revolving line of credit, which approximates a market interest rate.</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i w:val="1"/>
          <w:iCs w:val="1"/>
          <w:color w:val="auto"/>
        </w:rPr>
        <w:t xml:space="preserve">Satellite performance incentives obligation </w:t>
      </w:r>
      <w:r>
        <w:rPr>
          <w:rFonts w:ascii="Arial" w:cs="Arial" w:eastAsia="Arial" w:hAnsi="Arial"/>
          <w:sz w:val="16"/>
          <w:szCs w:val="16"/>
          <w:color w:val="auto"/>
        </w:rPr>
        <w:t>— The Company’s contract with the manufacturer of ViaSat-1 requires the Company to make monthly in-orbit</w:t>
      </w:r>
      <w:r>
        <w:rPr>
          <w:rFonts w:ascii="Arial" w:cs="Arial" w:eastAsia="Arial" w:hAnsi="Arial"/>
          <w:sz w:val="16"/>
          <w:szCs w:val="16"/>
          <w:i w:val="1"/>
          <w:iCs w:val="1"/>
          <w:color w:val="auto"/>
        </w:rPr>
        <w:t xml:space="preserve"> </w:t>
      </w:r>
      <w:r>
        <w:rPr>
          <w:rFonts w:ascii="Arial" w:cs="Arial" w:eastAsia="Arial" w:hAnsi="Arial"/>
          <w:sz w:val="16"/>
          <w:szCs w:val="16"/>
          <w:color w:val="auto"/>
        </w:rPr>
        <w:t>satellite performance incentive payments, including interest at 7.0%, over a fifteen-year period from December 2011 to December 2026, subject to the continued satisfactory performance of the satellite. The Company recorded the net present value of these expected future payments as a liability and as a component of the cost of the satellite. However, for disclosure purposes, the Company is required to measure the fair value of outstanding satellite performance incentives on a recurring basis. The fair value of the Company’s outstanding satellite performance incentives is estimated to approximate their carrying value based on current rates (Level 2). As of each of October 4, 2013 and March 29, 2013, the Company’s estimated satellite performance incentives obligation and accrued interest was $22.7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Shares Used In Computing Diluted Net Income (Loss) Per Share</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278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2880" w:type="dxa"/>
            <w:vAlign w:val="bottom"/>
            <w:gridSpan w:val="4"/>
          </w:tcPr>
          <w:p>
            <w:pPr>
              <w:ind w:left="86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40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7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76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76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100" w:type="dxa"/>
            <w:vAlign w:val="bottom"/>
          </w:tcPr>
          <w:p>
            <w:pPr>
              <w:spacing w:after="0"/>
              <w:rPr>
                <w:sz w:val="12"/>
                <w:szCs w:val="12"/>
                <w:color w:val="auto"/>
              </w:rPr>
            </w:pPr>
          </w:p>
        </w:tc>
      </w:tr>
      <w:tr>
        <w:trPr>
          <w:trHeight w:val="142"/>
        </w:trPr>
        <w:tc>
          <w:tcPr>
            <w:tcW w:w="40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80" w:type="dxa"/>
            <w:vAlign w:val="bottom"/>
            <w:gridSpan w:val="3"/>
          </w:tcPr>
          <w:p>
            <w:pPr>
              <w:jc w:val="right"/>
              <w:ind w:right="792"/>
              <w:spacing w:after="0" w:line="142" w:lineRule="exact"/>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rPr>
              <w:t>Common shares outstanding used in calculating</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basic net income (loss) per share attributable</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80" w:type="dxa"/>
            <w:vAlign w:val="bottom"/>
          </w:tcPr>
          <w:p>
            <w:pPr>
              <w:ind w:left="220"/>
              <w:spacing w:after="0"/>
              <w:rPr>
                <w:sz w:val="20"/>
                <w:szCs w:val="20"/>
                <w:color w:val="auto"/>
              </w:rPr>
            </w:pPr>
            <w:r>
              <w:rPr>
                <w:rFonts w:ascii="Arial" w:cs="Arial" w:eastAsia="Arial" w:hAnsi="Arial"/>
                <w:sz w:val="18"/>
                <w:szCs w:val="18"/>
                <w:color w:val="auto"/>
              </w:rPr>
              <w:t>to ViaSat, Inc. common stockholders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45,484</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43,615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45,304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43,399</w:t>
            </w:r>
          </w:p>
        </w:tc>
        <w:tc>
          <w:tcPr>
            <w:tcW w:w="100" w:type="dxa"/>
            <w:vAlign w:val="bottom"/>
          </w:tcPr>
          <w:p>
            <w:pPr>
              <w:spacing w:after="0"/>
              <w:rPr>
                <w:sz w:val="19"/>
                <w:szCs w:val="19"/>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Options to purchase common stock as</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determined by application of the treasury</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 method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838</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08"/>
        </w:trPr>
        <w:tc>
          <w:tcPr>
            <w:tcW w:w="4080" w:type="dxa"/>
            <w:vAlign w:val="bottom"/>
          </w:tcPr>
          <w:p>
            <w:pPr>
              <w:spacing w:after="0"/>
              <w:rPr>
                <w:sz w:val="20"/>
                <w:szCs w:val="20"/>
                <w:color w:val="auto"/>
              </w:rPr>
            </w:pPr>
            <w:r>
              <w:rPr>
                <w:rFonts w:ascii="Arial" w:cs="Arial" w:eastAsia="Arial" w:hAnsi="Arial"/>
                <w:sz w:val="18"/>
                <w:szCs w:val="18"/>
                <w:color w:val="auto"/>
              </w:rPr>
              <w:t>Restricted stock units to acquire common stock</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as determined by application of the treasury</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4080" w:type="dxa"/>
            <w:vAlign w:val="bottom"/>
          </w:tcPr>
          <w:p>
            <w:pPr>
              <w:ind w:left="220"/>
              <w:spacing w:after="0"/>
              <w:rPr>
                <w:sz w:val="20"/>
                <w:szCs w:val="20"/>
                <w:color w:val="auto"/>
              </w:rPr>
            </w:pPr>
            <w:r>
              <w:rPr>
                <w:rFonts w:ascii="Arial" w:cs="Arial" w:eastAsia="Arial" w:hAnsi="Arial"/>
                <w:sz w:val="18"/>
                <w:szCs w:val="18"/>
                <w:color w:val="auto"/>
              </w:rPr>
              <w:t>stock method</w:t>
            </w:r>
          </w:p>
        </w:tc>
        <w:tc>
          <w:tcPr>
            <w:tcW w:w="920" w:type="dxa"/>
            <w:vAlign w:val="bottom"/>
          </w:tcPr>
          <w:p>
            <w:pPr>
              <w:jc w:val="right"/>
              <w:spacing w:after="0"/>
              <w:rPr>
                <w:sz w:val="20"/>
                <w:szCs w:val="20"/>
                <w:color w:val="auto"/>
              </w:rPr>
            </w:pPr>
            <w:r>
              <w:rPr>
                <w:rFonts w:ascii="Arial" w:cs="Arial" w:eastAsia="Arial" w:hAnsi="Arial"/>
                <w:sz w:val="18"/>
                <w:szCs w:val="18"/>
                <w:color w:val="auto"/>
              </w:rPr>
              <w:t>696</w:t>
            </w:r>
          </w:p>
        </w:tc>
        <w:tc>
          <w:tcPr>
            <w:tcW w:w="7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635</w:t>
            </w:r>
          </w:p>
        </w:tc>
        <w:tc>
          <w:tcPr>
            <w:tcW w:w="7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Arial" w:cs="Arial" w:eastAsia="Arial" w:hAnsi="Arial"/>
                <w:sz w:val="18"/>
                <w:szCs w:val="18"/>
                <w:color w:val="auto"/>
              </w:rPr>
              <w:t>—</w:t>
            </w: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Potentially issuable shares in connection with</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terms of the amended ViaSat 401(k)</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Profit Sharing Plan and Employee Stock</w:t>
            </w:r>
          </w:p>
        </w:tc>
        <w:tc>
          <w:tcPr>
            <w:tcW w:w="9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Plan equivalents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7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r>
      <w:tr>
        <w:trPr>
          <w:trHeight w:val="215"/>
        </w:trPr>
        <w:tc>
          <w:tcPr>
            <w:tcW w:w="4080" w:type="dxa"/>
            <w:vAlign w:val="bottom"/>
          </w:tcPr>
          <w:p>
            <w:pPr>
              <w:spacing w:after="0"/>
              <w:rPr>
                <w:sz w:val="20"/>
                <w:szCs w:val="20"/>
                <w:color w:val="auto"/>
              </w:rPr>
            </w:pPr>
            <w:r>
              <w:rPr>
                <w:rFonts w:ascii="Arial" w:cs="Arial" w:eastAsia="Arial" w:hAnsi="Arial"/>
                <w:sz w:val="18"/>
                <w:szCs w:val="18"/>
                <w:color w:val="auto"/>
              </w:rPr>
              <w:t>Shares used in computing diluted net income</w:t>
            </w:r>
          </w:p>
        </w:tc>
        <w:tc>
          <w:tcPr>
            <w:tcW w:w="920" w:type="dxa"/>
            <w:vAlign w:val="bottom"/>
            <w:tcBorders>
              <w:top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(loss) per share attributable to ViaSat, Inc.</w:t>
            </w: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080" w:type="dxa"/>
            <w:vAlign w:val="bottom"/>
          </w:tcPr>
          <w:p>
            <w:pPr>
              <w:ind w:left="220"/>
              <w:spacing w:after="0"/>
              <w:rPr>
                <w:sz w:val="20"/>
                <w:szCs w:val="20"/>
                <w:color w:val="auto"/>
              </w:rPr>
            </w:pPr>
            <w:r>
              <w:rPr>
                <w:rFonts w:ascii="Arial" w:cs="Arial" w:eastAsia="Arial" w:hAnsi="Arial"/>
                <w:sz w:val="18"/>
                <w:szCs w:val="18"/>
                <w:color w:val="auto"/>
              </w:rPr>
              <w:t>common stockholders</w:t>
            </w:r>
          </w:p>
        </w:tc>
        <w:tc>
          <w:tcPr>
            <w:tcW w:w="920" w:type="dxa"/>
            <w:vAlign w:val="bottom"/>
          </w:tcPr>
          <w:p>
            <w:pPr>
              <w:jc w:val="right"/>
              <w:spacing w:after="0"/>
              <w:rPr>
                <w:sz w:val="20"/>
                <w:szCs w:val="20"/>
                <w:color w:val="auto"/>
              </w:rPr>
            </w:pPr>
            <w:r>
              <w:rPr>
                <w:rFonts w:ascii="Arial" w:cs="Arial" w:eastAsia="Arial" w:hAnsi="Arial"/>
                <w:sz w:val="18"/>
                <w:szCs w:val="18"/>
                <w:color w:val="auto"/>
              </w:rPr>
              <w:t>47,067</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43,615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46,898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43,399</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Antidilutive shares relating to stock options excluded from the calculation for the three and six months ended October 4, 2013 were 14,204 and 52,603 shares, respectively. Antidilutive shares relating to restricted stock units excluded from the calculation for the three and six months ended October 4, 2013 were zero and 41,028 shares, respectively. The weighted average number of shares used to calculate basic and diluted net income (loss) per share attributable to ViaSat, Inc. common stockholders is the same for both the three and six months ended September 28, 2012, as the Company incurred a net loss attributable to ViaSat, Inc. common stockholders for the three and six months ended September 28, 2012 and inclusion of common share equivalents would be antidilutive. Common share equivalents excluded from the calculation for the three months ended September 28, 2012 were 1,566,615 shares relating to stock options, 367,833 shares relating to restricted stock units and 97,738 shares relating to certain terms of the amended ViaSat 401(k) Profit Sharing Plan and Employee Stock Purchase Plan. Common share equivalents excluded from the calculation for the six months ended September 28, 2012 were 1,628,482 shares relating to stock options, 357,005 shares relating to restricted stock units and 170,920 shares relating to certain terms of the amended ViaSat 401(k) Profit Sharing Plan and Employee Stock Purchase Plan.</w:t>
      </w:r>
    </w:p>
    <w:p>
      <w:pPr>
        <w:sectPr>
          <w:pgSz w:w="11900" w:h="16838" w:orient="portrait"/>
          <w:cols w:equalWidth="0" w:num="1">
            <w:col w:w="11400"/>
          </w:cols>
          <w:pgMar w:left="240" w:top="459" w:right="259" w:bottom="1440" w:gutter="0" w:footer="0" w:header="0"/>
        </w:sectPr>
      </w:pP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00"/>
          </w:cols>
          <w:pgMar w:left="240" w:top="459"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Acquired Intangible Assets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During the first six months of fiscal year 2014, the Company’s goodwill increased by approximately $0.1 million related to the effects of foreign currency translation recorded within the Company’s government systems and commercial networks segments. Other acquired intangible assets are amortized using the straight-line method over their estimated useful lives of three to ten years. Amortization expense related to other acquired intangible assets was $3.8 million and $4.0 million for the three months ended October 4, 2013 and September 28, 2012, respectively, and $7.3 million and $8.1 million for the six months ended October 4, 2013 and September 28, 2012, respectively.</w:t>
      </w:r>
    </w:p>
    <w:p>
      <w:pPr>
        <w:spacing w:after="0" w:line="143"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The expected amortization expense of amortizable acquired intangible assets may change due to the effects of foreign currency fluctuations as a result of international businesses acquired. Current and expected amortization expense for acquired intangible assets for each of the following periods is as follows:</w:t>
      </w:r>
    </w:p>
    <w:p>
      <w:pPr>
        <w:spacing w:after="0" w:line="12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4, 2013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Senior Notes and Other Long-Term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Total long-term debt consisted of the following as of October 4, 2013 and March 29, 2013:</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jc w:val="right"/>
              <w:ind w:right="235"/>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340" w:type="dxa"/>
            <w:vAlign w:val="bottom"/>
            <w:gridSpan w:val="3"/>
          </w:tcPr>
          <w:p>
            <w:pPr>
              <w:ind w:left="1420"/>
              <w:spacing w:after="0"/>
              <w:rPr>
                <w:sz w:val="20"/>
                <w:szCs w:val="20"/>
                <w:color w:val="auto"/>
              </w:rPr>
            </w:pPr>
            <w:r>
              <w:rPr>
                <w:rFonts w:ascii="Arial" w:cs="Arial" w:eastAsia="Arial" w:hAnsi="Arial"/>
                <w:sz w:val="14"/>
                <w:szCs w:val="14"/>
                <w:b w:val="1"/>
                <w:bCs w:val="1"/>
                <w:color w:val="auto"/>
                <w:w w:val="86"/>
              </w:rPr>
              <w:t>October 4, 2013</w:t>
            </w:r>
          </w:p>
        </w:tc>
        <w:tc>
          <w:tcPr>
            <w:tcW w:w="178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3"/>
          </w:tcPr>
          <w:p>
            <w:pPr>
              <w:ind w:left="700"/>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Senior Notes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2020 Notes</w:t>
            </w:r>
          </w:p>
        </w:tc>
        <w:tc>
          <w:tcPr>
            <w:tcW w:w="1600" w:type="dxa"/>
            <w:vAlign w:val="bottom"/>
            <w:gridSpan w:val="2"/>
          </w:tcPr>
          <w:p>
            <w:pPr>
              <w:ind w:left="14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575,000</w:t>
            </w:r>
          </w:p>
        </w:tc>
        <w:tc>
          <w:tcPr>
            <w:tcW w:w="9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Unamortized premium on the 2020 Notes</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9,436</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Total senior notes, net of premium</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584,436</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the senior notes</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Total senior notes long-term, net</w:t>
            </w:r>
          </w:p>
        </w:tc>
        <w:tc>
          <w:tcPr>
            <w:tcW w:w="1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584,436</w:t>
            </w: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584,993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Other Long-Term Debt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35,000</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Total other long-term debt</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37,501</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of other long-term debt</w:t>
            </w:r>
          </w:p>
        </w:tc>
        <w:tc>
          <w:tcPr>
            <w:tcW w:w="14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7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60" w:type="dxa"/>
            <w:vAlign w:val="bottom"/>
            <w:gridSpan w:val="2"/>
          </w:tcPr>
          <w:p>
            <w:pPr>
              <w:spacing w:after="0"/>
              <w:rPr>
                <w:sz w:val="20"/>
                <w:szCs w:val="20"/>
                <w:color w:val="auto"/>
              </w:rPr>
            </w:pPr>
            <w:r>
              <w:rPr>
                <w:rFonts w:ascii="Arial" w:cs="Arial" w:eastAsia="Arial" w:hAnsi="Arial"/>
                <w:sz w:val="18"/>
                <w:szCs w:val="18"/>
                <w:color w:val="auto"/>
              </w:rPr>
              <w:t>Other long-term debt, net</w:t>
            </w: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35,914</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5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621,937</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588,679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Less: current portion</w:t>
            </w:r>
          </w:p>
        </w:tc>
        <w:tc>
          <w:tcPr>
            <w:tcW w:w="1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600" w:type="dxa"/>
            <w:vAlign w:val="bottom"/>
            <w:gridSpan w:val="2"/>
            <w:shd w:val="clear" w:color="auto" w:fill="CCEEFF"/>
          </w:tcPr>
          <w:p>
            <w:pPr>
              <w:ind w:left="140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620,350</w:t>
            </w:r>
          </w:p>
        </w:tc>
        <w:tc>
          <w:tcPr>
            <w:tcW w:w="9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October 4, 2013, the Company’s Credit Facility, as amended, provided a revolving line of credit of $325.0 million (including up to $50.0 million of letters of credit), with a maturity date of May 9, 2017. Borrowings under the Credit Facility bear interest, at the Company’s option, at either (1) the highest of the Federal Funds rate plus 0.50%, the Eurodollar rate plus 1.00%, or the administrative agent’s prime rate as announced from time to time, or (2) the Eurodollar rate, plus, in the case of each of (1) and (2), an applicable margin that is based on the Company’s total leverage ratio. At October 4, 2013, the weighted average effective interest rate on the Company’s outstanding borrowings under the Credit Facility was 2.94%. The Company has capitalized certain amounts of interest expense on the Credit Facility in connection with the construction of various assets during the construction period. The Credit Facility is required to be guaranteed by certain significant domestic subsidiaries of the Company (as defined in the Credit Facility) and secured by substantially all of the Company’s and any such subsidiaries’ assets. During the second quarter of fiscal year 2014, the last remaining subsidiary guarantor, ViaSat Communications, Inc., was merged into the Company. Accordingly, as of October 4, 2013, none of the Company’s subsidiaries guaranteed the Credit Facility.</w:t>
      </w:r>
    </w:p>
    <w:p>
      <w:pPr>
        <w:sectPr>
          <w:pgSz w:w="11900" w:h="16838" w:orient="portrait"/>
          <w:cols w:equalWidth="0" w:num="1">
            <w:col w:w="11380"/>
          </w:cols>
          <w:pgMar w:left="240" w:top="459" w:right="279" w:bottom="1440" w:gutter="0" w:footer="0" w:header="0"/>
        </w:sectPr>
      </w:pP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80"/>
          </w:cols>
          <w:pgMar w:left="240" w:top="459" w:right="2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Credit Facility contains financial covenants regarding a maximum total leverage ratio and a minimum interest coverage ratio. In addition, the Credit Facility contains covenants that restrict, among other things, the Company’s ability to sell assets, make investments and acquisitions, make capital expenditures, grant liens, pay dividends and make certain other restricted payments.</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Company was in compliance with its financial covenants under the Credit Facility as of October 4, 2013. At October 4, 2013, the Company had $35.0 million in principal amount of outstanding borrowings under the Credit Facility and $38.7 million outstanding under standby letters of credit, leaving borrowing availability under the Credit Facility as of October 4, 2013 of $251.3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February 2012, the Company issued $275.0 million in principal amount of 2020 Notes in a private placement to institutional buyers, which were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exchanged in August 2012 for substantially identical 2020 Notes that had been registered with the SEC. These initial 2020 Notes were issued at face value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recorded as long-term debt in the Company’s condensed consolidated financial statements. On October 12, 2012, the Company issued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principal amount of 2020 Notes in a private placement to institutional buyers at an issue price of 103.50% of the principal amount, which were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exchanged in January 2013 for substantially identical 2020 Notes that had been registered with the SEC. The 2020 Notes are all treated as a single class.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2020 Notes bear interest at the rate of 6.875% per year, payable semi-annually in cash in arrears, which interest payments commenced in June 2012. Deferred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financing cost associated with the issuance of the 2020 Notes is amortized to interest expense on a straight-line basis over the term of the 2020 Notes, the results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which are not materially different from the effective interest rate basis. The $10.5 million premium the Company received in connection with the issuance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additional 2020 Notes is recorded as long-term debt in the Company’s condensed consolidated financial statements and is being amortized as a reduction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on an effective interest rate basis over the term of those 2020 Notes.</w:t>
      </w:r>
    </w:p>
    <w:p>
      <w:pPr>
        <w:spacing w:after="0" w:line="165"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the Company’s existing and future subsidiaries that guarantees the Credit Facility. During the second quarter of fiscal year 2014, the last remaining subsidiary guarantor, ViaSat Communications, Inc., was merged into the Company. Accordingly, as of October 4, 2013, none of the Company’s subsidiaries guaranteed the 2020 Notes. The 2020 Notes are the Company’s general senior unsecured obligations and rank equally in right of payment with all of the Company’s existing and future unsecured unsubordinated debt. The 2020 Notes are effectively junior in right of payment to the Company’s existing and future secured debt, including under the Credit Facility (to the extent of the value of the assets securing such debt), are structurally subordinated to all existing and future liabilities (including trade payables) of the Company’s subsidiaries that do not guarantee the 2020 Notes, and are senior in right of payment to all of their existing and future subordinated indebtedness.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43" w:lineRule="exact"/>
        <w:rPr>
          <w:sz w:val="20"/>
          <w:szCs w:val="20"/>
          <w:color w:val="auto"/>
        </w:rPr>
      </w:pPr>
    </w:p>
    <w:p>
      <w:pPr>
        <w:ind w:right="20" w:firstLine="456"/>
        <w:spacing w:after="0" w:line="301" w:lineRule="auto"/>
        <w:rPr>
          <w:sz w:val="20"/>
          <w:szCs w:val="20"/>
          <w:color w:val="auto"/>
        </w:rPr>
      </w:pPr>
      <w:r>
        <w:rPr>
          <w:rFonts w:ascii="Arial" w:cs="Arial" w:eastAsia="Arial" w:hAnsi="Arial"/>
          <w:sz w:val="15"/>
          <w:szCs w:val="15"/>
          <w:color w:val="auto"/>
        </w:rPr>
        <w:t>Prior to June 15, 2015, the Company may redeem up to 35% of the 2020 Notes at a redemption price of 106.875% of the principal amount thereof, plus accrued and unpaid interest, if any, thereon to the redemption date, from the net cash proceeds of specified equity offerings. The Company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 (ii) 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w:t>
      </w:r>
    </w:p>
    <w:p>
      <w:pPr>
        <w:spacing w:after="0" w:line="4"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38"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In the event a change of control occurs (as defined in the indenture), each holder will have the right to require the Company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Product Warranty</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Company provides limited warranties on its products for periods of up to five years. The Company records a liability for its warranty obligations when products are shipped or they are included in long-term construction contracts based upon an estimate of expected warranty costs. Amounts expected to be incurred within twelve months are classified as a current liability. For mature products, the warranty cost estimates are based on historical experience with the particular product. For newer products that do not have a history of warranty cost, the Company bases its estimates on its experience with the technology involved and the type of failures that may occur. It is possible that the Company’s underlying assumptions will not reflect the actual experience and in that case, future adjustments will be made to the recorded warranty obligation. The following table reflects the change in the Company’s warranty accrual during the six months ended October 4, 2013 and September 28, 2012:</w:t>
      </w:r>
    </w:p>
    <w:p>
      <w:pPr>
        <w:spacing w:after="0" w:line="15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87"/>
              </w:rPr>
              <w:t>Six Months Ended</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3"/>
              </w:rPr>
              <w:t>October 4, 2013</w:t>
            </w:r>
          </w:p>
        </w:tc>
        <w:tc>
          <w:tcPr>
            <w:tcW w:w="1960" w:type="dxa"/>
            <w:vAlign w:val="bottom"/>
            <w:tcBorders>
              <w:bottom w:val="single" w:sz="8" w:color="auto"/>
            </w:tcBorders>
            <w:gridSpan w:val="3"/>
          </w:tcPr>
          <w:p>
            <w:pPr>
              <w:ind w:left="840"/>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14,107</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440"/>
              <w:spacing w:after="0"/>
              <w:rPr>
                <w:sz w:val="20"/>
                <w:szCs w:val="20"/>
                <w:color w:val="auto"/>
              </w:rPr>
            </w:pPr>
            <w:r>
              <w:rPr>
                <w:rFonts w:ascii="Arial" w:cs="Arial" w:eastAsia="Arial" w:hAnsi="Arial"/>
                <w:sz w:val="18"/>
                <w:szCs w:val="18"/>
                <w:color w:val="auto"/>
              </w:rPr>
              <w:t>Change in liability for warranties issued in period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4,957</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Settlements made (in cash or in kind) during the period</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580" w:type="dxa"/>
            <w:vAlign w:val="bottom"/>
            <w:vMerge w:val="continue"/>
          </w:tcPr>
          <w:p>
            <w:pPr>
              <w:spacing w:after="0"/>
              <w:rPr>
                <w:sz w:val="19"/>
                <w:szCs w:val="19"/>
                <w:color w:val="auto"/>
              </w:rPr>
            </w:pP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15,912</w:t>
            </w:r>
          </w:p>
        </w:tc>
        <w:tc>
          <w:tcPr>
            <w:tcW w:w="100" w:type="dxa"/>
            <w:vAlign w:val="bottom"/>
          </w:tcPr>
          <w:p>
            <w:pPr>
              <w:spacing w:after="0"/>
              <w:rPr>
                <w:sz w:val="19"/>
                <w:szCs w:val="19"/>
                <w:color w:val="auto"/>
              </w:rPr>
            </w:pP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13,402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May 2013, the Company entered into an agreement with The Boeing Company (Boeing) to purchase ViaSat-2, the Company’s second high-capacity Ka-band satellite, at a price of approximately $358.0 million, plus an additional amount for launch support services to be performed by Boeing.</w:t>
      </w:r>
    </w:p>
    <w:p>
      <w:pPr>
        <w:spacing w:after="0" w:line="85"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In February 2012, the Company filed a complaint against Space Systems/Loral, Inc. (SS/L) and its former parent company Loral Space &amp; Communications, Inc. (Loral) in the United States District Court for the Southern District of California for patent infringement and breach of contract relating to the manufacture of ViaSat-1. The Company alleges, among other things, that SS/L and Loral infringed U.S. Patent Nos. 8,107,875, 8,010,043, 8,068,827 and 7,773,942 by making, using, offering to sell and/or selling other high-capacity broadband satellites, and has requested monetary damages, injunctive relief and other remedies. In June 2012, SS/L filed counterclaims against the Company for patent infringement and declaratory relief. Specifically, SS/L seeks a judicial declaration that SS/L did not breach the parties’ contract for the manufacture of ViaSat-1, that SS/L does not infringe the Company’s patents described above, and that those patents are invalid and/or unenforceable. SS/L also alleges that the Company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On September 5, 2013, the Company filed a complaint against SS/L in the United States District Court for the Southern District of California for patent infringement relating to SS/L’s continued use of ViaSat’s patented technology in the manufacture of high-capacity broadband satellites. The Company alleges, among other things, that SS/L infringed U.S. Patent Nos. 8,213,929, 8,254,832 and 8,285,202 by making, using, offering to sell and/or selling other high-capacity broadband satellites. The Company has requested monetary damages, injunctive relief and other remedies.</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is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13" w:lineRule="exact"/>
        <w:rPr>
          <w:sz w:val="20"/>
          <w:szCs w:val="20"/>
          <w:color w:val="auto"/>
        </w:rPr>
      </w:pPr>
    </w:p>
    <w:p>
      <w:pPr>
        <w:ind w:right="40" w:firstLine="456"/>
        <w:spacing w:after="0" w:line="301" w:lineRule="auto"/>
        <w:rPr>
          <w:sz w:val="20"/>
          <w:szCs w:val="20"/>
          <w:color w:val="auto"/>
        </w:rPr>
      </w:pPr>
      <w:r>
        <w:rPr>
          <w:rFonts w:ascii="Arial" w:cs="Arial" w:eastAsia="Arial" w:hAnsi="Arial"/>
          <w:sz w:val="15"/>
          <w:szCs w:val="15"/>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w:t>
      </w:r>
    </w:p>
    <w:p>
      <w:pPr>
        <w:spacing w:after="0" w:line="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U.S. government agencies or if allegations of impropriety are made against it, the Company could suffer serious harm to its business or its reputation, including its ability to bid on new contracts or receive contract renewals and its competitive position in the bidding process. The Company’s incurred cost audits by the DCAA have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not been completed for fiscal year 2004 and subsequent fiscal years. Although the Company has recorded contract revenues subsequent to fiscal year 2003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October 4, 2013 and March 29, 2013, the Company had $7.3 million and $7.2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status of the related contracts.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Income Taxes</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Company currently estimates its annual effective income tax benefit rate to be approximately 80.0% for fiscal year 2014. The estimated annual effective income tax benefit rate differs from the expected statutory rate primarily due to federal and state research and development tax credits. The income tax benefit rate recorded for the three and six months ended October 4, 2013 exceeded the estimated annual income tax benefit rate primarily due to the release of a valuation allowance of $3.7 million on state net operating loss carryforwards.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the Company may have a higher annual effective tax benefit rate for fiscal year 2014, and the amount of any such tax rate reduction will depend on the effective date of any such extension, the terms of the extension, as well as the amount of eligible research and development expenses in the extended period.</w:t>
      </w:r>
    </w:p>
    <w:p>
      <w:pPr>
        <w:spacing w:after="0" w:line="118"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Future realization of the existing deferred tax asset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The Company’s analysis of the need for a valuation allowance considered the net income generated during the three and six months ended October 4, 2013 and the net losses incurred during both the three months ended June 28, 2013 and the fiscal year ended March 29, 2013. The cumulative loss from fiscal year 2013 and the three months ended June 28, 2013 was more significant than the income from the three and six months ended October 4, 2013 and a substantial portion of such loss resulted from an extinguishment of debt charge that was recorded upon the refinancing of the Company’s former 2016 Notes with the proceeds from the issuance of additional 2020 Notes, which provides a benefit to net income due to the lower interest rate of the 2020 Notes. The Company’s evaluation considered other factors, including the Company’s history of positive earnings, current earnings trends as its satellite subscriber base scales on its recently launched satellite, taxable income adjusted for certain items, the Company’s large contractual backlog, and forecasted income by jurisdiction. In the conclusion, consideration was also given to the lengthy period over which these net deferred tax assets can be realized, and the Company’s history of not having federal tax loss carryforwards expire unused. The Company evaluated its valuation allowance on state net operating loss carryforwards after the merger of ViaSat Communications, Inc. into ViaSat during the second quarter of fiscal year 2014. As a result, $3.7 million of the valuation on state net operating loss carryforwards was released during the three months ended October 4, 2013.</w:t>
      </w:r>
    </w:p>
    <w:p>
      <w:pPr>
        <w:spacing w:after="0" w:line="128"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three and six months ended October 4, 2013, the Company’s gross unrecognized tax benefits increased by $2.2 million and $3.2 million, respectively. In the next twelve months, it is reasonably possible that the amount of unrecognized tax benefits will decrease by up to approximately $1.0 million as a result of the expiration of the statute of limitations or settlements with tax authorities for previously filed tax returns.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Segment Information</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Company’s reporting segments, comprised of the satellite services, commercial networks and government systems segments, are primarily distinguished by the type of customer and the related contractual requirements. The Company’s satellite services segment provides retail and wholesale satellite-based broadband services for its consumer, enterprise and mobile broadband customers primarily in the United States, as well as managed network services for the satellite communication systems of the Company’s consumer, enterprise and mobile broadband customers worldwide. The Company’s commercial networks segment develops and produces a variety of advanced end-to-end satellite and other wireless communication systems and ground networking equipment and products, some of which are ultimately used by the Company’s satellite services segment. The Company’s government systems segment develops and produces network-centric, internet protocol (IP)-based secure fixed and mobile government communications systems, products, services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Segment revenues and operating profits (losses) for the three and six months ended October 4, 2013 and September 28, 2012 were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w w:val="93"/>
              </w:rPr>
              <w:t>Three Months Ended</w:t>
            </w:r>
          </w:p>
        </w:tc>
        <w:tc>
          <w:tcPr>
            <w:tcW w:w="6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w w:val="97"/>
              </w:rPr>
              <w:t>Six Months Ended</w:t>
            </w: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6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11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7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60" w:type="dxa"/>
            <w:vAlign w:val="bottom"/>
            <w:gridSpan w:val="3"/>
          </w:tcPr>
          <w:p>
            <w:pPr>
              <w:ind w:left="58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100,347</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64,332</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186,178</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123,120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100,351</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186,198</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105,146</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81,113</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196,970</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5,041</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5,424</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10,616</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10,797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110,187</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207,586</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Product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105,241</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84,387</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195,562</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860"/>
              <w:spacing w:after="0"/>
              <w:rPr>
                <w:sz w:val="20"/>
                <w:szCs w:val="20"/>
                <w:color w:val="auto"/>
              </w:rPr>
            </w:pPr>
            <w:r>
              <w:rPr>
                <w:rFonts w:ascii="Arial" w:cs="Arial" w:eastAsia="Arial" w:hAnsi="Arial"/>
                <w:sz w:val="18"/>
                <w:szCs w:val="18"/>
                <w:color w:val="auto"/>
              </w:rPr>
              <w:t>Service</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38,102</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44,591</w:t>
            </w: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85,637</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74,464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143,343</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128,978</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281,199</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Elimination of intersegment revenues</w:t>
            </w:r>
          </w:p>
        </w:tc>
        <w:tc>
          <w:tcPr>
            <w:tcW w:w="2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353,881</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282,822</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674,983</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524,585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Operating profits (losses):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Satellite Services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(14,638)</w:t>
            </w: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(19,373)</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(27,616)</w:t>
            </w: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Commercial Networks</w:t>
            </w:r>
          </w:p>
        </w:tc>
        <w:tc>
          <w:tcPr>
            <w:tcW w:w="220" w:type="dxa"/>
            <w:vAlign w:val="bottom"/>
          </w:tcPr>
          <w:p>
            <w:pPr>
              <w:spacing w:after="0"/>
              <w:rPr>
                <w:sz w:val="18"/>
                <w:szCs w:val="18"/>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(366)</w:t>
            </w:r>
          </w:p>
        </w:tc>
        <w:tc>
          <w:tcPr>
            <w:tcW w:w="48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(1,836)</w:t>
            </w:r>
          </w:p>
        </w:tc>
        <w:tc>
          <w:tcPr>
            <w:tcW w:w="2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2,970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(3,905)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Government Systems</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18,290</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24,391</w:t>
            </w: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34,857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39,251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Elimination of intersegment operating profits</w:t>
            </w:r>
          </w:p>
        </w:tc>
        <w:tc>
          <w:tcPr>
            <w:tcW w:w="220" w:type="dxa"/>
            <w:vAlign w:val="bottom"/>
          </w:tcPr>
          <w:p>
            <w:pPr>
              <w:spacing w:after="0"/>
              <w:rPr>
                <w:sz w:val="19"/>
                <w:szCs w:val="19"/>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 before corporate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amortization of acquired intangible assets</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7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10,211</w:t>
            </w:r>
          </w:p>
        </w:tc>
        <w:tc>
          <w:tcPr>
            <w:tcW w:w="3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42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18"/>
                <w:szCs w:val="18"/>
                <w:color w:val="auto"/>
              </w:rPr>
            </w:pPr>
          </w:p>
        </w:tc>
        <w:tc>
          <w:tcPr>
            <w:tcW w:w="138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36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acquired intangible assets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(3,796)</w:t>
            </w:r>
          </w:p>
        </w:tc>
        <w:tc>
          <w:tcPr>
            <w:tcW w:w="4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(4,041)</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(7,297)</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(8,105)</w:t>
            </w: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(Loss) income from operations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20" w:type="dxa"/>
            <w:vAlign w:val="bottom"/>
            <w:gridSpan w:val="2"/>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(510)</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(859)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2,914</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Assets identifiable to segments include: accounts receivable, unbilled accounts receivable, inventory, acquired intangible assets and goodwill. The Company’s property and equipment, including its satellites, gateways and other networking equipment, are assigned to corporate assets as they are available for use by the various segments throughout their estimated useful lives. Segment assets as of October 4, 2013 and March 29, 2013 were as follows: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October 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March 29,</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2013</w:t>
            </w: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40" w:type="dxa"/>
            <w:vAlign w:val="bottom"/>
            <w:gridSpan w:val="4"/>
          </w:tcPr>
          <w:p>
            <w:pPr>
              <w:jc w:val="right"/>
              <w:ind w:right="519"/>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Segment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Satellite Services</w:t>
            </w:r>
          </w:p>
        </w:tc>
        <w:tc>
          <w:tcPr>
            <w:tcW w:w="3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82,928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89,945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Networks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236,538</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Government Systems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206,740</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segment assets</w:t>
            </w:r>
          </w:p>
        </w:tc>
        <w:tc>
          <w:tcPr>
            <w:tcW w:w="3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526,206</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20" w:type="dxa"/>
            <w:vAlign w:val="bottom"/>
          </w:tcPr>
          <w:p>
            <w:pPr>
              <w:ind w:left="420"/>
              <w:spacing w:after="0"/>
              <w:rPr>
                <w:sz w:val="20"/>
                <w:szCs w:val="20"/>
                <w:color w:val="auto"/>
              </w:rPr>
            </w:pPr>
            <w:r>
              <w:rPr>
                <w:rFonts w:ascii="Arial" w:cs="Arial" w:eastAsia="Arial" w:hAnsi="Arial"/>
                <w:sz w:val="18"/>
                <w:szCs w:val="18"/>
                <w:color w:val="auto"/>
              </w:rPr>
              <w:t>Corporate assets</w:t>
            </w:r>
          </w:p>
        </w:tc>
        <w:tc>
          <w:tcPr>
            <w:tcW w:w="3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1,373,347</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1,290,840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1,899,553</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1,794,072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420" w:type="dxa"/>
            <w:vAlign w:val="bottom"/>
            <w:vMerge w:val="restart"/>
          </w:tcPr>
          <w:p>
            <w:pPr>
              <w:jc w:val="right"/>
              <w:ind w:right="2052"/>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acquired intangible assets, net and goodwill included in segment assets as of October 4, 2013 and March 29, 2013 were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20" w:type="dxa"/>
            <w:vAlign w:val="bottom"/>
            <w:gridSpan w:val="5"/>
          </w:tcPr>
          <w:p>
            <w:pPr>
              <w:jc w:val="center"/>
              <w:ind w:right="860"/>
              <w:spacing w:after="0"/>
              <w:rPr>
                <w:sz w:val="20"/>
                <w:szCs w:val="20"/>
                <w:color w:val="auto"/>
              </w:rPr>
            </w:pPr>
            <w:r>
              <w:rPr>
                <w:rFonts w:ascii="Arial" w:cs="Arial" w:eastAsia="Arial" w:hAnsi="Arial"/>
                <w:sz w:val="14"/>
                <w:szCs w:val="14"/>
                <w:b w:val="1"/>
                <w:bCs w:val="1"/>
                <w:color w:val="auto"/>
                <w:w w:val="91"/>
              </w:rPr>
              <w:t>Other Acquired Intangible</w:t>
            </w: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142"/>
              <w:spacing w:after="0"/>
              <w:rPr>
                <w:sz w:val="20"/>
                <w:szCs w:val="20"/>
                <w:color w:val="auto"/>
              </w:rPr>
            </w:pPr>
            <w:r>
              <w:rPr>
                <w:rFonts w:ascii="Arial" w:cs="Arial" w:eastAsia="Arial" w:hAnsi="Arial"/>
                <w:sz w:val="14"/>
                <w:szCs w:val="14"/>
                <w:b w:val="1"/>
                <w:bCs w:val="1"/>
                <w:color w:val="auto"/>
                <w:w w:val="81"/>
              </w:rPr>
              <w:t>Assets, Net</w:t>
            </w:r>
          </w:p>
        </w:tc>
        <w:tc>
          <w:tcPr>
            <w:tcW w:w="7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Goodwill</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ind w:right="239"/>
              <w:spacing w:after="0" w:line="129" w:lineRule="exact"/>
              <w:rPr>
                <w:sz w:val="20"/>
                <w:szCs w:val="20"/>
                <w:color w:val="auto"/>
              </w:rPr>
            </w:pPr>
            <w:r>
              <w:rPr>
                <w:rFonts w:ascii="Arial" w:cs="Arial" w:eastAsia="Arial" w:hAnsi="Arial"/>
                <w:sz w:val="14"/>
                <w:szCs w:val="14"/>
                <w:b w:val="1"/>
                <w:bCs w:val="1"/>
                <w:color w:val="auto"/>
              </w:rPr>
              <w:t>As of</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As of</w:t>
            </w: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As of</w:t>
            </w: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jc w:val="right"/>
              <w:ind w:right="216"/>
              <w:spacing w:after="0" w:line="129" w:lineRule="exact"/>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82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October 4, 2013</w:t>
            </w:r>
          </w:p>
        </w:tc>
        <w:tc>
          <w:tcPr>
            <w:tcW w:w="640" w:type="dxa"/>
            <w:vAlign w:val="bottom"/>
          </w:tcPr>
          <w:p>
            <w:pPr>
              <w:spacing w:after="0"/>
              <w:rPr>
                <w:sz w:val="14"/>
                <w:szCs w:val="14"/>
                <w:color w:val="auto"/>
              </w:rPr>
            </w:pPr>
          </w:p>
        </w:tc>
        <w:tc>
          <w:tcPr>
            <w:tcW w:w="1560" w:type="dxa"/>
            <w:vAlign w:val="bottom"/>
            <w:gridSpan w:val="3"/>
          </w:tcPr>
          <w:p>
            <w:pPr>
              <w:spacing w:after="0"/>
              <w:rPr>
                <w:sz w:val="20"/>
                <w:szCs w:val="20"/>
                <w:color w:val="auto"/>
              </w:rPr>
            </w:pPr>
            <w:r>
              <w:rPr>
                <w:rFonts w:ascii="Arial" w:cs="Arial" w:eastAsia="Arial" w:hAnsi="Arial"/>
                <w:sz w:val="14"/>
                <w:szCs w:val="14"/>
                <w:b w:val="1"/>
                <w:bCs w:val="1"/>
                <w:color w:val="auto"/>
              </w:rPr>
              <w:t>March 29, 2013</w:t>
            </w:r>
          </w:p>
        </w:tc>
        <w:tc>
          <w:tcPr>
            <w:tcW w:w="9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6"/>
              </w:rPr>
              <w:t>October 4, 2013</w:t>
            </w:r>
          </w:p>
        </w:tc>
        <w:tc>
          <w:tcPr>
            <w:tcW w:w="6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gridSpan w:val="3"/>
          </w:tcPr>
          <w:p>
            <w:pPr>
              <w:jc w:val="right"/>
              <w:ind w:right="46"/>
              <w:spacing w:after="0" w:line="142" w:lineRule="exact"/>
              <w:rPr>
                <w:sz w:val="20"/>
                <w:szCs w:val="20"/>
                <w:color w:val="auto"/>
              </w:rPr>
            </w:pPr>
            <w:r>
              <w:rPr>
                <w:rFonts w:ascii="Arial" w:cs="Arial" w:eastAsia="Arial" w:hAnsi="Arial"/>
                <w:sz w:val="14"/>
                <w:szCs w:val="14"/>
                <w:b w:val="1"/>
                <w:bCs w:val="1"/>
                <w:color w:val="auto"/>
              </w:rPr>
              <w:t>(In thousands)</w:t>
            </w: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34,459</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39,989</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9,809</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Commercial Networks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1,520</w:t>
            </w:r>
          </w:p>
        </w:tc>
        <w:tc>
          <w:tcPr>
            <w:tcW w:w="2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43,754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5,661</w:t>
            </w: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29,576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20" w:type="dxa"/>
            <w:vAlign w:val="bottom"/>
            <w:vMerge w:val="continue"/>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42,608</w:t>
            </w:r>
          </w:p>
        </w:tc>
        <w:tc>
          <w:tcPr>
            <w:tcW w:w="64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47,170</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83,139</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Amortization of acquired intangible assets by segment for the three and six months ended October 4, 2013 and September 28, 2012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9"/>
              </w:rPr>
              <w:t>Three Months Ended</w:t>
            </w: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Six Months Ended</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60" w:type="dxa"/>
            <w:vAlign w:val="bottom"/>
          </w:tcPr>
          <w:p>
            <w:pPr>
              <w:spacing w:after="0"/>
              <w:rPr>
                <w:sz w:val="12"/>
                <w:szCs w:val="12"/>
                <w:color w:val="auto"/>
              </w:rPr>
            </w:pPr>
          </w:p>
        </w:tc>
        <w:tc>
          <w:tcPr>
            <w:tcW w:w="9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7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7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October 4, 2013</w:t>
            </w:r>
          </w:p>
        </w:tc>
        <w:tc>
          <w:tcPr>
            <w:tcW w:w="7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100" w:type="dxa"/>
            <w:vAlign w:val="bottom"/>
          </w:tcPr>
          <w:p>
            <w:pPr>
              <w:spacing w:after="0"/>
              <w:rPr>
                <w:sz w:val="12"/>
                <w:szCs w:val="12"/>
                <w:color w:val="auto"/>
              </w:rPr>
            </w:pPr>
          </w:p>
        </w:tc>
      </w:tr>
      <w:tr>
        <w:trPr>
          <w:trHeight w:val="142"/>
        </w:trPr>
        <w:tc>
          <w:tcPr>
            <w:tcW w:w="4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0" w:type="dxa"/>
            <w:vAlign w:val="bottom"/>
            <w:gridSpan w:val="3"/>
          </w:tcPr>
          <w:p>
            <w:pPr>
              <w:ind w:left="520"/>
              <w:spacing w:after="0" w:line="142" w:lineRule="exact"/>
              <w:rPr>
                <w:sz w:val="20"/>
                <w:szCs w:val="20"/>
                <w:color w:val="auto"/>
              </w:rPr>
            </w:pPr>
            <w:r>
              <w:rPr>
                <w:rFonts w:ascii="Arial" w:cs="Arial" w:eastAsia="Arial" w:hAnsi="Arial"/>
                <w:sz w:val="14"/>
                <w:szCs w:val="14"/>
                <w:b w:val="1"/>
                <w:bCs w:val="1"/>
                <w:color w:val="auto"/>
              </w:rPr>
              <w:t>(In thousands)</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2,765</w:t>
            </w:r>
          </w:p>
        </w:tc>
        <w:tc>
          <w:tcPr>
            <w:tcW w:w="12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12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w:t>
            </w:r>
          </w:p>
        </w:tc>
        <w:tc>
          <w:tcPr>
            <w:tcW w:w="100" w:type="dxa"/>
            <w:vAlign w:val="bottom"/>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Commercial Networks</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509</w:t>
            </w: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177</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652</w:t>
            </w: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8"/>
                <w:szCs w:val="18"/>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w:t>
            </w:r>
          </w:p>
        </w:tc>
        <w:tc>
          <w:tcPr>
            <w:tcW w:w="3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7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7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72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100" w:type="dxa"/>
            <w:vAlign w:val="bottom"/>
            <w:shd w:val="clear" w:color="auto" w:fill="CCEEFF"/>
          </w:tcPr>
          <w:p>
            <w:pPr>
              <w:spacing w:after="0"/>
              <w:rPr>
                <w:sz w:val="18"/>
                <w:szCs w:val="18"/>
                <w:color w:val="auto"/>
              </w:rPr>
            </w:pPr>
          </w:p>
        </w:tc>
      </w:tr>
      <w:tr>
        <w:trPr>
          <w:trHeight w:val="222"/>
        </w:trPr>
        <w:tc>
          <w:tcPr>
            <w:tcW w:w="416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3,796</w:t>
            </w:r>
          </w:p>
        </w:tc>
        <w:tc>
          <w:tcPr>
            <w:tcW w:w="126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4,041</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7,297</w:t>
            </w:r>
          </w:p>
        </w:tc>
        <w:tc>
          <w:tcPr>
            <w:tcW w:w="122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8,105</w:t>
            </w:r>
          </w:p>
        </w:tc>
        <w:tc>
          <w:tcPr>
            <w:tcW w:w="100" w:type="dxa"/>
            <w:vAlign w:val="bottom"/>
          </w:tcPr>
          <w:p>
            <w:pPr>
              <w:spacing w:after="0"/>
              <w:rPr>
                <w:sz w:val="19"/>
                <w:szCs w:val="19"/>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Revenue information by geographic area for the three and six months ended October 4, 2013 and September 28, 2012 was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3"/>
          </w:tcPr>
          <w:p>
            <w:pPr>
              <w:ind w:left="520"/>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w w:val="97"/>
              </w:rPr>
              <w:t>Six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156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rPr>
              <w:t>October 4, 2013</w:t>
            </w:r>
          </w:p>
        </w:tc>
        <w:tc>
          <w:tcPr>
            <w:tcW w:w="11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6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2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w w:val="97"/>
              </w:rPr>
              <w:t>(In thousands)</w:t>
            </w: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257,898</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206,490</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496,697</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385,224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35,884</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54,330</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76,711</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86,545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49,953</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12,461</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82,818</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North America other than United States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8,520</w:t>
            </w:r>
          </w:p>
        </w:tc>
        <w:tc>
          <w:tcPr>
            <w:tcW w:w="6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6,900</w:t>
            </w:r>
          </w:p>
        </w:tc>
        <w:tc>
          <w:tcPr>
            <w:tcW w:w="2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16,298</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Central and Latin America</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w:t>
            </w:r>
          </w:p>
        </w:tc>
        <w:tc>
          <w:tcPr>
            <w:tcW w:w="6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2,459</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36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353,881</w:t>
            </w:r>
          </w:p>
        </w:tc>
        <w:tc>
          <w:tcPr>
            <w:tcW w:w="640" w:type="dxa"/>
            <w:vAlign w:val="bottom"/>
          </w:tcPr>
          <w:p>
            <w:pPr>
              <w:spacing w:after="0"/>
              <w:rPr>
                <w:sz w:val="19"/>
                <w:szCs w:val="19"/>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282,822</w:t>
            </w:r>
          </w:p>
        </w:tc>
        <w:tc>
          <w:tcPr>
            <w:tcW w:w="64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674,983</w:t>
            </w:r>
          </w:p>
        </w:tc>
        <w:tc>
          <w:tcPr>
            <w:tcW w:w="7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524,585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book value of long-lived assets located outside the United States was $18.7 million and $18.5 million at October 4, 2013 and March 29, 2013, respectively.</w:t>
      </w:r>
    </w:p>
    <w:p>
      <w:pPr>
        <w:spacing w:after="0" w:line="11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Certain Relationships and Related-Party Transactions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John Stenbit, a director of the Company since August 2004, also serves on the board of directors of Loral. In 2008, the Company entered into a beam sharing agreement with Loral, whereby Loral was responsible for contributing 15% of the total costs associated with the ViaSat-1 satellite project and satellite operating costs past launch. The beam sharing agreement was approved by the disinterested members of the Company’s Board of Directors, after a determination by the disinterested members of the Company’s Board that the terms and conditions of the agreement were fair to and in the best interests of the Company and its stockholders. In March 2011, Loral entered into agreements with Telesat Canada (an entity owned by TeleSat Holdings, Inc., a joint venture between Loral and the Public Sector Pension Investment Board) pursuant to which Loral assigned to Telesat Canada, and Telesat Canada assumed from Loral, all of Loral’s rights and obligations with respect to the Canadian beams on ViaSat-1. Material amounts related to the beam sharing agreement with Telesat Canada are disclosed in the tables below.</w:t>
      </w:r>
    </w:p>
    <w:p>
      <w:pPr>
        <w:spacing w:after="0" w:line="11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In addition, from time to time, the Company enters into various contracts in the ordinary course of business with Loral and Telesat Canada. Material amounts related to these contracts are disclosed in the tables below.</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 for the three and six months ended October 4, 2013 and September 28, 2012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322"/>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1520" w:type="dxa"/>
            <w:vAlign w:val="bottom"/>
            <w:tcBorders>
              <w:bottom w:val="single" w:sz="8" w:color="auto"/>
            </w:tcBorders>
            <w:gridSpan w:val="2"/>
          </w:tcPr>
          <w:p>
            <w:pPr>
              <w:ind w:left="380"/>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7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October 4, 2013</w:t>
            </w:r>
          </w:p>
        </w:tc>
        <w:tc>
          <w:tcPr>
            <w:tcW w:w="1520" w:type="dxa"/>
            <w:vAlign w:val="bottom"/>
            <w:tcBorders>
              <w:bottom w:val="single" w:sz="8" w:color="auto"/>
            </w:tcBorders>
            <w:gridSpan w:val="2"/>
          </w:tcPr>
          <w:p>
            <w:pPr>
              <w:ind w:left="400"/>
              <w:spacing w:after="0" w:line="142" w:lineRule="exact"/>
              <w:rPr>
                <w:sz w:val="20"/>
                <w:szCs w:val="20"/>
                <w:color w:val="auto"/>
              </w:rPr>
            </w:pPr>
            <w:r>
              <w:rPr>
                <w:rFonts w:ascii="Arial" w:cs="Arial" w:eastAsia="Arial" w:hAnsi="Arial"/>
                <w:sz w:val="14"/>
                <w:szCs w:val="14"/>
                <w:b w:val="1"/>
                <w:bCs w:val="1"/>
                <w:color w:val="auto"/>
                <w:w w:val="84"/>
              </w:rPr>
              <w:t>September 28, 2012</w:t>
            </w:r>
          </w:p>
        </w:tc>
        <w:tc>
          <w:tcPr>
            <w:tcW w:w="10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60" w:type="dxa"/>
            <w:vAlign w:val="bottom"/>
            <w:gridSpan w:val="3"/>
          </w:tcPr>
          <w:p>
            <w:pPr>
              <w:ind w:left="560"/>
              <w:spacing w:after="0" w:line="142" w:lineRule="exact"/>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8"/>
        </w:trPr>
        <w:tc>
          <w:tcPr>
            <w:tcW w:w="3480" w:type="dxa"/>
            <w:vAlign w:val="bottom"/>
          </w:tcPr>
          <w:p>
            <w:pPr>
              <w:ind w:left="440"/>
              <w:spacing w:after="0"/>
              <w:rPr>
                <w:sz w:val="20"/>
                <w:szCs w:val="20"/>
                <w:color w:val="auto"/>
              </w:rPr>
            </w:pPr>
            <w:r>
              <w:rPr>
                <w:rFonts w:ascii="Arial" w:cs="Arial" w:eastAsia="Arial" w:hAnsi="Arial"/>
                <w:sz w:val="18"/>
                <w:szCs w:val="18"/>
                <w:color w:val="auto"/>
              </w:rPr>
              <w:t>Telesat Canada – ordinary course of</w:t>
            </w: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480" w:type="dxa"/>
            <w:vAlign w:val="bottom"/>
          </w:tcPr>
          <w:p>
            <w:pPr>
              <w:ind w:left="660"/>
              <w:spacing w:after="0"/>
              <w:rPr>
                <w:sz w:val="20"/>
                <w:szCs w:val="20"/>
                <w:color w:val="auto"/>
              </w:rPr>
            </w:pPr>
            <w:r>
              <w:rPr>
                <w:rFonts w:ascii="Arial" w:cs="Arial" w:eastAsia="Arial" w:hAnsi="Arial"/>
                <w:sz w:val="18"/>
                <w:szCs w:val="18"/>
                <w:color w:val="auto"/>
              </w:rPr>
              <w:t>business</w:t>
            </w:r>
          </w:p>
        </w:tc>
        <w:tc>
          <w:tcPr>
            <w:tcW w:w="82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22"/>
              <w:spacing w:after="0"/>
              <w:rPr>
                <w:sz w:val="20"/>
                <w:szCs w:val="20"/>
                <w:color w:val="auto"/>
              </w:rPr>
            </w:pPr>
            <w:r>
              <w:rPr>
                <w:rFonts w:ascii="Arial" w:cs="Arial" w:eastAsia="Arial" w:hAnsi="Arial"/>
                <w:sz w:val="18"/>
                <w:szCs w:val="18"/>
                <w:color w:val="auto"/>
              </w:rPr>
              <w:t>1,506</w:t>
            </w:r>
          </w:p>
        </w:tc>
        <w:tc>
          <w:tcPr>
            <w:tcW w:w="920" w:type="dxa"/>
            <w:vAlign w:val="bottom"/>
          </w:tcPr>
          <w:p>
            <w:pPr>
              <w:ind w:left="3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1,496</w:t>
            </w:r>
          </w:p>
        </w:tc>
        <w:tc>
          <w:tcPr>
            <w:tcW w:w="106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2"/>
              <w:spacing w:after="0"/>
              <w:rPr>
                <w:sz w:val="20"/>
                <w:szCs w:val="20"/>
                <w:color w:val="auto"/>
              </w:rPr>
            </w:pPr>
            <w:r>
              <w:rPr>
                <w:rFonts w:ascii="Arial" w:cs="Arial" w:eastAsia="Arial" w:hAnsi="Arial"/>
                <w:sz w:val="18"/>
                <w:szCs w:val="18"/>
                <w:color w:val="auto"/>
              </w:rPr>
              <w:t>4,039</w:t>
            </w:r>
          </w:p>
        </w:tc>
        <w:tc>
          <w:tcPr>
            <w:tcW w:w="880" w:type="dxa"/>
            <w:vAlign w:val="bottom"/>
          </w:tcPr>
          <w:p>
            <w:pPr>
              <w:ind w:left="4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1,986</w:t>
            </w:r>
          </w:p>
        </w:tc>
        <w:tc>
          <w:tcPr>
            <w:tcW w:w="100" w:type="dxa"/>
            <w:vAlign w:val="bottom"/>
          </w:tcPr>
          <w:p>
            <w:pPr>
              <w:spacing w:after="0"/>
              <w:rPr>
                <w:sz w:val="19"/>
                <w:szCs w:val="19"/>
                <w:color w:val="auto"/>
              </w:rPr>
            </w:pP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Cash paid during the six months ended October 4, 2013 and September 28, 2012 was as follows:</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7"/>
              <w:spacing w:after="0"/>
              <w:rPr>
                <w:sz w:val="20"/>
                <w:szCs w:val="20"/>
                <w:color w:val="auto"/>
              </w:rPr>
            </w:pPr>
            <w:r>
              <w:rPr>
                <w:rFonts w:ascii="Arial" w:cs="Arial" w:eastAsia="Arial" w:hAnsi="Arial"/>
                <w:sz w:val="14"/>
                <w:szCs w:val="14"/>
                <w:b w:val="1"/>
                <w:bCs w:val="1"/>
                <w:color w:val="auto"/>
                <w:w w:val="88"/>
              </w:rPr>
              <w:t>Six Months Ended</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4"/>
              </w:rPr>
              <w:t>October 4, 2013</w:t>
            </w:r>
          </w:p>
        </w:tc>
        <w:tc>
          <w:tcPr>
            <w:tcW w:w="2060" w:type="dxa"/>
            <w:vAlign w:val="bottom"/>
            <w:tcBorders>
              <w:bottom w:val="single" w:sz="8" w:color="auto"/>
            </w:tcBorders>
            <w:gridSpan w:val="2"/>
          </w:tcPr>
          <w:p>
            <w:pPr>
              <w:ind w:left="920"/>
              <w:spacing w:after="0" w:line="142" w:lineRule="exact"/>
              <w:rPr>
                <w:sz w:val="20"/>
                <w:szCs w:val="20"/>
                <w:color w:val="auto"/>
              </w:rPr>
            </w:pPr>
            <w:r>
              <w:rPr>
                <w:rFonts w:ascii="Arial" w:cs="Arial" w:eastAsia="Arial" w:hAnsi="Arial"/>
                <w:sz w:val="14"/>
                <w:szCs w:val="14"/>
                <w:b w:val="1"/>
                <w:bCs w:val="1"/>
                <w:color w:val="auto"/>
                <w:w w:val="85"/>
              </w:rPr>
              <w:t>September 28, 2012</w:t>
            </w:r>
          </w:p>
        </w:tc>
        <w:tc>
          <w:tcPr>
            <w:tcW w:w="100" w:type="dxa"/>
            <w:vAlign w:val="bottom"/>
          </w:tcPr>
          <w:p>
            <w:pPr>
              <w:spacing w:after="0"/>
              <w:rPr>
                <w:sz w:val="12"/>
                <w:szCs w:val="12"/>
                <w:color w:val="auto"/>
              </w:rPr>
            </w:pPr>
          </w:p>
        </w:tc>
      </w:tr>
      <w:tr>
        <w:trPr>
          <w:trHeight w:val="142"/>
        </w:trPr>
        <w:tc>
          <w:tcPr>
            <w:tcW w:w="39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380" w:type="dxa"/>
            <w:vAlign w:val="bottom"/>
          </w:tcPr>
          <w:p>
            <w:pPr>
              <w:jc w:val="center"/>
              <w:ind w:right="187"/>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1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2"/>
        </w:trPr>
        <w:tc>
          <w:tcPr>
            <w:tcW w:w="3920" w:type="dxa"/>
            <w:vAlign w:val="bottom"/>
          </w:tcPr>
          <w:p>
            <w:pPr>
              <w:ind w:left="440"/>
              <w:spacing w:after="0"/>
              <w:rPr>
                <w:sz w:val="20"/>
                <w:szCs w:val="20"/>
                <w:color w:val="auto"/>
              </w:rPr>
            </w:pPr>
            <w:r>
              <w:rPr>
                <w:rFonts w:ascii="Arial" w:cs="Arial" w:eastAsia="Arial" w:hAnsi="Arial"/>
                <w:sz w:val="18"/>
                <w:szCs w:val="18"/>
                <w:color w:val="auto"/>
                <w:w w:val="94"/>
              </w:rPr>
              <w:t>Telesat Canada – ordinary course of business</w:t>
            </w:r>
          </w:p>
        </w:tc>
        <w:tc>
          <w:tcPr>
            <w:tcW w:w="1980" w:type="dxa"/>
            <w:vAlign w:val="bottom"/>
            <w:gridSpan w:val="2"/>
          </w:tcPr>
          <w:p>
            <w:pPr>
              <w:jc w:val="right"/>
              <w:ind w:right="152"/>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3,519</w:t>
            </w:r>
          </w:p>
        </w:tc>
        <w:tc>
          <w:tcPr>
            <w:tcW w:w="1380" w:type="dxa"/>
            <w:vAlign w:val="bottom"/>
          </w:tcPr>
          <w:p>
            <w:pPr>
              <w:ind w:left="9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3,675</w:t>
            </w:r>
          </w:p>
        </w:tc>
        <w:tc>
          <w:tcPr>
            <w:tcW w:w="100" w:type="dxa"/>
            <w:vAlign w:val="bottom"/>
          </w:tcPr>
          <w:p>
            <w:pPr>
              <w:spacing w:after="0"/>
              <w:rPr>
                <w:sz w:val="19"/>
                <w:szCs w:val="19"/>
                <w:color w:val="auto"/>
              </w:rPr>
            </w:pPr>
          </w:p>
        </w:tc>
      </w:tr>
      <w:tr>
        <w:trPr>
          <w:trHeight w:val="356"/>
        </w:trPr>
        <w:tc>
          <w:tcPr>
            <w:tcW w:w="3920" w:type="dxa"/>
            <w:vAlign w:val="bottom"/>
          </w:tcPr>
          <w:p>
            <w:pPr>
              <w:spacing w:after="0"/>
              <w:rPr>
                <w:sz w:val="24"/>
                <w:szCs w:val="24"/>
                <w:color w:val="auto"/>
              </w:rPr>
            </w:pPr>
          </w:p>
        </w:tc>
        <w:tc>
          <w:tcPr>
            <w:tcW w:w="1680" w:type="dxa"/>
            <w:vAlign w:val="bottom"/>
          </w:tcPr>
          <w:p>
            <w:pPr>
              <w:jc w:val="right"/>
              <w:ind w:right="1092"/>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180"/>
        <w:spacing w:after="0" w:line="34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that refer to projections of earnings, revenue, costs or other financial items; anticipated growth and trends in our business or key markets; future economic conditions and performance; anticipated performance of products or services; satellite construction activities; the performance and anticipated benefits of the ViaSat-2 satellite; the expected capacity, service, coverage, service speeds and other features of ViaSat-2, and the timing, cost, economics and other benefits associated therewith; anticipated subscriber growth; plans, objectives and strategies for future operations;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include: our ability to realize the anticipated benefits of the ViaSat-2 satellite; unexpected expenses related to the satellite project; our ability to successfully implement our business plan for our broadband satellite services on our anticipated timeline or at all, including with respect to the ViaSat-2 satellite system; risks associated with the construction, launch and operation of ViaSat-2 and our other satellites, including the effect of any anomaly, operational failure or degradation in satellite performance; negative audits by the U.S. government; continued turmoil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our ability to successfully develop, introduce and sell new technologies, products and services;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and other factors affecting the communications and defense industries generally; the effect of adverse regulatory changes on our ability to sell products and services;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w:t>
      </w:r>
    </w:p>
    <w:p>
      <w:pPr>
        <w:spacing w:after="0" w:line="4"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Item 1A of our Annual Report on Form 10-K for the fiscal year ended March 29, 2013, under the heading “Risk Factors” in Part II, Item 1A of this report, elsewhere in this report and our other filings with the Securities and Exchange Commission (SEC). Therefore, actual results may differ materially and adversely from those expressed in any forward-looking statements. We undertake no obligation to revise or update any forward-looking statements for any reason.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We are a leading provider of high-speed fixed and mobile broadband services, advanced satellite and other wireless networks and secure networking systems, products and services. We have leveraged our success developing complex satellite communication systems and equipment for the U.S. government and select commercial customers to develop next-generation satellite broadband technologies and services for both fixed and mobile users. Our product, systems and service offerings are often linked through common underlying technologies, customer applications and market relationships. We believe that our portfolio of products and services, combined with our ability to effectively cross-deploy technologies between government and commercial segments and across different geographic markets, provides us with a strong foundation to sustain and enhance our leadership in advanced communications and networking technologies. ViaSat, Inc. was incorporated in California in 1986, and reincorporated as a Delaware corporation in 1996.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conduct our business through three segments: satellite services, commercial networks and government systems.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 Services</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satellite services segment provides retail and wholesale satellite-based broadband services for our consumer, enterprise and mobile broadband customers primarily in the United States. Our satellite services business also provides a platform for the provision of network management services to domestic and international satellite service providers. During the first quarter of fiscal year 2014, we announced our entry into a satellite construction contract for ViaSat-2, our second high-capacity Ka-band satellite.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services offered by our satellite services segment are comprised of:</w:t>
      </w:r>
    </w:p>
    <w:p>
      <w:pPr>
        <w:spacing w:after="0" w:line="90" w:lineRule="exact"/>
        <w:rPr>
          <w:sz w:val="20"/>
          <w:szCs w:val="20"/>
          <w:color w:val="auto"/>
        </w:rPr>
      </w:pPr>
    </w:p>
    <w:p>
      <w:pPr>
        <w:ind w:left="900" w:right="240" w:hanging="325"/>
        <w:spacing w:after="0" w:line="291"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Retail and Wholesale Broadband Satellite Services. </w:t>
      </w:r>
      <w:r>
        <w:rPr>
          <w:rFonts w:ascii="Arial" w:cs="Arial" w:eastAsia="Arial" w:hAnsi="Arial"/>
          <w:sz w:val="16"/>
          <w:szCs w:val="16"/>
          <w:color w:val="auto"/>
        </w:rPr>
        <w:t>Our retail and wholesale broadband satellite services offered under the Exede</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and WildBlue</w:t>
      </w:r>
      <w:r>
        <w:rPr>
          <w:rFonts w:ascii="Arial" w:cs="Arial" w:eastAsia="Arial" w:hAnsi="Arial"/>
          <w:sz w:val="10"/>
          <w:szCs w:val="10"/>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brands provide two-way satellite-based broadband internet access to consumers and small businesses in the United States and recently, voice over internet protocol (VOIP). We offer a range of service plans to both retail and wholesale customers, with pricing based on a number of different factors, including bandwidth limits, service quality levels and terms of distribution. We offer wholesale broadband services to our national and regional distribution partners, including direct-to-home satellite video providers, retail service providers and communications companies. As of October 4, 2013, we provided broadband satellite services to approximately 591,000 subscribers.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42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Mobile Broadband Services. </w:t>
      </w:r>
      <w:r>
        <w:rPr>
          <w:rFonts w:ascii="Arial" w:cs="Arial" w:eastAsia="Arial" w:hAnsi="Arial"/>
          <w:sz w:val="18"/>
          <w:szCs w:val="18"/>
          <w:color w:val="auto"/>
        </w:rPr>
        <w:t>Our Yonder</w:t>
      </w:r>
      <w:r>
        <w:rPr>
          <w:rFonts w:ascii="Arial" w:cs="Arial" w:eastAsia="Arial" w:hAnsi="Arial"/>
          <w:sz w:val="11"/>
          <w:szCs w:val="1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mobile broadband services provide global network management and high-speed internet connectivity</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for customers using airborne, maritime and ground-mobile satellite systems.</w:t>
      </w:r>
    </w:p>
    <w:p>
      <w:pPr>
        <w:spacing w:after="0" w:line="50" w:lineRule="exact"/>
        <w:rPr>
          <w:rFonts w:ascii="Arial" w:cs="Arial" w:eastAsia="Arial" w:hAnsi="Arial"/>
          <w:sz w:val="18"/>
          <w:szCs w:val="18"/>
          <w:color w:val="auto"/>
        </w:rPr>
      </w:pPr>
    </w:p>
    <w:p>
      <w:pPr>
        <w:jc w:val="both"/>
        <w:ind w:left="900" w:right="48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Enterprise Broadband Services. </w:t>
      </w:r>
      <w:r>
        <w:rPr>
          <w:rFonts w:ascii="Arial" w:cs="Arial" w:eastAsia="Arial" w:hAnsi="Arial"/>
          <w:sz w:val="18"/>
          <w:szCs w:val="18"/>
          <w:color w:val="auto"/>
        </w:rPr>
        <w:t>We also offer high-speed broadband services to enterprises, who are increasingly requiring higher-speed, more</w:t>
      </w:r>
      <w:r>
        <w:rPr>
          <w:rFonts w:ascii="Arial" w:cs="Arial" w:eastAsia="Arial" w:hAnsi="Arial"/>
          <w:sz w:val="18"/>
          <w:szCs w:val="18"/>
          <w:i w:val="1"/>
          <w:iCs w:val="1"/>
          <w:color w:val="auto"/>
        </w:rPr>
        <w:t xml:space="preserve"> </w:t>
      </w:r>
      <w:r>
        <w:rPr>
          <w:rFonts w:ascii="Arial" w:cs="Arial" w:eastAsia="Arial" w:hAnsi="Arial"/>
          <w:sz w:val="18"/>
          <w:szCs w:val="18"/>
          <w:color w:val="auto"/>
        </w:rPr>
        <w:t>economical communications in hard-to-reach locations, as well as mobile broadband solutions. Our enterprise broadband services include high definition satellite news gathering, in-flight WiFi and live on-line event streaming.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Networks</w:t>
      </w:r>
    </w:p>
    <w:p>
      <w:pPr>
        <w:spacing w:after="0" w:line="96"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commercial networks segment develops and produces a variety of advanced end-to-end satellite and other wireless communication systems and ground networking equipment and products that address five key market segments: consumer, enterprise, in-flight, maritime and ground mobile applications. These communication systems, networking equipment and products are generally developed through a combination of customer and discretionary internal research and development funding, and are either sold to our commercial networks customers or utilized to provide services through our satellite services segment.</w:t>
      </w:r>
    </w:p>
    <w:p>
      <w:pPr>
        <w:spacing w:after="0" w:line="98" w:lineRule="exact"/>
        <w:rPr>
          <w:sz w:val="20"/>
          <w:szCs w:val="20"/>
          <w:color w:val="auto"/>
        </w:rPr>
      </w:pPr>
    </w:p>
    <w:p>
      <w:pPr>
        <w:ind w:right="720" w:firstLine="456"/>
        <w:spacing w:after="0" w:line="268" w:lineRule="auto"/>
        <w:rPr>
          <w:sz w:val="20"/>
          <w:szCs w:val="20"/>
          <w:color w:val="auto"/>
        </w:rPr>
      </w:pPr>
      <w:r>
        <w:rPr>
          <w:rFonts w:ascii="Arial" w:cs="Arial" w:eastAsia="Arial" w:hAnsi="Arial"/>
          <w:sz w:val="18"/>
          <w:szCs w:val="18"/>
          <w:color w:val="auto"/>
        </w:rPr>
        <w:t>Our satellite communication systems, ground networking equipment and products cater to a wide range of domestic and international commercial customers and include:</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Fixed satellite networks, including next-generation satellite network infrastructure and ground terminals to access high-capacity satellites.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Mobile broadband satellite communication systems, designed for use in aircraft, high-speed trains and seagoing vessels.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Antenna systems for terrestrial and satellite applications, specializing in geospatial imagery, mobile satellite communication, Ka-band gateways and other multi-band antennas.</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Satellite networking development programs, including specialized design and technology services covering all aspects of satellite communication system architecture and technology.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Systems</w:t>
      </w:r>
    </w:p>
    <w:p>
      <w:pPr>
        <w:spacing w:after="0" w:line="96"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government systems segment develops and produces network-centric internet protocol (IP)-based fixed and mobile secure government communications systems, products, services and solutions, which are designed to enable the collection and dissemination of secure real-time digital information between command centers, communications nodes and air defense systems. Customers of our government systems segment include the U.S. Department of Defense (DoD), armed forces, public safety first-responders and remote government employees.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90" w:lineRule="exact"/>
        <w:rPr>
          <w:sz w:val="20"/>
          <w:szCs w:val="20"/>
          <w:color w:val="auto"/>
        </w:rPr>
      </w:pPr>
    </w:p>
    <w:p>
      <w:pPr>
        <w:ind w:left="900" w:right="1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Government satellite communication systems, which comprise an array of portable, mobile and fixed broadband modems, terminals, network access control systems and antenna systems using a range of satellite frequency bands for line-of-sight and beyond-line-of-sight Intelligence, Surveillance and Reconnaissance (ISR) and Command and Control (C2) missions and satellite networking services, as well as products designed for manpacks, aircraft, unmanned aerial vehicles (UAVs), seagoing vessels, ground mobile vehicles and fixed applications.</w:t>
      </w:r>
    </w:p>
    <w:p>
      <w:pPr>
        <w:spacing w:after="0" w:line="31" w:lineRule="exact"/>
        <w:rPr>
          <w:rFonts w:ascii="Arial" w:cs="Arial" w:eastAsia="Arial" w:hAnsi="Arial"/>
          <w:sz w:val="16"/>
          <w:szCs w:val="16"/>
          <w:color w:val="auto"/>
        </w:rPr>
      </w:pPr>
    </w:p>
    <w:p>
      <w:pPr>
        <w:jc w:val="both"/>
        <w:ind w:left="900" w:right="48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assurance products and secure networking solutions, which provide advanced, high-speed IP-based “Type 1” and High Assurance Internet Protocol Encryption (HAIPE</w:t>
      </w:r>
      <w:r>
        <w:rPr>
          <w:rFonts w:ascii="Arial" w:cs="Arial" w:eastAsia="Arial" w:hAnsi="Arial"/>
          <w:sz w:val="11"/>
          <w:szCs w:val="11"/>
          <w:color w:val="auto"/>
        </w:rPr>
        <w:t>®</w:t>
      </w:r>
      <w:r>
        <w:rPr>
          <w:rFonts w:ascii="Arial" w:cs="Arial" w:eastAsia="Arial" w:hAnsi="Arial"/>
          <w:sz w:val="18"/>
          <w:szCs w:val="18"/>
          <w:color w:val="auto"/>
        </w:rPr>
        <w:t>)-compliant encryption solutions that enable military and government users to communicate information securely over networks, and that secure data stored on computers and storage devices.</w:t>
      </w:r>
    </w:p>
    <w:p>
      <w:pPr>
        <w:spacing w:after="0" w:line="59" w:lineRule="exact"/>
        <w:rPr>
          <w:rFonts w:ascii="Arial" w:cs="Arial" w:eastAsia="Arial" w:hAnsi="Arial"/>
          <w:sz w:val="18"/>
          <w:szCs w:val="18"/>
          <w:color w:val="auto"/>
        </w:rPr>
      </w:pPr>
    </w:p>
    <w:p>
      <w:pPr>
        <w:ind w:left="900" w:right="16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Tactical data links, including Multifunctional Information Distribution System (MIDS) terminals for military fighter jets and their successor, MIDS Joint Tactical Radio System (MIDS-JTRS) terminals, “disposable” weapon data links and portable small tactical terminals.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satellite services segment revenues are primarily derived from our domestic satellite broadband services business and from our worldwide managed network services. Our satellite broadband services business comprised approximately 23% and 19% of total revenues during the three months ended October 4, 2013 and September 28, 2012, respectively, and 22% and 20% of total revenues during the six months ended October 4, 2013 and September 28, 2012, respectively.</w:t>
      </w:r>
    </w:p>
    <w:p>
      <w:pPr>
        <w:spacing w:after="0" w:line="143"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With respect to our commercial networks and government systems segments, to date, our ability to grow and maintain our revenues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Our products in these segments are provided primarily through three types of contracts: fixed-price, time-and-materials and cost-reimbursement contracts. Fixed-price contracts (which require us to provide products and services under a contract at a specified price) comprised approximately 93% and 95% of our total revenues for these segments for the three months ended October 4, 2013 and September 28, 2012, respectively, and 93% and 94% of our total revenues for these segments for the six months ended October 4, 2013 and September 28, 2012, respectively. The remainder of our revenue in these segments for such periods was derived from cost-reimbursement contracts (under which we are reimbursed for all actual costs incurred in performing the contract to the extent such costs are within the contract ceiling and allowable under the terms of the contract, plus a fee or profit) and from time-and-materials contracts (which reimburse us for the number of labor hours expended at an established hourly rate negotiated in the contract, plus the cost of materials utilized in providing such products or services).</w:t>
      </w:r>
    </w:p>
    <w:p>
      <w:pPr>
        <w:spacing w:after="0" w:line="105"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research and development of products. The research and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our funded research and development from our customer contracts were approximately $121.3 million or 34% and $74.6 million or 26% of our total revenues in the three months ended October 4, 2013 and September 28, 2012, respectively. Revenues for our funded research and development from our customer contracts were approximately $209.2 million or 31% and $143.3 million or 27% of our total revenues in the six months ended October 4, 2013 and September 28, 2012, respectively.</w:t>
      </w:r>
    </w:p>
    <w:p>
      <w:pPr>
        <w:spacing w:after="0" w:line="14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incur independent research and development (IR&amp;D) expenses, which are not directly funded by a third party. IR&amp;D expenses consist primarily of salaries and other personnel-related expenses, supplies, prototype materials, testing and certification related to research and development projects. IR&amp;D expenses were approximately 4% and 3% of total revenues during the three months ended October 4, 2013 and September 28, 2012, respectively, and approximately 4% and 3% of total revenues during the six months ended October 4, 2013 and September 28, 2012, respectively. As a government contractor, we are able to recover a portion of our IR&amp;D expenses pursuant to our government contracts.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A substantial portion of our revenues is derived from long-term contracts requiring development and delivery of complex equipment built to customer specifications. Sales related to these contracts are accounted for under the authoritative guidance for the percentage-of-completion method of accounting (Accounting Standards Codification (ASC) 605-35). Sales and earnings under these contracts are recorded either based on the ratio of actual costs incurred to date to total estimated costs expected to be incurred related to the contract, or as products are shipped under the units-of-delivery method.</w:t>
      </w:r>
    </w:p>
    <w:p>
      <w:pPr>
        <w:spacing w:after="0" w:line="11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The percentage-of-completion method of accounting requires management to estimate the profit margin for each individual contract and to apply that profit margin on a uniform basis as sales are recorded under the contract. The estimation of profit margins requires management to make projections of the total sales to be generated and the total costs that will be incurred under a contract. These projections require management to make numerous assumptions and estimates relating to items such as the complexity of design and related development costs, performance of subcontractors, availability and cost of materials, labor productivity and cost, overhead and capital costs and manufacturing efficiency. These contracts often include purchase options for additional quantities and customer change orders for additional or revised product functionality. Purchase options and change orders are accounted for either as an integral part of the original contract or separately depending upon the nature and value of the item. For contract claims or similar items, we apply judgment in estimating the amounts and assessing the potential for realization. These amounts are only included in contract value when they can be reliably estimated and realization is considered probable. Anticipated losses on contracts are recognized in full in the period in which losses become probable and estimable. During the three months ended October 4, 2013 and September 28, 2012, we recorded losses of approximately $0.6 million and $1.1 million, respectively, related to loss contracts. During the six months ended October 4, 2013 and September 28, 2012, we recorded losses of approximately $1.0 million and $2.4 million, respectively, related to loss contracts.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Assuming the initial estimates of sales and costs under a contract are accurate, the percentage-of-completion method results in the profit margin being recorded evenly as revenue is recognized under the contract. Changes in these underlying estimates due to revisions in sales and future cost estimates or the exercise of contract options may result in profit margins being recognized unevenly over a contract as such changes are accounted for on a cumulative basis in the period estimates are revised. We believe we have established appropriate systems and processes to enable us to reasonably estimate future costs on our programs through regular evaluations of contract costs, scheduling and technical matters by business unit personnel and management. Historically, in the aggregate, we have not experienced significant deviations in actual costs from estimated program costs, and when deviations that result in significant adjustments arise, we disclose the related impact in Management’s Discussion and Analysis of Financial Condition and Results of Operations. However, these estimates require significant management judgment and a significant change in future cost estimates on one or more programs could have a material effect on our results of operations. A one percent variance in our future cost estimates on open fixed-price contracts as of October 4, 2013 would change our loss before income taxes by approximately $0.7 million.</w:t>
      </w:r>
    </w:p>
    <w:p>
      <w:pPr>
        <w:spacing w:after="0" w:line="123"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also derive a substantial portion of our revenues from contracts and purchase orders where revenue is recorded on delivery of products or performance of services in accordance with the authoritative guidance for revenue recognition (ASC 605). Under this standard, we recognize revenue when an arrangement exists, prices are determinable, collectability is reasonably assured and the goods or services have been delivered.</w:t>
      </w:r>
    </w:p>
    <w:p>
      <w:pPr>
        <w:spacing w:after="0" w:line="10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color w:val="auto"/>
        </w:rPr>
        <w:t>We also enter into certain leasing arrangements with customers and evaluate the contracts in accordance with the authoritative guidance for leases (ASC 840). Our accounting for equipment leases involves specific determinations under the authoritative guidance for leases, which often involve complex provisions and significant judgments. In accordance with the authoritative guidance for leases, we classify the transactions as sales type or operating leases based on:</w:t>
      </w:r>
    </w:p>
    <w:p>
      <w:pPr>
        <w:spacing w:after="0" w:line="1" w:lineRule="exact"/>
        <w:rPr>
          <w:sz w:val="20"/>
          <w:szCs w:val="20"/>
          <w:color w:val="auto"/>
        </w:rPr>
      </w:pPr>
    </w:p>
    <w:p>
      <w:pPr>
        <w:ind w:right="40" w:firstLine="8"/>
        <w:spacing w:after="0" w:line="288"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for transfers of ownership of the equipment to the lessee by the end of the lease term, (2) review of the lease terms to determine if it contains an option to purchase the leased equipment for a price which is sufficiently lower than the expected fair value of the equipment at the date of the option, (3) review of the lease term to determine if it is equal to or greater than 75% of the economic life of the equipment, and (4) review of the present value of the minimum lease payments to determine if they are equal to or greater than 90% of the fair market value of the equipment at the inception of the lease. Additionally, we consider the cancelability of the contract and any related uncertainty of collections or risk in recoverability of the lease investment at lease inception. Revenue from sales type leases is recognized at the inception of the lease or when the equipment has been delivered and installed at the customer site, if installation is required. Revenues from equipment rentals under operating leases are recognized as earned over the lease term, which is generally on a straight-line basis.</w:t>
      </w:r>
    </w:p>
    <w:p>
      <w:pPr>
        <w:spacing w:after="0" w:line="12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accordance with the authoritative guidance for revenue recognition for multiple element arrangements, the Accounting Standards Update (ASU) 2009-13 (ASU 2009-13), Revenue Recognition (ASC 605) Multiple-Deliverable Revenue Arrangements, which updates ASC 605-25, Revenue Recognition-Multiple element arrangements, of the Financial Accounting Standards Board (FASB) codification, for substantially all of the arrangements with multiple deliverables, we allocate revenue to each element based on a selling price hierarchy at the arrangement inception. The selling price for each element is based upon the following selling price hierarchy: vendor specific objective evidence (VSOE) if available, third party evidence (TPE) if VSOE is not available, or estimated selling price (ESP) if neither VSOE nor TPE are available (a description as to how we determine VSOE, TPE and ESP is provided below). If a tangible hardware systems product includes software, we determine whether the tangible hardware systems product and the software work together to deliver the product’s essential functionality and, if so, the entire product is treated as a nonsoftware deliverable. The total arrangement consideration is allocated to each separate unit of accounting for each of the nonsoftware deliverables using the relative selling prices of each unit based on the aforementioned selling price hierarchy. Revenue for each separate unit of accounting is recognized when the applicable revenue recognition criteria for each element have been met.</w:t>
      </w:r>
    </w:p>
    <w:p>
      <w:pPr>
        <w:spacing w:after="0" w:line="123" w:lineRule="exact"/>
        <w:rPr>
          <w:sz w:val="20"/>
          <w:szCs w:val="20"/>
          <w:color w:val="auto"/>
        </w:rPr>
      </w:pPr>
    </w:p>
    <w:p>
      <w:pPr>
        <w:ind w:firstLine="456"/>
        <w:spacing w:after="0" w:line="308" w:lineRule="auto"/>
        <w:rPr>
          <w:sz w:val="20"/>
          <w:szCs w:val="20"/>
          <w:color w:val="auto"/>
        </w:rPr>
      </w:pPr>
      <w:r>
        <w:rPr>
          <w:rFonts w:ascii="Arial" w:cs="Arial" w:eastAsia="Arial" w:hAnsi="Arial"/>
          <w:sz w:val="15"/>
          <w:szCs w:val="15"/>
          <w:color w:val="auto"/>
        </w:rPr>
        <w:t>To determine the selling price in multiple-element arrangements, we establish VSOE of the selling price using the price charged for a deliverable when sold separately and for software license updates, product support and hardware systems support, based on the renewal rates offered to customers. For nonsoftware multiple-element arrangements, TPE is established by evaluating similar and/or interchangeable competitor products or services in standalone arrangements with similarly situated customers and/or agreements. If we are unable to determine the selling price because VSOE or TPE doesn’t exist, we determine ESP for the purposes of allocating the arrangement by reviewing historical transactions, including transactions whereby the deliverable was sold on a standalone basis and considering several other external and internal factors including, but not limited to, pricing practices including discounting, margin objectives, competition, the geographies in which we offer our products and services, the type of customer (i.e. distributor, value added reseller, government agency or direct end user, among others) and the stage of the product lifecycle. The determination of ESP considers our pricing model and go-to-market strategy. As our, or our competitors’, pricing and go-to-market strategies evolve, we may modify our pricing practices in the future, which could result in changes to our determination of VSOE, TPE and ESP. As a result, our future revenue recognition for multiple-element arrangements could differ materially from those in the current period.</w:t>
      </w:r>
    </w:p>
    <w:p>
      <w:pPr>
        <w:spacing w:after="0" w:line="109"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Collections in excess of revenues and deferred revenues represent cash collected from customers in advance of revenue recognition and are recorded in accrued liabilities for obligations within the next twelve months. Amounts for obligations extending beyond the twelve months are recorded within other liabilities in the condensed consolidated financial statements.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reserves</w:t>
      </w:r>
    </w:p>
    <w:p>
      <w:pPr>
        <w:spacing w:after="0" w:line="90"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We provide limited warranties on our products for periods of up to five years. We record a liability for our warranty obligations when we ship the products or they are included in long-term construction contracts based upon an estimate of expected warranty costs. Amounts expected to be incurred within twelve months are classified as a current liability. For mature products, we estimate the warranty costs based on historical experience with the particular product. For newer products that do not have a history of warranty costs, we base our estimates on our experience with the technology involved and the types of failures that may occur. It is possible that our underlying assumptions will not reflect the actual experience, and in that case, we will make future adjustments to the recorded warranty obligation.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gateway facilities, network operations systems and other assets to support our satellites, and those construction costs, including interest, are capitalized as incurred. At the time satellites are placed in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w:t>
      </w:r>
    </w:p>
    <w:p>
      <w:pPr>
        <w:spacing w:after="0" w:line="11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own two satellites: ViaSat-1 (our high-capacity Ka-band spot-beam satellite, which was placed into service in January 2012) and WildBlue-1 (which was placed into service in March 2007). During the first quarter of fiscal year 2014, we announced the entry into a satellite construction contract for ViaSat-2, a second high-capacity Ka-band satellite. In addition, we have an exclusive prepaid lifetime capital lease of Ka-band capacity over the continental United States on Telesat Canada’s Anik F2 satellite (which was placed into service in April 2005) and own related gateway and networking equipment on all of our satellites. Property and equipment also includes the indoor and outdoor customer premise equipment (CPE) units leased to subscribers under a retail leasing program as part of our satellite services segment.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periodically review the remaining estimated useful life of the satellite to determine if revisions to the estimated life are necessary.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No material impairments were recorded by us for the three and six months ended October 4, 2013 and September 28, 2012.</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account for our goodwill under the authoritative guidance for goodwill and other intangible assets (ASC 350) and the provisions of ASU 2011-08, Testing Goodwill for Impairment, which permits us to make a qualitative assessment of whether it is more likely than not that a reporting unit’s fair value is less than its carrying amount before applying the two step goodwill impairment test. If, after completing our qualitative assessment we determine that it is more likely than not that the carrying value exceeds estimated fair value, we compare the fair value to our carrying value (including goodwill). If the estimated fair value is greater than the carrying value, we conclude that no impairment exists. If the estimated fair value of the reporting unit is less than the carrying value, a second step is performed in which the implied fair value of goodwill is compared to its carrying value. If the implied fair value of goodwill is less than its carrying value, goodwill must be written down to its implied fair value, resulting in goodwill impairment. We test goodwill for impairment during the fourth quarter every fiscal year and when an event occurs or circumstances change such that it is reasonably possible that an impairment may exist.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qualitative analysis we conducted in the fourth quarter of fiscal year 2013 included assessing the impact of changes in certain factors including:</w:t>
      </w:r>
    </w:p>
    <w:p>
      <w:pPr>
        <w:spacing w:after="0" w:line="38" w:lineRule="exact"/>
        <w:rPr>
          <w:sz w:val="20"/>
          <w:szCs w:val="20"/>
          <w:color w:val="auto"/>
        </w:rPr>
      </w:pPr>
    </w:p>
    <w:p>
      <w:pPr>
        <w:ind w:right="60" w:firstLine="8"/>
        <w:spacing w:after="0" w:line="254"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Based on our qualitative assessment performed during the fourth quarter of fiscal year 2013, we concluded that it was more likely than not that the estimated fair value of our reporting units exceeded its carrying value as of March 29, 2013 and, therefore, determined it was not necessary to perform the two step goodwill impairment test.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Management evaluates the realizability of our deferred tax assets and assesses the need for a valuation allowance on a quarterly basis. In accordance with the authoritative guidance for income taxes (ASC 740), net deferred tax assets are reduced by a valuation allowance if, based on all the available evidence, it is more likely than not that some or all of the deferred tax assets will not be realized. Our valuation allowance against deferred tax assets decreased from $16.0 million at March 29, 2013 to $13.3 million at October 4, 2013. The valuation allowance primarily relates to state net operating loss carryforwards and research and development credit carryforwards available to reduce state income taxes.</w:t>
      </w:r>
    </w:p>
    <w:p>
      <w:pPr>
        <w:spacing w:after="0" w:line="1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analysis of the need for a valuation allowance considered the net income generated during the three and six months ended October 4, 2013 and the net losses incurred during both the three months ended June 28, 2013 and the fiscal year ended March 29, 2013. The cumulative loss from fiscal year 2013 and the three months ended June 28, 2013 was more significant than the income from the three and six months ended October 4, 2013 and a substantial portion of such loss resulted from an extinguishment of debt charge that was recorded upon the refinancing of our former 8.875% Senior Notes due 2016 (2016 Notes) with the proceeds from the issuance of additional 6.875% Senior Notes due 2020 (2020 Notes), which provides a benefit to net income due to the lower interest rate of the 2020 Notes. Our evaluation considered other factors, including our history of positive earnings, current earnings trends as our satellite subscriber base scales on our recently launched satellite, ViaSat-1, taxable income adjusted for certain items, our large contractual backlog, and forecasted income by jurisdiction. In the conclusion, consideration was also given to the lengthy period over which these net deferred tax assets can be realized, and our history of not having federal tax loss carryforwards expire unused. We evaluated our valuation allowance on state net operating loss carryforwards after the merger of ViaSat Communications, Inc. into ViaSat during the second quarter of fiscal year 2014. As a result, $3.7 million of the valuation allowance on state net operating loss carryforwards was released during the three months ended October 4, 2013.</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current and deferred income tax assets and liabilities, accounting for interest and penalties associated with tax positions, and income tax disclosures.</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8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23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29"/>
        </w:trPr>
        <w:tc>
          <w:tcPr>
            <w:tcW w:w="5280" w:type="dxa"/>
            <w:vAlign w:val="bottom"/>
          </w:tcPr>
          <w:p>
            <w:pPr>
              <w:spacing w:after="0"/>
              <w:rPr>
                <w:sz w:val="11"/>
                <w:szCs w:val="11"/>
                <w:color w:val="auto"/>
              </w:rPr>
            </w:pPr>
          </w:p>
        </w:tc>
        <w:tc>
          <w:tcPr>
            <w:tcW w:w="134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6"/>
              </w:rPr>
              <w:t>October 4,</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20" w:type="dxa"/>
            <w:vAlign w:val="bottom"/>
          </w:tcPr>
          <w:p>
            <w:pPr>
              <w:spacing w:after="0"/>
              <w:rPr>
                <w:sz w:val="11"/>
                <w:szCs w:val="11"/>
                <w:color w:val="auto"/>
              </w:rPr>
            </w:pPr>
          </w:p>
        </w:tc>
        <w:tc>
          <w:tcPr>
            <w:tcW w:w="13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3"/>
              </w:rPr>
              <w:t>October 4,</w:t>
            </w: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28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2013</w:t>
            </w:r>
          </w:p>
        </w:tc>
        <w:tc>
          <w:tcPr>
            <w:tcW w:w="7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13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5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100.0%</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Product revenues</w:t>
            </w:r>
          </w:p>
        </w:tc>
        <w:tc>
          <w:tcPr>
            <w:tcW w:w="620" w:type="dxa"/>
            <w:vAlign w:val="bottom"/>
          </w:tcPr>
          <w:p>
            <w:pPr>
              <w:jc w:val="right"/>
              <w:spacing w:after="0"/>
              <w:rPr>
                <w:sz w:val="20"/>
                <w:szCs w:val="20"/>
                <w:color w:val="auto"/>
              </w:rPr>
            </w:pPr>
            <w:r>
              <w:rPr>
                <w:rFonts w:ascii="Arial" w:cs="Arial" w:eastAsia="Arial" w:hAnsi="Arial"/>
                <w:sz w:val="18"/>
                <w:szCs w:val="18"/>
                <w:color w:val="auto"/>
              </w:rPr>
              <w:t>59.5</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59.6</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58.2</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60.3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Service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product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Cost of service revenues</w:t>
            </w:r>
          </w:p>
        </w:tc>
        <w:tc>
          <w:tcPr>
            <w:tcW w:w="620" w:type="dxa"/>
            <w:vAlign w:val="bottom"/>
          </w:tcPr>
          <w:p>
            <w:pPr>
              <w:jc w:val="right"/>
              <w:spacing w:after="0"/>
              <w:rPr>
                <w:sz w:val="20"/>
                <w:szCs w:val="20"/>
                <w:color w:val="auto"/>
              </w:rPr>
            </w:pPr>
            <w:r>
              <w:rPr>
                <w:rFonts w:ascii="Arial" w:cs="Arial" w:eastAsia="Arial" w:hAnsi="Arial"/>
                <w:sz w:val="18"/>
                <w:szCs w:val="18"/>
                <w:color w:val="auto"/>
              </w:rPr>
              <w:t>29.5</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31.2</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440"/>
              <w:spacing w:after="0"/>
              <w:rPr>
                <w:sz w:val="20"/>
                <w:szCs w:val="20"/>
                <w:color w:val="auto"/>
              </w:rPr>
            </w:pPr>
            <w:r>
              <w:rPr>
                <w:rFonts w:ascii="Arial" w:cs="Arial" w:eastAsia="Arial" w:hAnsi="Arial"/>
                <w:sz w:val="18"/>
                <w:szCs w:val="18"/>
                <w:color w:val="auto"/>
              </w:rPr>
              <w:t>Independent research and development</w:t>
            </w:r>
          </w:p>
        </w:tc>
        <w:tc>
          <w:tcPr>
            <w:tcW w:w="62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3.2</w:t>
            </w:r>
          </w:p>
        </w:tc>
        <w:tc>
          <w:tcPr>
            <w:tcW w:w="7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w:t>
            </w:r>
          </w:p>
        </w:tc>
        <w:tc>
          <w:tcPr>
            <w:tcW w:w="7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Amortization of acquired intangible assets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7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28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(0.1)</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600" w:type="dxa"/>
            <w:vAlign w:val="bottom"/>
          </w:tcPr>
          <w:p>
            <w:pPr>
              <w:jc w:val="right"/>
              <w:spacing w:after="0"/>
              <w:rPr>
                <w:sz w:val="20"/>
                <w:szCs w:val="20"/>
                <w:color w:val="auto"/>
              </w:rPr>
            </w:pPr>
            <w:r>
              <w:rPr>
                <w:rFonts w:ascii="Arial" w:cs="Arial" w:eastAsia="Arial" w:hAnsi="Arial"/>
                <w:sz w:val="18"/>
                <w:szCs w:val="18"/>
                <w:color w:val="auto"/>
              </w:rPr>
              <w:t>0.4</w:t>
            </w:r>
          </w:p>
        </w:tc>
        <w:tc>
          <w:tcPr>
            <w:tcW w:w="7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7"/>
        </w:trPr>
        <w:tc>
          <w:tcPr>
            <w:tcW w:w="5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 net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Loss before income taxes</w:t>
            </w: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(2.9)</w:t>
            </w: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320" w:type="dxa"/>
            <w:vAlign w:val="bottom"/>
            <w:gridSpan w:val="2"/>
          </w:tcPr>
          <w:p>
            <w:pPr>
              <w:jc w:val="right"/>
              <w:ind w:right="660"/>
              <w:spacing w:after="0"/>
              <w:rPr>
                <w:sz w:val="20"/>
                <w:szCs w:val="20"/>
                <w:color w:val="auto"/>
              </w:rPr>
            </w:pPr>
            <w:r>
              <w:rPr>
                <w:rFonts w:ascii="Arial" w:cs="Arial" w:eastAsia="Arial" w:hAnsi="Arial"/>
                <w:sz w:val="18"/>
                <w:szCs w:val="18"/>
                <w:color w:val="auto"/>
              </w:rPr>
              <w:t>(2.5)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w:t>
            </w: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Net income (loss)</w:t>
            </w:r>
          </w:p>
        </w:tc>
        <w:tc>
          <w:tcPr>
            <w:tcW w:w="6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80" w:type="dxa"/>
            <w:vAlign w:val="bottom"/>
            <w:vMerge w:val="continue"/>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0.6</w:t>
            </w:r>
          </w:p>
        </w:tc>
        <w:tc>
          <w:tcPr>
            <w:tcW w:w="720" w:type="dxa"/>
            <w:vAlign w:val="bottom"/>
          </w:tcPr>
          <w:p>
            <w:pPr>
              <w:spacing w:after="0"/>
              <w:rPr>
                <w:sz w:val="19"/>
                <w:szCs w:val="19"/>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8"/>
                <w:szCs w:val="18"/>
                <w:color w:val="auto"/>
              </w:rPr>
              <w:t>(2.8)</w:t>
            </w: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7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8"/>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ViaSat, Inc.</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7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7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980"/>
        <w:spacing w:after="0" w:line="345" w:lineRule="auto"/>
        <w:rPr>
          <w:sz w:val="20"/>
          <w:szCs w:val="20"/>
          <w:color w:val="auto"/>
        </w:rPr>
      </w:pPr>
      <w:r>
        <w:rPr>
          <w:rFonts w:ascii="Arial" w:cs="Arial" w:eastAsia="Arial" w:hAnsi="Arial"/>
          <w:sz w:val="18"/>
          <w:szCs w:val="18"/>
          <w:b w:val="1"/>
          <w:bCs w:val="1"/>
          <w:color w:val="auto"/>
        </w:rPr>
        <w:t xml:space="preserve">Three Months Ended October 4, 2013 vs. Three Months Ended September 28, 2012 </w:t>
      </w:r>
      <w:r>
        <w:rPr>
          <w:rFonts w:ascii="Arial" w:cs="Arial" w:eastAsia="Arial" w:hAnsi="Arial"/>
          <w:sz w:val="18"/>
          <w:szCs w:val="18"/>
          <w:i w:val="1"/>
          <w:iCs w:val="1"/>
          <w:color w:val="auto"/>
        </w:rPr>
        <w:t>Revenues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October 4,</w:t>
            </w:r>
          </w:p>
        </w:tc>
        <w:tc>
          <w:tcPr>
            <w:tcW w:w="580" w:type="dxa"/>
            <w:vAlign w:val="bottom"/>
          </w:tcPr>
          <w:p>
            <w:pPr>
              <w:spacing w:after="0"/>
              <w:rPr>
                <w:sz w:val="12"/>
                <w:szCs w:val="12"/>
                <w:color w:val="auto"/>
              </w:rPr>
            </w:pP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September 28,</w:t>
            </w:r>
          </w:p>
        </w:tc>
        <w:tc>
          <w:tcPr>
            <w:tcW w:w="2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w w:val="80"/>
              </w:rPr>
              <w:t>(Decrease)</w:t>
            </w:r>
          </w:p>
        </w:tc>
        <w:tc>
          <w:tcPr>
            <w:tcW w:w="58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210.4</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168.5</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41.9</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143.5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114.3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total revenues grew by $71.1 million as a result of the $41.9 million increase in product revenues and the $29.1 million increase in service revenues. The product revenue increase was comprised primarily of $24.0 million in our commercial networks segment and $20.9 million in our government systems segment. The service revenue increase was comprised primarily of $36.0 million in our satellite services segment, offset by a decrease of $6.5 million in our government systems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8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386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80" w:type="dxa"/>
            <w:vAlign w:val="bottom"/>
            <w:tcBorders>
              <w:top w:val="single" w:sz="8" w:color="auto"/>
            </w:tcBorders>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14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October 4,</w:t>
            </w:r>
          </w:p>
        </w:tc>
        <w:tc>
          <w:tcPr>
            <w:tcW w:w="58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280" w:type="dxa"/>
            <w:vAlign w:val="bottom"/>
          </w:tcPr>
          <w:p>
            <w:pPr>
              <w:spacing w:after="0"/>
              <w:rPr>
                <w:sz w:val="12"/>
                <w:szCs w:val="12"/>
                <w:color w:val="auto"/>
              </w:rPr>
            </w:pPr>
          </w:p>
        </w:tc>
        <w:tc>
          <w:tcPr>
            <w:tcW w:w="6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580" w:type="dxa"/>
            <w:vAlign w:val="bottom"/>
          </w:tcPr>
          <w:p>
            <w:pPr>
              <w:spacing w:after="0"/>
              <w:rPr>
                <w:sz w:val="12"/>
                <w:szCs w:val="12"/>
                <w:color w:val="auto"/>
              </w:rPr>
            </w:pPr>
          </w:p>
        </w:tc>
        <w:tc>
          <w:tcPr>
            <w:tcW w:w="8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157.6</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121.4</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36.2</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104.5</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95.4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262.1</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216.8</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860" w:type="dxa"/>
            <w:vAlign w:val="bottom"/>
          </w:tcPr>
          <w:p>
            <w:pPr>
              <w:jc w:val="right"/>
              <w:ind w:right="432"/>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Cost of revenues grew by $45.3 million due to a $36.2 million cost of product revenues increase and a $9.1 million cost of service revenues increase. The cost of product revenues increase was primarily due to increased revenues, causing a $30.2 million increase in cost of product revenues on a constant margin basis. This increase mainly related to growth in fixed satellite networks (driven by consumer broadband products) and satellite payload technology development programs in our commercial networks segment, but product sales also grew in our government systems segment from government satellite communication systems, information assurance products and our majority-owned subsidiary TrellisWare Technologies, Inc. (TrellisWare). The cost of product revenues increase was also due to lower margins in our government satellite communication systems in our government systems segment. The cost of service revenues increase was primarily due to increased service revenues, which caused a $24.3 million increase in cost of service revenues on a constant margin basis. This increase mainly related to our Exede broadband services in our satellite services segment. Additionally, as our Exede subscribers have continued to grow and related revenues scale, we have also experienced improved margins from our broadband services in our satellite services segment.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20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740" w:type="dxa"/>
            <w:vAlign w:val="bottom"/>
            <w:gridSpan w:val="5"/>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48"/>
        </w:trPr>
        <w:tc>
          <w:tcPr>
            <w:tcW w:w="2000" w:type="dxa"/>
            <w:vAlign w:val="bottom"/>
          </w:tcPr>
          <w:p>
            <w:pPr>
              <w:spacing w:after="0"/>
              <w:rPr>
                <w:sz w:val="4"/>
                <w:szCs w:val="4"/>
                <w:color w:val="auto"/>
              </w:rPr>
            </w:pPr>
          </w:p>
        </w:tc>
        <w:tc>
          <w:tcPr>
            <w:tcW w:w="3660" w:type="dxa"/>
            <w:vAlign w:val="bottom"/>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66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4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vMerge w:val="restart"/>
          </w:tcPr>
          <w:p>
            <w:pPr>
              <w:spacing w:after="0"/>
              <w:rPr>
                <w:sz w:val="12"/>
                <w:szCs w:val="12"/>
                <w:color w:val="auto"/>
              </w:rPr>
            </w:pPr>
          </w:p>
        </w:tc>
        <w:tc>
          <w:tcPr>
            <w:tcW w:w="620" w:type="dxa"/>
            <w:vAlign w:val="bottom"/>
          </w:tcPr>
          <w:p>
            <w:pPr>
              <w:spacing w:after="0" w:line="149" w:lineRule="exact"/>
              <w:rPr>
                <w:sz w:val="20"/>
                <w:szCs w:val="20"/>
                <w:color w:val="auto"/>
              </w:rPr>
            </w:pPr>
            <w:r>
              <w:rPr>
                <w:rFonts w:ascii="Arial" w:cs="Arial" w:eastAsia="Arial" w:hAnsi="Arial"/>
                <w:sz w:val="14"/>
                <w:szCs w:val="14"/>
                <w:b w:val="1"/>
                <w:bCs w:val="1"/>
                <w:color w:val="auto"/>
                <w:w w:val="86"/>
              </w:rPr>
              <w:t>October 4,</w:t>
            </w:r>
          </w:p>
        </w:tc>
        <w:tc>
          <w:tcPr>
            <w:tcW w:w="640" w:type="dxa"/>
            <w:vAlign w:val="bottom"/>
          </w:tcPr>
          <w:p>
            <w:pPr>
              <w:spacing w:after="0"/>
              <w:rPr>
                <w:sz w:val="12"/>
                <w:szCs w:val="12"/>
                <w:color w:val="auto"/>
              </w:rPr>
            </w:pPr>
          </w:p>
        </w:tc>
        <w:tc>
          <w:tcPr>
            <w:tcW w:w="1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6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73.6</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54.1</w:t>
            </w:r>
          </w:p>
        </w:tc>
        <w:tc>
          <w:tcPr>
            <w:tcW w:w="6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19.5</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The $19.5 million increase in selling, general and administrative (SG&amp;A) expenses was primarily attributable to higher support costs of $12.1 million, higher selling costs of $6.3 million and higher new business proposal costs of $1.1 million. Of the higher support costs, $7.1 million related to our satellite services segment (primarily due to our increased subscriber gross additions year over year and partially related to litigation expense focused on protecting and extending our technology advantages), $3.4 million to our commercial networks segment, and $1.6 million to our government systems segment. The increase in selling costs mainly related to our satellite services segment as we continue to grow our consumer broadband subscriber base. SG&amp;A expenses consisted primarily of personnel costs and expenses for business development, marketing and sales, bid and proposal, facilities, finance, contract administration and general management.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88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Borders>
              <w:bottom w:val="single" w:sz="8" w:color="auto"/>
            </w:tcBorders>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2120" w:type="dxa"/>
            <w:vAlign w:val="bottom"/>
            <w:vMerge w:val="restart"/>
          </w:tcPr>
          <w:p>
            <w:pPr>
              <w:spacing w:after="0"/>
              <w:rPr>
                <w:sz w:val="11"/>
                <w:szCs w:val="11"/>
                <w:color w:val="auto"/>
              </w:rPr>
            </w:pPr>
          </w:p>
        </w:tc>
        <w:tc>
          <w:tcPr>
            <w:tcW w:w="13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36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00" w:type="dxa"/>
            <w:vAlign w:val="bottom"/>
          </w:tcPr>
          <w:p>
            <w:pPr>
              <w:spacing w:after="0"/>
              <w:rPr>
                <w:sz w:val="11"/>
                <w:szCs w:val="11"/>
                <w:color w:val="auto"/>
              </w:rPr>
            </w:pPr>
          </w:p>
        </w:tc>
        <w:tc>
          <w:tcPr>
            <w:tcW w:w="1300" w:type="dxa"/>
            <w:vAlign w:val="bottom"/>
            <w:gridSpan w:val="3"/>
          </w:tcPr>
          <w:p>
            <w:pPr>
              <w:jc w:val="center"/>
              <w:ind w:right="70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2120" w:type="dxa"/>
            <w:vAlign w:val="bottom"/>
            <w:vMerge w:val="continue"/>
          </w:tcPr>
          <w:p>
            <w:pPr>
              <w:spacing w:after="0"/>
              <w:rPr>
                <w:sz w:val="12"/>
                <w:szCs w:val="12"/>
                <w:color w:val="auto"/>
              </w:rPr>
            </w:pPr>
          </w:p>
        </w:tc>
        <w:tc>
          <w:tcPr>
            <w:tcW w:w="200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92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00" w:type="dxa"/>
            <w:vAlign w:val="bottom"/>
            <w:gridSpan w:val="3"/>
          </w:tcPr>
          <w:p>
            <w:pPr>
              <w:jc w:val="center"/>
              <w:ind w:right="70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4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138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6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20" w:type="dxa"/>
            <w:vAlign w:val="bottom"/>
            <w:gridSpan w:val="2"/>
            <w:vMerge w:val="continue"/>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14.9</w:t>
            </w:r>
          </w:p>
        </w:tc>
        <w:tc>
          <w:tcPr>
            <w:tcW w:w="340" w:type="dxa"/>
            <w:vAlign w:val="bottom"/>
            <w:vMerge w:val="continue"/>
            <w:shd w:val="clear" w:color="auto" w:fill="CCEEFF"/>
          </w:tcPr>
          <w:p>
            <w:pPr>
              <w:spacing w:after="0"/>
              <w:rPr>
                <w:sz w:val="17"/>
                <w:szCs w:val="17"/>
                <w:color w:val="auto"/>
              </w:rPr>
            </w:pPr>
          </w:p>
        </w:tc>
        <w:tc>
          <w:tcPr>
            <w:tcW w:w="360" w:type="dxa"/>
            <w:vAlign w:val="bottom"/>
            <w:vMerge w:val="continue"/>
            <w:shd w:val="clear" w:color="auto" w:fill="CCEEFF"/>
          </w:tcPr>
          <w:p>
            <w:pPr>
              <w:spacing w:after="0"/>
              <w:rPr>
                <w:sz w:val="17"/>
                <w:szCs w:val="17"/>
                <w:color w:val="auto"/>
              </w:rPr>
            </w:pP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8.8</w:t>
            </w: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w:t>
            </w:r>
          </w:p>
        </w:tc>
        <w:tc>
          <w:tcPr>
            <w:tcW w:w="7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$6.2 million increase in IR&amp;D expenses reflected increased IR&amp;D efforts in our commercial networks segment of $3.9 million (primarily due to next-generation consumer broadband) and in our government systems segment of $2.7 million (primarily due to development of next-generation airborne satcom mobile systems), partially offset by a reduction in IR&amp;D effort in our satellite services segment.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three to ten years. The $0.2 million decrease in amortization of acquired intangible assets in the second quarter of fiscal year 2014 compared to the prior year period was the result of acquired trade name intangibles in our satellite services segment becoming fully amortized over the preceding twelve months.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4, 2013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slight decrease in interest income in the three months ended October 4, 2013 compared to the prior year period was primarily due to lower average invested cash balances during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$1.7 million decrease in interest expense in the three months ended October 4, 2013 compared to the prior year period was due primarily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refinancing, in October 2012, of our former $275.0 million in aggregate principal amount of 2016 Notes with the proceeds from the issuance of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aggregate principal amount of 2020 Notes, which bear interest at a lower rate. Additionally, interest expense in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4, 2013 reflects increased interest capitalization of approximately $1.2 million compared to the prior year period, mainly related to the commencement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ViaSat-2 and related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estimate our annual effective income tax benefit rate to be 80.0% for fiscal year 2014. The estimated annual effective income tax benefit rate differs from the expected statutory rate primarily due to federal and state research and development tax credits. The income tax benefit rate recorded for the three and six months ended October 4, 2013 exceeded the estimated annual income tax benefit rate primarily due to the release of a valuation allowance of $3.7 million on state net operating loss carryforwards.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we may have a higher annual effective income tax benefit rate for fiscal year 2014, and the amount of any such tax rate reduction will depend on the effective date of any such extension, the terms of the extension, as well as the amount of eligible research and development expenses in the extended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Three Months Ended October 4, 2013 vs. Three Months Ended September 28,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357"/>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4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(3.0)</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w:t>
            </w:r>
          </w:p>
        </w:tc>
        <w:tc>
          <w:tcPr>
            <w:tcW w:w="6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66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Our satellite services segment revenues grew by $33.0 million, primarily due to the $36.0 million increase in service revenues, of which $34.4 million related to retail and wholesale broadband services and $1.6 million to our emerging mobile broadband services. The revenue increase relating to our Exede and WildBlue broadband services was driven by a 38% increase in the number of subscribers, which grew from approximately 429,000 at September 28, 2012 to approximately 591,000 at October 4, 2013, as well as a change in the mix of retail and wholesale subscribers and related higher average revenue per subscriber.</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7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0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440" w:type="dxa"/>
            <w:vAlign w:val="bottom"/>
            <w:tcBorders>
              <w:top w:val="single" w:sz="8" w:color="auto"/>
            </w:tcBorders>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86"/>
              </w:rPr>
              <w:t>October 4,</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14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2012</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(14.6)</w:t>
            </w:r>
          </w:p>
        </w:tc>
        <w:tc>
          <w:tcPr>
            <w:tcW w:w="82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(19.4)</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960" w:type="dxa"/>
            <w:vAlign w:val="bottom"/>
            <w:gridSpan w:val="3"/>
          </w:tcPr>
          <w:p>
            <w:pPr>
              <w:jc w:val="right"/>
              <w:ind w:right="62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9"/>
                <w:szCs w:val="19"/>
                <w:color w:val="auto"/>
              </w:rPr>
            </w:pPr>
          </w:p>
        </w:tc>
        <w:tc>
          <w:tcPr>
            <w:tcW w:w="1160" w:type="dxa"/>
            <w:vAlign w:val="bottom"/>
            <w:gridSpan w:val="2"/>
          </w:tcPr>
          <w:p>
            <w:pPr>
              <w:ind w:left="280"/>
              <w:spacing w:after="0"/>
              <w:rPr>
                <w:sz w:val="20"/>
                <w:szCs w:val="20"/>
                <w:color w:val="auto"/>
              </w:rPr>
            </w:pPr>
            <w:r>
              <w:rPr>
                <w:rFonts w:ascii="Arial" w:cs="Arial" w:eastAsia="Arial" w:hAnsi="Arial"/>
                <w:sz w:val="18"/>
                <w:szCs w:val="18"/>
                <w:color w:val="auto"/>
              </w:rPr>
              <w:t>(28.8)%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$4.7 million reduction in operating loss for our satellite services segment was primarily due to $17.3 million in higher earnings contributions as our Exede broadband services subscriber base continued to grow, which resulted in increased revenues and improved margins, partially offset by $13.0 million in higher selling and support costs. The higher selling and support costs mainly related to increased sales and marketing support costs as we continued to expand our consumer broadband subscriber base and partially related to litigation expense focused on protecting and extending our technology advantages.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40" w:type="dxa"/>
            <w:vAlign w:val="bottom"/>
          </w:tcPr>
          <w:p>
            <w:pPr>
              <w:spacing w:after="0"/>
              <w:rPr>
                <w:sz w:val="11"/>
                <w:szCs w:val="11"/>
                <w:color w:val="auto"/>
              </w:rPr>
            </w:pPr>
          </w:p>
        </w:tc>
        <w:tc>
          <w:tcPr>
            <w:tcW w:w="6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October 4,</w:t>
            </w:r>
          </w:p>
        </w:tc>
        <w:tc>
          <w:tcPr>
            <w:tcW w:w="6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4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105.1</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81.1</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24.0</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6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Our commercial networks segment revenues increased by $23.7 million, due to the $24.0 million increase in product revenues. Of this revenue increase, $20.1 million related to fixed satellite networks (driven primarily by consumer broadband products), $3.9 million to satellite payload technology development programs, and $3.5 million to mobile broadband satellite communication systems. These increases were partially offset by a $3.8 million decrease in product revenues for our satellite networking development programs.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9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1800" w:type="dxa"/>
            <w:vAlign w:val="bottom"/>
            <w:vMerge w:val="restart"/>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86"/>
              </w:rPr>
              <w:t>October 4,</w:t>
            </w:r>
          </w:p>
        </w:tc>
        <w:tc>
          <w:tcPr>
            <w:tcW w:w="300" w:type="dxa"/>
            <w:vAlign w:val="bottom"/>
          </w:tcPr>
          <w:p>
            <w:pPr>
              <w:spacing w:after="0"/>
              <w:rPr>
                <w:sz w:val="11"/>
                <w:szCs w:val="11"/>
                <w:color w:val="auto"/>
              </w:rPr>
            </w:pP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3"/>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1800" w:type="dxa"/>
            <w:vAlign w:val="bottom"/>
            <w:vMerge w:val="continue"/>
          </w:tcPr>
          <w:p>
            <w:pPr>
              <w:spacing w:after="0"/>
              <w:rPr>
                <w:sz w:val="12"/>
                <w:szCs w:val="12"/>
                <w:color w:val="auto"/>
              </w:rPr>
            </w:pPr>
          </w:p>
        </w:tc>
        <w:tc>
          <w:tcPr>
            <w:tcW w:w="2140" w:type="dxa"/>
            <w:vAlign w:val="bottom"/>
            <w:gridSpan w:val="2"/>
          </w:tcPr>
          <w:p>
            <w:pPr>
              <w:jc w:val="right"/>
              <w:ind w:right="106"/>
              <w:spacing w:after="0" w:line="148" w:lineRule="exact"/>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2"/>
                <w:szCs w:val="12"/>
                <w:color w:val="auto"/>
              </w:rPr>
            </w:pPr>
          </w:p>
        </w:tc>
        <w:tc>
          <w:tcPr>
            <w:tcW w:w="840" w:type="dxa"/>
            <w:vAlign w:val="bottom"/>
            <w:gridSpan w:val="2"/>
          </w:tcPr>
          <w:p>
            <w:pPr>
              <w:jc w:val="right"/>
              <w:spacing w:after="0" w:line="148"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38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1520" w:type="dxa"/>
            <w:vAlign w:val="bottom"/>
            <w:vMerge w:val="restart"/>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0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6"/>
              </w:rPr>
              <w:t>$   (0.4)</w:t>
            </w:r>
          </w:p>
        </w:tc>
        <w:tc>
          <w:tcPr>
            <w:tcW w:w="520" w:type="dxa"/>
            <w:vAlign w:val="bottom"/>
            <w:vMerge w:val="continue"/>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5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(1.8)</w:t>
            </w:r>
          </w:p>
        </w:tc>
        <w:tc>
          <w:tcPr>
            <w:tcW w:w="3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22"/>
        </w:trPr>
        <w:tc>
          <w:tcPr>
            <w:tcW w:w="38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660" w:type="dxa"/>
            <w:vAlign w:val="bottom"/>
            <w:gridSpan w:val="3"/>
          </w:tcPr>
          <w:p>
            <w:pPr>
              <w:jc w:val="right"/>
              <w:ind w:right="320"/>
              <w:spacing w:after="0"/>
              <w:rPr>
                <w:sz w:val="20"/>
                <w:szCs w:val="20"/>
                <w:color w:val="auto"/>
              </w:rPr>
            </w:pPr>
            <w:r>
              <w:rPr>
                <w:rFonts w:ascii="Arial" w:cs="Arial" w:eastAsia="Arial" w:hAnsi="Arial"/>
                <w:sz w:val="18"/>
                <w:szCs w:val="18"/>
                <w:color w:val="auto"/>
              </w:rPr>
              <w:t>(0.3)%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gridSpan w:val="2"/>
          </w:tcPr>
          <w:p>
            <w:pPr>
              <w:spacing w:after="0"/>
              <w:rPr>
                <w:sz w:val="20"/>
                <w:szCs w:val="20"/>
                <w:color w:val="auto"/>
              </w:rPr>
            </w:pPr>
            <w:r>
              <w:rPr>
                <w:rFonts w:ascii="Arial" w:cs="Arial" w:eastAsia="Arial" w:hAnsi="Arial"/>
                <w:sz w:val="18"/>
                <w:szCs w:val="18"/>
                <w:color w:val="auto"/>
              </w:rPr>
              <w:t>(2.1)%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decrease of $1.5 million in operating loss for our commercial networks segment was primarily due to $8.6 million in higher earnings contributions from increased revenues and improved margins in our consumer broadband products and in our mobile broadband satellite communication systems, partially offset by higher IR&amp;D costs of $3.9 million and higher selling, support and new business proposal costs of $3.2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105.2</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84.4</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20.9</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38.1</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44.6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(6.5)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2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143.3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129.0</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14.4</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Our government systems segment revenues grew by $14.4 million, due to the $20.9 million increase in product revenues, offset by the $6.5 million decrease in service revenues. Of the product revenue increase, $12.2 million related to government satellite communication systems (mainly attributable to command and control situational awareness), $6.2 million to TrellisWare, and $5.9 million to information assurance products, partially offset by a $3.5 million decrease in revenues related to tactical data link products. Of the service revenue decrease, $4.5 million related to government satellite communication systems services and $2.4 million to TrellisWare.</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98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40" w:type="dxa"/>
            <w:vAlign w:val="bottom"/>
            <w:vMerge w:val="restart"/>
          </w:tcPr>
          <w:p>
            <w:pPr>
              <w:spacing w:after="0"/>
              <w:rPr>
                <w:sz w:val="11"/>
                <w:szCs w:val="11"/>
                <w:color w:val="auto"/>
              </w:rPr>
            </w:pPr>
          </w:p>
        </w:tc>
        <w:tc>
          <w:tcPr>
            <w:tcW w:w="1380" w:type="dxa"/>
            <w:vAlign w:val="bottom"/>
            <w:tcBorders>
              <w:top w:val="single" w:sz="8" w:color="auto"/>
            </w:tcBorders>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October 4,</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8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2013</w:t>
            </w: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2012</w:t>
            </w:r>
          </w:p>
        </w:tc>
        <w:tc>
          <w:tcPr>
            <w:tcW w:w="7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6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18.3</w:t>
            </w:r>
          </w:p>
        </w:tc>
        <w:tc>
          <w:tcPr>
            <w:tcW w:w="7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w w:val="79"/>
              </w:rPr>
              <w:t>24.4</w:t>
            </w: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(6.1)</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9"/>
                <w:szCs w:val="19"/>
                <w:color w:val="auto"/>
              </w:rPr>
            </w:pPr>
          </w:p>
        </w:tc>
        <w:tc>
          <w:tcPr>
            <w:tcW w:w="1420" w:type="dxa"/>
            <w:vAlign w:val="bottom"/>
            <w:gridSpan w:val="2"/>
          </w:tcPr>
          <w:p>
            <w:pPr>
              <w:ind w:left="340"/>
              <w:spacing w:after="0"/>
              <w:rPr>
                <w:sz w:val="20"/>
                <w:szCs w:val="20"/>
                <w:color w:val="auto"/>
              </w:rPr>
            </w:pPr>
            <w:r>
              <w:rPr>
                <w:rFonts w:ascii="Arial" w:cs="Arial" w:eastAsia="Arial" w:hAnsi="Arial"/>
                <w:sz w:val="18"/>
                <w:szCs w:val="18"/>
                <w:color w:val="auto"/>
              </w:rPr>
              <w:t>18.9%</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$6.1 million decrease in our government systems segment operating profit reflected higher selling, support and new business proposal costs of $3.3 million and higher IR&amp;D costs of $2.7 million.</w:t>
      </w:r>
    </w:p>
    <w:p>
      <w:pPr>
        <w:spacing w:after="0" w:line="207" w:lineRule="exact"/>
        <w:rPr>
          <w:sz w:val="20"/>
          <w:szCs w:val="20"/>
          <w:color w:val="auto"/>
        </w:rPr>
      </w:pPr>
    </w:p>
    <w:p>
      <w:pPr>
        <w:ind w:right="5480"/>
        <w:spacing w:after="0" w:line="345" w:lineRule="auto"/>
        <w:rPr>
          <w:sz w:val="20"/>
          <w:szCs w:val="20"/>
          <w:color w:val="auto"/>
        </w:rPr>
      </w:pPr>
      <w:r>
        <w:rPr>
          <w:rFonts w:ascii="Arial" w:cs="Arial" w:eastAsia="Arial" w:hAnsi="Arial"/>
          <w:sz w:val="18"/>
          <w:szCs w:val="18"/>
          <w:b w:val="1"/>
          <w:bCs w:val="1"/>
          <w:color w:val="auto"/>
        </w:rPr>
        <w:t xml:space="preserve">Six Months Ended October 4, 2013 vs. Six Months Ended September 28, 2012 </w:t>
      </w:r>
      <w:r>
        <w:rPr>
          <w:rFonts w:ascii="Arial" w:cs="Arial" w:eastAsia="Arial" w:hAnsi="Arial"/>
          <w:sz w:val="18"/>
          <w:szCs w:val="18"/>
          <w:i w:val="1"/>
          <w:iCs w:val="1"/>
          <w:color w:val="auto"/>
        </w:rPr>
        <w:t>Revenues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Dollar</w:t>
            </w:r>
          </w:p>
        </w:tc>
        <w:tc>
          <w:tcPr>
            <w:tcW w:w="5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860" w:type="dxa"/>
            <w:vAlign w:val="bottom"/>
          </w:tcPr>
          <w:p>
            <w:pPr>
              <w:spacing w:after="0"/>
              <w:rPr>
                <w:sz w:val="11"/>
                <w:szCs w:val="11"/>
                <w:color w:val="auto"/>
              </w:rPr>
            </w:pPr>
          </w:p>
        </w:tc>
        <w:tc>
          <w:tcPr>
            <w:tcW w:w="6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6"/>
              </w:rPr>
              <w:t>October 4,</w:t>
            </w:r>
          </w:p>
        </w:tc>
        <w:tc>
          <w:tcPr>
            <w:tcW w:w="58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91"/>
              </w:rPr>
              <w:t>Increase</w:t>
            </w:r>
          </w:p>
        </w:tc>
        <w:tc>
          <w:tcPr>
            <w:tcW w:w="580" w:type="dxa"/>
            <w:vAlign w:val="bottom"/>
          </w:tcPr>
          <w:p>
            <w:pPr>
              <w:spacing w:after="0"/>
              <w:rPr>
                <w:sz w:val="11"/>
                <w:szCs w:val="11"/>
                <w:color w:val="auto"/>
              </w:rPr>
            </w:pP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2013</w:t>
            </w: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w w:val="80"/>
              </w:rPr>
              <w:t>(Decrease)</w:t>
            </w:r>
          </w:p>
        </w:tc>
        <w:tc>
          <w:tcPr>
            <w:tcW w:w="580" w:type="dxa"/>
            <w:vAlign w:val="bottom"/>
          </w:tcPr>
          <w:p>
            <w:pPr>
              <w:spacing w:after="0"/>
              <w:rPr>
                <w:sz w:val="12"/>
                <w:szCs w:val="12"/>
                <w:color w:val="auto"/>
              </w:rPr>
            </w:pP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Product revenues</w:t>
            </w:r>
          </w:p>
        </w:tc>
        <w:tc>
          <w:tcPr>
            <w:tcW w:w="38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8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392.6</w:t>
            </w:r>
          </w:p>
        </w:tc>
        <w:tc>
          <w:tcPr>
            <w:tcW w:w="58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316.2</w:t>
            </w:r>
          </w:p>
        </w:tc>
        <w:tc>
          <w:tcPr>
            <w:tcW w:w="300" w:type="dxa"/>
            <w:vAlign w:val="bottom"/>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76.3</w:t>
            </w:r>
          </w:p>
        </w:tc>
        <w:tc>
          <w:tcPr>
            <w:tcW w:w="5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rPr>
              <w:t>Service revenues</w:t>
            </w:r>
          </w:p>
        </w:tc>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282.4</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208.4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74.1</w:t>
            </w:r>
          </w:p>
        </w:tc>
        <w:tc>
          <w:tcPr>
            <w:tcW w:w="1440" w:type="dxa"/>
            <w:vAlign w:val="bottom"/>
            <w:gridSpan w:val="3"/>
          </w:tcPr>
          <w:p>
            <w:pPr>
              <w:jc w:val="right"/>
              <w:ind w:right="60"/>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8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675.0</w:t>
            </w:r>
          </w:p>
        </w:tc>
        <w:tc>
          <w:tcPr>
            <w:tcW w:w="7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524.6</w:t>
            </w: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4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total revenues grew by $150.4 million as a result of the $76.3 million increase in product revenues and the $74.1 million increase in service revenues. The product revenue increase was comprised primarily of $45.1 million in our commercial networks segment and $34.7 million in our government systems segment. The service revenue increase was comprised primarily of $63.1 million in our satellite services segment and $11.2 million in our government systems segment.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20" w:type="dxa"/>
            <w:vAlign w:val="bottom"/>
          </w:tcPr>
          <w:p>
            <w:pPr>
              <w:spacing w:after="0"/>
              <w:rPr>
                <w:sz w:val="11"/>
                <w:szCs w:val="11"/>
                <w:color w:val="auto"/>
              </w:rPr>
            </w:pPr>
          </w:p>
        </w:tc>
        <w:tc>
          <w:tcPr>
            <w:tcW w:w="940" w:type="dxa"/>
            <w:vAlign w:val="bottom"/>
            <w:tcBorders>
              <w:top w:val="single" w:sz="8" w:color="auto"/>
            </w:tcBorders>
            <w:gridSpan w:val="3"/>
          </w:tcPr>
          <w:p>
            <w:pPr>
              <w:jc w:val="right"/>
              <w:ind w:right="320"/>
              <w:spacing w:after="0" w:line="129" w:lineRule="exact"/>
              <w:rPr>
                <w:sz w:val="20"/>
                <w:szCs w:val="20"/>
                <w:color w:val="auto"/>
              </w:rPr>
            </w:pPr>
            <w:r>
              <w:rPr>
                <w:rFonts w:ascii="Arial" w:cs="Arial" w:eastAsia="Arial" w:hAnsi="Arial"/>
                <w:sz w:val="14"/>
                <w:szCs w:val="14"/>
                <w:b w:val="1"/>
                <w:bCs w:val="1"/>
                <w:color w:val="auto"/>
                <w:w w:val="86"/>
              </w:rPr>
              <w:t>October 4,</w:t>
            </w: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7"/>
              </w:rPr>
              <w:t>Cost of product revenues</w:t>
            </w:r>
          </w:p>
        </w:tc>
        <w:tc>
          <w:tcPr>
            <w:tcW w:w="3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287.0</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230.5</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56.5</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8"/>
              </w:rPr>
              <w:t>Cost of service revenues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210.4</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174.0</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36.5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497.4</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404.4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93.0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620" w:type="dxa"/>
            <w:vAlign w:val="bottom"/>
          </w:tcPr>
          <w:p>
            <w:pPr>
              <w:jc w:val="right"/>
              <w:ind w:right="192"/>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240" w:top="459" w:right="3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310" w:lineRule="auto"/>
        <w:rPr>
          <w:sz w:val="20"/>
          <w:szCs w:val="20"/>
          <w:color w:val="auto"/>
        </w:rPr>
      </w:pPr>
      <w:r>
        <w:rPr>
          <w:rFonts w:ascii="Arial" w:cs="Arial" w:eastAsia="Arial" w:hAnsi="Arial"/>
          <w:sz w:val="15"/>
          <w:szCs w:val="15"/>
          <w:color w:val="auto"/>
        </w:rPr>
        <w:t>Cost of revenues grew by $93.0 million due to a $56.5 million cost of product revenues increase and a $36.5 million cost of service revenues increase. The cost of product revenues increase was primarily due to increased revenues, causing a $55.6 million increase in cost of product revenues on a constant margin basis. This increase mainly related to growth in fixed satellite networks (driven by consumer broadband products) and satellite payload technology development programs in our commercial networks segment, but product sales also grew in our government systems segment, from government satellite communication systems, TrellisWare, and information assurance products. The cost of service revenues increase was primarily due to increased service revenues, which caused a $61.8 million increase in cost of service revenues on a constant margin basis. This increase mainly related to our Exede broadband services in our satellite services segment and government satellite communication systems services in our government systems segment. Additionally, as our Exede subscribers have continued to grow and related revenues scale, we have also experienced improved margins from our broadband services in our satellite services segment.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42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2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20" w:type="dxa"/>
            <w:vAlign w:val="bottom"/>
            <w:vMerge w:val="restart"/>
          </w:tcPr>
          <w:p>
            <w:pPr>
              <w:spacing w:after="0"/>
              <w:rPr>
                <w:sz w:val="11"/>
                <w:szCs w:val="11"/>
                <w:color w:val="auto"/>
              </w:rPr>
            </w:pPr>
          </w:p>
        </w:tc>
        <w:tc>
          <w:tcPr>
            <w:tcW w:w="12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20" w:type="dxa"/>
            <w:vAlign w:val="bottom"/>
            <w:vMerge w:val="continue"/>
          </w:tcPr>
          <w:p>
            <w:pPr>
              <w:spacing w:after="0"/>
              <w:rPr>
                <w:sz w:val="12"/>
                <w:szCs w:val="12"/>
                <w:color w:val="auto"/>
              </w:rPr>
            </w:pPr>
          </w:p>
        </w:tc>
        <w:tc>
          <w:tcPr>
            <w:tcW w:w="6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auto"/>
              </w:rPr>
              <w:t>2013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2"/>
          </w:tcPr>
          <w:p>
            <w:pPr>
              <w:jc w:val="center"/>
              <w:ind w:right="66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6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2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2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  138.4</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110.6</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27.8</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$27.8 million increase in SG&amp;A expenses was primarily attributable to higher support costs of $19.1 million and higher selling costs of $9.0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the higher support costs, $11.1 million related to our satellite services segment (primarily due to our increased subscriber gross additions year over year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partially related to litigation expense focused on protecting and extending our technology advantages), $4.8 million to our commercial networks segment,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$3.3 million to our government systems segment. The increase in higher selling costs mainly related to our satellite services segment as we continue to grow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consumer broadband subscriber base. SG&amp;A expenses consisted primarily of personnel costs and expenses for business development, marketing and sales, bid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 proposal, facilities, finance, contract administration and general management.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740" w:type="dxa"/>
            <w:vAlign w:val="bottom"/>
            <w:gridSpan w:val="5"/>
          </w:tcPr>
          <w:p>
            <w:pPr>
              <w:ind w:left="520"/>
              <w:spacing w:after="0"/>
              <w:rPr>
                <w:sz w:val="20"/>
                <w:szCs w:val="20"/>
                <w:color w:val="auto"/>
              </w:rPr>
            </w:pPr>
            <w:r>
              <w:rPr>
                <w:rFonts w:ascii="Arial" w:cs="Arial" w:eastAsia="Arial" w:hAnsi="Arial"/>
                <w:sz w:val="14"/>
                <w:szCs w:val="14"/>
                <w:b w:val="1"/>
                <w:bCs w:val="1"/>
                <w:color w:val="auto"/>
              </w:rPr>
              <w:t>Six Months Ended</w:t>
            </w:r>
          </w:p>
        </w:tc>
        <w:tc>
          <w:tcPr>
            <w:tcW w:w="12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60" w:type="dxa"/>
            <w:vAlign w:val="bottom"/>
            <w:vMerge w:val="restart"/>
          </w:tcPr>
          <w:p>
            <w:pPr>
              <w:spacing w:after="0"/>
              <w:rPr>
                <w:sz w:val="11"/>
                <w:szCs w:val="11"/>
                <w:color w:val="auto"/>
              </w:rPr>
            </w:pPr>
          </w:p>
        </w:tc>
        <w:tc>
          <w:tcPr>
            <w:tcW w:w="62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6"/>
              </w:rPr>
              <w:t>October 4,</w:t>
            </w:r>
          </w:p>
        </w:tc>
        <w:tc>
          <w:tcPr>
            <w:tcW w:w="6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660" w:type="dxa"/>
            <w:vAlign w:val="bottom"/>
          </w:tcPr>
          <w:p>
            <w:pPr>
              <w:spacing w:after="0"/>
              <w:rPr>
                <w:sz w:val="11"/>
                <w:szCs w:val="11"/>
                <w:color w:val="auto"/>
              </w:rPr>
            </w:pPr>
          </w:p>
        </w:tc>
        <w:tc>
          <w:tcPr>
            <w:tcW w:w="1240" w:type="dxa"/>
            <w:vAlign w:val="bottom"/>
            <w:gridSpan w:val="2"/>
          </w:tcPr>
          <w:p>
            <w:pPr>
              <w:jc w:val="center"/>
              <w:ind w:right="64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660" w:type="dxa"/>
            <w:vAlign w:val="bottom"/>
            <w:vMerge w:val="continue"/>
          </w:tcPr>
          <w:p>
            <w:pPr>
              <w:spacing w:after="0"/>
              <w:rPr>
                <w:sz w:val="12"/>
                <w:szCs w:val="12"/>
                <w:color w:val="auto"/>
              </w:rPr>
            </w:pPr>
          </w:p>
        </w:tc>
        <w:tc>
          <w:tcPr>
            <w:tcW w:w="620" w:type="dxa"/>
            <w:vAlign w:val="bottom"/>
          </w:tcPr>
          <w:p>
            <w:pPr>
              <w:jc w:val="right"/>
              <w:ind w:right="107"/>
              <w:spacing w:after="0" w:line="148" w:lineRule="exact"/>
              <w:rPr>
                <w:sz w:val="20"/>
                <w:szCs w:val="20"/>
                <w:color w:val="auto"/>
              </w:rPr>
            </w:pPr>
            <w:r>
              <w:rPr>
                <w:rFonts w:ascii="Arial" w:cs="Arial" w:eastAsia="Arial" w:hAnsi="Arial"/>
                <w:sz w:val="14"/>
                <w:szCs w:val="14"/>
                <w:b w:val="1"/>
                <w:bCs w:val="1"/>
                <w:color w:val="auto"/>
              </w:rPr>
              <w:t>2013</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202"/>
              <w:spacing w:after="0" w:line="148" w:lineRule="exact"/>
              <w:rPr>
                <w:sz w:val="20"/>
                <w:szCs w:val="20"/>
                <w:color w:val="auto"/>
              </w:rPr>
            </w:pPr>
            <w:r>
              <w:rPr>
                <w:rFonts w:ascii="Arial" w:cs="Arial" w:eastAsia="Arial" w:hAnsi="Arial"/>
                <w:sz w:val="14"/>
                <w:szCs w:val="14"/>
                <w:b w:val="1"/>
                <w:bCs w:val="1"/>
                <w:color w:val="auto"/>
              </w:rPr>
              <w:t>2012</w:t>
            </w:r>
          </w:p>
        </w:tc>
        <w:tc>
          <w:tcPr>
            <w:tcW w:w="660" w:type="dxa"/>
            <w:vAlign w:val="bottom"/>
          </w:tcPr>
          <w:p>
            <w:pPr>
              <w:spacing w:after="0"/>
              <w:rPr>
                <w:sz w:val="12"/>
                <w:szCs w:val="12"/>
                <w:color w:val="auto"/>
              </w:rPr>
            </w:pPr>
          </w:p>
        </w:tc>
        <w:tc>
          <w:tcPr>
            <w:tcW w:w="1240" w:type="dxa"/>
            <w:vAlign w:val="bottom"/>
            <w:gridSpan w:val="2"/>
          </w:tcPr>
          <w:p>
            <w:pPr>
              <w:jc w:val="center"/>
              <w:ind w:right="640"/>
              <w:spacing w:after="0" w:line="148" w:lineRule="exact"/>
              <w:rPr>
                <w:sz w:val="20"/>
                <w:szCs w:val="20"/>
                <w:color w:val="auto"/>
              </w:rPr>
            </w:pPr>
            <w:r>
              <w:rPr>
                <w:rFonts w:ascii="Arial" w:cs="Arial" w:eastAsia="Arial" w:hAnsi="Arial"/>
                <w:sz w:val="14"/>
                <w:szCs w:val="14"/>
                <w:b w:val="1"/>
                <w:bCs w:val="1"/>
                <w:color w:val="auto"/>
                <w:w w:val="83"/>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Independent research and development</w:t>
            </w:r>
          </w:p>
        </w:tc>
        <w:tc>
          <w:tcPr>
            <w:tcW w:w="6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660" w:type="dxa"/>
            <w:vAlign w:val="bottom"/>
            <w:gridSpan w:val="2"/>
            <w:vMerge w:val="continue"/>
            <w:shd w:val="clear" w:color="auto" w:fill="CCEEFF"/>
          </w:tcPr>
          <w:p>
            <w:pPr>
              <w:spacing w:after="0"/>
              <w:rPr>
                <w:sz w:val="17"/>
                <w:szCs w:val="17"/>
                <w:color w:val="auto"/>
              </w:rPr>
            </w:pP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   29.0</w:t>
            </w:r>
          </w:p>
        </w:tc>
        <w:tc>
          <w:tcPr>
            <w:tcW w:w="6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16.1</w:t>
            </w:r>
          </w:p>
        </w:tc>
        <w:tc>
          <w:tcPr>
            <w:tcW w:w="66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12.9</w:t>
            </w:r>
          </w:p>
        </w:tc>
        <w:tc>
          <w:tcPr>
            <w:tcW w:w="64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$12.9 million increase in IR&amp;D expenses reflected increased IR&amp;D efforts in our commercial networks segment of $7.8 million (primarily due to next-generation consumer broadband) and in our government systems segment of $5.9 million (primarily due to development of next-generation airborne satcom mobile systems and advancement of integrated government satellite communications platforms).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three to ten years. The $0.8 million decrease in amortization of acquired intangible assets in the first six months of fiscal year 2014 compared to the prior year period was the result of acquired trade name intangibles in our satellite services segment becoming fully amortized over the preceding twelve months. Current and expected amortization expense for acquired intangible assets for each of the following periods is as follows:</w:t>
      </w:r>
    </w:p>
    <w:p>
      <w:pPr>
        <w:spacing w:after="0" w:line="179"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For the six months ended October 4, 2013</w:t>
            </w:r>
          </w:p>
        </w:tc>
        <w:tc>
          <w:tcPr>
            <w:tcW w:w="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7,297</w:t>
            </w:r>
          </w:p>
        </w:tc>
        <w:tc>
          <w:tcPr>
            <w:tcW w:w="100" w:type="dxa"/>
            <w:vAlign w:val="bottom"/>
            <w:shd w:val="clear" w:color="auto" w:fill="CCEEFF"/>
          </w:tcPr>
          <w:p>
            <w:pPr>
              <w:spacing w:after="0"/>
              <w:rPr>
                <w:sz w:val="18"/>
                <w:szCs w:val="18"/>
                <w:color w:val="auto"/>
              </w:rPr>
            </w:pPr>
          </w:p>
        </w:tc>
      </w:tr>
      <w:tr>
        <w:trPr>
          <w:trHeight w:val="322"/>
        </w:trPr>
        <w:tc>
          <w:tcPr>
            <w:tcW w:w="6820" w:type="dxa"/>
            <w:vAlign w:val="bottom"/>
          </w:tcPr>
          <w:p>
            <w:pPr>
              <w:spacing w:after="0"/>
              <w:rPr>
                <w:sz w:val="20"/>
                <w:szCs w:val="20"/>
                <w:color w:val="auto"/>
              </w:rPr>
            </w:pPr>
            <w:r>
              <w:rPr>
                <w:rFonts w:ascii="Arial" w:cs="Arial" w:eastAsia="Arial" w:hAnsi="Arial"/>
                <w:sz w:val="18"/>
                <w:szCs w:val="18"/>
                <w:color w:val="auto"/>
              </w:rPr>
              <w:t>Expected for the remainder of fiscal year 2014</w:t>
            </w:r>
          </w:p>
        </w:tc>
        <w:tc>
          <w:tcPr>
            <w:tcW w:w="220" w:type="dxa"/>
            <w:vAlign w:val="bottom"/>
            <w:gridSpan w:val="2"/>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7,306</w:t>
            </w:r>
          </w:p>
        </w:tc>
        <w:tc>
          <w:tcPr>
            <w:tcW w:w="100" w:type="dxa"/>
            <w:vAlign w:val="bottom"/>
          </w:tcPr>
          <w:p>
            <w:pPr>
              <w:spacing w:after="0"/>
              <w:rPr>
                <w:sz w:val="24"/>
                <w:szCs w:val="24"/>
                <w:color w:val="auto"/>
              </w:rPr>
            </w:pPr>
          </w:p>
        </w:tc>
      </w:tr>
      <w:tr>
        <w:trPr>
          <w:trHeight w:val="218"/>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11,007</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Expected for fiscal year 2017</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4,663</w:t>
            </w:r>
          </w:p>
        </w:tc>
        <w:tc>
          <w:tcPr>
            <w:tcW w:w="1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Expected for fiscal year 2018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8"/>
                <w:szCs w:val="18"/>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100" w:type="dxa"/>
            <w:vAlign w:val="bottom"/>
            <w:shd w:val="clear" w:color="auto" w:fill="CCEEFF"/>
          </w:tcPr>
          <w:p>
            <w:pPr>
              <w:spacing w:after="0"/>
              <w:rPr>
                <w:sz w:val="18"/>
                <w:szCs w:val="18"/>
                <w:color w:val="auto"/>
              </w:rPr>
            </w:pPr>
          </w:p>
        </w:tc>
      </w:tr>
      <w:tr>
        <w:trPr>
          <w:trHeight w:val="222"/>
        </w:trPr>
        <w:tc>
          <w:tcPr>
            <w:tcW w:w="6820" w:type="dxa"/>
            <w:vAlign w:val="bottom"/>
          </w:tcPr>
          <w:p>
            <w:pPr>
              <w:spacing w:after="0"/>
              <w:rPr>
                <w:sz w:val="19"/>
                <w:szCs w:val="19"/>
                <w:color w:val="auto"/>
              </w:rPr>
            </w:pPr>
          </w:p>
        </w:tc>
        <w:tc>
          <w:tcPr>
            <w:tcW w:w="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42,608</w:t>
            </w:r>
          </w:p>
        </w:tc>
        <w:tc>
          <w:tcPr>
            <w:tcW w:w="10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9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slight decrease in interest income in the six months ended October 4, 2013 compared to the prior year period was primarily due to lower average invested cash balances during the current year period.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$3.1 million decrease in interest expense in the six months ended October 4, 2013 compared to the prior year period was due primarily to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refinancing, in October 2012, of our former $275.0 million in aggregate principal amount of 2016 Notes with the proceeds from the issuance of an additional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$300.0 million in aggregate principal amount of 2020 Notes, which bear interest at a lower rate. Additionally, interest expense in the six months ended October 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reflects increased interest capitalization of approximately $1.3 million compared to the prior year period, mainly related to the commencement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construction of ViaSat-2 and related assets.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 from) provision for income taxes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currently estimate our annual effective income tax benefit rate to be 80.0% for fiscal year 2014. The estimated annual effective income tax benefit rate differs from the expected statutory rate primarily due to federal and state research and development tax credits. The income tax benefit rate recorded for the three and six months ended October 4, 2013 exceeded the estimated annual income tax benefit rate primarily due to the release of a valuation allowance of $3.7 million on state net operating loss carryforwards. The American Taxpayer Relief Act of 2012 was enacted on January 2, 2013. This legislation retroactively reinstated and extended the federal research and development tax credit through December 31, 2013. If the federal research and development tax credit is extended through the end of fiscal year 2014, we may have a higher annual effective income tax benefit rate for fiscal year 2014, and the amount of any such tax rate reduction will depend on the effective date of any such extension, the terms of the extension, as well as the amount of eligible research and development expenses in the extended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October 4, 2013 vs. Six Months Ended September 28,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5"/>
          </w:tcPr>
          <w:p>
            <w:pPr>
              <w:ind w:left="380"/>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00" w:type="dxa"/>
            <w:vAlign w:val="bottom"/>
          </w:tcPr>
          <w:p>
            <w:pPr>
              <w:spacing w:after="0"/>
              <w:rPr>
                <w:sz w:val="11"/>
                <w:szCs w:val="11"/>
                <w:color w:val="auto"/>
              </w:rPr>
            </w:pPr>
          </w:p>
        </w:tc>
        <w:tc>
          <w:tcPr>
            <w:tcW w:w="12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2013</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6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32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(3.5)</w:t>
            </w:r>
          </w:p>
        </w:tc>
        <w:tc>
          <w:tcPr>
            <w:tcW w:w="66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186.2</w:t>
            </w:r>
          </w:p>
        </w:tc>
        <w:tc>
          <w:tcPr>
            <w:tcW w:w="18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660"/>
              <w:spacing w:after="0"/>
              <w:rPr>
                <w:sz w:val="20"/>
                <w:szCs w:val="20"/>
                <w:color w:val="auto"/>
              </w:rPr>
            </w:pPr>
            <w:r>
              <w:rPr>
                <w:rFonts w:ascii="Arial" w:cs="Arial" w:eastAsia="Arial" w:hAnsi="Arial"/>
                <w:sz w:val="18"/>
                <w:szCs w:val="18"/>
                <w:color w:val="auto"/>
              </w:rPr>
              <w:t>63.1</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20" w:type="dxa"/>
            <w:vAlign w:val="bottom"/>
            <w:gridSpan w:val="2"/>
            <w:shd w:val="clear" w:color="auto" w:fill="CCEEFF"/>
          </w:tcPr>
          <w:p>
            <w:pPr>
              <w:ind w:left="360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186.2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126.6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59.6</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Our satellite services segment revenues grew by $59.6 million, primarily due to the $63.1 million increase in service revenues, of which $60.7 million related to retail and wholesale broadband services and $2.3 million related to our emerging mobile broadband services. The revenue increase relating to our Exede and WildBlue broadband services was driven by a 38% increase in the number of subscribers, which grew from approximately 429,000 at September 28, 2012 to approximately 591,000 at October 4, 2013, as well as a change in the mix of retail and wholesale subscribers and related higher average revenue per subscriber.</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loss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Six Months Ended</w:t>
            </w:r>
          </w:p>
        </w:tc>
        <w:tc>
          <w:tcPr>
            <w:tcW w:w="54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520" w:type="dxa"/>
            <w:vAlign w:val="bottom"/>
            <w:vMerge w:val="restart"/>
          </w:tcPr>
          <w:p>
            <w:pPr>
              <w:spacing w:after="0"/>
              <w:rPr>
                <w:sz w:val="11"/>
                <w:szCs w:val="11"/>
                <w:color w:val="auto"/>
              </w:rPr>
            </w:pPr>
          </w:p>
        </w:tc>
        <w:tc>
          <w:tcPr>
            <w:tcW w:w="136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3"/>
              </w:rPr>
              <w:t>October 4,</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4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520" w:type="dxa"/>
            <w:vAlign w:val="bottom"/>
            <w:vMerge w:val="continue"/>
          </w:tcPr>
          <w:p>
            <w:pPr>
              <w:spacing w:after="0"/>
              <w:rPr>
                <w:sz w:val="12"/>
                <w:szCs w:val="12"/>
                <w:color w:val="auto"/>
              </w:rPr>
            </w:pPr>
          </w:p>
        </w:tc>
        <w:tc>
          <w:tcPr>
            <w:tcW w:w="600" w:type="dxa"/>
            <w:vAlign w:val="bottom"/>
          </w:tcPr>
          <w:p>
            <w:pPr>
              <w:jc w:val="right"/>
              <w:ind w:right="84"/>
              <w:spacing w:after="0" w:line="148" w:lineRule="exact"/>
              <w:rPr>
                <w:sz w:val="20"/>
                <w:szCs w:val="20"/>
                <w:color w:val="auto"/>
              </w:rPr>
            </w:pPr>
            <w:r>
              <w:rPr>
                <w:rFonts w:ascii="Arial" w:cs="Arial" w:eastAsia="Arial" w:hAnsi="Arial"/>
                <w:sz w:val="14"/>
                <w:szCs w:val="14"/>
                <w:b w:val="1"/>
                <w:bCs w:val="1"/>
                <w:color w:val="auto"/>
              </w:rPr>
              <w:t>2013</w:t>
            </w: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76"/>
              </w:rPr>
              <w:t>2012</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0"/>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5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loss</w:t>
            </w:r>
          </w:p>
        </w:tc>
        <w:tc>
          <w:tcPr>
            <w:tcW w:w="60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2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(27.6)</w:t>
            </w:r>
          </w:p>
        </w:tc>
        <w:tc>
          <w:tcPr>
            <w:tcW w:w="76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180"/>
              <w:spacing w:after="0" w:line="203" w:lineRule="exact"/>
              <w:rPr>
                <w:sz w:val="20"/>
                <w:szCs w:val="20"/>
                <w:color w:val="auto"/>
              </w:rPr>
            </w:pPr>
            <w:r>
              <w:rPr>
                <w:rFonts w:ascii="Arial" w:cs="Arial" w:eastAsia="Arial" w:hAnsi="Arial"/>
                <w:sz w:val="18"/>
                <w:szCs w:val="18"/>
                <w:color w:val="auto"/>
              </w:rPr>
              <w:t>(41.9)</w:t>
            </w:r>
          </w:p>
        </w:tc>
        <w:tc>
          <w:tcPr>
            <w:tcW w:w="280" w:type="dxa"/>
            <w:vAlign w:val="bottom"/>
            <w:vMerge w:val="continue"/>
            <w:shd w:val="clear" w:color="auto" w:fill="CCEEFF"/>
          </w:tcPr>
          <w:p>
            <w:pPr>
              <w:spacing w:after="0"/>
              <w:rPr>
                <w:sz w:val="17"/>
                <w:szCs w:val="17"/>
                <w:color w:val="auto"/>
              </w:rPr>
            </w:pPr>
          </w:p>
        </w:tc>
        <w:tc>
          <w:tcPr>
            <w:tcW w:w="58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  14.3</w:t>
            </w:r>
          </w:p>
        </w:tc>
        <w:tc>
          <w:tcPr>
            <w:tcW w:w="60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2"/>
        </w:trPr>
        <w:tc>
          <w:tcPr>
            <w:tcW w:w="55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19"/>
                <w:szCs w:val="19"/>
                <w:color w:val="auto"/>
              </w:rPr>
            </w:pPr>
          </w:p>
        </w:tc>
        <w:tc>
          <w:tcPr>
            <w:tcW w:w="1020" w:type="dxa"/>
            <w:vAlign w:val="bottom"/>
            <w:gridSpan w:val="2"/>
          </w:tcPr>
          <w:p>
            <w:pPr>
              <w:ind w:left="180"/>
              <w:spacing w:after="0"/>
              <w:rPr>
                <w:sz w:val="20"/>
                <w:szCs w:val="20"/>
                <w:color w:val="auto"/>
              </w:rPr>
            </w:pPr>
            <w:r>
              <w:rPr>
                <w:rFonts w:ascii="Arial" w:cs="Arial" w:eastAsia="Arial" w:hAnsi="Arial"/>
                <w:sz w:val="18"/>
                <w:szCs w:val="18"/>
                <w:color w:val="auto"/>
              </w:rPr>
              <w:t>(33.1)%</w:t>
            </w: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$14.3 million reduction in operating loss for our satellite services segment was primarily due to $32.8 million in higher earnings contributions as our Exede broadband services subscriber base continued to grow, which resulted in increased revenues and improved margins, partially offset by $19.4 million in higher selling and support costs. The higher selling and support costs mainly related to increased sales and marketing support costs as we continued to expand our consumer broadband subscriber base and partially related to litigation expense focused on protecting and extending our technology advantages.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37"/>
              <w:spacing w:after="0"/>
              <w:rPr>
                <w:sz w:val="20"/>
                <w:szCs w:val="20"/>
                <w:color w:val="auto"/>
              </w:rPr>
            </w:pPr>
            <w:r>
              <w:rPr>
                <w:rFonts w:ascii="Arial" w:cs="Arial" w:eastAsia="Arial" w:hAnsi="Arial"/>
                <w:sz w:val="14"/>
                <w:szCs w:val="14"/>
                <w:b w:val="1"/>
                <w:bCs w:val="1"/>
                <w:color w:val="auto"/>
              </w:rPr>
              <w:t>Six Months Ended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2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83"/>
              </w:rPr>
              <w:t>October 4,</w:t>
            </w:r>
          </w:p>
        </w:tc>
        <w:tc>
          <w:tcPr>
            <w:tcW w:w="64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5"/>
              </w:rPr>
              <w:t>September 28,</w:t>
            </w:r>
          </w:p>
        </w:tc>
        <w:tc>
          <w:tcPr>
            <w:tcW w:w="64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0"/>
              <w:spacing w:after="0" w:line="148" w:lineRule="exact"/>
              <w:rPr>
                <w:sz w:val="20"/>
                <w:szCs w:val="20"/>
                <w:color w:val="auto"/>
              </w:rPr>
            </w:pPr>
            <w:r>
              <w:rPr>
                <w:rFonts w:ascii="Arial" w:cs="Arial" w:eastAsia="Arial" w:hAnsi="Arial"/>
                <w:sz w:val="14"/>
                <w:szCs w:val="14"/>
                <w:b w:val="1"/>
                <w:bCs w:val="1"/>
                <w:color w:val="auto"/>
                <w:w w:val="96"/>
              </w:rPr>
              <w:t>2013</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6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2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197.0</w:t>
            </w:r>
          </w:p>
        </w:tc>
        <w:tc>
          <w:tcPr>
            <w:tcW w:w="6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151.9</w:t>
            </w:r>
          </w:p>
        </w:tc>
        <w:tc>
          <w:tcPr>
            <w:tcW w:w="6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45.1</w:t>
            </w:r>
          </w:p>
        </w:tc>
        <w:tc>
          <w:tcPr>
            <w:tcW w:w="6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600"/>
              <w:spacing w:after="0"/>
              <w:rPr>
                <w:sz w:val="20"/>
                <w:szCs w:val="20"/>
                <w:color w:val="auto"/>
              </w:rPr>
            </w:pPr>
            <w:r>
              <w:rPr>
                <w:rFonts w:ascii="Arial" w:cs="Arial" w:eastAsia="Arial" w:hAnsi="Arial"/>
                <w:sz w:val="18"/>
                <w:szCs w:val="18"/>
                <w:color w:val="auto"/>
              </w:rPr>
              <w:t>(0.2)</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8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c>
          <w:tcPr>
            <w:tcW w:w="7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Our commercial networks segment revenues increased by $44.9 million, primarily due to the $45.1 million increase in product revenues. Of this revenue increase, $35.2 million related to fixed satellite networks (driven primarily by consumer broadband products), $8.2 million to mobile broadband satellite communication systems, and $7.1 million to satellite payload technology development programs. These increases were partially offset by decreases in revenues for our in antenna systems products of $3.3 million and for our satellite networking development programs of $3.2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5"/>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40" w:type="dxa"/>
            <w:vAlign w:val="bottom"/>
            <w:vMerge w:val="restart"/>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820" w:type="dxa"/>
            <w:vAlign w:val="bottom"/>
          </w:tcPr>
          <w:p>
            <w:pPr>
              <w:spacing w:after="0"/>
              <w:rPr>
                <w:sz w:val="11"/>
                <w:szCs w:val="11"/>
                <w:color w:val="auto"/>
              </w:rPr>
            </w:pPr>
          </w:p>
        </w:tc>
        <w:tc>
          <w:tcPr>
            <w:tcW w:w="128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7"/>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jc w:val="right"/>
              <w:ind w:right="82"/>
              <w:spacing w:after="0" w:line="148" w:lineRule="exact"/>
              <w:rPr>
                <w:sz w:val="20"/>
                <w:szCs w:val="20"/>
                <w:color w:val="auto"/>
              </w:rPr>
            </w:pPr>
            <w:r>
              <w:rPr>
                <w:rFonts w:ascii="Arial" w:cs="Arial" w:eastAsia="Arial" w:hAnsi="Arial"/>
                <w:sz w:val="14"/>
                <w:szCs w:val="14"/>
                <w:b w:val="1"/>
                <w:bCs w:val="1"/>
                <w:color w:val="auto"/>
                <w:w w:val="89"/>
              </w:rPr>
              <w:t>2013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2012</w:t>
            </w:r>
          </w:p>
        </w:tc>
        <w:tc>
          <w:tcPr>
            <w:tcW w:w="820" w:type="dxa"/>
            <w:vAlign w:val="bottom"/>
          </w:tcPr>
          <w:p>
            <w:pPr>
              <w:spacing w:after="0"/>
              <w:rPr>
                <w:sz w:val="12"/>
                <w:szCs w:val="12"/>
                <w:color w:val="auto"/>
              </w:rPr>
            </w:pPr>
          </w:p>
        </w:tc>
        <w:tc>
          <w:tcPr>
            <w:tcW w:w="1280" w:type="dxa"/>
            <w:vAlign w:val="bottom"/>
            <w:gridSpan w:val="3"/>
          </w:tcPr>
          <w:p>
            <w:pPr>
              <w:jc w:val="center"/>
              <w:ind w:right="660"/>
              <w:spacing w:after="0" w:line="148" w:lineRule="exact"/>
              <w:rPr>
                <w:sz w:val="20"/>
                <w:szCs w:val="20"/>
                <w:color w:val="auto"/>
              </w:rPr>
            </w:pPr>
            <w:r>
              <w:rPr>
                <w:rFonts w:ascii="Arial" w:cs="Arial" w:eastAsia="Arial" w:hAnsi="Arial"/>
                <w:sz w:val="14"/>
                <w:szCs w:val="14"/>
                <w:b w:val="1"/>
                <w:bCs w:val="1"/>
                <w:color w:val="auto"/>
                <w:w w:val="86"/>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1"/>
              </w:rPr>
              <w:t>3.0</w:t>
            </w:r>
          </w:p>
        </w:tc>
        <w:tc>
          <w:tcPr>
            <w:tcW w:w="7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ind w:left="280"/>
              <w:spacing w:after="0" w:line="203" w:lineRule="exact"/>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4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commercial networks segment generated an operating profit for the first six months of fiscal year 2014 compared to an operating loss in the same period in the prior fiscal year. This change was primarily due to $17.7 million in higher earnings contributions from increased revenues and improved margins in our consumer broadband products and in our mobile broadband satellite communication systems, partially offset by higher IR&amp;D costs of $7.8 million and higher selling, support and new business proposal costs of $3.0 million.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0"/>
              </w:rPr>
              <w:t>Dollar</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620" w:type="dxa"/>
            <w:vAlign w:val="bottom"/>
          </w:tcPr>
          <w:p>
            <w:pPr>
              <w:spacing w:after="0"/>
              <w:rPr>
                <w:sz w:val="11"/>
                <w:szCs w:val="11"/>
                <w:color w:val="auto"/>
              </w:rPr>
            </w:pPr>
          </w:p>
        </w:tc>
        <w:tc>
          <w:tcPr>
            <w:tcW w:w="94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4"/>
                <w:szCs w:val="14"/>
                <w:b w:val="1"/>
                <w:bCs w:val="1"/>
                <w:color w:val="auto"/>
              </w:rPr>
              <w:t>October 4,</w:t>
            </w:r>
          </w:p>
        </w:tc>
        <w:tc>
          <w:tcPr>
            <w:tcW w:w="3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60" w:type="dxa"/>
            <w:vAlign w:val="bottom"/>
            <w:gridSpan w:val="3"/>
          </w:tcPr>
          <w:p>
            <w:pPr>
              <w:jc w:val="center"/>
              <w:ind w:right="660"/>
              <w:spacing w:after="0" w:line="129" w:lineRule="exact"/>
              <w:rPr>
                <w:sz w:val="20"/>
                <w:szCs w:val="20"/>
                <w:color w:val="auto"/>
              </w:rPr>
            </w:pPr>
            <w:r>
              <w:rPr>
                <w:rFonts w:ascii="Arial" w:cs="Arial" w:eastAsia="Arial" w:hAnsi="Arial"/>
                <w:sz w:val="14"/>
                <w:szCs w:val="14"/>
                <w:b w:val="1"/>
                <w:bCs w:val="1"/>
                <w:color w:val="auto"/>
                <w:w w:val="84"/>
              </w:rPr>
              <w:t>Increase</w:t>
            </w:r>
          </w:p>
        </w:tc>
        <w:tc>
          <w:tcPr>
            <w:tcW w:w="8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48"/>
        </w:trPr>
        <w:tc>
          <w:tcPr>
            <w:tcW w:w="2000" w:type="dxa"/>
            <w:vAlign w:val="bottom"/>
            <w:gridSpan w:val="2"/>
            <w:vMerge w:val="continue"/>
          </w:tcPr>
          <w:p>
            <w:pPr>
              <w:spacing w:after="0"/>
              <w:rPr>
                <w:sz w:val="12"/>
                <w:szCs w:val="12"/>
                <w:color w:val="auto"/>
              </w:rPr>
            </w:pPr>
          </w:p>
        </w:tc>
        <w:tc>
          <w:tcPr>
            <w:tcW w:w="3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jc w:val="right"/>
              <w:ind w:right="100"/>
              <w:spacing w:after="0" w:line="148" w:lineRule="exact"/>
              <w:rPr>
                <w:sz w:val="20"/>
                <w:szCs w:val="20"/>
                <w:color w:val="auto"/>
              </w:rPr>
            </w:pPr>
            <w:r>
              <w:rPr>
                <w:rFonts w:ascii="Arial" w:cs="Arial" w:eastAsia="Arial" w:hAnsi="Arial"/>
                <w:sz w:val="14"/>
                <w:szCs w:val="14"/>
                <w:b w:val="1"/>
                <w:bCs w:val="1"/>
                <w:color w:val="auto"/>
                <w:w w:val="89"/>
              </w:rPr>
              <w:t>2013</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6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(Decrease)</w:t>
            </w:r>
          </w:p>
        </w:tc>
        <w:tc>
          <w:tcPr>
            <w:tcW w:w="8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90"/>
              </w:rPr>
              <w:t>Segment product revenues</w:t>
            </w:r>
          </w:p>
        </w:tc>
        <w:tc>
          <w:tcPr>
            <w:tcW w:w="36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6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980" w:type="dxa"/>
            <w:vAlign w:val="bottom"/>
            <w:vMerge w:val="continue"/>
            <w:shd w:val="clear" w:color="auto" w:fill="CCEEFF"/>
          </w:tcPr>
          <w:p>
            <w:pPr>
              <w:spacing w:after="0"/>
              <w:rPr>
                <w:sz w:val="17"/>
                <w:szCs w:val="17"/>
                <w:color w:val="auto"/>
              </w:rPr>
            </w:pPr>
          </w:p>
        </w:tc>
        <w:tc>
          <w:tcPr>
            <w:tcW w:w="362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195.6</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160.8</w:t>
            </w:r>
          </w:p>
        </w:tc>
        <w:tc>
          <w:tcPr>
            <w:tcW w:w="320" w:type="dxa"/>
            <w:vAlign w:val="bottom"/>
            <w:vMerge w:val="continue"/>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color w:val="auto"/>
                <w:w w:val="79"/>
              </w:rPr>
              <w:t>34.7</w:t>
            </w:r>
          </w:p>
        </w:tc>
        <w:tc>
          <w:tcPr>
            <w:tcW w:w="66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Arial" w:cs="Arial" w:eastAsia="Arial" w:hAnsi="Arial"/>
                <w:sz w:val="18"/>
                <w:szCs w:val="18"/>
                <w:color w:val="auto"/>
                <w:w w:val="91"/>
              </w:rPr>
              <w:t>Segment service revenues</w:t>
            </w:r>
          </w:p>
        </w:tc>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74.5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8"/>
                <w:szCs w:val="18"/>
                <w:color w:val="auto"/>
              </w:rPr>
              <w:t>11.2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98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3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w:t>
            </w:r>
          </w:p>
        </w:tc>
        <w:tc>
          <w:tcPr>
            <w:tcW w:w="3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235.3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45.9</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Our government systems segment revenues grew by $45.9 million, due to an increase of $34.7 million in product revenues and $11.2 million in service revenues. The increase in product revenues was primarily due to revenue increases of $14.8 million in government satellite communication systems, $12.4 million in TrellisWare, and $8.0 million in information assurance products.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increase in service revenues was primarily due to a $14.1 million revenue increase in government satellite communication systems services (mainly attributable broadband networking services revenues for military customers) and a $2.2 million increase in revenue related to tactical data link services, offset by service revenue decreases of $4.0 million in TrellisWare and $1.2 million in information assurance services.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64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Six Months Ended</w:t>
            </w:r>
          </w:p>
        </w:tc>
        <w:tc>
          <w:tcPr>
            <w:tcW w:w="56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2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Dollar</w:t>
            </w: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29"/>
        </w:trPr>
        <w:tc>
          <w:tcPr>
            <w:tcW w:w="200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millions, except percentages)</w:t>
            </w:r>
          </w:p>
        </w:tc>
        <w:tc>
          <w:tcPr>
            <w:tcW w:w="3340" w:type="dxa"/>
            <w:vAlign w:val="bottom"/>
            <w:vMerge w:val="restart"/>
          </w:tcPr>
          <w:p>
            <w:pPr>
              <w:spacing w:after="0"/>
              <w:rPr>
                <w:sz w:val="11"/>
                <w:szCs w:val="11"/>
                <w:color w:val="auto"/>
              </w:rPr>
            </w:pPr>
          </w:p>
        </w:tc>
        <w:tc>
          <w:tcPr>
            <w:tcW w:w="13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October 4,</w:t>
            </w:r>
          </w:p>
        </w:tc>
        <w:tc>
          <w:tcPr>
            <w:tcW w:w="8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3"/>
              </w:rPr>
              <w:t>September 28,</w:t>
            </w:r>
          </w:p>
        </w:tc>
        <w:tc>
          <w:tcPr>
            <w:tcW w:w="780" w:type="dxa"/>
            <w:vAlign w:val="bottom"/>
          </w:tcPr>
          <w:p>
            <w:pPr>
              <w:spacing w:after="0"/>
              <w:rPr>
                <w:sz w:val="11"/>
                <w:szCs w:val="11"/>
                <w:color w:val="auto"/>
              </w:rPr>
            </w:pPr>
          </w:p>
        </w:tc>
        <w:tc>
          <w:tcPr>
            <w:tcW w:w="1280" w:type="dxa"/>
            <w:vAlign w:val="bottom"/>
            <w:gridSpan w:val="2"/>
          </w:tcPr>
          <w:p>
            <w:pPr>
              <w:jc w:val="center"/>
              <w:ind w:right="680"/>
              <w:spacing w:after="0" w:line="129" w:lineRule="exact"/>
              <w:rPr>
                <w:sz w:val="20"/>
                <w:szCs w:val="20"/>
                <w:color w:val="auto"/>
              </w:rPr>
            </w:pPr>
            <w:r>
              <w:rPr>
                <w:rFonts w:ascii="Arial" w:cs="Arial" w:eastAsia="Arial" w:hAnsi="Arial"/>
                <w:sz w:val="14"/>
                <w:szCs w:val="14"/>
                <w:b w:val="1"/>
                <w:bCs w:val="1"/>
                <w:color w:val="auto"/>
                <w:w w:val="84"/>
              </w:rPr>
              <w:t>Increase</w:t>
            </w:r>
          </w:p>
        </w:tc>
        <w:tc>
          <w:tcPr>
            <w:tcW w:w="90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4"/>
              </w:rPr>
              <w:t>Increase</w:t>
            </w:r>
          </w:p>
        </w:tc>
        <w:tc>
          <w:tcPr>
            <w:tcW w:w="0" w:type="dxa"/>
            <w:vAlign w:val="bottom"/>
          </w:tcPr>
          <w:p>
            <w:pPr>
              <w:spacing w:after="0"/>
              <w:rPr>
                <w:sz w:val="1"/>
                <w:szCs w:val="1"/>
                <w:color w:val="auto"/>
              </w:rPr>
            </w:pPr>
          </w:p>
        </w:tc>
      </w:tr>
      <w:tr>
        <w:trPr>
          <w:trHeight w:val="153"/>
        </w:trPr>
        <w:tc>
          <w:tcPr>
            <w:tcW w:w="2000" w:type="dxa"/>
            <w:vAlign w:val="bottom"/>
            <w:tcBorders>
              <w:bottom w:val="single" w:sz="8" w:color="auto"/>
            </w:tcBorders>
            <w:vMerge w:val="continue"/>
          </w:tcPr>
          <w:p>
            <w:pPr>
              <w:spacing w:after="0"/>
              <w:rPr>
                <w:sz w:val="12"/>
                <w:szCs w:val="12"/>
                <w:color w:val="auto"/>
              </w:rPr>
            </w:pPr>
          </w:p>
        </w:tc>
        <w:tc>
          <w:tcPr>
            <w:tcW w:w="3340" w:type="dxa"/>
            <w:vAlign w:val="bottom"/>
            <w:vMerge w:val="continue"/>
          </w:tcPr>
          <w:p>
            <w:pPr>
              <w:spacing w:after="0"/>
              <w:rPr>
                <w:sz w:val="12"/>
                <w:szCs w:val="12"/>
                <w:color w:val="auto"/>
              </w:rPr>
            </w:pPr>
          </w:p>
        </w:tc>
        <w:tc>
          <w:tcPr>
            <w:tcW w:w="6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2013</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w w:val="83"/>
              </w:rPr>
              <w:t>2012</w:t>
            </w:r>
          </w:p>
        </w:tc>
        <w:tc>
          <w:tcPr>
            <w:tcW w:w="780" w:type="dxa"/>
            <w:vAlign w:val="bottom"/>
          </w:tcPr>
          <w:p>
            <w:pPr>
              <w:spacing w:after="0"/>
              <w:rPr>
                <w:sz w:val="12"/>
                <w:szCs w:val="12"/>
                <w:color w:val="auto"/>
              </w:rPr>
            </w:pPr>
          </w:p>
        </w:tc>
        <w:tc>
          <w:tcPr>
            <w:tcW w:w="1280" w:type="dxa"/>
            <w:vAlign w:val="bottom"/>
            <w:gridSpan w:val="2"/>
          </w:tcPr>
          <w:p>
            <w:pPr>
              <w:jc w:val="center"/>
              <w:ind w:right="680"/>
              <w:spacing w:after="0" w:line="148" w:lineRule="exact"/>
              <w:rPr>
                <w:sz w:val="20"/>
                <w:szCs w:val="20"/>
                <w:color w:val="auto"/>
              </w:rPr>
            </w:pPr>
            <w:r>
              <w:rPr>
                <w:rFonts w:ascii="Arial" w:cs="Arial" w:eastAsia="Arial" w:hAnsi="Arial"/>
                <w:sz w:val="14"/>
                <w:szCs w:val="14"/>
                <w:b w:val="1"/>
                <w:bCs w:val="1"/>
                <w:color w:val="auto"/>
                <w:w w:val="83"/>
              </w:rPr>
              <w:t>(Decrease)</w:t>
            </w:r>
          </w:p>
        </w:tc>
        <w:tc>
          <w:tcPr>
            <w:tcW w:w="90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3"/>
              </w:rPr>
              <w:t>(Decrease)</w:t>
            </w:r>
          </w:p>
        </w:tc>
        <w:tc>
          <w:tcPr>
            <w:tcW w:w="0" w:type="dxa"/>
            <w:vAlign w:val="bottom"/>
          </w:tcPr>
          <w:p>
            <w:pPr>
              <w:spacing w:after="0"/>
              <w:rPr>
                <w:sz w:val="1"/>
                <w:szCs w:val="1"/>
                <w:color w:val="auto"/>
              </w:rPr>
            </w:pPr>
          </w:p>
        </w:tc>
      </w:tr>
      <w:tr>
        <w:trPr>
          <w:trHeight w:val="20"/>
        </w:trPr>
        <w:tc>
          <w:tcPr>
            <w:tcW w:w="5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60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8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gridSpan w:val="2"/>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9"/>
              </w:rPr>
              <w:t>$   34.9</w:t>
            </w:r>
          </w:p>
        </w:tc>
        <w:tc>
          <w:tcPr>
            <w:tcW w:w="7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60"/>
              <w:spacing w:after="0" w:line="203" w:lineRule="exact"/>
              <w:rPr>
                <w:sz w:val="20"/>
                <w:szCs w:val="20"/>
                <w:color w:val="auto"/>
              </w:rPr>
            </w:pPr>
            <w:r>
              <w:rPr>
                <w:rFonts w:ascii="Arial" w:cs="Arial" w:eastAsia="Arial" w:hAnsi="Arial"/>
                <w:sz w:val="18"/>
                <w:szCs w:val="18"/>
                <w:color w:val="auto"/>
                <w:w w:val="79"/>
              </w:rPr>
              <w:t>39.3</w:t>
            </w:r>
          </w:p>
        </w:tc>
        <w:tc>
          <w:tcPr>
            <w:tcW w:w="780" w:type="dxa"/>
            <w:vAlign w:val="bottom"/>
            <w:vMerge w:val="continue"/>
            <w:shd w:val="clear" w:color="auto" w:fill="CCEEFF"/>
          </w:tcPr>
          <w:p>
            <w:pPr>
              <w:spacing w:after="0"/>
              <w:rPr>
                <w:sz w:val="17"/>
                <w:szCs w:val="17"/>
                <w:color w:val="auto"/>
              </w:rPr>
            </w:pPr>
          </w:p>
        </w:tc>
        <w:tc>
          <w:tcPr>
            <w:tcW w:w="6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6"/>
              </w:rPr>
              <w:t>$   (4.4)</w:t>
            </w:r>
          </w:p>
        </w:tc>
        <w:tc>
          <w:tcPr>
            <w:tcW w:w="6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2"/>
        </w:trPr>
        <w:tc>
          <w:tcPr>
            <w:tcW w:w="53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9"/>
                <w:szCs w:val="19"/>
                <w:color w:val="auto"/>
              </w:rPr>
            </w:pPr>
          </w:p>
        </w:tc>
        <w:tc>
          <w:tcPr>
            <w:tcW w:w="1340" w:type="dxa"/>
            <w:vAlign w:val="bottom"/>
            <w:gridSpan w:val="2"/>
          </w:tcPr>
          <w:p>
            <w:pPr>
              <w:ind w:left="260"/>
              <w:spacing w:after="0"/>
              <w:rPr>
                <w:sz w:val="20"/>
                <w:szCs w:val="20"/>
                <w:color w:val="auto"/>
              </w:rPr>
            </w:pPr>
            <w:r>
              <w:rPr>
                <w:rFonts w:ascii="Arial" w:cs="Arial" w:eastAsia="Arial" w:hAnsi="Arial"/>
                <w:sz w:val="18"/>
                <w:szCs w:val="18"/>
                <w:color w:val="auto"/>
              </w:rPr>
              <w:t>16.7%</w:t>
            </w:r>
          </w:p>
        </w:tc>
        <w:tc>
          <w:tcPr>
            <w:tcW w:w="6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$4.4 million decrease in our government systems segment operating profit reflected higher IR&amp;D costs of $5.9 million and higher selling, support and new business proposal costs of $5.4 million, offset by $6.9 million of higher earnings contributions (mainly from revenue growth and improved margins in tactical data link products and TrellisWare).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As reflected in the table below, both firm and funded backlog decreased overall during the first six months of fiscal year 2014 due to decreases in the government systems and commercial networks segments.</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4"/>
              <w:spacing w:after="0"/>
              <w:rPr>
                <w:sz w:val="20"/>
                <w:szCs w:val="20"/>
                <w:color w:val="auto"/>
              </w:rPr>
            </w:pPr>
            <w:r>
              <w:rPr>
                <w:rFonts w:ascii="Arial" w:cs="Arial" w:eastAsia="Arial" w:hAnsi="Arial"/>
                <w:sz w:val="14"/>
                <w:szCs w:val="14"/>
                <w:b w:val="1"/>
                <w:bCs w:val="1"/>
                <w:color w:val="auto"/>
              </w:rPr>
              <w:t>As of</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86"/>
              </w:rPr>
              <w:t>October 4, 2013</w:t>
            </w:r>
          </w:p>
        </w:tc>
        <w:tc>
          <w:tcPr>
            <w:tcW w:w="1900" w:type="dxa"/>
            <w:vAlign w:val="bottom"/>
            <w:gridSpan w:val="4"/>
          </w:tcPr>
          <w:p>
            <w:pPr>
              <w:ind w:left="900"/>
              <w:spacing w:after="0"/>
              <w:rPr>
                <w:sz w:val="20"/>
                <w:szCs w:val="20"/>
                <w:color w:val="auto"/>
              </w:rPr>
            </w:pPr>
            <w:r>
              <w:rPr>
                <w:rFonts w:ascii="Arial" w:cs="Arial" w:eastAsia="Arial" w:hAnsi="Arial"/>
                <w:sz w:val="14"/>
                <w:szCs w:val="14"/>
                <w:b w:val="1"/>
                <w:bCs w:val="1"/>
                <w:color w:val="auto"/>
                <w:w w:val="98"/>
              </w:rPr>
              <w:t>March 29, 2013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Firm backlog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35.0</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Commercial Networks segment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339.3</w:t>
            </w:r>
          </w:p>
        </w:tc>
        <w:tc>
          <w:tcPr>
            <w:tcW w:w="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805.9</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Funded backlog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Satellite Services segment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0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431.6</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Government Systems segment</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307.1</w:t>
            </w:r>
          </w:p>
        </w:tc>
        <w:tc>
          <w:tcPr>
            <w:tcW w:w="9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773.7</w:t>
            </w:r>
          </w:p>
        </w:tc>
        <w:tc>
          <w:tcPr>
            <w:tcW w:w="10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firm backlog does not include contract options. Of the $805.9 million in firm backlog, $364.8 million is expected to be delivered during the remaining six months of fiscal year 2014, and the balance is expected to be delivered in fiscal year 2015 and thereafter. We include in our backlog only those orders for which we have accepted purchase orders.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Our total new awards were $391.1 million and $645.1 million for the three and six months ended October 4, 2013, respectively, compared to $548.0 million and $880.6 million for the three and six months ended September 28, 2012, respectively.</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4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fundings have ultimately been approximately equal to the aggregate amounts of the contracts.</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459" w:right="31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have financed our operations to date primarily with cash flows from operations, bank line of credit financing, debt financing and equity financing. At October 4, 2013, we had $67.1 million in cash and cash equivalents, $247.2 million in working capital, and $35.0 million in borrowings under our revolving credit facility (the Credit Facility). At March 29, 2013, we had $105.7 million in cash and cash equivalents, $297.7 million in working capital and no outstanding borrowings under our Credit Facility. We invest our cash in excess of current operating requirements in short-term, interest-bearing, investment-grade securities.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future capital requirements will depend upon many factors, including the timing and amount of cash required for our ViaSat-2 satellite project and any future broadband satellite projects we may engage in, expansion of our research and development and marketing efforts, and the nature and timing of orders. Additionally, we will continue to evaluate possible acquisitions of, or investments in complementary businesses, products and technologies which may require the use of cash or additional financing.</w:t>
      </w:r>
    </w:p>
    <w:p>
      <w:pPr>
        <w:spacing w:after="0" w:line="14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The general cash needs of our satellite services, commercial networks and government systems segments can vary significantly. The cash needs of our satellite services segment tend to be driven by the timing of capital expenditure payments (e.g., payments under satellite construction and launch contracts) and of network expansion activities, as well as the quality of customer, type of contract and payment terms. In our commercial networks segment, cash needs tend to be driven primarily by the type and mix of contracts in backlog, the nature and quality of customers, the level of investments in IR&amp;D activities and the payment terms of customers (including whether advance payments are made or customer financing is required). 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 duration and program performance. For example, if a program is performing well and meeting its contractual requirements, then its cash flow requirements are usually lower.</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To further enhance our liquidity position, we may obtain additional financing, which could consist of debt, convertible debt or equity financing from public and/or private capital markets. In March 2013, we filed a universal shelf registration statement with the SEC for the future sale of an unlimited amount of debt securities, common stock, preferred stock, depositary shares, warrants and rights. The securities may be offered from time to time, separately or together, directly by us, by selling security holders, or through underwriters, dealers or agents at amounts, prices, interest rates and other terms to be determined at the time of the offering. We believe that our current cash balances and net cash expected to be provided by operating activities along with availability under our Credit Facility will be sufficient to meet our anticipated operating requirements for at least the next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Cash provided by operating activities for the first six months of fiscal year 2014 was $102.8 million compared to $42.1 million in the prior year period. This $60.7 million increase was primarily driven by our operating results (net income adjusted for depreciation, amortization and other non-cash charges) which generated $46.5 million of higher cash inflows, coupled with a $14.2 million year-over-year decrease in cash used to fund net operating assets needs. The decrease in net operating assets from March 29, 2013 was mainly due to a $42.8 million increase in our accounts payable due to timing of payments, partially offset by a $21.9 million increase in inventory mainly in our commercial networks, primarily due to high demand for CPE terminal sales from domestic and international customers, and a $6.3 million increase in combined billed and unbilled accounts receivables, net, attributable to the contractual timing of certain milestones in our commercial network segment.</w:t>
      </w:r>
    </w:p>
    <w:p>
      <w:pPr>
        <w:spacing w:after="0" w:line="118" w:lineRule="exact"/>
        <w:rPr>
          <w:sz w:val="20"/>
          <w:szCs w:val="20"/>
          <w:color w:val="auto"/>
        </w:rPr>
      </w:pPr>
    </w:p>
    <w:p>
      <w:pPr>
        <w:jc w:val="both"/>
        <w:ind w:right="340" w:firstLine="456"/>
        <w:spacing w:after="0" w:line="306" w:lineRule="auto"/>
        <w:rPr>
          <w:sz w:val="20"/>
          <w:szCs w:val="20"/>
          <w:color w:val="auto"/>
        </w:rPr>
      </w:pPr>
      <w:r>
        <w:rPr>
          <w:rFonts w:ascii="Arial" w:cs="Arial" w:eastAsia="Arial" w:hAnsi="Arial"/>
          <w:sz w:val="16"/>
          <w:szCs w:val="16"/>
          <w:color w:val="auto"/>
        </w:rPr>
        <w:t>Cash used in investing activities for the first six months of fiscal year 2014 was $184.7 million compared to $87.0 million in the prior year period. The increase in cash used in investing activities reflected the $51.6 million in cash used during the first six months of fiscal year 2014 for the construction of our ViaSat-2 satellite, as well as a $36.0 million increase in capital expenditures year-over-year for new CPE units and other general purpose equipment.</w:t>
      </w:r>
    </w:p>
    <w:p>
      <w:pPr>
        <w:spacing w:after="0" w:line="10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Cash provided by financing activities for the first six months of fiscal year 2014 was $43.3 million compared to cash provided by financing activities of $8.4 million for the prior year period. This $34.8 million increase in cash provided by financing activities was primarily related to the $35.0 million in proceeds from borrowings under our Credit Facility during the first six months of fiscal year 2014, compared to no borrowings in the prior year period. Cash provided by financing activities for both periods included cash received from stock option exercises and employee stock purchase plan purchases, and cash used for the repurchase of common stock related to net share settlement of certain employee tax liabilities in connection with the vesting of restricted stock unit awards.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 service-related activities</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May 2013, we entered into an agreement with The Boeing Company (Boeing) to purchase ViaSat-2, our second high-capacity Ka-band satellite, at a price of approximately $358.0 million, plus an additional amount for launch support services to be performed by Boeing. The projected total cost of the ViaSat-2 project, including the satellite, launch, insurance and related gateway infrastructure, through satellite launch is estimated to be between $600.0 million to $650.0 million, and will depend on the timing of the gateway infrastructure roll-out. Our total required cash funding may be reduced through various third party agreements, including potential joint service offerings and other strategic partnering arrangements. We believe we have adequate sources of funding for the project, which include our cash on hand, available borrowing capacity and the cash we expect to generate from operations over the next few years.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incurred higher operating costs in connection with the launch and roll-out of our ViaSat-1 satellite and related ground infrastructure and our Exede broadband services, as well as higher interest expense as we capitalized a significantly lower amount of the interest expense on our outstanding debt. These higher operating costs included costs associated with depreciation, gateway connectivity, subscriber acquisition costs, logistics, customer care and various support systems. The higher operating costs attributed to our Exede service launch have negatively impacted income from operations during the past two fiscal years. However, as the total number of subscribers of our Exede broadband services increases, we expect the resultant increase in service revenues in our satellite services segment to improve income (loss) from operations for that segment over time. However, there can be no assurance that the number of subscribers of our Exede broadband services and service revenues in our satellite services segment will continue to increase. We also expect our capital expenditures to increase during the remainder of fiscal year 2014 as a result of increased subscriber acquisition costs relating to the expected increase in the number of subscribers on our Exede broadband services and capital required for the construction of our newest high-capacity satellite, ViaSat-2.</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involved in a variety of claims, suits, investigations and proceedings arising in the ordinary course of business, including actions with respect to intellectual property claims and other matters. See “Legal Proceedings” in Part II, Item 1 for a discussion of certain patent infringement litigation involving Space Systems/Loral, Inc. (SS/L) and its former parent company Loral Space &amp; Communications, Inc. (Loral). Regardless of the outcome, litigation can have an adverse impact on us because we expect to incur costs, which may vary based on interim rulings, discovery and other related activities. In addition, it is possible that an unfavorable resolution of one or more such proceedings could in the future materially and adversely affect our business, financial condition, results of operations or liquidity in a particular period.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of October 4, 2013, the Credit Facility, as amended, provided a revolving line of credit of $325.0 million (including up to $50.0 million of letters of credit) with a maturity date of May 9, 2017. Borrowings under the Credit Facility bear interest, at our option, at either (1) the highest of the Federal Funds rate plus 0.50%, the Eurodollar rate plus 1.00%, or the administrative agent’s prime rate as announced from time to time, or (2) the Eurodollar rate, plus, in the case of each of (1) and (2), an applicable margin that is based on our total leverage ratio. At October 4, 2013, the weighted average effective interest rate on our outstanding borrowings under the Credit Facility was 2.94%. The Credit Facility is required to be guaranteed by certain of our significant domestic subsidiaries (as defined in the Credit Facility) and secured by substantially all of our assets. During the second quarter of fiscal year 2014, the last remaining subsidiary guarantor, ViaSat Communications, Inc., was merged into ViaSat. Accordingly, as of October 4, 2013, none of our subsidiaries guaranteed the Credit Facility. The Credit Facility contains financial covenants regarding a maximum total leverage ratio and a minimum interest coverage ratio. In addition, the Credit Facility contains covenants that restrict, among other things, our ability to sell assets, make investments and acquisitions, make capital expenditures, grant liens, pay dividends and make certain other restricted payments.</w:t>
      </w:r>
    </w:p>
    <w:p>
      <w:pPr>
        <w:spacing w:after="0" w:line="12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At October 4, 2013, we had $35.0 million in principal amount of outstanding borrowings under the Credit Facility and $38.7 million outstanding under standby letters of credit, leaving borrowing availability under the Credit Facility as of October 4, 2013 of $251.3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2020</w:t>
      </w:r>
    </w:p>
    <w:p>
      <w:pPr>
        <w:spacing w:after="0" w:line="90"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In February 2012, we issued $275.0 million in principal amount of 2020 Notes in a private placement to institutional buyers, which were exchanged in August 2012 for substantially identical 2020 Notes that had been registered with the SEC. These initial 2020 Notes were issued at face value and are recorded as long-term debt in our condensed consolidated financial statements. On October 12, 2012, we issued an additional $300.0 million in principal amount of 2020 Notes in a private placement to institutional buyers at an issue price of 103.50% of the principal amount, which were exchanged in January 2013 for substantially identical 2020 Notes that had been registered with the SEC. The 2020 Notes are all treated as a single class. The 2020 Notes bear interest at the rate of</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6.875% per year, payable semi-annually in cash in arrears, which interest payments commenced in June 2012. Deferred financing cost associated with the issuance of the 2020 Notes is amortized to interest expense on a straight-line basis over the term of the 2020 Notes, the results of which are not materially different from the effective interest rate basis. The $10.5 million premium we received in connection with the issuance of the additional 2020 Notes is recorded as long-term debt in our condensed consolidated financial statements and is being amortized as a reduction to interest expense on an effective interest rate basis over the term of those 2020 Notes.</w:t>
      </w:r>
    </w:p>
    <w:p>
      <w:pPr>
        <w:spacing w:after="0" w:line="14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2020 Notes are required to be guaranteed on an unsecured senior basis by each of our existing and future subsidiaries that guarantees the Credit Facility. During the second quarter of fiscal year 2014, the last remaining subsidiary guarantor, ViaSat Communications, Inc., was merged into ViaSat. Accordingly, as of October 4, 2013, none of our subsidiaries guaranteed the 2020 Notes. The 2020 Notes are our general senior unsecured obligations and rank equally in right of payment with all of our existing and future unsecured unsubordinated debt. The 2020 Notes are effectively junior in right of payment to our existing and future secured debt, including under the Credit Facility (to the extent of the value of the assets securing such debt), are structurally subordinated to all existing and future liabilities (including trade payables) of our subsidiaries that do not guarantee the 2020 Notes, and are senior in right of payment to all of our existing and future subordinated indebtedness.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The indenture governing the 2020 Notes limits, among other things, our and our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our satellite insurance; and consolidate or merge with, or sell substantially all of their assets to, another person.</w:t>
      </w:r>
    </w:p>
    <w:p>
      <w:pPr>
        <w:spacing w:after="0" w:line="143"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Prior to June 15, 2015, we may redeem up to 35% of the 2020 Notes at a redemption price of 106.875% of the principal amount thereof, plus accrued and unpaid interest, if any, thereon to the redemption date, from the net cash proceeds of specified equity offerings. We may also redeem the 2020 Notes prior to June 15, 2016, in whole or in part, at a redemption price equal to 100% of the principal amount thereof plus the applicable premium and any accrued and unpaid interest, if any, thereon to the redemption date. The applicable premium is calculated as the greater of: (i) 1.0% of the principal amount of such 2020 Notes and</w:t>
      </w:r>
    </w:p>
    <w:p>
      <w:pPr>
        <w:spacing w:after="0" w:line="3" w:lineRule="exact"/>
        <w:rPr>
          <w:sz w:val="20"/>
          <w:szCs w:val="20"/>
          <w:color w:val="auto"/>
        </w:rPr>
      </w:pPr>
    </w:p>
    <w:p>
      <w:pPr>
        <w:ind w:right="120" w:firstLine="8"/>
        <w:spacing w:after="0" w:line="290" w:lineRule="auto"/>
        <w:tabs>
          <w:tab w:leader="none" w:pos="258"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excess, if any, of (a) the present value at such date of redemption of (1) the redemption price of such 2020 Notes on June 15, 2016 plus (2) all required interest payments due on such 2020 Notes through June 15, 2016 (excluding accrued but unpaid interest to the date of redemption), computed using a discount rate equal to the treasury rate (as defined under the indenture) plus 50 basis points, over (b) the then-outstanding principal amount of such 2020 Notes. The 2020 Notes may be redeemed, in whole or in part, at any time during the twelve months beginning on June 15, 2016 at a redemption price of 103.438%, during the twelve months beginning on June 15, 2017 at a redemption price of 101.719%, and at any time on or after June 15, 2018 at a redemption price of 100%, in each case plus accrued and unpaid interest, if any, thereon to the redemption date.</w:t>
      </w:r>
    </w:p>
    <w:p>
      <w:pPr>
        <w:spacing w:after="0" w:line="118"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In the event a change of control occurs (as defined in the indenture), each holder will have the right to require us to repurchase all or any part of such holder’s 2020 Notes at a purchase price in cash equal to 101% of the aggregate principal amount of the 2020 Notes repurchased plus accrued and unpaid interest, if any, to the date of purchase (subject to the right of holders of record on the relevant record date to receive interest due on the relevant interest payment date).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 summary of our obligations at October 4,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36"/>
              <w:spacing w:after="0"/>
              <w:rPr>
                <w:sz w:val="20"/>
                <w:szCs w:val="20"/>
                <w:color w:val="auto"/>
              </w:rPr>
            </w:pPr>
            <w:r>
              <w:rPr>
                <w:rFonts w:ascii="Arial" w:cs="Arial" w:eastAsia="Arial" w:hAnsi="Arial"/>
                <w:sz w:val="14"/>
                <w:szCs w:val="14"/>
                <w:b w:val="1"/>
                <w:bCs w:val="1"/>
                <w:color w:val="auto"/>
                <w:w w:val="88"/>
              </w:rPr>
              <w:t>For the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Remainder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1"/>
              </w:rPr>
              <w:t>(In thousands, including interest where applicable)</w:t>
            </w:r>
          </w:p>
        </w:tc>
        <w:tc>
          <w:tcPr>
            <w:tcW w:w="340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Fiscal Year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20" w:type="dxa"/>
            <w:vAlign w:val="bottom"/>
            <w:gridSpan w:val="8"/>
          </w:tcPr>
          <w:p>
            <w:pPr>
              <w:ind w:left="420"/>
              <w:spacing w:after="0"/>
              <w:rPr>
                <w:sz w:val="20"/>
                <w:szCs w:val="20"/>
                <w:color w:val="auto"/>
              </w:rPr>
            </w:pPr>
            <w:r>
              <w:rPr>
                <w:rFonts w:ascii="Arial" w:cs="Arial" w:eastAsia="Arial" w:hAnsi="Arial"/>
                <w:sz w:val="14"/>
                <w:szCs w:val="14"/>
                <w:b w:val="1"/>
                <w:bCs w:val="1"/>
                <w:color w:val="auto"/>
              </w:rPr>
              <w:t>For the Fiscal Years Ending</w:t>
            </w:r>
          </w:p>
        </w:tc>
        <w:tc>
          <w:tcPr>
            <w:tcW w:w="0" w:type="dxa"/>
            <w:vAlign w:val="bottom"/>
          </w:tcPr>
          <w:p>
            <w:pPr>
              <w:spacing w:after="0"/>
              <w:rPr>
                <w:sz w:val="1"/>
                <w:szCs w:val="1"/>
                <w:color w:val="auto"/>
              </w:rPr>
            </w:pPr>
          </w:p>
        </w:tc>
      </w:tr>
      <w:tr>
        <w:trPr>
          <w:trHeight w:val="149"/>
        </w:trPr>
        <w:tc>
          <w:tcPr>
            <w:tcW w:w="3120" w:type="dxa"/>
            <w:vAlign w:val="bottom"/>
            <w:tcBorders>
              <w:bottom w:val="single" w:sz="8" w:color="auto"/>
            </w:tcBorders>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center"/>
              <w:ind w:right="36"/>
              <w:spacing w:after="0" w:line="129" w:lineRule="exact"/>
              <w:rPr>
                <w:sz w:val="20"/>
                <w:szCs w:val="20"/>
                <w:color w:val="auto"/>
              </w:rPr>
            </w:pPr>
            <w:r>
              <w:rPr>
                <w:rFonts w:ascii="Arial" w:cs="Arial" w:eastAsia="Arial" w:hAnsi="Arial"/>
                <w:sz w:val="14"/>
                <w:szCs w:val="14"/>
                <w:b w:val="1"/>
                <w:bCs w:val="1"/>
                <w:color w:val="auto"/>
                <w:w w:val="83"/>
              </w:rPr>
              <w:t>2014</w:t>
            </w:r>
          </w:p>
        </w:tc>
        <w:tc>
          <w:tcPr>
            <w:tcW w:w="30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2"/>
              </w:rPr>
              <w:t>2015-2016</w:t>
            </w:r>
          </w:p>
        </w:tc>
        <w:tc>
          <w:tcPr>
            <w:tcW w:w="980" w:type="dxa"/>
            <w:vAlign w:val="bottom"/>
            <w:tcBorders>
              <w:top w:val="single" w:sz="8" w:color="auto"/>
            </w:tcBorders>
            <w:gridSpan w:val="3"/>
          </w:tcPr>
          <w:p>
            <w:pPr>
              <w:jc w:val="right"/>
              <w:spacing w:after="0" w:line="129" w:lineRule="exact"/>
              <w:rPr>
                <w:sz w:val="20"/>
                <w:szCs w:val="20"/>
                <w:color w:val="auto"/>
              </w:rPr>
            </w:pPr>
            <w:r>
              <w:rPr>
                <w:rFonts w:ascii="Arial" w:cs="Arial" w:eastAsia="Arial" w:hAnsi="Arial"/>
                <w:sz w:val="14"/>
                <w:szCs w:val="14"/>
                <w:b w:val="1"/>
                <w:bCs w:val="1"/>
                <w:color w:val="auto"/>
              </w:rPr>
              <w:t>2017-2018</w:t>
            </w:r>
          </w:p>
        </w:tc>
        <w:tc>
          <w:tcPr>
            <w:tcW w:w="3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w w:val="90"/>
              </w:rPr>
              <w:t>Thereafter</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leases and satellite capacity agreements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199,657</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35,743</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68,871</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36,097</w:t>
            </w:r>
          </w:p>
        </w:tc>
        <w:tc>
          <w:tcPr>
            <w:tcW w:w="3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58,946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2020 Notes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851,719</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19,766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79,063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673,827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of credit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35,000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Standby letters of credit</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38,668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7,776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30,892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Satellite performance incentives</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36,785</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tcPr>
          <w:p>
            <w:pPr>
              <w:spacing w:after="0"/>
              <w:rPr>
                <w:sz w:val="20"/>
                <w:szCs w:val="20"/>
                <w:color w:val="auto"/>
              </w:rPr>
            </w:pPr>
            <w:r>
              <w:rPr>
                <w:rFonts w:ascii="Arial" w:cs="Arial" w:eastAsia="Arial" w:hAnsi="Arial"/>
                <w:sz w:val="18"/>
                <w:szCs w:val="18"/>
                <w:color w:val="auto"/>
              </w:rPr>
              <w:t>Purchase commitments including satellite-related agreements</w:t>
            </w: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712,652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235,626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368,297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74,742</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33,987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gridSpan w:val="2"/>
          </w:tcPr>
          <w:p>
            <w:pPr>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1,876,983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300,838</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552,440</w:t>
            </w:r>
          </w:p>
        </w:tc>
        <w:tc>
          <w:tcPr>
            <w:tcW w:w="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229,326</w:t>
            </w: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794,379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have also entered into agreements with suppliers for the construction of our ViaSat-2 satellite, and operations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condensed consolidated balance sheets included $51.7 million and $52.6 million of “other liabilities” as of October 4, 2013 and March 29, 2013, respectively, which primarily consisted of the long-term portion of our satellite performance incentives obligation, our long-term warranty obligations, the long-term portion of deferred rent, long-term portion of deferred revenue, long-term deferred income taxes and long-term unrecognized tax position liabilities. With the exception of the long-term portion of our satellite performance incentives obligation, these remaining liabilities have been excluded from the above table as the timing and/or the amount of any cash payment is uncertain. See Note 9 to our condensed consolidated financial statements for additional information regarding our income taxes and related tax positions and Note 7 to our condensed consolidated financial statements for a discussion of our product warranties.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had no material off-balance sheet arrangements at October 4, 2013 as defined in Regulation S-K Item 303(a)(4) other than as discussed under Contractual Obligations above or disclosed in the notes to our consolidated financial statements included in this Quarterly Report or in our Annual Report on Form 10-K for the year ended March 29, 2013.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information regarding recently adopted and issued accounting pronouncements, see Note 1 to the condensed consolidated financial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financial instruments consist of cash and cash equivalents, trade accounts receivable, accounts payable, short-term and long-term obligations, including the Credit Facility and the 2020 Notes, and foreign currency forward contracts. We consider investments in highly liquid instruments purchased with a remaining maturity of three months or less at the date of purchase to be cash equivalents. As of October 4, 2013, we had $35.0 million under our Credit Facility and $575.0 million in aggregate principal amount outstanding of the 2020 Notes, and we held no short-term investments. Our 2020 Notes bear interest at a fixed rate and therefore our exposure to market risk for changes in interest rates relates primarily to borrowings under our Credit Facility, cash equivalents, short-term investments and short-term obligations.</w:t>
      </w:r>
    </w:p>
    <w:p>
      <w:pPr>
        <w:spacing w:after="0" w:line="14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The primary objective of our investment activities is to preserve principal while at the same time maximizing the income we receive from our investments without significantly increasing risk. To minimize this risk, we maintain a significant portion of our cash balance in money market funds. In general, money market funds are not subject to interest rate risk because the interest paid on such funds fluctuates with the prevailing interest rate. Our cash and cash equivalents earn interest at variable rates. Given recent declines in interest rates, our interest income has been and may continue to be negatively impacted. Fixed rate securities may have their fair market value adversely impacted due to a rise in interest rates, while floating rate securities may produce less income than expected if interest rates fall. If the underlying weighted average interest rate on our cash and cash equivalents, assuming balances remain constant over a year, changed by 50 basis points, interest income would have increased or decreased by approximately $0.2 million and $0.3 million for the three months ended October 4, 2013 and September 28, 2012, respectively.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w:t>
      </w:r>
    </w:p>
    <w:p>
      <w:pPr>
        <w:spacing w:after="0" w:line="12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As of October 4, 2013, we had $35.0 million in principal amount of outstanding borrowings under our Credit Facility. Our primary interest rate under the Credit Facility is the Eurodollar rate plus an applicable margin that is based on our total leverage ratio. At October 4, 2013, the weighted average effective interest rate on our outstanding borrowings under the Credit Facility was 2.94%. Assuming the outstanding balance remained constant over a year, a 50 basis point increase in the interest rate would increase interest incurred prior to effects of capitalized interest and cash flow by approximately $0.2 million over a twelve-month period.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generally conduct our business in U.S. dollars. However, as our international business is conducted in a variety of foreign currencies, we are exposed to fluctuations in foreign currency exchange rates.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13" w:lineRule="exact"/>
        <w:rPr>
          <w:sz w:val="20"/>
          <w:szCs w:val="20"/>
          <w:color w:val="auto"/>
        </w:rPr>
      </w:pPr>
    </w:p>
    <w:p>
      <w:pPr>
        <w:ind w:right="460" w:firstLine="456"/>
        <w:spacing w:after="0" w:line="255" w:lineRule="auto"/>
        <w:rPr>
          <w:sz w:val="20"/>
          <w:szCs w:val="20"/>
          <w:color w:val="auto"/>
        </w:rPr>
      </w:pPr>
      <w:r>
        <w:rPr>
          <w:rFonts w:ascii="Arial" w:cs="Arial" w:eastAsia="Arial" w:hAnsi="Arial"/>
          <w:sz w:val="18"/>
          <w:szCs w:val="18"/>
          <w:color w:val="auto"/>
        </w:rPr>
        <w:t>As of October 4, 2013, we had a number of foreign currency forward contracts outstanding which are intended to reduce the foreign currency risk for amounts payable to vendors in Euros. The foreign currency forward contracts with a notional amount of $9.2 million had a fair value of approximately $0.1 million and were recorded in other current assets as of October 4, 2013. If the foreign currency forward rate for the Euro to the U.S. dollar on these foreign currency forward contracts had changed by 10%, the fair value of these foreign currency forward contracts as of October 4, 2013 would have changed by approximately $0.9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October 4, 2013, the end of the period covered by this Quarterly Report. Based upon the foregoing, our Chief Executive Officer and Chief Financial Officer concluded that our disclosure controls and procedures were effective at a reasonable assurance level as of October 4, 2013.</w:t>
      </w:r>
    </w:p>
    <w:p>
      <w:pPr>
        <w:spacing w:after="0" w:line="14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During the period covered by this Quarterly Report, there were no changes in our internal control over financial reporting that have materially affected, or are reasonably likely to materially affect, our internal control over financial reporting.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February 2012, we filed a complaint against SS/L and its former parent company Loral in the United States District Court for the Southern District of California for patent infringement and breach of contract relating to the manufacture of ViaSat-1. We allege, among other things, that SS/L and Loral infringed U.S. Patent Nos. 8,107,875, 8,010,043, 8,068,827 and 7,773,942 by making, using, offering to sell and/or selling other high-capacity broadband satellites, and have requested monetary damages, injunctive relief and other remedies. In June 2012, SS/L filed counterclaims against ViaSat for patent infringement and declaratory relief. Specifically, SS/L seeks a judicial declaration that SS/L did not breach the parties’ contract for the manufacture of ViaSat-1, that SS/L does not infringe the ViaSat patents described above, and that those patents are invalid and/or unenforceable. SS/L also alleges that ViaSat infringed U.S. Patent Nos. 6,879,808, 6,400,696 and 7,219,132 by providing broadband internet service by means of the Anik F2 satellite using ViaSat satellite gateways and satellite user terminals and has induced others to infringe by selling certain ground equipment and user terminals.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On September 5, 2013, we filed a complaint against SS/L in the United States District Court for the Southern District of California for patent infringement relating to SS/L’s continued use of ViaSat’s patented technology in the manufacture of high-capacity broadband satellites. We allege, among other things, that SS/L infringed U.S. Patent Nos. 8,213,929, 8,254,832 and 8,285,202 by making, using, offering to sell and/or selling other high-capacity broadband satellites. We have requested monetary damages, injunctive relief and other remedies.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From time to time, we are involved in a variety of claims, suits, investigations and proceedings arising in the ordinary course of business, including actions with respect to intellectual property claims, breach of contract claims, labor and employment claims, tax and other matters.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addition to the other information set forth in this Quarterly Report, you should carefully consider the factors discussed in Part I, Item 1A, “Risk Factors” in our Annual Report on Form 10-K for the fiscal year ended March 29, 2013, which factors could materially affect our business, financial condition, liquidity or future results.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 Index on page 44 is incorporated herein by reference as the list of exhibits required as part of this Quarterly Report.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VIASAT, INC.</w:t>
            </w:r>
          </w:p>
        </w:tc>
      </w:tr>
      <w:tr>
        <w:trPr>
          <w:trHeight w:val="433"/>
        </w:trPr>
        <w:tc>
          <w:tcPr>
            <w:tcW w:w="3520" w:type="dxa"/>
            <w:vAlign w:val="bottom"/>
          </w:tcPr>
          <w:p>
            <w:pPr>
              <w:spacing w:after="0"/>
              <w:rPr>
                <w:sz w:val="20"/>
                <w:szCs w:val="20"/>
                <w:color w:val="auto"/>
              </w:rPr>
            </w:pPr>
            <w:r>
              <w:rPr>
                <w:rFonts w:ascii="Arial" w:cs="Arial" w:eastAsia="Arial" w:hAnsi="Arial"/>
                <w:sz w:val="18"/>
                <w:szCs w:val="18"/>
                <w:color w:val="auto"/>
              </w:rPr>
              <w:t>November 13, 2013</w:t>
            </w:r>
          </w:p>
        </w:tc>
        <w:tc>
          <w:tcPr>
            <w:tcW w:w="25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Chairman of the Board and Chief Executive Officer</w:t>
            </w:r>
          </w:p>
        </w:tc>
      </w:t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Executive Officer)</w:t>
            </w:r>
          </w:p>
        </w:tc>
      </w:tr>
      <w:tr>
        <w:trPr>
          <w:trHeight w:val="555"/>
        </w:trPr>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tc>
      </w:tr>
      <w:tr>
        <w:trPr>
          <w:trHeight w:val="202"/>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Bruce Dirks</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541"/>
        </w:trPr>
        <w:tc>
          <w:tcPr>
            <w:tcW w:w="3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tc>
      </w:tr>
      <w:tr>
        <w:trPr>
          <w:trHeight w:val="202"/>
        </w:trPr>
        <w:tc>
          <w:tcPr>
            <w:tcW w:w="3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Shawn Duffy</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Corporate Controller and</w:t>
            </w:r>
          </w:p>
        </w:tc>
      </w:tr>
      <w:tr>
        <w:trPr>
          <w:trHeight w:val="216"/>
        </w:trPr>
        <w:tc>
          <w:tcPr>
            <w:tcW w:w="35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Accounting Officer</w:t>
            </w:r>
          </w:p>
        </w:tc>
      </w:tr>
      <w:tr>
        <w:trPr>
          <w:trHeight w:val="222"/>
        </w:trPr>
        <w:tc>
          <w:tcPr>
            <w:tcW w:w="35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65"/>
        </w:trPr>
        <w:tc>
          <w:tcPr>
            <w:tcW w:w="3520" w:type="dxa"/>
            <w:vAlign w:val="bottom"/>
          </w:tcPr>
          <w:p>
            <w:pPr>
              <w:spacing w:after="0"/>
              <w:rPr>
                <w:sz w:val="24"/>
                <w:szCs w:val="24"/>
                <w:color w:val="auto"/>
              </w:rPr>
            </w:pPr>
          </w:p>
        </w:tc>
        <w:tc>
          <w:tcPr>
            <w:tcW w:w="256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EXHIBIT INDEX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6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rPr>
              <w:t>Incorporated by Reference</w:t>
            </w:r>
          </w:p>
        </w:tc>
      </w:tr>
      <w:tr>
        <w:trPr>
          <w:trHeight w:val="129"/>
        </w:trPr>
        <w:tc>
          <w:tcPr>
            <w:tcW w:w="940" w:type="dxa"/>
            <w:vAlign w:val="bottom"/>
            <w:gridSpan w:val="2"/>
          </w:tcPr>
          <w:p>
            <w:pPr>
              <w:spacing w:after="0" w:line="109"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480" w:type="dxa"/>
            <w:vAlign w:val="bottom"/>
          </w:tcPr>
          <w:p>
            <w:pPr>
              <w:ind w:left="2060"/>
              <w:spacing w:after="0" w:line="109" w:lineRule="exact"/>
              <w:rPr>
                <w:sz w:val="20"/>
                <w:szCs w:val="20"/>
                <w:color w:val="auto"/>
              </w:rPr>
            </w:pPr>
            <w:r>
              <w:rPr>
                <w:rFonts w:ascii="Arial" w:cs="Arial" w:eastAsia="Arial" w:hAnsi="Arial"/>
                <w:sz w:val="12"/>
                <w:szCs w:val="12"/>
                <w:b w:val="1"/>
                <w:bCs w:val="1"/>
                <w:color w:val="auto"/>
              </w:rPr>
              <w:t>Exhibit Description</w:t>
            </w:r>
          </w:p>
        </w:tc>
        <w:tc>
          <w:tcPr>
            <w:tcW w:w="100" w:type="dxa"/>
            <w:vAlign w:val="bottom"/>
          </w:tcPr>
          <w:p>
            <w:pPr>
              <w:spacing w:after="0"/>
              <w:rPr>
                <w:sz w:val="11"/>
                <w:szCs w:val="11"/>
                <w:color w:val="auto"/>
              </w:rPr>
            </w:pPr>
          </w:p>
        </w:tc>
        <w:tc>
          <w:tcPr>
            <w:tcW w:w="580" w:type="dxa"/>
            <w:vAlign w:val="bottom"/>
            <w:gridSpan w:val="2"/>
          </w:tcPr>
          <w:p>
            <w:pPr>
              <w:ind w:left="20"/>
              <w:spacing w:after="0" w:line="109" w:lineRule="exact"/>
              <w:rPr>
                <w:sz w:val="20"/>
                <w:szCs w:val="20"/>
                <w:color w:val="auto"/>
              </w:rPr>
            </w:pPr>
            <w:r>
              <w:rPr>
                <w:rFonts w:ascii="Arial" w:cs="Arial" w:eastAsia="Arial" w:hAnsi="Arial"/>
                <w:sz w:val="12"/>
                <w:szCs w:val="12"/>
                <w:b w:val="1"/>
                <w:bCs w:val="1"/>
                <w:color w:val="auto"/>
              </w:rPr>
              <w:t>Form</w:t>
            </w:r>
          </w:p>
        </w:tc>
        <w:tc>
          <w:tcPr>
            <w:tcW w:w="1200" w:type="dxa"/>
            <w:vAlign w:val="bottom"/>
            <w:gridSpan w:val="2"/>
          </w:tcPr>
          <w:p>
            <w:pPr>
              <w:jc w:val="right"/>
              <w:ind w:right="540"/>
              <w:spacing w:after="0" w:line="115" w:lineRule="exact"/>
              <w:rPr>
                <w:sz w:val="20"/>
                <w:szCs w:val="20"/>
                <w:color w:val="auto"/>
              </w:rPr>
            </w:pPr>
            <w:r>
              <w:rPr>
                <w:rFonts w:ascii="Arial" w:cs="Arial" w:eastAsia="Arial" w:hAnsi="Arial"/>
                <w:sz w:val="12"/>
                <w:szCs w:val="12"/>
                <w:b w:val="1"/>
                <w:bCs w:val="1"/>
                <w:color w:val="auto"/>
              </w:rPr>
              <w:t>File No.</w:t>
            </w:r>
          </w:p>
        </w:tc>
        <w:tc>
          <w:tcPr>
            <w:tcW w:w="800" w:type="dxa"/>
            <w:vAlign w:val="bottom"/>
            <w:gridSpan w:val="2"/>
          </w:tcPr>
          <w:p>
            <w:pPr>
              <w:jc w:val="right"/>
              <w:ind w:right="340"/>
              <w:spacing w:after="0" w:line="115" w:lineRule="exact"/>
              <w:rPr>
                <w:sz w:val="20"/>
                <w:szCs w:val="20"/>
                <w:color w:val="auto"/>
              </w:rPr>
            </w:pPr>
            <w:r>
              <w:rPr>
                <w:rFonts w:ascii="Arial" w:cs="Arial" w:eastAsia="Arial" w:hAnsi="Arial"/>
                <w:sz w:val="12"/>
                <w:szCs w:val="12"/>
                <w:b w:val="1"/>
                <w:bCs w:val="1"/>
                <w:color w:val="auto"/>
              </w:rPr>
              <w:t>Exhibit</w:t>
            </w:r>
          </w:p>
        </w:tc>
        <w:tc>
          <w:tcPr>
            <w:tcW w:w="960" w:type="dxa"/>
            <w:vAlign w:val="bottom"/>
          </w:tcPr>
          <w:p>
            <w:pPr>
              <w:ind w:left="160"/>
              <w:spacing w:after="0" w:line="115" w:lineRule="exact"/>
              <w:rPr>
                <w:sz w:val="20"/>
                <w:szCs w:val="20"/>
                <w:color w:val="auto"/>
              </w:rPr>
            </w:pPr>
            <w:r>
              <w:rPr>
                <w:rFonts w:ascii="Arial" w:cs="Arial" w:eastAsia="Arial" w:hAnsi="Arial"/>
                <w:sz w:val="12"/>
                <w:szCs w:val="12"/>
                <w:b w:val="1"/>
                <w:bCs w:val="1"/>
                <w:color w:val="auto"/>
              </w:rPr>
              <w:t>Filing Date</w:t>
            </w:r>
          </w:p>
        </w:tc>
      </w:tr>
      <w:tr>
        <w:trPr>
          <w:trHeight w:val="20"/>
        </w:trPr>
        <w:tc>
          <w:tcPr>
            <w:tcW w:w="50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83"/>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8"/>
              </w:rPr>
              <w:t>ViaSat, Inc. Employee Stock Purchase Plan (As Amended and Restated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Effective September 18, 2013)</w:t>
            </w:r>
          </w:p>
        </w:tc>
        <w:tc>
          <w:tcPr>
            <w:tcW w:w="100" w:type="dxa"/>
            <w:vAlign w:val="bottom"/>
          </w:tcPr>
          <w:p>
            <w:pPr>
              <w:spacing w:after="0"/>
              <w:rPr>
                <w:sz w:val="19"/>
                <w:szCs w:val="19"/>
                <w:color w:val="auto"/>
              </w:rPr>
            </w:pPr>
          </w:p>
        </w:tc>
        <w:tc>
          <w:tcPr>
            <w:tcW w:w="580" w:type="dxa"/>
            <w:vAlign w:val="bottom"/>
            <w:gridSpan w:val="2"/>
          </w:tcPr>
          <w:p>
            <w:pPr>
              <w:ind w:left="80"/>
              <w:spacing w:after="0"/>
              <w:rPr>
                <w:sz w:val="20"/>
                <w:szCs w:val="20"/>
                <w:color w:val="auto"/>
              </w:rPr>
            </w:pPr>
            <w:r>
              <w:rPr>
                <w:rFonts w:ascii="Arial" w:cs="Arial" w:eastAsia="Arial" w:hAnsi="Arial"/>
                <w:sz w:val="18"/>
                <w:szCs w:val="18"/>
                <w:color w:val="auto"/>
              </w:rPr>
              <w:t>8-K</w:t>
            </w: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000-21767</w:t>
            </w:r>
          </w:p>
        </w:tc>
        <w:tc>
          <w:tcPr>
            <w:tcW w:w="460" w:type="dxa"/>
            <w:vAlign w:val="bottom"/>
          </w:tcPr>
          <w:p>
            <w:pPr>
              <w:jc w:val="right"/>
              <w:spacing w:after="0"/>
              <w:rPr>
                <w:sz w:val="20"/>
                <w:szCs w:val="20"/>
                <w:color w:val="auto"/>
              </w:rPr>
            </w:pPr>
            <w:r>
              <w:rPr>
                <w:rFonts w:ascii="Arial" w:cs="Arial" w:eastAsia="Arial" w:hAnsi="Arial"/>
                <w:sz w:val="18"/>
                <w:szCs w:val="18"/>
                <w:color w:val="auto"/>
              </w:rPr>
              <w:t>10.1</w:t>
            </w:r>
          </w:p>
        </w:tc>
        <w:tc>
          <w:tcPr>
            <w:tcW w:w="340" w:type="dxa"/>
            <w:vAlign w:val="bottom"/>
          </w:tcPr>
          <w:p>
            <w:pPr>
              <w:spacing w:after="0"/>
              <w:rPr>
                <w:sz w:val="19"/>
                <w:szCs w:val="19"/>
                <w:color w:val="auto"/>
              </w:rPr>
            </w:pPr>
          </w:p>
        </w:tc>
        <w:tc>
          <w:tcPr>
            <w:tcW w:w="960" w:type="dxa"/>
            <w:vAlign w:val="bottom"/>
          </w:tcPr>
          <w:p>
            <w:pPr>
              <w:ind w:left="160"/>
              <w:spacing w:after="0"/>
              <w:rPr>
                <w:sz w:val="20"/>
                <w:szCs w:val="20"/>
                <w:color w:val="auto"/>
              </w:rPr>
            </w:pPr>
            <w:r>
              <w:rPr>
                <w:rFonts w:ascii="Arial" w:cs="Arial" w:eastAsia="Arial" w:hAnsi="Arial"/>
                <w:sz w:val="18"/>
                <w:szCs w:val="18"/>
                <w:color w:val="auto"/>
                <w:w w:val="86"/>
              </w:rPr>
              <w:t>09/19/2013</w:t>
            </w: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31.1</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Certification of Chief Executive Officer Pursuant to Section 302 of the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Sarbanes-Oxley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31.2</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89"/>
              </w:rPr>
              <w:t>Certification of Chief Financial Officer Pursuant to Section 302 of the Sarbanes-</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32.1</w:t>
            </w:r>
          </w:p>
        </w:tc>
        <w:tc>
          <w:tcPr>
            <w:tcW w:w="440" w:type="dxa"/>
            <w:vAlign w:val="bottom"/>
          </w:tcPr>
          <w:p>
            <w:pPr>
              <w:spacing w:after="0"/>
              <w:rPr>
                <w:sz w:val="24"/>
                <w:szCs w:val="24"/>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w w:val="95"/>
              </w:rPr>
              <w:t>Certifications Pursuant to 18 U.S.C. Section 1350, as Adopted Pursuant to</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2"/>
        </w:trPr>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Section 906 of the Sarbanes-Oxley Act of 2002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Taxonomy Extension Schema</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Taxonomy Extension Labels Linkbase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24"/>
        </w:trPr>
        <w:tc>
          <w:tcPr>
            <w:tcW w:w="94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70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10"/>
        </w:trPr>
        <w:tc>
          <w:tcPr>
            <w:tcW w:w="1160" w:type="dxa"/>
            <w:vAlign w:val="bottom"/>
            <w:tcBorders>
              <w:bottom w:val="single" w:sz="8" w:color="auto"/>
            </w:tcBorders>
            <w:gridSpan w:val="3"/>
          </w:tcPr>
          <w:p>
            <w:pPr>
              <w:spacing w:after="0"/>
              <w:rPr>
                <w:sz w:val="9"/>
                <w:szCs w:val="9"/>
                <w:color w:val="auto"/>
              </w:rPr>
            </w:pPr>
          </w:p>
        </w:tc>
        <w:tc>
          <w:tcPr>
            <w:tcW w:w="5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960" w:type="dxa"/>
            <w:vAlign w:val="bottom"/>
          </w:tcPr>
          <w:p>
            <w:pPr>
              <w:spacing w:after="0"/>
              <w:rPr>
                <w:sz w:val="9"/>
                <w:szCs w:val="9"/>
                <w:color w:val="auto"/>
              </w:rPr>
            </w:pPr>
          </w:p>
        </w:tc>
      </w:tr>
      <w:tr>
        <w:trPr>
          <w:trHeight w:val="235"/>
        </w:trPr>
        <w:tc>
          <w:tcPr>
            <w:tcW w:w="6640" w:type="dxa"/>
            <w:vAlign w:val="bottom"/>
            <w:gridSpan w:val="4"/>
          </w:tcPr>
          <w:p>
            <w:pPr>
              <w:spacing w:after="0"/>
              <w:rPr>
                <w:sz w:val="20"/>
                <w:szCs w:val="20"/>
                <w:color w:val="auto"/>
              </w:rPr>
            </w:pPr>
            <w:r>
              <w:rPr>
                <w:rFonts w:ascii="Arial" w:cs="Arial" w:eastAsia="Arial" w:hAnsi="Arial"/>
                <w:sz w:val="18"/>
                <w:szCs w:val="18"/>
                <w:color w:val="auto"/>
              </w:rPr>
              <w:t>*  Indicates management contract, compensatory plan or arrangement.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65"/>
        </w:trPr>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700" w:type="dxa"/>
            <w:vAlign w:val="bottom"/>
            <w:gridSpan w:val="2"/>
          </w:tcPr>
          <w:p>
            <w:pPr>
              <w:ind w:left="468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Filed</w:t>
      </w:r>
    </w:p>
    <w:p>
      <w:pPr>
        <w:spacing w:after="0" w:line="2"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u w:val="single" w:color="auto"/>
          <w:color w:val="auto"/>
        </w:rPr>
        <w: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X</w:t>
      </w:r>
    </w:p>
    <w:p>
      <w:pPr>
        <w:sectPr>
          <w:pgSz w:w="11900" w:h="16838" w:orient="portrait"/>
          <w:cols w:equalWidth="0" w:num="2">
            <w:col w:w="10280" w:space="360"/>
            <w:col w:w="560"/>
          </w:cols>
          <w:pgMar w:left="240" w:top="459" w:right="45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13,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302 OF THE SARBANES-OXLEY ACT OF 2002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Bruce Dirks, Chief Financial Officer of ViaSat, Inc., certify that:</w:t>
      </w:r>
    </w:p>
    <w:p>
      <w:pPr>
        <w:spacing w:after="0" w:line="9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13,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Bruce Dirks</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20" w:firstLine="464"/>
        <w:spacing w:after="0" w:line="268" w:lineRule="auto"/>
        <w:tabs>
          <w:tab w:leader="none" w:pos="69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4, 2013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13,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Mark Dankberg</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Executive Officer</w:t>
            </w:r>
          </w:p>
        </w:tc>
      </w:tr>
    </w:tbl>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7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the undersigned officer of ViaSat, Inc. (the “Company”) hereby certifies, to such officer’s knowledge, that:</w:t>
      </w:r>
    </w:p>
    <w:p>
      <w:pPr>
        <w:spacing w:after="0" w:line="132" w:lineRule="exact"/>
        <w:rPr>
          <w:sz w:val="20"/>
          <w:szCs w:val="20"/>
          <w:color w:val="auto"/>
        </w:rPr>
      </w:pPr>
    </w:p>
    <w:p>
      <w:pPr>
        <w:ind w:right="20" w:firstLine="464"/>
        <w:spacing w:after="0" w:line="268" w:lineRule="auto"/>
        <w:tabs>
          <w:tab w:leader="none" w:pos="69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October 4, 2013 (the “Report”) fully complies with the requirements of Section 13(a) or Section 15(d), as applicable, of the Securities Exchange Act of 1934, as amended; and</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Date: November 13, 2013</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RUCE</w:t>
            </w:r>
            <w:r>
              <w:rPr>
                <w:rFonts w:ascii="Arial" w:cs="Arial" w:eastAsia="Arial" w:hAnsi="Arial"/>
                <w:sz w:val="18"/>
                <w:szCs w:val="18"/>
                <w:color w:val="auto"/>
              </w:rPr>
              <w:t xml:space="preserve"> D</w:t>
            </w:r>
            <w:r>
              <w:rPr>
                <w:rFonts w:ascii="Arial" w:cs="Arial" w:eastAsia="Arial" w:hAnsi="Arial"/>
                <w:sz w:val="14"/>
                <w:szCs w:val="14"/>
                <w:color w:val="auto"/>
              </w:rPr>
              <w:t>IRKS</w:t>
            </w:r>
          </w:p>
        </w:tc>
      </w:tr>
      <w:tr>
        <w:trPr>
          <w:trHeight w:val="202"/>
        </w:trPr>
        <w:tc>
          <w:tcPr>
            <w:tcW w:w="6080" w:type="dxa"/>
            <w:vAlign w:val="bottom"/>
          </w:tcPr>
          <w:p>
            <w:pPr>
              <w:spacing w:after="0"/>
              <w:rPr>
                <w:sz w:val="17"/>
                <w:szCs w:val="17"/>
                <w:color w:val="auto"/>
              </w:rPr>
            </w:pPr>
          </w:p>
        </w:tc>
        <w:tc>
          <w:tcPr>
            <w:tcW w:w="5340" w:type="dxa"/>
            <w:vAlign w:val="bottom"/>
          </w:tcPr>
          <w:p>
            <w:pPr>
              <w:ind w:left="100"/>
              <w:spacing w:after="0" w:line="202" w:lineRule="exact"/>
              <w:rPr>
                <w:sz w:val="20"/>
                <w:szCs w:val="20"/>
                <w:color w:val="auto"/>
              </w:rPr>
            </w:pPr>
            <w:r>
              <w:rPr>
                <w:rFonts w:ascii="Arial" w:cs="Arial" w:eastAsia="Arial" w:hAnsi="Arial"/>
                <w:sz w:val="18"/>
                <w:szCs w:val="18"/>
                <w:color w:val="auto"/>
              </w:rPr>
              <w:t>Bruce Dirks</w:t>
            </w:r>
          </w:p>
        </w:tc>
      </w:tr>
      <w:tr>
        <w:trPr>
          <w:trHeight w:val="222"/>
        </w:trPr>
        <w:tc>
          <w:tcPr>
            <w:tcW w:w="608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lowerRoman"/>
      <w:start w:val="2"/>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2019-12-05T23:26:31Z</dcterms:created>
  <dcterms:modified xsi:type="dcterms:W3CDTF">2019-12-05T23:26:31Z</dcterms:modified>
</cp:coreProperties>
</file>