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Chase Garrett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VIASAT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SVP, 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073"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CARLSBAD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12/15/2025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11,536</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34.311</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21,235</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12/15/2025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5,904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35.4111</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15,331</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12/15/2025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2,560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36.1284</w:t>
            </w:r>
            <w:r>
              <w:rPr>
                <w:rFonts w:ascii="Times New Roman" w:cs="Times New Roman" w:eastAsia="Times New Roman" w:hAnsi="Times New Roman"/>
                <w:sz w:val="22"/>
                <w:szCs w:val="22"/>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12,771</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rPr>
              <w:t>657</w:t>
            </w:r>
          </w:p>
        </w:tc>
        <w:tc>
          <w:tcPr>
            <w:tcW w:w="92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pursuant to Rule 10b5-1 Plan adopted on September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$33.78 to $34.775.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$34.78 to $35.77.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$35.80 to $36.53.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Stacy Nguyen, Attorney-in- </w:t>
      </w:r>
      <w:r>
        <w:rPr>
          <w:rFonts w:ascii="Times New Roman" w:cs="Times New Roman" w:eastAsia="Times New Roman" w:hAnsi="Times New Roman"/>
          <w:sz w:val="33"/>
          <w:szCs w:val="33"/>
          <w:color w:val="0000FF"/>
          <w:vertAlign w:val="subscript"/>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377"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2025-12-17T15:31:28Z</dcterms:created>
  <dcterms:modified xsi:type="dcterms:W3CDTF">2025-12-17T15:31:28Z</dcterms:modified>
</cp:coreProperties>
</file>