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202E39"/>
        </w:rPr>
        <w:t>SCHEDULE 14A INFORMATION</w:t>
      </w: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202E39"/>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202E39"/>
        </w:rPr>
        <w:t>Securities Exchange Act of 1934</w:t>
      </w:r>
    </w:p>
    <w:p>
      <w:pPr>
        <w:spacing w:after="0" w:line="19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the Registrant </w:t>
      </w:r>
      <w:r>
        <w:rPr>
          <w:rFonts w:ascii="MS PGothic" w:cs="MS PGothic" w:eastAsia="MS PGothic" w:hAnsi="MS PGothic"/>
          <w:sz w:val="18"/>
          <w:szCs w:val="18"/>
          <w:color w:val="202E39"/>
        </w:rPr>
        <w:t>☒</w:t>
      </w:r>
    </w:p>
    <w:p>
      <w:pPr>
        <w:spacing w:after="0" w:line="51"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a Party other than the Registrant </w:t>
      </w:r>
      <w:r>
        <w:rPr>
          <w:rFonts w:ascii="MS PGothic" w:cs="MS PGothic" w:eastAsia="MS PGothic" w:hAnsi="MS PGothic"/>
          <w:sz w:val="18"/>
          <w:szCs w:val="18"/>
          <w:color w:val="202E39"/>
        </w:rPr>
        <w:t>☐</w:t>
      </w:r>
    </w:p>
    <w:p>
      <w:pPr>
        <w:spacing w:after="0" w:line="256"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Check the appropriate box:</w:t>
      </w:r>
    </w:p>
    <w:p>
      <w:pPr>
        <w:spacing w:after="0" w:line="23"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Preliminary Proxy Statement</w:t>
      </w:r>
    </w:p>
    <w:p>
      <w:pPr>
        <w:spacing w:after="0" w:line="9" w:lineRule="exact"/>
        <w:rPr>
          <w:rFonts w:ascii="MS PGothic" w:cs="MS PGothic" w:eastAsia="MS PGothic" w:hAnsi="MS PGothic"/>
          <w:sz w:val="18"/>
          <w:szCs w:val="18"/>
          <w:color w:val="202E39"/>
        </w:rPr>
      </w:pPr>
    </w:p>
    <w:p>
      <w:pPr>
        <w:ind w:left="120" w:right="4260" w:hanging="4"/>
        <w:spacing w:after="0" w:line="216" w:lineRule="exact"/>
        <w:tabs>
          <w:tab w:leader="none" w:pos="457"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 xml:space="preserve">Confidential, for Use of the Commission Only (as permitted by Rule 14a-6(e)(2)) </w:t>
      </w:r>
      <w:r>
        <w:rPr>
          <w:rFonts w:ascii="MS PGothic" w:cs="MS PGothic" w:eastAsia="MS PGothic" w:hAnsi="MS PGothic"/>
          <w:sz w:val="18"/>
          <w:szCs w:val="18"/>
          <w:color w:val="202E39"/>
        </w:rPr>
        <w:t>☒</w:t>
      </w:r>
      <w:r>
        <w:rPr>
          <w:rFonts w:ascii="Arial" w:cs="Arial" w:eastAsia="Arial" w:hAnsi="Arial"/>
          <w:sz w:val="18"/>
          <w:szCs w:val="18"/>
          <w:color w:val="202E39"/>
        </w:rPr>
        <w:t xml:space="preserve"> Definitive Proxy Statement</w:t>
      </w: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Definitive Additional Materials</w:t>
      </w:r>
    </w:p>
    <w:p>
      <w:pPr>
        <w:spacing w:after="0" w:line="9" w:lineRule="exact"/>
        <w:rPr>
          <w:rFonts w:ascii="MS PGothic" w:cs="MS PGothic" w:eastAsia="MS PGothic" w:hAnsi="MS PGothic"/>
          <w:sz w:val="18"/>
          <w:szCs w:val="18"/>
          <w:color w:val="202E39"/>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Soliciting Material under Rule 14a-12</w:t>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202E39"/>
        </w:rPr>
        <w:t>VIASAT, INC.</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202E3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ind w:left="2760"/>
        <w:spacing w:after="0"/>
        <w:rPr>
          <w:sz w:val="20"/>
          <w:szCs w:val="20"/>
          <w:color w:val="auto"/>
        </w:rPr>
      </w:pPr>
      <w:r>
        <w:rPr>
          <w:rFonts w:ascii="Arial" w:cs="Arial" w:eastAsia="Arial" w:hAnsi="Arial"/>
          <w:sz w:val="18"/>
          <w:szCs w:val="18"/>
          <w:color w:val="202E39"/>
        </w:rPr>
        <w:t>(Name of Person(s) Filing Proxy Statement, if other than the Registrant)</w:t>
      </w:r>
    </w:p>
    <w:p>
      <w:pPr>
        <w:spacing w:after="0" w:line="239"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Payment of Filing Fee (Check the appropriate box):</w:t>
      </w:r>
    </w:p>
    <w:p>
      <w:pPr>
        <w:spacing w:after="0" w:line="266" w:lineRule="exact"/>
        <w:rPr>
          <w:sz w:val="24"/>
          <w:szCs w:val="24"/>
          <w:color w:val="auto"/>
        </w:rPr>
      </w:pPr>
    </w:p>
    <w:p>
      <w:pPr>
        <w:ind w:left="440" w:hanging="324"/>
        <w:spacing w:after="0"/>
        <w:tabs>
          <w:tab w:leader="none" w:pos="440" w:val="left"/>
        </w:tabs>
        <w:numPr>
          <w:ilvl w:val="0"/>
          <w:numId w:val="2"/>
        </w:numPr>
        <w:rPr>
          <w:rFonts w:ascii="MS PGothic" w:cs="MS PGothic" w:eastAsia="MS PGothic" w:hAnsi="MS PGothic"/>
          <w:sz w:val="18"/>
          <w:szCs w:val="18"/>
          <w:color w:val="202E39"/>
        </w:rPr>
      </w:pPr>
      <w:r>
        <w:rPr>
          <w:rFonts w:ascii="Arial" w:cs="Arial" w:eastAsia="Arial" w:hAnsi="Arial"/>
          <w:sz w:val="18"/>
          <w:szCs w:val="18"/>
          <w:color w:val="202E39"/>
        </w:rPr>
        <w:t>No fee required.</w:t>
      </w:r>
    </w:p>
    <w:p>
      <w:pPr>
        <w:spacing w:after="0" w:line="261" w:lineRule="exact"/>
        <w:rPr>
          <w:sz w:val="24"/>
          <w:szCs w:val="24"/>
          <w:color w:val="auto"/>
        </w:rPr>
      </w:pPr>
    </w:p>
    <w:p>
      <w:pPr>
        <w:ind w:left="440" w:hanging="324"/>
        <w:spacing w:after="0"/>
        <w:tabs>
          <w:tab w:leader="none" w:pos="44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computed on table below per Exchange Act Rules 14a-6(i)(1) and 0-11.</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Title of each class of securities to which transaction applies:</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Aggregate number of securities to which transaction applies:</w:t>
      </w:r>
    </w:p>
    <w:p>
      <w:pPr>
        <w:ind w:left="780" w:right="32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202E39"/>
        </w:rPr>
      </w:pP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Proposed maximum aggregate value of transaction:</w:t>
      </w: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Total fee paid:</w:t>
      </w:r>
    </w:p>
    <w:p>
      <w:pPr>
        <w:spacing w:after="0" w:line="238" w:lineRule="exact"/>
        <w:rPr>
          <w:rFonts w:ascii="Arial" w:cs="Arial" w:eastAsia="Arial" w:hAnsi="Arial"/>
          <w:sz w:val="18"/>
          <w:szCs w:val="18"/>
          <w:color w:val="202E39"/>
        </w:rPr>
      </w:pPr>
    </w:p>
    <w:p>
      <w:pPr>
        <w:ind w:left="440" w:hanging="324"/>
        <w:spacing w:after="0"/>
        <w:tabs>
          <w:tab w:leader="none" w:pos="44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paid previously with preliminary materials.</w:t>
      </w:r>
    </w:p>
    <w:p>
      <w:pPr>
        <w:spacing w:after="0" w:line="306" w:lineRule="exact"/>
        <w:rPr>
          <w:rFonts w:ascii="MS PGothic" w:cs="MS PGothic" w:eastAsia="MS PGothic" w:hAnsi="MS PGothic"/>
          <w:sz w:val="18"/>
          <w:szCs w:val="18"/>
          <w:color w:val="202E39"/>
        </w:rPr>
      </w:pPr>
    </w:p>
    <w:p>
      <w:pPr>
        <w:ind w:left="440" w:hanging="324"/>
        <w:spacing w:after="0" w:line="274" w:lineRule="auto"/>
        <w:tabs>
          <w:tab w:leader="none" w:pos="440" w:val="left"/>
        </w:tabs>
        <w:numPr>
          <w:ilvl w:val="0"/>
          <w:numId w:val="3"/>
        </w:numPr>
        <w:rPr>
          <w:rFonts w:ascii="MS PGothic" w:cs="MS PGothic" w:eastAsia="MS PGothic" w:hAnsi="MS PGothic"/>
          <w:sz w:val="17"/>
          <w:szCs w:val="17"/>
          <w:color w:val="202E39"/>
        </w:rPr>
      </w:pPr>
      <w:r>
        <w:rPr>
          <w:rFonts w:ascii="Arial" w:cs="Arial" w:eastAsia="Arial" w:hAnsi="Arial"/>
          <w:sz w:val="17"/>
          <w:szCs w:val="17"/>
          <w:color w:val="202E3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7"/>
          <w:szCs w:val="17"/>
          <w:color w:val="202E39"/>
        </w:rPr>
      </w:pP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Amount Previously Paid:</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Form, Schedule or Registration Statement No.:</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Filing Party:</w:t>
      </w: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Date Filed:</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980" w:right="1780"/>
        <w:spacing w:after="0" w:line="268"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-568960</wp:posOffset>
            </wp:positionV>
            <wp:extent cx="1371600"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36880"/>
                    </a:xfrm>
                    <a:prstGeom prst="rect">
                      <a:avLst/>
                    </a:prstGeom>
                    <a:noFill/>
                  </pic:spPr>
                </pic:pic>
              </a:graphicData>
            </a:graphic>
          </wp:anchor>
        </w:drawing>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FE3"/>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402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DATE: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FFFFFF"/>
        </w:rPr>
        <w:t>September 3, 2020</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Dear Fellow Stockholder: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FFFFFF"/>
        </w:rPr>
        <w:t>TIME:</w:t>
      </w:r>
    </w:p>
    <w:p>
      <w:pPr>
        <w:spacing w:after="0" w:line="5"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FFFFFF"/>
        </w:rPr>
        <w:t>8:30 a.m. Pacific Time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FFFFFF"/>
        </w:rPr>
        <w:t>PLACE: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FFFF"/>
        </w:rPr>
        <w:t>Virtual Meeting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FFFFFF"/>
        </w:rPr>
        <w:t>RECORD DATE: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FFFFFF"/>
        </w:rPr>
        <w:t>July 10, 2020</w:t>
      </w:r>
    </w:p>
    <w:p>
      <w:pPr>
        <w:spacing w:after="0" w:line="740" w:lineRule="exact"/>
        <w:rPr>
          <w:sz w:val="20"/>
          <w:szCs w:val="20"/>
          <w:color w:val="auto"/>
        </w:rPr>
      </w:pPr>
    </w:p>
    <w:p>
      <w:pPr>
        <w:sectPr>
          <w:pgSz w:w="11900" w:h="16838" w:orient="portrait"/>
          <w:cols w:equalWidth="0" w:num="4">
            <w:col w:w="2280" w:space="720"/>
            <w:col w:w="2040" w:space="720"/>
            <w:col w:w="2020" w:space="720"/>
            <w:col w:w="2520"/>
          </w:cols>
          <w:pgMar w:left="320" w:top="459" w:right="559" w:bottom="1440" w:gutter="0" w:footer="0" w:header="0"/>
          <w:type w:val="continuous"/>
        </w:sectPr>
      </w:pPr>
    </w:p>
    <w:p>
      <w:pPr>
        <w:ind w:left="120" w:right="100"/>
        <w:spacing w:after="0" w:line="254" w:lineRule="auto"/>
        <w:rPr>
          <w:sz w:val="20"/>
          <w:szCs w:val="20"/>
          <w:color w:val="auto"/>
        </w:rPr>
      </w:pPr>
      <w:r>
        <w:rPr>
          <w:rFonts w:ascii="Arial" w:cs="Arial" w:eastAsia="Arial" w:hAnsi="Arial"/>
          <w:sz w:val="16"/>
          <w:szCs w:val="16"/>
          <w:color w:val="202E39"/>
        </w:rPr>
        <w:t xml:space="preserve">You are cordially invited to attend our 2020 annual meeting of stockholders, which will be held on September 3, 2020 at 8:30 a.m. Pacific Time. </w:t>
      </w:r>
      <w:r>
        <w:rPr>
          <w:rFonts w:ascii="Arial" w:cs="Arial" w:eastAsia="Arial" w:hAnsi="Arial"/>
          <w:sz w:val="16"/>
          <w:szCs w:val="16"/>
          <w:b w:val="1"/>
          <w:bCs w:val="1"/>
          <w:color w:val="009FE3"/>
        </w:rPr>
        <w:t>This</w:t>
      </w:r>
      <w:r>
        <w:rPr>
          <w:rFonts w:ascii="Arial" w:cs="Arial" w:eastAsia="Arial" w:hAnsi="Arial"/>
          <w:sz w:val="16"/>
          <w:szCs w:val="16"/>
          <w:color w:val="202E39"/>
        </w:rPr>
        <w:t xml:space="preserve"> </w:t>
      </w:r>
      <w:r>
        <w:rPr>
          <w:rFonts w:ascii="Arial" w:cs="Arial" w:eastAsia="Arial" w:hAnsi="Arial"/>
          <w:sz w:val="16"/>
          <w:szCs w:val="16"/>
          <w:b w:val="1"/>
          <w:bCs w:val="1"/>
          <w:color w:val="009FE3"/>
        </w:rPr>
        <w:t xml:space="preserve">year’s annual meeting will be a completely virtual meeting of stockholders. We are hosting our annual meeting exclusively online via live webcast to safeguard the health and well-being of our stockholders and employees in light of the public health impact of the coronavirus (COVID-19) pandemic. To participate, vote or submit questions during the annual meeting via live webcast, please visit: www.virtualshareholdermeeting.com/vsat2020. There will not be a physical location for the annual meeting. </w:t>
      </w:r>
      <w:r>
        <w:rPr>
          <w:rFonts w:ascii="Arial" w:cs="Arial" w:eastAsia="Arial" w:hAnsi="Arial"/>
          <w:sz w:val="16"/>
          <w:szCs w:val="16"/>
          <w:color w:val="202E39"/>
        </w:rPr>
        <w:t>We are holding the annual meeting</w:t>
      </w:r>
      <w:r>
        <w:rPr>
          <w:rFonts w:ascii="Arial" w:cs="Arial" w:eastAsia="Arial" w:hAnsi="Arial"/>
          <w:sz w:val="16"/>
          <w:szCs w:val="16"/>
          <w:b w:val="1"/>
          <w:bCs w:val="1"/>
          <w:color w:val="009FE3"/>
        </w:rPr>
        <w:t xml:space="preserve"> </w:t>
      </w:r>
      <w:r>
        <w:rPr>
          <w:rFonts w:ascii="Arial" w:cs="Arial" w:eastAsia="Arial" w:hAnsi="Arial"/>
          <w:sz w:val="16"/>
          <w:szCs w:val="16"/>
          <w:color w:val="202E39"/>
        </w:rPr>
        <w:t>for the following purposes:</w:t>
      </w:r>
    </w:p>
    <w:p>
      <w:pPr>
        <w:spacing w:after="0" w:line="107" w:lineRule="exact"/>
        <w:rPr>
          <w:sz w:val="20"/>
          <w:szCs w:val="20"/>
          <w:color w:val="auto"/>
        </w:rPr>
      </w:pPr>
    </w:p>
    <w:p>
      <w:pPr>
        <w:ind w:left="980" w:right="580" w:hanging="432"/>
        <w:spacing w:after="0" w:line="260" w:lineRule="auto"/>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elect Mark Dankberg and Varsha Rao to serve as Class III Directors for a three-year term to expire at the 2023 annual meeting of stockholders.</w:t>
      </w:r>
    </w:p>
    <w:p>
      <w:pPr>
        <w:spacing w:after="0" w:line="100"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2021.</w:t>
      </w:r>
    </w:p>
    <w:p>
      <w:pPr>
        <w:spacing w:after="0" w:line="126"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126"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127" w:lineRule="exact"/>
        <w:rPr>
          <w:sz w:val="20"/>
          <w:szCs w:val="20"/>
          <w:color w:val="auto"/>
        </w:rPr>
      </w:pPr>
    </w:p>
    <w:p>
      <w:pPr>
        <w:ind w:left="980" w:hanging="432"/>
        <w:spacing w:after="0"/>
        <w:tabs>
          <w:tab w:leader="none" w:pos="980" w:val="left"/>
        </w:tabs>
        <w:numPr>
          <w:ilvl w:val="0"/>
          <w:numId w:val="5"/>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13"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67"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202E39"/>
        </w:rPr>
        <w:t xml:space="preserve">All stockholders of record as of July 10, 2020,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you expect to attend the virtual annual meeting, please vote via one of the methods specified below as soon as possible to ensure that your shares are represented at the annual meeting.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FE3"/>
        </w:rPr>
        <w:t>How to Vote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168910</wp:posOffset>
            </wp:positionV>
            <wp:extent cx="657479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500" w:type="dxa"/>
            <w:vAlign w:val="bottom"/>
          </w:tcPr>
          <w:p>
            <w:pPr>
              <w:jc w:val="center"/>
              <w:ind w:right="68"/>
              <w:spacing w:after="0"/>
              <w:rPr>
                <w:sz w:val="20"/>
                <w:szCs w:val="20"/>
                <w:color w:val="auto"/>
              </w:rPr>
            </w:pPr>
            <w:r>
              <w:rPr>
                <w:rFonts w:ascii="Arial" w:cs="Arial" w:eastAsia="Arial" w:hAnsi="Arial"/>
                <w:sz w:val="14"/>
                <w:szCs w:val="14"/>
                <w:color w:val="202E39"/>
              </w:rPr>
              <w:t>Call the telephone number specified on your proxy</w:t>
            </w:r>
          </w:p>
        </w:tc>
        <w:tc>
          <w:tcPr>
            <w:tcW w:w="3760" w:type="dxa"/>
            <w:vAlign w:val="bottom"/>
          </w:tcPr>
          <w:p>
            <w:pPr>
              <w:jc w:val="center"/>
              <w:spacing w:after="0"/>
              <w:rPr>
                <w:sz w:val="20"/>
                <w:szCs w:val="20"/>
                <w:color w:val="auto"/>
              </w:rPr>
            </w:pPr>
            <w:r>
              <w:rPr>
                <w:rFonts w:ascii="Arial" w:cs="Arial" w:eastAsia="Arial" w:hAnsi="Arial"/>
                <w:sz w:val="14"/>
                <w:szCs w:val="14"/>
                <w:color w:val="202E39"/>
              </w:rPr>
              <w:t>Sign, date and return your proxy card or voting</w:t>
            </w:r>
          </w:p>
        </w:tc>
        <w:tc>
          <w:tcPr>
            <w:tcW w:w="3560" w:type="dxa"/>
            <w:vAlign w:val="bottom"/>
          </w:tcPr>
          <w:p>
            <w:pPr>
              <w:jc w:val="center"/>
              <w:ind w:left="88"/>
              <w:spacing w:after="0"/>
              <w:rPr>
                <w:sz w:val="20"/>
                <w:szCs w:val="20"/>
                <w:color w:val="auto"/>
              </w:rPr>
            </w:pPr>
            <w:r>
              <w:rPr>
                <w:rFonts w:ascii="Arial" w:cs="Arial" w:eastAsia="Arial" w:hAnsi="Arial"/>
                <w:sz w:val="14"/>
                <w:szCs w:val="14"/>
                <w:color w:val="202E39"/>
              </w:rPr>
              <w:t>Follow the instructions in your proxy card or voting</w:t>
            </w:r>
          </w:p>
        </w:tc>
      </w:tr>
      <w:tr>
        <w:trPr>
          <w:trHeight w:val="162"/>
        </w:trPr>
        <w:tc>
          <w:tcPr>
            <w:tcW w:w="3500" w:type="dxa"/>
            <w:vAlign w:val="bottom"/>
          </w:tcPr>
          <w:p>
            <w:pPr>
              <w:jc w:val="center"/>
              <w:ind w:right="68"/>
              <w:spacing w:after="0"/>
              <w:rPr>
                <w:sz w:val="20"/>
                <w:szCs w:val="20"/>
                <w:color w:val="auto"/>
              </w:rPr>
            </w:pPr>
            <w:r>
              <w:rPr>
                <w:rFonts w:ascii="Arial" w:cs="Arial" w:eastAsia="Arial" w:hAnsi="Arial"/>
                <w:sz w:val="14"/>
                <w:szCs w:val="14"/>
                <w:color w:val="202E39"/>
              </w:rPr>
              <w:t>card or voting instruction form provided by your bank</w:t>
            </w:r>
          </w:p>
        </w:tc>
        <w:tc>
          <w:tcPr>
            <w:tcW w:w="3760" w:type="dxa"/>
            <w:vAlign w:val="bottom"/>
          </w:tcPr>
          <w:p>
            <w:pPr>
              <w:jc w:val="center"/>
              <w:spacing w:after="0"/>
              <w:rPr>
                <w:sz w:val="20"/>
                <w:szCs w:val="20"/>
                <w:color w:val="auto"/>
              </w:rPr>
            </w:pPr>
            <w:r>
              <w:rPr>
                <w:rFonts w:ascii="Arial" w:cs="Arial" w:eastAsia="Arial" w:hAnsi="Arial"/>
                <w:sz w:val="14"/>
                <w:szCs w:val="14"/>
                <w:color w:val="202E39"/>
              </w:rPr>
              <w:t>instruction form in the postage-paid envelope provided</w:t>
            </w:r>
          </w:p>
        </w:tc>
        <w:tc>
          <w:tcPr>
            <w:tcW w:w="3560" w:type="dxa"/>
            <w:vAlign w:val="bottom"/>
          </w:tcPr>
          <w:p>
            <w:pPr>
              <w:jc w:val="center"/>
              <w:ind w:left="68"/>
              <w:spacing w:after="0"/>
              <w:rPr>
                <w:sz w:val="20"/>
                <w:szCs w:val="20"/>
                <w:color w:val="auto"/>
              </w:rPr>
            </w:pPr>
            <w:r>
              <w:rPr>
                <w:rFonts w:ascii="Arial" w:cs="Arial" w:eastAsia="Arial" w:hAnsi="Arial"/>
                <w:sz w:val="14"/>
                <w:szCs w:val="14"/>
                <w:color w:val="202E39"/>
              </w:rPr>
              <w:t>instruction form to vote at www.proxyvote.com prior to</w:t>
            </w:r>
          </w:p>
        </w:tc>
      </w:tr>
      <w:tr>
        <w:trPr>
          <w:trHeight w:val="172"/>
        </w:trPr>
        <w:tc>
          <w:tcPr>
            <w:tcW w:w="3500" w:type="dxa"/>
            <w:vAlign w:val="bottom"/>
          </w:tcPr>
          <w:p>
            <w:pPr>
              <w:jc w:val="center"/>
              <w:ind w:right="68"/>
              <w:spacing w:after="0"/>
              <w:rPr>
                <w:sz w:val="20"/>
                <w:szCs w:val="20"/>
                <w:color w:val="auto"/>
              </w:rPr>
            </w:pPr>
            <w:r>
              <w:rPr>
                <w:rFonts w:ascii="Arial" w:cs="Arial" w:eastAsia="Arial" w:hAnsi="Arial"/>
                <w:sz w:val="14"/>
                <w:szCs w:val="14"/>
                <w:color w:val="202E39"/>
                <w:w w:val="99"/>
              </w:rPr>
              <w:t>or broker</w:t>
            </w:r>
          </w:p>
        </w:tc>
        <w:tc>
          <w:tcPr>
            <w:tcW w:w="3760" w:type="dxa"/>
            <w:vAlign w:val="bottom"/>
          </w:tcPr>
          <w:p>
            <w:pPr>
              <w:spacing w:after="0"/>
              <w:rPr>
                <w:sz w:val="14"/>
                <w:szCs w:val="14"/>
                <w:color w:val="auto"/>
              </w:rPr>
            </w:pPr>
          </w:p>
        </w:tc>
        <w:tc>
          <w:tcPr>
            <w:tcW w:w="3560" w:type="dxa"/>
            <w:vAlign w:val="bottom"/>
          </w:tcPr>
          <w:p>
            <w:pPr>
              <w:jc w:val="center"/>
              <w:ind w:left="88"/>
              <w:spacing w:after="0"/>
              <w:rPr>
                <w:sz w:val="20"/>
                <w:szCs w:val="20"/>
                <w:color w:val="auto"/>
              </w:rPr>
            </w:pPr>
            <w:r>
              <w:rPr>
                <w:rFonts w:ascii="Arial" w:cs="Arial" w:eastAsia="Arial" w:hAnsi="Arial"/>
                <w:sz w:val="14"/>
                <w:szCs w:val="14"/>
                <w:color w:val="202E39"/>
              </w:rPr>
              <w:t>11:59 p.m. Eastern Time on September 2, 2020</w:t>
            </w:r>
          </w:p>
        </w:tc>
      </w:tr>
    </w:tbl>
    <w:p>
      <w:pPr>
        <w:spacing w:after="0" w:line="243"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By Order of the Board of Directors</w:t>
      </w:r>
    </w:p>
    <w:p>
      <w:pPr>
        <w:spacing w:after="0" w:line="122" w:lineRule="exact"/>
        <w:rPr>
          <w:sz w:val="20"/>
          <w:szCs w:val="20"/>
          <w:color w:val="auto"/>
        </w:rPr>
      </w:pPr>
    </w:p>
    <w:p>
      <w:pPr>
        <w:ind w:left="5740"/>
        <w:spacing w:after="0"/>
        <w:rPr>
          <w:sz w:val="20"/>
          <w:szCs w:val="20"/>
          <w:color w:val="auto"/>
        </w:rPr>
      </w:pPr>
      <w:r>
        <w:rPr>
          <w:rFonts w:ascii="Arial" w:cs="Arial" w:eastAsia="Arial" w:hAnsi="Arial"/>
          <w:sz w:val="18"/>
          <w:szCs w:val="18"/>
          <w:color w:val="202E39"/>
        </w:rPr>
        <w:t>/s/ Mark Dankberg</w:t>
      </w:r>
    </w:p>
    <w:p>
      <w:pPr>
        <w:ind w:left="5740"/>
        <w:spacing w:after="0"/>
        <w:rPr>
          <w:sz w:val="20"/>
          <w:szCs w:val="20"/>
          <w:color w:val="auto"/>
        </w:rPr>
      </w:pPr>
      <w:r>
        <w:rPr>
          <w:rFonts w:ascii="Arial" w:cs="Arial" w:eastAsia="Arial" w:hAnsi="Arial"/>
          <w:sz w:val="16"/>
          <w:szCs w:val="16"/>
          <w:color w:val="202E39"/>
        </w:rPr>
        <w:t>Mark Dankberg</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Chairman of the Board and</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Chief Executive Officer</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Carlsbad, California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July 23, 2020</w:t>
      </w: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202E39"/>
        </w:rPr>
        <w:t>YOUR VOTE IS IMPORTANT.</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202E39"/>
        </w:rPr>
        <w:t>WHETHER OR NOT YOU PLAN TO ATTEND THE VIRTUAL ANNUAL MEETING,</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020"/>
          </w:cols>
          <w:pgMar w:left="320" w:top="459" w:right="5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TABLE OF CONTENTS</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80" w:type="dxa"/>
            <w:vAlign w:val="bottom"/>
            <w:tcBorders>
              <w:bottom w:val="single" w:sz="8" w:color="009FE3"/>
            </w:tcBorders>
          </w:tcPr>
          <w:p>
            <w:pPr>
              <w:spacing w:after="0"/>
              <w:rPr>
                <w:sz w:val="19"/>
                <w:szCs w:val="19"/>
                <w:color w:val="auto"/>
              </w:rPr>
            </w:pPr>
          </w:p>
        </w:tc>
        <w:tc>
          <w:tcPr>
            <w:tcW w:w="4840" w:type="dxa"/>
            <w:vAlign w:val="bottom"/>
            <w:tcBorders>
              <w:bottom w:val="single" w:sz="8" w:color="009FE3"/>
            </w:tcBorders>
            <w:gridSpan w:val="1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GENERAL INFORMATION</w:t>
              </w:r>
            </w:hyperlink>
          </w:p>
        </w:tc>
        <w:tc>
          <w:tcPr>
            <w:tcW w:w="36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1</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4840" w:type="dxa"/>
            <w:vAlign w:val="bottom"/>
            <w:gridSpan w:val="12"/>
          </w:tcPr>
          <w:p>
            <w:pPr>
              <w:spacing w:after="0" w:line="173"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the Annual Meeting and Voting</w:t>
              </w:r>
            </w:hyperlink>
          </w:p>
        </w:tc>
        <w:tc>
          <w:tcPr>
            <w:tcW w:w="360" w:type="dxa"/>
            <w:vAlign w:val="bottom"/>
          </w:tcPr>
          <w:p>
            <w:pPr>
              <w:jc w:val="right"/>
              <w:spacing w:after="0" w:line="173" w:lineRule="exact"/>
              <w:rPr>
                <w:sz w:val="20"/>
                <w:szCs w:val="20"/>
                <w:color w:val="auto"/>
              </w:rPr>
            </w:pPr>
            <w:r>
              <w:rPr>
                <w:rFonts w:ascii="Arial" w:cs="Arial" w:eastAsia="Arial" w:hAnsi="Arial"/>
                <w:sz w:val="18"/>
                <w:szCs w:val="18"/>
                <w:color w:val="202E39"/>
              </w:rPr>
              <w:t>1</w:t>
            </w:r>
          </w:p>
        </w:tc>
        <w:tc>
          <w:tcPr>
            <w:tcW w:w="0" w:type="dxa"/>
            <w:vAlign w:val="bottom"/>
          </w:tcPr>
          <w:p>
            <w:pPr>
              <w:spacing w:after="0"/>
              <w:rPr>
                <w:sz w:val="1"/>
                <w:szCs w:val="1"/>
                <w:color w:val="auto"/>
              </w:rPr>
            </w:pPr>
          </w:p>
        </w:tc>
      </w:tr>
      <w:tr>
        <w:trPr>
          <w:trHeight w:val="225"/>
        </w:trPr>
        <w:tc>
          <w:tcPr>
            <w:tcW w:w="80" w:type="dxa"/>
            <w:vAlign w:val="bottom"/>
            <w:tcBorders>
              <w:bottom w:val="single" w:sz="8" w:color="009FE3"/>
            </w:tcBorders>
          </w:tcPr>
          <w:p>
            <w:pPr>
              <w:spacing w:after="0"/>
              <w:rPr>
                <w:sz w:val="19"/>
                <w:szCs w:val="19"/>
                <w:color w:val="auto"/>
              </w:rPr>
            </w:pPr>
          </w:p>
        </w:tc>
        <w:tc>
          <w:tcPr>
            <w:tcW w:w="4840" w:type="dxa"/>
            <w:vAlign w:val="bottom"/>
            <w:tcBorders>
              <w:bottom w:val="single" w:sz="8" w:color="009FE3"/>
            </w:tcBorders>
            <w:gridSpan w:val="1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 SUMMARY</w:t>
              </w:r>
            </w:hyperlink>
          </w:p>
        </w:tc>
        <w:tc>
          <w:tcPr>
            <w:tcW w:w="36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40" w:type="dxa"/>
            <w:vAlign w:val="bottom"/>
            <w:gridSpan w:val="12"/>
          </w:tcPr>
          <w:p>
            <w:pPr>
              <w:spacing w:after="0" w:line="169"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CORPORATE GOVERNANCE PRINCIPLES AND BOARD</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74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MATTERS</w:t>
              </w:r>
            </w:hyperlink>
          </w:p>
        </w:tc>
        <w:tc>
          <w:tcPr>
            <w:tcW w:w="1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2040" w:type="dxa"/>
            <w:vAlign w:val="bottom"/>
            <w:tcBorders>
              <w:bottom w:val="single" w:sz="8" w:color="009FE3"/>
            </w:tcBorders>
          </w:tcPr>
          <w:p>
            <w:pPr>
              <w:spacing w:after="0" w:line="20" w:lineRule="exact"/>
              <w:rPr>
                <w:sz w:val="1"/>
                <w:szCs w:val="1"/>
                <w:color w:val="auto"/>
              </w:rPr>
            </w:pPr>
          </w:p>
        </w:tc>
        <w:tc>
          <w:tcPr>
            <w:tcW w:w="64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840" w:type="dxa"/>
            <w:vAlign w:val="bottom"/>
            <w:gridSpan w:val="12"/>
          </w:tcPr>
          <w:p>
            <w:pPr>
              <w:spacing w:after="0" w:line="18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Board Responsibilities</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Board Leadership and Independence</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Board Committee Composition</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Board Evaluation and Refreshment</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Communications with the Board</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840" w:type="dxa"/>
            <w:vAlign w:val="bottom"/>
            <w:gridSpan w:val="12"/>
          </w:tcPr>
          <w:p>
            <w:pPr>
              <w:spacing w:after="0" w:line="181" w:lineRule="exact"/>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Stockholder Engagement</w:t>
              </w:r>
            </w:hyperlink>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25"/>
        </w:trPr>
        <w:tc>
          <w:tcPr>
            <w:tcW w:w="80" w:type="dxa"/>
            <w:vAlign w:val="bottom"/>
            <w:tcBorders>
              <w:bottom w:val="single" w:sz="8" w:color="009FE3"/>
            </w:tcBorders>
          </w:tcPr>
          <w:p>
            <w:pPr>
              <w:spacing w:after="0"/>
              <w:rPr>
                <w:sz w:val="19"/>
                <w:szCs w:val="19"/>
                <w:color w:val="auto"/>
              </w:rPr>
            </w:pPr>
          </w:p>
        </w:tc>
        <w:tc>
          <w:tcPr>
            <w:tcW w:w="4840" w:type="dxa"/>
            <w:vAlign w:val="bottom"/>
            <w:tcBorders>
              <w:bottom w:val="single" w:sz="8" w:color="009FE3"/>
            </w:tcBorders>
            <w:gridSpan w:val="12"/>
          </w:tcPr>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PROPOSAL 1: ELECTION OF DIRECTORS</w:t>
              </w:r>
            </w:hyperlink>
          </w:p>
        </w:tc>
        <w:tc>
          <w:tcPr>
            <w:tcW w:w="36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12</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840" w:type="dxa"/>
            <w:vAlign w:val="bottom"/>
            <w:gridSpan w:val="12"/>
          </w:tcPr>
          <w:p>
            <w:pPr>
              <w:spacing w:after="0" w:line="195"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Overview</w:t>
              </w:r>
            </w:hyperlink>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4840" w:type="dxa"/>
            <w:vAlign w:val="bottom"/>
            <w:gridSpan w:val="12"/>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Class III Directors Nominated for Election at this Annual</w:t>
              </w:r>
            </w:hyperlink>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Meeting</w:t>
              </w:r>
            </w:hyperlink>
          </w:p>
        </w:tc>
        <w:tc>
          <w:tcPr>
            <w:tcW w:w="3780" w:type="dxa"/>
            <w:vAlign w:val="bottom"/>
            <w:tcBorders>
              <w:top w:val="single" w:sz="8" w:color="0000EE"/>
            </w:tcBorders>
            <w:gridSpan w:val="5"/>
          </w:tcPr>
          <w:p>
            <w:pPr>
              <w:spacing w:after="0"/>
              <w:rPr>
                <w:sz w:val="15"/>
                <w:szCs w:val="15"/>
                <w:color w:val="auto"/>
              </w:rPr>
            </w:pPr>
          </w:p>
        </w:tc>
        <w:tc>
          <w:tcPr>
            <w:tcW w:w="420" w:type="dxa"/>
            <w:vAlign w:val="bottom"/>
            <w:gridSpan w:val="5"/>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840" w:type="dxa"/>
            <w:vAlign w:val="bottom"/>
            <w:gridSpan w:val="12"/>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Class I Directors with Terms Expiring in 2021</w:t>
              </w:r>
            </w:hyperlink>
          </w:p>
        </w:tc>
        <w:tc>
          <w:tcPr>
            <w:tcW w:w="360" w:type="dxa"/>
            <w:vAlign w:val="bottom"/>
          </w:tcPr>
          <w:p>
            <w:pPr>
              <w:jc w:val="right"/>
              <w:spacing w:after="0"/>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Class II Directors with Terms Expiring in 2022</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840" w:type="dxa"/>
            <w:vAlign w:val="bottom"/>
            <w:gridSpan w:val="12"/>
          </w:tcPr>
          <w:p>
            <w:pPr>
              <w:spacing w:after="0" w:line="181"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Recommendation of the Board</w:t>
              </w:r>
            </w:hyperlink>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840" w:type="dxa"/>
            <w:vAlign w:val="bottom"/>
            <w:gridSpan w:val="12"/>
          </w:tcPr>
          <w:p>
            <w:pPr>
              <w:spacing w:after="0" w:line="198"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2: RATIFICATION OF APPOINTMENT OF</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INDEPENDENT REGISTERED PUBLIC ACCOUNTING</w:t>
              </w:r>
            </w:hyperlink>
          </w:p>
        </w:tc>
        <w:tc>
          <w:tcPr>
            <w:tcW w:w="4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16</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500" w:type="dxa"/>
            <w:vAlign w:val="bottom"/>
            <w:gridSpan w:val="9"/>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FIRM</w:t>
              </w:r>
            </w:hyperlink>
          </w:p>
        </w:tc>
        <w:tc>
          <w:tcPr>
            <w:tcW w:w="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600" w:type="dxa"/>
            <w:vAlign w:val="bottom"/>
            <w:tcBorders>
              <w:bottom w:val="single" w:sz="8" w:color="009FE3"/>
            </w:tcBorders>
          </w:tcPr>
          <w:p>
            <w:pPr>
              <w:spacing w:after="0" w:line="20" w:lineRule="exact"/>
              <w:rPr>
                <w:sz w:val="1"/>
                <w:szCs w:val="1"/>
                <w:color w:val="auto"/>
              </w:rPr>
            </w:pPr>
          </w:p>
        </w:tc>
        <w:tc>
          <w:tcPr>
            <w:tcW w:w="2040" w:type="dxa"/>
            <w:vAlign w:val="bottom"/>
            <w:tcBorders>
              <w:bottom w:val="single" w:sz="8" w:color="009FE3"/>
            </w:tcBorders>
          </w:tcPr>
          <w:p>
            <w:pPr>
              <w:spacing w:after="0" w:line="20" w:lineRule="exact"/>
              <w:rPr>
                <w:sz w:val="1"/>
                <w:szCs w:val="1"/>
                <w:color w:val="auto"/>
              </w:rPr>
            </w:pPr>
          </w:p>
        </w:tc>
        <w:tc>
          <w:tcPr>
            <w:tcW w:w="64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840" w:type="dxa"/>
            <w:vAlign w:val="bottom"/>
            <w:gridSpan w:val="12"/>
          </w:tcPr>
          <w:p>
            <w:pPr>
              <w:spacing w:after="0" w:line="18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Overview</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Principal Accountant Fees and Services</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Pre-Approval Policy of the Audit Committee</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gridSpan w:val="12"/>
          </w:tcPr>
          <w:p>
            <w:pPr>
              <w:spacing w:after="0" w:line="181" w:lineRule="exact"/>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Recommendation of the Board</w:t>
              </w:r>
            </w:hyperlink>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840" w:type="dxa"/>
            <w:vAlign w:val="bottom"/>
            <w:gridSpan w:val="12"/>
          </w:tcPr>
          <w:p>
            <w:pPr>
              <w:spacing w:after="0" w:line="198"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3: ADVISORY VOTE ON EXECUTIVE</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18</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2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420" w:type="dxa"/>
            <w:vAlign w:val="bottom"/>
            <w:gridSpan w:val="4"/>
          </w:tcPr>
          <w:p>
            <w:pPr>
              <w:spacing w:after="0"/>
              <w:rPr>
                <w:sz w:val="15"/>
                <w:szCs w:val="15"/>
                <w:color w:val="auto"/>
              </w:rPr>
            </w:pPr>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040" w:type="dxa"/>
            <w:vAlign w:val="bottom"/>
            <w:tcBorders>
              <w:bottom w:val="single" w:sz="8" w:color="009FE3"/>
            </w:tcBorders>
          </w:tcPr>
          <w:p>
            <w:pPr>
              <w:spacing w:after="0" w:line="20" w:lineRule="exact"/>
              <w:rPr>
                <w:sz w:val="1"/>
                <w:szCs w:val="1"/>
                <w:color w:val="auto"/>
              </w:rPr>
            </w:pPr>
          </w:p>
        </w:tc>
        <w:tc>
          <w:tcPr>
            <w:tcW w:w="64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840" w:type="dxa"/>
            <w:vAlign w:val="bottom"/>
            <w:gridSpan w:val="12"/>
          </w:tcPr>
          <w:p>
            <w:pPr>
              <w:spacing w:after="0" w:line="182" w:lineRule="exact"/>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Overview</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40" w:type="dxa"/>
            <w:vAlign w:val="bottom"/>
            <w:gridSpan w:val="12"/>
          </w:tcPr>
          <w:p>
            <w:pPr>
              <w:spacing w:after="0" w:line="181"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Recommendation of the Board</w:t>
              </w:r>
            </w:hyperlink>
          </w:p>
        </w:tc>
        <w:tc>
          <w:tcPr>
            <w:tcW w:w="360" w:type="dxa"/>
            <w:vAlign w:val="bottom"/>
          </w:tcPr>
          <w:p>
            <w:pPr>
              <w:jc w:val="right"/>
              <w:spacing w:after="0" w:line="181" w:lineRule="exact"/>
              <w:rPr>
                <w:sz w:val="20"/>
                <w:szCs w:val="20"/>
                <w:color w:val="auto"/>
              </w:rPr>
            </w:pPr>
            <w:r>
              <w:rPr>
                <w:rFonts w:ascii="Arial" w:cs="Arial" w:eastAsia="Arial" w:hAnsi="Arial"/>
                <w:sz w:val="18"/>
                <w:szCs w:val="18"/>
                <w:color w:val="202E39"/>
              </w:rPr>
              <w:t>19</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840" w:type="dxa"/>
            <w:vAlign w:val="bottom"/>
            <w:gridSpan w:val="12"/>
          </w:tcPr>
          <w:p>
            <w:pPr>
              <w:spacing w:after="0" w:line="198"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4: AMENDMENT AND RESTATEMENT OF</w:t>
              </w:r>
            </w:hyperlink>
          </w:p>
        </w:tc>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20</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4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THE 1996 EQUITY PARTICIPATION PLAN</w:t>
              </w:r>
            </w:hyperlink>
          </w:p>
        </w:tc>
        <w:tc>
          <w:tcPr>
            <w:tcW w:w="300" w:type="dxa"/>
            <w:vAlign w:val="bottom"/>
            <w:gridSpan w:val="2"/>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200" w:type="dxa"/>
            <w:vAlign w:val="bottom"/>
            <w:tcBorders>
              <w:top w:val="single" w:sz="8" w:color="0000EE"/>
              <w:bottom w:val="single" w:sz="8" w:color="009FE3"/>
            </w:tcBorders>
          </w:tcPr>
          <w:p>
            <w:pPr>
              <w:spacing w:after="0" w:line="20" w:lineRule="exact"/>
              <w:rPr>
                <w:sz w:val="1"/>
                <w:szCs w:val="1"/>
                <w:color w:val="auto"/>
              </w:rPr>
            </w:pPr>
          </w:p>
        </w:tc>
        <w:tc>
          <w:tcPr>
            <w:tcW w:w="600" w:type="dxa"/>
            <w:vAlign w:val="bottom"/>
            <w:tcBorders>
              <w:top w:val="single" w:sz="8" w:color="0000EE"/>
              <w:bottom w:val="single" w:sz="8" w:color="009FE3"/>
            </w:tcBorders>
          </w:tcPr>
          <w:p>
            <w:pPr>
              <w:spacing w:after="0" w:line="20" w:lineRule="exact"/>
              <w:rPr>
                <w:sz w:val="1"/>
                <w:szCs w:val="1"/>
                <w:color w:val="auto"/>
              </w:rPr>
            </w:pPr>
          </w:p>
        </w:tc>
        <w:tc>
          <w:tcPr>
            <w:tcW w:w="2040" w:type="dxa"/>
            <w:vAlign w:val="bottom"/>
            <w:tcBorders>
              <w:top w:val="single" w:sz="8" w:color="0000EE"/>
              <w:bottom w:val="single" w:sz="8" w:color="009FE3"/>
            </w:tcBorders>
          </w:tcPr>
          <w:p>
            <w:pPr>
              <w:spacing w:after="0" w:line="20" w:lineRule="exact"/>
              <w:rPr>
                <w:sz w:val="1"/>
                <w:szCs w:val="1"/>
                <w:color w:val="auto"/>
              </w:rPr>
            </w:pPr>
          </w:p>
        </w:tc>
        <w:tc>
          <w:tcPr>
            <w:tcW w:w="640" w:type="dxa"/>
            <w:vAlign w:val="bottom"/>
            <w:tcBorders>
              <w:bottom w:val="single" w:sz="8" w:color="009FE3"/>
            </w:tcBorders>
          </w:tcPr>
          <w:p>
            <w:pPr>
              <w:spacing w:after="0" w:line="20" w:lineRule="exact"/>
              <w:rPr>
                <w:sz w:val="1"/>
                <w:szCs w:val="1"/>
                <w:color w:val="auto"/>
              </w:rPr>
            </w:pPr>
          </w:p>
        </w:tc>
        <w:tc>
          <w:tcPr>
            <w:tcW w:w="30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40" w:type="dxa"/>
            <w:vAlign w:val="bottom"/>
            <w:tcBorders>
              <w:bottom w:val="single" w:sz="8" w:color="009FE3"/>
            </w:tcBorders>
          </w:tcPr>
          <w:p>
            <w:pPr>
              <w:spacing w:after="0" w:line="20" w:lineRule="exact"/>
              <w:rPr>
                <w:sz w:val="1"/>
                <w:szCs w:val="1"/>
                <w:color w:val="auto"/>
              </w:rPr>
            </w:pPr>
          </w:p>
        </w:tc>
        <w:tc>
          <w:tcPr>
            <w:tcW w:w="200" w:type="dxa"/>
            <w:vAlign w:val="bottom"/>
            <w:tcBorders>
              <w:bottom w:val="single" w:sz="8" w:color="009FE3"/>
            </w:tcBorders>
          </w:tcPr>
          <w:p>
            <w:pPr>
              <w:spacing w:after="0" w:line="20" w:lineRule="exact"/>
              <w:rPr>
                <w:sz w:val="1"/>
                <w:szCs w:val="1"/>
                <w:color w:val="auto"/>
              </w:rPr>
            </w:pPr>
          </w:p>
        </w:tc>
        <w:tc>
          <w:tcPr>
            <w:tcW w:w="100" w:type="dxa"/>
            <w:vAlign w:val="bottom"/>
            <w:tcBorders>
              <w:bottom w:val="single" w:sz="8" w:color="009FE3"/>
            </w:tcBorders>
          </w:tcPr>
          <w:p>
            <w:pPr>
              <w:spacing w:after="0" w:line="20" w:lineRule="exact"/>
              <w:rPr>
                <w:sz w:val="1"/>
                <w:szCs w:val="1"/>
                <w:color w:val="auto"/>
              </w:rPr>
            </w:pPr>
          </w:p>
        </w:tc>
        <w:tc>
          <w:tcPr>
            <w:tcW w:w="3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840" w:type="dxa"/>
            <w:vAlign w:val="bottom"/>
            <w:gridSpan w:val="12"/>
          </w:tcPr>
          <w:p>
            <w:pPr>
              <w:spacing w:after="0" w:line="18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Overview</w:t>
              </w:r>
            </w:hyperlink>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Why You Should Vote for the Restated Equity Plan</w:t>
              </w:r>
            </w:hyperlink>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840" w:type="dxa"/>
            <w:vAlign w:val="bottom"/>
            <w:gridSpan w:val="12"/>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Summary of the Restated Equity Plan</w:t>
              </w:r>
            </w:hyperlink>
          </w:p>
        </w:tc>
        <w:tc>
          <w:tcPr>
            <w:tcW w:w="360" w:type="dxa"/>
            <w:vAlign w:val="bottom"/>
          </w:tcPr>
          <w:p>
            <w:pPr>
              <w:jc w:val="right"/>
              <w:spacing w:after="0"/>
              <w:rPr>
                <w:sz w:val="20"/>
                <w:szCs w:val="20"/>
                <w:color w:val="auto"/>
              </w:rPr>
            </w:pPr>
            <w:r>
              <w:rPr>
                <w:rFonts w:ascii="Arial" w:cs="Arial" w:eastAsia="Arial" w:hAnsi="Arial"/>
                <w:sz w:val="18"/>
                <w:szCs w:val="18"/>
                <w:color w:val="202E39"/>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00" w:type="dxa"/>
            <w:vAlign w:val="bottom"/>
            <w:gridSpan w:val="7"/>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U.S. Federal Income Tax Consequences</w:t>
              </w:r>
            </w:hyperlink>
          </w:p>
        </w:tc>
        <w:tc>
          <w:tcPr>
            <w:tcW w:w="520" w:type="dxa"/>
            <w:vAlign w:val="bottom"/>
          </w:tcPr>
          <w:p>
            <w:pPr>
              <w:jc w:val="right"/>
              <w:spacing w:after="0"/>
              <w:rPr>
                <w:sz w:val="20"/>
                <w:szCs w:val="20"/>
                <w:color w:val="auto"/>
              </w:rPr>
            </w:pPr>
            <w:r>
              <w:rPr>
                <w:rFonts w:ascii="Arial" w:cs="Arial" w:eastAsia="Arial" w:hAnsi="Arial"/>
                <w:sz w:val="18"/>
                <w:szCs w:val="18"/>
                <w:color w:val="202E39"/>
              </w:rPr>
              <w:t>25</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New Plan Benefits</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800" w:type="dxa"/>
            <w:vAlign w:val="bottom"/>
            <w:gridSpan w:val="7"/>
          </w:tcPr>
          <w:p>
            <w:pPr>
              <w:spacing w:after="0" w:line="181"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Recommendation of the Board</w:t>
              </w:r>
            </w:hyperlink>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225"/>
        </w:trPr>
        <w:tc>
          <w:tcPr>
            <w:tcW w:w="80" w:type="dxa"/>
            <w:vAlign w:val="bottom"/>
            <w:tcBorders>
              <w:bottom w:val="single" w:sz="8" w:color="009FE3"/>
            </w:tcBorders>
          </w:tcPr>
          <w:p>
            <w:pPr>
              <w:spacing w:after="0"/>
              <w:rPr>
                <w:sz w:val="19"/>
                <w:szCs w:val="19"/>
                <w:color w:val="auto"/>
              </w:rPr>
            </w:pPr>
          </w:p>
        </w:tc>
        <w:tc>
          <w:tcPr>
            <w:tcW w:w="4800" w:type="dxa"/>
            <w:vAlign w:val="bottom"/>
            <w:tcBorders>
              <w:bottom w:val="single" w:sz="8" w:color="009FE3"/>
            </w:tcBorders>
            <w:gridSpan w:val="7"/>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OWNERSHIP OF SECURITIES</w:t>
              </w:r>
            </w:hyperlink>
          </w:p>
        </w:tc>
        <w:tc>
          <w:tcPr>
            <w:tcW w:w="52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28</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800" w:type="dxa"/>
            <w:vAlign w:val="bottom"/>
            <w:gridSpan w:val="7"/>
          </w:tcPr>
          <w:p>
            <w:pPr>
              <w:spacing w:after="0" w:line="195" w:lineRule="exact"/>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Beneficial Ownership Table</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202E39"/>
              </w:rPr>
              <w:t>28</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4800" w:type="dxa"/>
            <w:vAlign w:val="bottom"/>
            <w:gridSpan w:val="7"/>
          </w:tcPr>
          <w:p>
            <w:pPr>
              <w:spacing w:after="0" w:line="181" w:lineRule="exact"/>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Delinquent 16(a) Reports</w:t>
              </w:r>
            </w:hyperlink>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r>
        <w:trPr>
          <w:trHeight w:val="225"/>
        </w:trPr>
        <w:tc>
          <w:tcPr>
            <w:tcW w:w="80" w:type="dxa"/>
            <w:vAlign w:val="bottom"/>
            <w:tcBorders>
              <w:bottom w:val="single" w:sz="8" w:color="009FE3"/>
            </w:tcBorders>
          </w:tcPr>
          <w:p>
            <w:pPr>
              <w:spacing w:after="0"/>
              <w:rPr>
                <w:sz w:val="19"/>
                <w:szCs w:val="19"/>
                <w:color w:val="auto"/>
              </w:rPr>
            </w:pPr>
          </w:p>
        </w:tc>
        <w:tc>
          <w:tcPr>
            <w:tcW w:w="4800" w:type="dxa"/>
            <w:vAlign w:val="bottom"/>
            <w:tcBorders>
              <w:bottom w:val="single" w:sz="8" w:color="009FE3"/>
            </w:tcBorders>
            <w:gridSpan w:val="7"/>
          </w:tcPr>
          <w:p>
            <w:pPr>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EXECUTIVE COMPENSATION</w:t>
              </w:r>
            </w:hyperlink>
          </w:p>
        </w:tc>
        <w:tc>
          <w:tcPr>
            <w:tcW w:w="52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30</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4800" w:type="dxa"/>
            <w:vAlign w:val="bottom"/>
            <w:gridSpan w:val="7"/>
          </w:tcPr>
          <w:p>
            <w:pPr>
              <w:spacing w:after="0" w:line="195"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Discussion and Analysis</w:t>
              </w:r>
            </w:hyperlink>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202E39"/>
              </w:rPr>
              <w:t>30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Clawback Policy</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42</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Anti-Hedging and Pledging Policy</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42</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Compensation Committee Report</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Summary Compensation Table</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45</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Grants of Plan-Based Awards in Fiscal Year 2020</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Outstanding Equity Awards at 2020 Fiscal Year End</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Option Exercises and Stock Vested in Fiscal Year 2020</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Pension Benefits</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Non-Qualified Deferred Compensation</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Potential Payments Upon Termination</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CEO Pay Ratio</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50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800" w:type="dxa"/>
            <w:vAlign w:val="bottom"/>
            <w:gridSpan w:val="7"/>
          </w:tcPr>
          <w:p>
            <w:pPr>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Director Compensation</w:t>
              </w:r>
            </w:hyperlink>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384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Compensation Committee Interlocks and Insider</w:t>
              </w:r>
            </w:hyperlink>
          </w:p>
        </w:tc>
        <w:tc>
          <w:tcPr>
            <w:tcW w:w="96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00" w:type="dxa"/>
            <w:vAlign w:val="bottom"/>
            <w:gridSpan w:val="7"/>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Participation</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 w:type="dxa"/>
            <w:vAlign w:val="bottom"/>
          </w:tcPr>
          <w:p>
            <w:pPr>
              <w:spacing w:after="0"/>
              <w:rPr>
                <w:sz w:val="16"/>
                <w:szCs w:val="16"/>
                <w:color w:val="auto"/>
              </w:rPr>
            </w:pPr>
          </w:p>
        </w:tc>
        <w:tc>
          <w:tcPr>
            <w:tcW w:w="4800" w:type="dxa"/>
            <w:vAlign w:val="bottom"/>
            <w:gridSpan w:val="7"/>
          </w:tcPr>
          <w:p>
            <w:pPr>
              <w:spacing w:after="0" w:line="187"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Equity Compensation Plan Information</w:t>
              </w:r>
            </w:hyperlink>
          </w:p>
        </w:tc>
        <w:tc>
          <w:tcPr>
            <w:tcW w:w="520" w:type="dxa"/>
            <w:vAlign w:val="bottom"/>
          </w:tcPr>
          <w:p>
            <w:pPr>
              <w:jc w:val="right"/>
              <w:spacing w:after="0" w:line="187" w:lineRule="exact"/>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800" w:type="dxa"/>
            <w:vAlign w:val="bottom"/>
            <w:gridSpan w:val="7"/>
          </w:tcPr>
          <w:p>
            <w:pPr>
              <w:spacing w:after="0" w:line="198"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CERTAIN RELATIONSHIPS AND RELATED</w:t>
              </w:r>
            </w:hyperlink>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53</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0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TRANSACTIONS</w:t>
              </w:r>
            </w:hyperlink>
          </w:p>
        </w:tc>
        <w:tc>
          <w:tcPr>
            <w:tcW w:w="10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920" w:type="dxa"/>
            <w:vAlign w:val="bottom"/>
            <w:tcBorders>
              <w:bottom w:val="single" w:sz="8" w:color="009FE3"/>
            </w:tcBorders>
          </w:tcPr>
          <w:p>
            <w:pPr>
              <w:spacing w:after="0" w:line="20" w:lineRule="exact"/>
              <w:rPr>
                <w:sz w:val="1"/>
                <w:szCs w:val="1"/>
                <w:color w:val="auto"/>
              </w:rPr>
            </w:pPr>
          </w:p>
        </w:tc>
        <w:tc>
          <w:tcPr>
            <w:tcW w:w="126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78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800" w:type="dxa"/>
            <w:vAlign w:val="bottom"/>
            <w:gridSpan w:val="7"/>
          </w:tcPr>
          <w:p>
            <w:pPr>
              <w:spacing w:after="0" w:line="18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Review and Approval of Related Party Transactions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800" w:type="dxa"/>
            <w:vAlign w:val="bottom"/>
            <w:gridSpan w:val="7"/>
          </w:tcPr>
          <w:p>
            <w:pPr>
              <w:spacing w:after="0" w:line="181"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Related Party Transactions</w:t>
              </w:r>
            </w:hyperlink>
          </w:p>
        </w:tc>
        <w:tc>
          <w:tcPr>
            <w:tcW w:w="520" w:type="dxa"/>
            <w:vAlign w:val="bottom"/>
          </w:tcPr>
          <w:p>
            <w:pPr>
              <w:jc w:val="right"/>
              <w:spacing w:after="0" w:line="181" w:lineRule="exact"/>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25"/>
        </w:trPr>
        <w:tc>
          <w:tcPr>
            <w:tcW w:w="80" w:type="dxa"/>
            <w:vAlign w:val="bottom"/>
            <w:tcBorders>
              <w:bottom w:val="single" w:sz="8" w:color="009FE3"/>
            </w:tcBorders>
          </w:tcPr>
          <w:p>
            <w:pPr>
              <w:spacing w:after="0"/>
              <w:rPr>
                <w:sz w:val="19"/>
                <w:szCs w:val="19"/>
                <w:color w:val="auto"/>
              </w:rPr>
            </w:pPr>
          </w:p>
        </w:tc>
        <w:tc>
          <w:tcPr>
            <w:tcW w:w="4800" w:type="dxa"/>
            <w:vAlign w:val="bottom"/>
            <w:tcBorders>
              <w:bottom w:val="single" w:sz="8" w:color="009FE3"/>
            </w:tcBorders>
            <w:gridSpan w:val="7"/>
          </w:tcPr>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AUDIT COMMITTEE REPORT</w:t>
              </w:r>
            </w:hyperlink>
          </w:p>
        </w:tc>
        <w:tc>
          <w:tcPr>
            <w:tcW w:w="52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54</w:t>
            </w:r>
          </w:p>
        </w:tc>
        <w:tc>
          <w:tcPr>
            <w:tcW w:w="0" w:type="dxa"/>
            <w:vAlign w:val="bottom"/>
          </w:tcPr>
          <w:p>
            <w:pPr>
              <w:spacing w:after="0"/>
              <w:rPr>
                <w:sz w:val="1"/>
                <w:szCs w:val="1"/>
                <w:color w:val="auto"/>
              </w:rPr>
            </w:pPr>
          </w:p>
        </w:tc>
      </w:tr>
      <w:tr>
        <w:trPr>
          <w:trHeight w:val="196"/>
        </w:trPr>
        <w:tc>
          <w:tcPr>
            <w:tcW w:w="80" w:type="dxa"/>
            <w:vAlign w:val="bottom"/>
            <w:tcBorders>
              <w:bottom w:val="single" w:sz="8" w:color="009FE3"/>
            </w:tcBorders>
          </w:tcPr>
          <w:p>
            <w:pPr>
              <w:spacing w:after="0"/>
              <w:rPr>
                <w:sz w:val="17"/>
                <w:szCs w:val="17"/>
                <w:color w:val="auto"/>
              </w:rPr>
            </w:pPr>
          </w:p>
        </w:tc>
        <w:tc>
          <w:tcPr>
            <w:tcW w:w="4800" w:type="dxa"/>
            <w:vAlign w:val="bottom"/>
            <w:tcBorders>
              <w:bottom w:val="single" w:sz="8" w:color="009FE3"/>
            </w:tcBorders>
            <w:gridSpan w:val="7"/>
          </w:tcPr>
          <w:p>
            <w:pPr>
              <w:spacing w:after="0" w:line="196" w:lineRule="exact"/>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OTHER MATTERS</w:t>
              </w:r>
            </w:hyperlink>
          </w:p>
        </w:tc>
        <w:tc>
          <w:tcPr>
            <w:tcW w:w="520" w:type="dxa"/>
            <w:vAlign w:val="bottom"/>
            <w:tcBorders>
              <w:bottom w:val="single" w:sz="8" w:color="009FE3"/>
            </w:tcBorders>
          </w:tcPr>
          <w:p>
            <w:pPr>
              <w:jc w:val="right"/>
              <w:spacing w:after="0" w:line="196" w:lineRule="exact"/>
              <w:rPr>
                <w:sz w:val="20"/>
                <w:szCs w:val="20"/>
                <w:color w:val="auto"/>
              </w:rPr>
            </w:pPr>
            <w:r>
              <w:rPr>
                <w:rFonts w:ascii="Arial" w:cs="Arial" w:eastAsia="Arial" w:hAnsi="Arial"/>
                <w:sz w:val="18"/>
                <w:szCs w:val="18"/>
                <w:b w:val="1"/>
                <w:bCs w:val="1"/>
                <w:color w:val="009FE3"/>
              </w:rPr>
              <w:t>55</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00" w:type="dxa"/>
            <w:vAlign w:val="bottom"/>
            <w:gridSpan w:val="7"/>
          </w:tcPr>
          <w:p>
            <w:pPr>
              <w:spacing w:after="0" w:line="169"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APPENDIX A: 1996 EQUITY PARTICIPATION PLAN, AS</w:t>
              </w:r>
            </w:hyperlink>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2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AMENDED AND RESTATED</w:t>
              </w:r>
            </w:hyperlink>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009FE3"/>
            </w:tcBorders>
          </w:tcPr>
          <w:p>
            <w:pPr>
              <w:spacing w:after="0" w:line="20" w:lineRule="exact"/>
              <w:rPr>
                <w:sz w:val="1"/>
                <w:szCs w:val="1"/>
                <w:color w:val="auto"/>
              </w:rPr>
            </w:pPr>
          </w:p>
        </w:tc>
        <w:tc>
          <w:tcPr>
            <w:tcW w:w="980" w:type="dxa"/>
            <w:vAlign w:val="bottom"/>
            <w:tcBorders>
              <w:top w:val="single" w:sz="8" w:color="0000EE"/>
              <w:bottom w:val="single" w:sz="8" w:color="009FE3"/>
            </w:tcBorders>
          </w:tcPr>
          <w:p>
            <w:pPr>
              <w:spacing w:after="0" w:line="20" w:lineRule="exact"/>
              <w:rPr>
                <w:sz w:val="1"/>
                <w:szCs w:val="1"/>
                <w:color w:val="auto"/>
              </w:rPr>
            </w:pPr>
          </w:p>
        </w:tc>
        <w:tc>
          <w:tcPr>
            <w:tcW w:w="440" w:type="dxa"/>
            <w:vAlign w:val="bottom"/>
            <w:tcBorders>
              <w:top w:val="single" w:sz="8" w:color="0000EE"/>
              <w:bottom w:val="single" w:sz="8" w:color="009FE3"/>
            </w:tcBorders>
          </w:tcPr>
          <w:p>
            <w:pPr>
              <w:spacing w:after="0" w:line="20" w:lineRule="exact"/>
              <w:rPr>
                <w:sz w:val="1"/>
                <w:szCs w:val="1"/>
                <w:color w:val="auto"/>
              </w:rPr>
            </w:pPr>
          </w:p>
        </w:tc>
        <w:tc>
          <w:tcPr>
            <w:tcW w:w="920" w:type="dxa"/>
            <w:vAlign w:val="bottom"/>
            <w:tcBorders>
              <w:top w:val="single" w:sz="8" w:color="0000EE"/>
              <w:bottom w:val="single" w:sz="8" w:color="009FE3"/>
            </w:tcBorders>
          </w:tcPr>
          <w:p>
            <w:pPr>
              <w:spacing w:after="0" w:line="20" w:lineRule="exact"/>
              <w:rPr>
                <w:sz w:val="1"/>
                <w:szCs w:val="1"/>
                <w:color w:val="auto"/>
              </w:rPr>
            </w:pPr>
          </w:p>
        </w:tc>
        <w:tc>
          <w:tcPr>
            <w:tcW w:w="1260" w:type="dxa"/>
            <w:vAlign w:val="bottom"/>
            <w:tcBorders>
              <w:bottom w:val="single" w:sz="8" w:color="009FE3"/>
            </w:tcBorders>
          </w:tcPr>
          <w:p>
            <w:pPr>
              <w:spacing w:after="0" w:line="20" w:lineRule="exact"/>
              <w:rPr>
                <w:sz w:val="1"/>
                <w:szCs w:val="1"/>
                <w:color w:val="auto"/>
              </w:rPr>
            </w:pPr>
          </w:p>
        </w:tc>
        <w:tc>
          <w:tcPr>
            <w:tcW w:w="240" w:type="dxa"/>
            <w:vAlign w:val="bottom"/>
            <w:tcBorders>
              <w:bottom w:val="single" w:sz="8" w:color="009FE3"/>
            </w:tcBorders>
          </w:tcPr>
          <w:p>
            <w:pPr>
              <w:spacing w:after="0" w:line="20" w:lineRule="exact"/>
              <w:rPr>
                <w:sz w:val="1"/>
                <w:szCs w:val="1"/>
                <w:color w:val="auto"/>
              </w:rPr>
            </w:pPr>
          </w:p>
        </w:tc>
        <w:tc>
          <w:tcPr>
            <w:tcW w:w="780" w:type="dxa"/>
            <w:vAlign w:val="bottom"/>
            <w:tcBorders>
              <w:bottom w:val="single" w:sz="8" w:color="009FE3"/>
            </w:tcBorders>
          </w:tcPr>
          <w:p>
            <w:pPr>
              <w:spacing w:after="0" w:line="20" w:lineRule="exact"/>
              <w:rPr>
                <w:sz w:val="1"/>
                <w:szCs w:val="1"/>
                <w:color w:val="auto"/>
              </w:rPr>
            </w:pPr>
          </w:p>
        </w:tc>
        <w:tc>
          <w:tcPr>
            <w:tcW w:w="180" w:type="dxa"/>
            <w:vAlign w:val="bottom"/>
            <w:tcBorders>
              <w:bottom w:val="single" w:sz="8" w:color="009FE3"/>
            </w:tcBorders>
          </w:tcPr>
          <w:p>
            <w:pPr>
              <w:spacing w:after="0" w:line="20" w:lineRule="exact"/>
              <w:rPr>
                <w:sz w:val="1"/>
                <w:szCs w:val="1"/>
                <w:color w:val="auto"/>
              </w:rPr>
            </w:pPr>
          </w:p>
        </w:tc>
        <w:tc>
          <w:tcPr>
            <w:tcW w:w="52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-5031105</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r>
        <w:rPr>
          <w:sz w:val="20"/>
          <w:szCs w:val="20"/>
          <w:color w:val="auto"/>
        </w:rPr>
        <w:tab/>
      </w:r>
      <w:r>
        <w:rPr>
          <w:rFonts w:ascii="Arial" w:cs="Arial" w:eastAsia="Arial" w:hAnsi="Arial"/>
          <w:sz w:val="14"/>
          <w:szCs w:val="14"/>
          <w:b w:val="1"/>
          <w:bCs w:val="1"/>
          <w:color w:val="202E39"/>
        </w:rPr>
        <w:t>i</w:t>
      </w:r>
    </w:p>
    <w:p>
      <w:pPr>
        <w:sectPr>
          <w:pgSz w:w="11900" w:h="16838" w:orient="portrait"/>
          <w:cols w:equalWidth="0" w:num="2">
            <w:col w:w="5400" w:space="340"/>
            <w:col w:w="540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9700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7000" cy="44577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4000"/>
        <w:spacing w:after="0"/>
        <w:rPr>
          <w:sz w:val="20"/>
          <w:szCs w:val="20"/>
          <w:color w:val="auto"/>
        </w:rPr>
      </w:pPr>
      <w:r>
        <w:rPr>
          <w:rFonts w:ascii="Arial" w:cs="Arial" w:eastAsia="Arial" w:hAnsi="Arial"/>
          <w:sz w:val="50"/>
          <w:szCs w:val="50"/>
          <w:color w:val="009FE3"/>
        </w:rPr>
        <w:t>PROXY STATEMENT</w:t>
      </w:r>
    </w:p>
    <w:p>
      <w:pPr>
        <w:ind w:left="120"/>
        <w:spacing w:after="0"/>
        <w:rPr>
          <w:sz w:val="20"/>
          <w:szCs w:val="20"/>
          <w:color w:val="auto"/>
        </w:rPr>
      </w:pPr>
      <w:r>
        <w:rPr>
          <w:rFonts w:ascii="Arial" w:cs="Arial" w:eastAsia="Arial" w:hAnsi="Arial"/>
          <w:sz w:val="16"/>
          <w:szCs w:val="16"/>
          <w:b w:val="1"/>
          <w:bCs w:val="1"/>
          <w:color w:val="202E39"/>
        </w:rPr>
        <w:t>6155 El Camino Real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Carlsbad, California 92009</w:t>
      </w:r>
    </w:p>
    <w:p>
      <w:pPr>
        <w:spacing w:after="0" w:line="235" w:lineRule="exact"/>
        <w:rPr>
          <w:sz w:val="20"/>
          <w:szCs w:val="20"/>
          <w:color w:val="auto"/>
        </w:rPr>
      </w:pPr>
    </w:p>
    <w:p>
      <w:pPr>
        <w:ind w:left="120" w:right="460"/>
        <w:spacing w:after="0" w:line="251" w:lineRule="auto"/>
        <w:rPr>
          <w:sz w:val="20"/>
          <w:szCs w:val="20"/>
          <w:color w:val="auto"/>
        </w:rPr>
      </w:pPr>
      <w:r>
        <w:rPr>
          <w:rFonts w:ascii="Arial" w:cs="Arial" w:eastAsia="Arial" w:hAnsi="Arial"/>
          <w:sz w:val="16"/>
          <w:szCs w:val="16"/>
          <w:color w:val="202E39"/>
        </w:rPr>
        <w:t xml:space="preserve">The Board of Directors of Viasat, Inc. is soliciting the enclosed proxy for use at the annual meeting of stockholders to be held on September 3, 2020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cs="Arial" w:eastAsia="Arial" w:hAnsi="Arial"/>
          <w:sz w:val="16"/>
          <w:szCs w:val="16"/>
          <w:u w:val="single" w:color="auto"/>
          <w:color w:val="202E39"/>
        </w:rPr>
        <w:t>www.virtualshareholdermeeting.com/vsat2020</w:t>
      </w:r>
      <w:r>
        <w:rPr>
          <w:rFonts w:ascii="Arial" w:cs="Arial" w:eastAsia="Arial" w:hAnsi="Arial"/>
          <w:sz w:val="16"/>
          <w:szCs w:val="16"/>
          <w:color w:val="202E39"/>
        </w:rPr>
        <w:t>.</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GENERAL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About the Annual Meeting and Voting</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am I receiving this proxy statement?</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We sent you this proxy statement and the enclosed proxy card because Viasat’s Board of Directors is soliciting your proxy to vote at the 2020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9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23, 2020 to all stockholders who owned Viasat common stock on the record date, July 10, 2020, and are thus entitled to vote at the annual meeting. On this record date, there were approximately 63,026,001 shares of Viasat common stock outstanding. Common stock is our only class of stock entitled to vote. Along with this proxy statement, we are also sending our fiscal year 2020 annual report, which includes our financial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am I voting 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07" w:lineRule="exact"/>
        <w:rPr>
          <w:sz w:val="20"/>
          <w:szCs w:val="20"/>
          <w:color w:val="auto"/>
        </w:rPr>
      </w:pPr>
    </w:p>
    <w:p>
      <w:pPr>
        <w:ind w:left="660" w:right="400" w:hanging="220"/>
        <w:spacing w:after="0" w:line="286" w:lineRule="auto"/>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1: </w:t>
      </w:r>
      <w:r>
        <w:rPr>
          <w:rFonts w:ascii="Arial" w:cs="Arial" w:eastAsia="Arial" w:hAnsi="Arial"/>
          <w:sz w:val="16"/>
          <w:szCs w:val="16"/>
          <w:color w:val="202E39"/>
        </w:rPr>
        <w:t>The election of Mark Dankberg and Varsha Rao to serve as Class III Directors for a three-year term to expire at the 2023 annual</w:t>
      </w:r>
      <w:r>
        <w:rPr>
          <w:rFonts w:ascii="Arial" w:cs="Arial" w:eastAsia="Arial" w:hAnsi="Arial"/>
          <w:sz w:val="16"/>
          <w:szCs w:val="16"/>
          <w:b w:val="1"/>
          <w:bCs w:val="1"/>
          <w:color w:val="009FE3"/>
        </w:rPr>
        <w:t xml:space="preserve"> </w:t>
      </w:r>
      <w:r>
        <w:rPr>
          <w:rFonts w:ascii="Arial" w:cs="Arial" w:eastAsia="Arial" w:hAnsi="Arial"/>
          <w:sz w:val="16"/>
          <w:szCs w:val="16"/>
          <w:color w:val="202E39"/>
        </w:rPr>
        <w:t>meeting of stockholders.</w:t>
      </w:r>
    </w:p>
    <w:p>
      <w:pPr>
        <w:spacing w:after="0" w:line="7" w:lineRule="exact"/>
        <w:rPr>
          <w:rFonts w:ascii="Arial" w:cs="Arial" w:eastAsia="Arial" w:hAnsi="Arial"/>
          <w:sz w:val="16"/>
          <w:szCs w:val="16"/>
          <w:color w:val="009FE3"/>
        </w:rPr>
      </w:pPr>
    </w:p>
    <w:p>
      <w:pPr>
        <w:ind w:left="660" w:right="280" w:hanging="220"/>
        <w:spacing w:after="0" w:line="286" w:lineRule="auto"/>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w:t>
      </w:r>
      <w:r>
        <w:rPr>
          <w:rFonts w:ascii="Arial" w:cs="Arial" w:eastAsia="Arial" w:hAnsi="Arial"/>
          <w:sz w:val="16"/>
          <w:szCs w:val="16"/>
          <w:b w:val="1"/>
          <w:bCs w:val="1"/>
          <w:color w:val="009FE3"/>
        </w:rPr>
        <w:t xml:space="preserve"> </w:t>
      </w:r>
      <w:r>
        <w:rPr>
          <w:rFonts w:ascii="Arial" w:cs="Arial" w:eastAsia="Arial" w:hAnsi="Arial"/>
          <w:sz w:val="16"/>
          <w:szCs w:val="16"/>
          <w:color w:val="202E39"/>
        </w:rPr>
        <w:t>year 2021.</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3: </w:t>
      </w:r>
      <w:r>
        <w:rPr>
          <w:rFonts w:ascii="Arial" w:cs="Arial" w:eastAsia="Arial" w:hAnsi="Arial"/>
          <w:sz w:val="16"/>
          <w:szCs w:val="16"/>
          <w:color w:val="202E39"/>
        </w:rPr>
        <w:t>The advisory vote on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4: </w:t>
      </w:r>
      <w:r>
        <w:rPr>
          <w:rFonts w:ascii="Arial" w:cs="Arial" w:eastAsia="Arial" w:hAnsi="Arial"/>
          <w:sz w:val="16"/>
          <w:szCs w:val="16"/>
          <w:color w:val="202E39"/>
        </w:rPr>
        <w:t>The amendment and restatement of the 1996 Equity Participation Plan.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does the Board recommend that I vote?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Our Board of Directors unanimously recommends that you vote:</w:t>
      </w:r>
    </w:p>
    <w:p>
      <w:pPr>
        <w:spacing w:after="0" w:line="107" w:lineRule="exact"/>
        <w:rPr>
          <w:sz w:val="20"/>
          <w:szCs w:val="20"/>
          <w:color w:val="auto"/>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Mark Dankberg and Varsha Rao (Proposal 1);</w:t>
      </w:r>
    </w:p>
    <w:p>
      <w:pPr>
        <w:spacing w:after="0" w:line="126" w:lineRule="exact"/>
        <w:rPr>
          <w:rFonts w:ascii="Arial" w:cs="Arial" w:eastAsia="Arial" w:hAnsi="Arial"/>
          <w:sz w:val="16"/>
          <w:szCs w:val="16"/>
          <w:color w:val="009FE3"/>
        </w:rPr>
      </w:pPr>
    </w:p>
    <w:p>
      <w:pPr>
        <w:ind w:left="660" w:right="360" w:hanging="220"/>
        <w:spacing w:after="0" w:line="286" w:lineRule="auto"/>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2021 (Proposal 2);</w:t>
      </w:r>
    </w:p>
    <w:p>
      <w:pPr>
        <w:spacing w:after="0" w:line="61"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 and</w:t>
      </w:r>
    </w:p>
    <w:p>
      <w:pPr>
        <w:spacing w:after="0" w:line="126"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4); and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many votes do I have?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You are entitled to one vote for every share of Viasat common stock that you own as of July 10, 2020.</w:t>
      </w:r>
    </w:p>
    <w:p>
      <w:pPr>
        <w:spacing w:after="0" w:line="138"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1</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 I vote by proxy?</w:t>
      </w:r>
    </w:p>
    <w:p>
      <w:pPr>
        <w:spacing w:after="0" w:line="124"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202E39"/>
        </w:rPr>
        <w:t>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w:t>
      </w:r>
    </w:p>
    <w:p>
      <w:pPr>
        <w:spacing w:after="0" w:line="9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of Directors.</w:t>
      </w:r>
    </w:p>
    <w:p>
      <w:pPr>
        <w:spacing w:after="0" w:line="93"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May I revoke my proxy?</w:t>
      </w:r>
    </w:p>
    <w:p>
      <w:pPr>
        <w:spacing w:after="0" w:line="124"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101" w:lineRule="exact"/>
        <w:rPr>
          <w:sz w:val="20"/>
          <w:szCs w:val="20"/>
          <w:color w:val="auto"/>
        </w:rPr>
      </w:pPr>
    </w:p>
    <w:p>
      <w:pPr>
        <w:ind w:left="660" w:hanging="220"/>
        <w:spacing w:after="0"/>
        <w:tabs>
          <w:tab w:leader="none" w:pos="660" w:val="left"/>
        </w:tabs>
        <w:numPr>
          <w:ilvl w:val="0"/>
          <w:numId w:val="8"/>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8"/>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8"/>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submit your vote at the virtual annual meeting.</w:t>
      </w:r>
    </w:p>
    <w:p>
      <w:pPr>
        <w:spacing w:after="0" w:line="113"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if my shares are held by a broker, bank or other financial institution?</w:t>
      </w:r>
    </w:p>
    <w:p>
      <w:pPr>
        <w:spacing w:after="0" w:line="124"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in order to be able to vote your shares or submit questions.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Can I vote via the internet or by telephone?</w:t>
      </w:r>
    </w:p>
    <w:p>
      <w:pPr>
        <w:spacing w:after="0" w:line="124"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6"/>
          <w:szCs w:val="16"/>
          <w:color w:val="202E39"/>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can I attend the annual meeting?</w:t>
      </w:r>
    </w:p>
    <w:p>
      <w:pPr>
        <w:spacing w:after="0" w:line="12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We will be hosting the 2020 annual meeting live via the internet and you will not be able to attend in person. Our Board annually considers the appropriate format of our annual meeting, and concluded that a virtual meeting would best promote the health and safety of stockholders, employees and directors this year. Our virtual annual meeting allows stockholders from around the world to participate and ask questions, and for us to give thoughtful responses.</w:t>
      </w:r>
    </w:p>
    <w:p>
      <w:pPr>
        <w:spacing w:after="0" w:line="93"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10, 2020, or you hold a valid proxy for the annual meeting. A stockholder can listen to and participate in the annual meeting live via the internet at www.virtualshareholdermeeting.com/vsat2020. Stockholders may begin submitting written questions at 8:30 a.m. Pacific Time on September 3, 2020. Stockholders may also vote during the annual meeting. You will need the control number included on your proxy card or voting instruction form provided by your bank or broker in order to be able to vote your shares or submit questions. Instructions on how to participate, ask questions and access technical support are available at www.virtualshareholdermeeting.com/vsat2020.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85725</wp:posOffset>
            </wp:positionV>
            <wp:extent cx="42862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GENERAL INFORMATION • </w:t>
      </w:r>
      <w:r>
        <w:rPr>
          <w:rFonts w:ascii="Arial" w:cs="Arial" w:eastAsia="Arial" w:hAnsi="Arial"/>
          <w:sz w:val="14"/>
          <w:szCs w:val="14"/>
          <w:color w:val="202E39"/>
        </w:rPr>
        <w:t>About the Annual Meeting and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constitutes a quorum?</w:t>
      </w:r>
    </w:p>
    <w:p>
      <w:pPr>
        <w:spacing w:after="0" w:line="12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 Holders will be deemed present “in person” at the annual meeting by visiting www.virtualshareholdermeeting.com/vsat2020 on the day of the annual meeting and properly registering their attendance by using the control number provided on your proxy card or voting instruction form provided by your bank or broker. This year, approximately 31,513,001 shares must be represented to constitute a quorum at the meeting and permit us to conduct our business.</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vote is required to approve each proposal?</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In the election of directors, the two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will happen if I abstain from voting or fail to vote?</w:t>
      </w:r>
    </w:p>
    <w:p>
      <w:pPr>
        <w:spacing w:after="0" w:line="124"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87"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2021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98"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are the costs of soliciting these proxies?</w:t>
      </w:r>
    </w:p>
    <w:p>
      <w:pPr>
        <w:spacing w:after="0" w:line="124"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73" w:lineRule="exact"/>
        <w:rPr>
          <w:sz w:val="20"/>
          <w:szCs w:val="20"/>
          <w:color w:val="auto"/>
        </w:rPr>
      </w:pPr>
    </w:p>
    <w:p>
      <w:pPr>
        <w:ind w:left="120" w:right="120"/>
        <w:spacing w:after="0" w:line="257" w:lineRule="auto"/>
        <w:rPr>
          <w:sz w:val="20"/>
          <w:szCs w:val="20"/>
          <w:color w:val="auto"/>
        </w:rPr>
      </w:pPr>
      <w:r>
        <w:rPr>
          <w:rFonts w:ascii="Arial" w:cs="Arial" w:eastAsia="Arial" w:hAnsi="Arial"/>
          <w:sz w:val="20"/>
          <w:szCs w:val="20"/>
          <w:b w:val="1"/>
          <w:bCs w:val="1"/>
          <w:color w:val="202E39"/>
        </w:rPr>
        <w:t>I share an address with another stockholder, but we received only one paper copy of the proxy materials. How may I obtain an additional copy of the proxy materials?</w:t>
      </w:r>
    </w:p>
    <w:p>
      <w:pPr>
        <w:spacing w:after="0" w:line="77" w:lineRule="exact"/>
        <w:rPr>
          <w:sz w:val="20"/>
          <w:szCs w:val="20"/>
          <w:color w:val="auto"/>
        </w:rPr>
      </w:pPr>
    </w:p>
    <w:p>
      <w:pPr>
        <w:ind w:left="120" w:right="140"/>
        <w:spacing w:after="0" w:line="247"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3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120" w:right="400"/>
        <w:spacing w:after="0" w:line="257" w:lineRule="auto"/>
        <w:rPr>
          <w:sz w:val="20"/>
          <w:szCs w:val="20"/>
          <w:color w:val="auto"/>
        </w:rPr>
      </w:pPr>
      <w:r>
        <w:rPr>
          <w:rFonts w:ascii="Arial" w:cs="Arial" w:eastAsia="Arial" w:hAnsi="Arial"/>
          <w:sz w:val="20"/>
          <w:szCs w:val="20"/>
          <w:b w:val="1"/>
          <w:bCs w:val="1"/>
          <w:color w:val="202E39"/>
        </w:rPr>
        <w:t>Important notice regarding the availability of proxy materials for the Viasat annual meeting of stockholders to be held on September 3, 2020</w:t>
      </w:r>
    </w:p>
    <w:p>
      <w:pPr>
        <w:spacing w:after="0" w:line="7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202E39"/>
        </w:rPr>
        <w:t>This proxy statement and our</w:t>
      </w:r>
      <w:r>
        <w:rPr>
          <w:rFonts w:ascii="Arial" w:cs="Arial" w:eastAsia="Arial" w:hAnsi="Arial"/>
          <w:sz w:val="16"/>
          <w:szCs w:val="16"/>
          <w:color w:val="202E39"/>
        </w:rPr>
        <w:t xml:space="preserve"> </w:t>
      </w:r>
      <w:r>
        <w:rPr>
          <w:rFonts w:ascii="Arial" w:cs="Arial" w:eastAsia="Arial" w:hAnsi="Arial"/>
          <w:sz w:val="16"/>
          <w:szCs w:val="16"/>
          <w:b w:val="1"/>
          <w:bCs w:val="1"/>
          <w:color w:val="202E39"/>
        </w:rPr>
        <w:t xml:space="preserve">annual report to stockholders are available on the Investor Relations section of our website at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 xml:space="preserve">. </w:t>
      </w:r>
      <w:r>
        <w:rPr>
          <w:rFonts w:ascii="Arial" w:cs="Arial" w:eastAsia="Arial" w:hAnsi="Arial"/>
          <w:sz w:val="16"/>
          <w:szCs w:val="16"/>
          <w:color w:val="202E39"/>
        </w:rPr>
        <w:t>If you are a stockholder of</w:t>
      </w:r>
      <w:r>
        <w:rPr>
          <w:rFonts w:ascii="Arial" w:cs="Arial" w:eastAsia="Arial" w:hAnsi="Arial"/>
          <w:sz w:val="16"/>
          <w:szCs w:val="16"/>
          <w:b w:val="1"/>
          <w:bCs w:val="1"/>
          <w:color w:val="202E39"/>
        </w:rPr>
        <w:t xml:space="preserve"> </w:t>
      </w:r>
      <w:r>
        <w:rPr>
          <w:rFonts w:ascii="Arial" w:cs="Arial" w:eastAsia="Arial" w:hAnsi="Arial"/>
          <w:sz w:val="16"/>
          <w:szCs w:val="16"/>
          <w:color w:val="202E39"/>
        </w:rPr>
        <w:t>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87630</wp:posOffset>
            </wp:positionV>
            <wp:extent cx="42862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PROXY STATEMENT SUMMARY</w:t>
      </w:r>
    </w:p>
    <w:p>
      <w:pPr>
        <w:spacing w:after="0" w:line="224"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202E39"/>
        </w:rPr>
        <w:t>This summary highlights information contained elsewhere in this proxy statement. This summary does not contain all of the relevant information you should consider. Please read the entire proxy statement before voting.</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58"/>
        </w:trPr>
        <w:tc>
          <w:tcPr>
            <w:tcW w:w="5280" w:type="dxa"/>
            <w:vAlign w:val="bottom"/>
          </w:tcPr>
          <w:p>
            <w:pPr>
              <w:spacing w:after="0"/>
              <w:rPr>
                <w:sz w:val="20"/>
                <w:szCs w:val="20"/>
                <w:color w:val="auto"/>
              </w:rPr>
            </w:pPr>
            <w:r>
              <w:rPr>
                <w:rFonts w:ascii="Arial" w:cs="Arial" w:eastAsia="Arial" w:hAnsi="Arial"/>
                <w:sz w:val="27"/>
                <w:szCs w:val="27"/>
                <w:b w:val="1"/>
                <w:bCs w:val="1"/>
                <w:color w:val="009FE3"/>
              </w:rPr>
              <w:t>Company Information</w:t>
            </w:r>
          </w:p>
        </w:tc>
        <w:tc>
          <w:tcPr>
            <w:tcW w:w="3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27"/>
                <w:szCs w:val="27"/>
                <w:b w:val="1"/>
                <w:bCs w:val="1"/>
                <w:color w:val="009FE3"/>
              </w:rPr>
              <w:t>Corporate Governance</w:t>
            </w:r>
          </w:p>
        </w:tc>
      </w:tr>
      <w:tr>
        <w:trPr>
          <w:trHeight w:val="116"/>
        </w:trPr>
        <w:tc>
          <w:tcPr>
            <w:tcW w:w="5280" w:type="dxa"/>
            <w:vAlign w:val="bottom"/>
            <w:tcBorders>
              <w:bottom w:val="single" w:sz="8" w:color="798188"/>
            </w:tcBorders>
          </w:tcPr>
          <w:p>
            <w:pPr>
              <w:spacing w:after="0"/>
              <w:rPr>
                <w:sz w:val="10"/>
                <w:szCs w:val="10"/>
                <w:color w:val="auto"/>
              </w:rPr>
            </w:pPr>
          </w:p>
        </w:tc>
        <w:tc>
          <w:tcPr>
            <w:tcW w:w="340" w:type="dxa"/>
            <w:vAlign w:val="bottom"/>
          </w:tcPr>
          <w:p>
            <w:pPr>
              <w:spacing w:after="0"/>
              <w:rPr>
                <w:sz w:val="10"/>
                <w:szCs w:val="10"/>
                <w:color w:val="auto"/>
              </w:rPr>
            </w:pPr>
          </w:p>
        </w:tc>
        <w:tc>
          <w:tcPr>
            <w:tcW w:w="5400" w:type="dxa"/>
            <w:vAlign w:val="bottom"/>
            <w:tcBorders>
              <w:bottom w:val="single" w:sz="8" w:color="798188"/>
            </w:tcBorders>
            <w:gridSpan w:val="2"/>
          </w:tcPr>
          <w:p>
            <w:pPr>
              <w:spacing w:after="0"/>
              <w:rPr>
                <w:sz w:val="10"/>
                <w:szCs w:val="10"/>
                <w:color w:val="auto"/>
              </w:rPr>
            </w:pPr>
          </w:p>
        </w:tc>
      </w:tr>
      <w:tr>
        <w:trPr>
          <w:trHeight w:val="238"/>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Meeting: </w:t>
            </w:r>
            <w:r>
              <w:rPr>
                <w:rFonts w:ascii="Arial" w:cs="Arial" w:eastAsia="Arial" w:hAnsi="Arial"/>
                <w:sz w:val="16"/>
                <w:szCs w:val="16"/>
                <w:color w:val="202E39"/>
              </w:rPr>
              <w:t>Annual Meeting of Stockholders</w:t>
            </w:r>
          </w:p>
        </w:tc>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Lead Independent Director: </w:t>
            </w:r>
            <w:r>
              <w:rPr>
                <w:rFonts w:ascii="Arial" w:cs="Arial" w:eastAsia="Arial" w:hAnsi="Arial"/>
                <w:sz w:val="16"/>
                <w:szCs w:val="16"/>
                <w:color w:val="202E39"/>
              </w:rPr>
              <w:t>Yes</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Date: </w:t>
            </w:r>
            <w:r>
              <w:rPr>
                <w:rFonts w:ascii="Arial" w:cs="Arial" w:eastAsia="Arial" w:hAnsi="Arial"/>
                <w:sz w:val="16"/>
                <w:szCs w:val="16"/>
                <w:color w:val="202E39"/>
              </w:rPr>
              <w:t>Thursday, September 3, 2020</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Directors with Terms Beyond Annual Meeting: </w:t>
            </w:r>
            <w:r>
              <w:rPr>
                <w:rFonts w:ascii="Arial" w:cs="Arial" w:eastAsia="Arial" w:hAnsi="Arial"/>
                <w:sz w:val="16"/>
                <w:szCs w:val="16"/>
                <w:color w:val="202E39"/>
              </w:rPr>
              <w:t>7</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Time: </w:t>
            </w:r>
            <w:r>
              <w:rPr>
                <w:rFonts w:ascii="Arial" w:cs="Arial" w:eastAsia="Arial" w:hAnsi="Arial"/>
                <w:sz w:val="16"/>
                <w:szCs w:val="16"/>
                <w:color w:val="202E39"/>
              </w:rPr>
              <w:t>8:30 a.m. Pacific Time</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Director Nominees: </w:t>
            </w:r>
            <w:r>
              <w:rPr>
                <w:rFonts w:ascii="Arial" w:cs="Arial" w:eastAsia="Arial" w:hAnsi="Arial"/>
                <w:sz w:val="16"/>
                <w:szCs w:val="16"/>
                <w:color w:val="202E39"/>
              </w:rPr>
              <w:t>2</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Location: </w:t>
            </w:r>
            <w:r>
              <w:rPr>
                <w:rFonts w:ascii="Arial" w:cs="Arial" w:eastAsia="Arial" w:hAnsi="Arial"/>
                <w:sz w:val="16"/>
                <w:szCs w:val="16"/>
                <w:color w:val="202E39"/>
              </w:rPr>
              <w:t>Virtual meeting only, accessible at</w:t>
            </w:r>
          </w:p>
        </w:tc>
        <w:tc>
          <w:tcPr>
            <w:tcW w:w="34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Mark Dankberg (CEO)</w:t>
            </w:r>
          </w:p>
        </w:tc>
      </w:tr>
      <w:tr>
        <w:trPr>
          <w:trHeight w:val="169"/>
        </w:trPr>
        <w:tc>
          <w:tcPr>
            <w:tcW w:w="5280" w:type="dxa"/>
            <w:vAlign w:val="bottom"/>
          </w:tcPr>
          <w:p>
            <w:pPr>
              <w:ind w:left="360"/>
              <w:spacing w:after="0" w:line="169" w:lineRule="exact"/>
              <w:rPr>
                <w:sz w:val="20"/>
                <w:szCs w:val="20"/>
                <w:color w:val="auto"/>
              </w:rPr>
            </w:pPr>
            <w:r>
              <w:rPr>
                <w:rFonts w:ascii="Arial" w:cs="Arial" w:eastAsia="Arial" w:hAnsi="Arial"/>
                <w:sz w:val="16"/>
                <w:szCs w:val="16"/>
                <w:color w:val="009FE3"/>
              </w:rPr>
              <w:t>www.virtualshareholdermeeting.com/vsat2020</w:t>
            </w:r>
          </w:p>
        </w:tc>
        <w:tc>
          <w:tcPr>
            <w:tcW w:w="340" w:type="dxa"/>
            <w:vAlign w:val="bottom"/>
          </w:tcPr>
          <w:p>
            <w:pPr>
              <w:spacing w:after="0"/>
              <w:rPr>
                <w:sz w:val="14"/>
                <w:szCs w:val="14"/>
                <w:color w:val="auto"/>
              </w:rPr>
            </w:pPr>
          </w:p>
        </w:tc>
        <w:tc>
          <w:tcPr>
            <w:tcW w:w="340" w:type="dxa"/>
            <w:vAlign w:val="bottom"/>
          </w:tcPr>
          <w:p>
            <w:pPr>
              <w:ind w:left="200"/>
              <w:spacing w:after="0" w:line="169" w:lineRule="exact"/>
              <w:rPr>
                <w:sz w:val="20"/>
                <w:szCs w:val="20"/>
                <w:color w:val="auto"/>
              </w:rPr>
            </w:pPr>
            <w:r>
              <w:rPr>
                <w:rFonts w:ascii="Arial" w:cs="Arial" w:eastAsia="Arial" w:hAnsi="Arial"/>
                <w:sz w:val="16"/>
                <w:szCs w:val="16"/>
                <w:color w:val="009FE3"/>
              </w:rPr>
              <w:t>•</w:t>
            </w:r>
          </w:p>
        </w:tc>
        <w:tc>
          <w:tcPr>
            <w:tcW w:w="5060" w:type="dxa"/>
            <w:vAlign w:val="bottom"/>
          </w:tcPr>
          <w:p>
            <w:pPr>
              <w:ind w:left="60"/>
              <w:spacing w:after="0" w:line="169" w:lineRule="exact"/>
              <w:rPr>
                <w:sz w:val="20"/>
                <w:szCs w:val="20"/>
                <w:color w:val="auto"/>
              </w:rPr>
            </w:pPr>
            <w:r>
              <w:rPr>
                <w:rFonts w:ascii="Arial" w:cs="Arial" w:eastAsia="Arial" w:hAnsi="Arial"/>
                <w:sz w:val="16"/>
                <w:szCs w:val="16"/>
                <w:color w:val="202E39"/>
              </w:rPr>
              <w:t>Varsha Rao (Independent)</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Record Date: </w:t>
            </w:r>
            <w:r>
              <w:rPr>
                <w:rFonts w:ascii="Arial" w:cs="Arial" w:eastAsia="Arial" w:hAnsi="Arial"/>
                <w:sz w:val="16"/>
                <w:szCs w:val="16"/>
                <w:color w:val="202E39"/>
              </w:rPr>
              <w:t>July 10, 2020</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Board Meetings in Fiscal Year 2020: </w:t>
            </w:r>
            <w:r>
              <w:rPr>
                <w:rFonts w:ascii="Arial" w:cs="Arial" w:eastAsia="Arial" w:hAnsi="Arial"/>
                <w:sz w:val="16"/>
                <w:szCs w:val="16"/>
                <w:color w:val="202E39"/>
              </w:rPr>
              <w:t>8</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Stock Symbol: </w:t>
            </w:r>
            <w:r>
              <w:rPr>
                <w:rFonts w:ascii="Arial" w:cs="Arial" w:eastAsia="Arial" w:hAnsi="Arial"/>
                <w:sz w:val="16"/>
                <w:szCs w:val="16"/>
                <w:color w:val="202E39"/>
              </w:rPr>
              <w:t>VSAT</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All Directors Attended at Least 75% of Board and</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Exchange: </w:t>
            </w:r>
            <w:r>
              <w:rPr>
                <w:rFonts w:ascii="Arial" w:cs="Arial" w:eastAsia="Arial" w:hAnsi="Arial"/>
                <w:sz w:val="16"/>
                <w:szCs w:val="16"/>
                <w:color w:val="202E39"/>
              </w:rPr>
              <w:t>The Nasdaq Global Select Market</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b w:val="1"/>
                <w:bCs w:val="1"/>
                <w:color w:val="202E39"/>
              </w:rPr>
              <w:t xml:space="preserve">Committee Meetings: </w:t>
            </w:r>
            <w:r>
              <w:rPr>
                <w:rFonts w:ascii="Arial" w:cs="Arial" w:eastAsia="Arial" w:hAnsi="Arial"/>
                <w:sz w:val="16"/>
                <w:szCs w:val="16"/>
                <w:color w:val="202E39"/>
              </w:rPr>
              <w:t>Yes</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Common Stock Outstanding: </w:t>
            </w:r>
            <w:r>
              <w:rPr>
                <w:rFonts w:ascii="Arial" w:cs="Arial" w:eastAsia="Arial" w:hAnsi="Arial"/>
                <w:sz w:val="16"/>
                <w:szCs w:val="16"/>
                <w:color w:val="202E39"/>
              </w:rPr>
              <w:t>63,026,001 shares on</w:t>
            </w:r>
          </w:p>
        </w:tc>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Board Committees (Fiscal Year 2020 Meetings):</w:t>
            </w:r>
          </w:p>
        </w:tc>
      </w:tr>
      <w:tr>
        <w:trPr>
          <w:trHeight w:val="169"/>
        </w:trPr>
        <w:tc>
          <w:tcPr>
            <w:tcW w:w="5280" w:type="dxa"/>
            <w:vAlign w:val="bottom"/>
          </w:tcPr>
          <w:p>
            <w:pPr>
              <w:ind w:left="160"/>
              <w:spacing w:after="0" w:line="169" w:lineRule="exact"/>
              <w:rPr>
                <w:sz w:val="20"/>
                <w:szCs w:val="20"/>
                <w:color w:val="auto"/>
              </w:rPr>
            </w:pPr>
            <w:r>
              <w:rPr>
                <w:rFonts w:ascii="Arial" w:cs="Arial" w:eastAsia="Arial" w:hAnsi="Arial"/>
                <w:sz w:val="16"/>
                <w:szCs w:val="16"/>
                <w:color w:val="202E39"/>
              </w:rPr>
              <w:t>July 10, 2020</w:t>
            </w:r>
          </w:p>
        </w:tc>
        <w:tc>
          <w:tcPr>
            <w:tcW w:w="340" w:type="dxa"/>
            <w:vAlign w:val="bottom"/>
          </w:tcPr>
          <w:p>
            <w:pPr>
              <w:spacing w:after="0"/>
              <w:rPr>
                <w:sz w:val="14"/>
                <w:szCs w:val="14"/>
                <w:color w:val="auto"/>
              </w:rPr>
            </w:pPr>
          </w:p>
        </w:tc>
        <w:tc>
          <w:tcPr>
            <w:tcW w:w="340" w:type="dxa"/>
            <w:vAlign w:val="bottom"/>
          </w:tcPr>
          <w:p>
            <w:pPr>
              <w:ind w:left="200"/>
              <w:spacing w:after="0" w:line="169" w:lineRule="exact"/>
              <w:rPr>
                <w:sz w:val="20"/>
                <w:szCs w:val="20"/>
                <w:color w:val="auto"/>
              </w:rPr>
            </w:pPr>
            <w:r>
              <w:rPr>
                <w:rFonts w:ascii="Arial" w:cs="Arial" w:eastAsia="Arial" w:hAnsi="Arial"/>
                <w:sz w:val="16"/>
                <w:szCs w:val="16"/>
                <w:color w:val="009FE3"/>
              </w:rPr>
              <w:t>•</w:t>
            </w:r>
          </w:p>
        </w:tc>
        <w:tc>
          <w:tcPr>
            <w:tcW w:w="5060" w:type="dxa"/>
            <w:vAlign w:val="bottom"/>
          </w:tcPr>
          <w:p>
            <w:pPr>
              <w:ind w:left="60"/>
              <w:spacing w:after="0" w:line="169" w:lineRule="exact"/>
              <w:rPr>
                <w:sz w:val="20"/>
                <w:szCs w:val="20"/>
                <w:color w:val="auto"/>
              </w:rPr>
            </w:pPr>
            <w:r>
              <w:rPr>
                <w:rFonts w:ascii="Arial" w:cs="Arial" w:eastAsia="Arial" w:hAnsi="Arial"/>
                <w:sz w:val="16"/>
                <w:szCs w:val="16"/>
                <w:color w:val="202E39"/>
              </w:rPr>
              <w:t>Audit (5)</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Registrar &amp; Transfer Agent: </w:t>
            </w:r>
            <w:r>
              <w:rPr>
                <w:rFonts w:ascii="Arial" w:cs="Arial" w:eastAsia="Arial" w:hAnsi="Arial"/>
                <w:sz w:val="16"/>
                <w:szCs w:val="16"/>
                <w:color w:val="202E39"/>
              </w:rPr>
              <w:t>Computershare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Compensation and Human Resources (9)</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State of Incorporation: </w:t>
            </w:r>
            <w:r>
              <w:rPr>
                <w:rFonts w:ascii="Arial" w:cs="Arial" w:eastAsia="Arial" w:hAnsi="Arial"/>
                <w:sz w:val="16"/>
                <w:szCs w:val="16"/>
                <w:color w:val="202E39"/>
              </w:rPr>
              <w:t>Delaware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Nomination, Evaluation and Corporate Governance (3)</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Public Company Since: </w:t>
            </w:r>
            <w:r>
              <w:rPr>
                <w:rFonts w:ascii="Arial" w:cs="Arial" w:eastAsia="Arial" w:hAnsi="Arial"/>
                <w:sz w:val="16"/>
                <w:szCs w:val="16"/>
                <w:color w:val="202E39"/>
              </w:rPr>
              <w:t>1996</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Banking and Finance (1)</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Headquarters: </w:t>
            </w:r>
            <w:r>
              <w:rPr>
                <w:rFonts w:ascii="Arial" w:cs="Arial" w:eastAsia="Arial" w:hAnsi="Arial"/>
                <w:sz w:val="16"/>
                <w:szCs w:val="16"/>
                <w:color w:val="202E39"/>
              </w:rPr>
              <w:t>6155 El Camino Real, Carlsbad,</w:t>
            </w:r>
          </w:p>
        </w:tc>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Stockholder Rights Plan: </w:t>
            </w:r>
            <w:r>
              <w:rPr>
                <w:rFonts w:ascii="Arial" w:cs="Arial" w:eastAsia="Arial" w:hAnsi="Arial"/>
                <w:sz w:val="16"/>
                <w:szCs w:val="16"/>
                <w:color w:val="202E39"/>
              </w:rPr>
              <w:t>No</w:t>
            </w:r>
          </w:p>
        </w:tc>
      </w:tr>
      <w:tr>
        <w:trPr>
          <w:trHeight w:val="169"/>
        </w:trPr>
        <w:tc>
          <w:tcPr>
            <w:tcW w:w="5280" w:type="dxa"/>
            <w:vAlign w:val="bottom"/>
          </w:tcPr>
          <w:p>
            <w:pPr>
              <w:ind w:left="160"/>
              <w:spacing w:after="0" w:line="169" w:lineRule="exact"/>
              <w:rPr>
                <w:sz w:val="20"/>
                <w:szCs w:val="20"/>
                <w:color w:val="auto"/>
              </w:rPr>
            </w:pPr>
            <w:r>
              <w:rPr>
                <w:rFonts w:ascii="Arial" w:cs="Arial" w:eastAsia="Arial" w:hAnsi="Arial"/>
                <w:sz w:val="16"/>
                <w:szCs w:val="16"/>
                <w:color w:val="202E39"/>
              </w:rPr>
              <w:t>CA 92009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Website: </w:t>
            </w:r>
            <w:r>
              <w:rPr>
                <w:rFonts w:ascii="Arial" w:cs="Arial" w:eastAsia="Arial" w:hAnsi="Arial"/>
                <w:sz w:val="16"/>
                <w:szCs w:val="16"/>
                <w:color w:val="202E39"/>
              </w:rPr>
              <w:t>www.viasat.com</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Investor Relations Website: </w:t>
            </w:r>
            <w:r>
              <w:rPr>
                <w:rFonts w:ascii="Arial" w:cs="Arial" w:eastAsia="Arial" w:hAnsi="Arial"/>
                <w:sz w:val="16"/>
                <w:szCs w:val="16"/>
                <w:color w:val="202E39"/>
              </w:rPr>
              <w:t>investors.viasat.com</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9FE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33604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0420" cy="25400"/>
                    </a:xfrm>
                    <a:prstGeom prst="rect">
                      <a:avLst/>
                    </a:prstGeom>
                    <a:noFill/>
                  </pic:spPr>
                </pic:pic>
              </a:graphicData>
            </a:graphic>
          </wp:anchor>
        </w:drawing>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CEO: </w:t>
      </w:r>
      <w:r>
        <w:rPr>
          <w:rFonts w:ascii="Arial" w:cs="Arial" w:eastAsia="Arial" w:hAnsi="Arial"/>
          <w:sz w:val="16"/>
          <w:szCs w:val="16"/>
          <w:color w:val="202E39"/>
        </w:rPr>
        <w:t>Mark Dankberg (age 65; CEO since 1986)</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Fiscal Year 2020 Summary Compensation:</w:t>
      </w:r>
    </w:p>
    <w:p>
      <w:pPr>
        <w:spacing w:after="0" w:line="5" w:lineRule="exact"/>
        <w:rPr>
          <w:sz w:val="20"/>
          <w:szCs w:val="20"/>
          <w:color w:val="auto"/>
        </w:rPr>
      </w:pPr>
    </w:p>
    <w:p>
      <w:pPr>
        <w:ind w:left="520" w:hanging="188"/>
        <w:spacing w:after="0" w:line="246" w:lineRule="auto"/>
        <w:tabs>
          <w:tab w:leader="none" w:pos="52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Total Compensation: $11,768,446 (see full discussion in Executive Compensation section on p. 29)</w:t>
      </w:r>
    </w:p>
    <w:p>
      <w:pPr>
        <w:ind w:left="780" w:hanging="259"/>
        <w:spacing w:after="0"/>
        <w:tabs>
          <w:tab w:leader="none" w:pos="780" w:val="left"/>
        </w:tabs>
        <w:numPr>
          <w:ilvl w:val="1"/>
          <w:numId w:val="9"/>
        </w:numPr>
        <w:rPr>
          <w:rFonts w:ascii="Arial" w:cs="Arial" w:eastAsia="Arial" w:hAnsi="Arial"/>
          <w:sz w:val="16"/>
          <w:szCs w:val="16"/>
          <w:color w:val="202E39"/>
        </w:rPr>
      </w:pPr>
      <w:r>
        <w:rPr>
          <w:rFonts w:ascii="Arial" w:cs="Arial" w:eastAsia="Arial" w:hAnsi="Arial"/>
          <w:sz w:val="16"/>
          <w:szCs w:val="16"/>
          <w:color w:val="202E39"/>
        </w:rPr>
        <w:t>Salary: $1,300,000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9"/>
        </w:numPr>
        <w:rPr>
          <w:rFonts w:ascii="Arial" w:cs="Arial" w:eastAsia="Arial" w:hAnsi="Arial"/>
          <w:sz w:val="16"/>
          <w:szCs w:val="16"/>
          <w:color w:val="202E39"/>
        </w:rPr>
      </w:pPr>
      <w:r>
        <w:rPr>
          <w:rFonts w:ascii="Arial" w:cs="Arial" w:eastAsia="Arial" w:hAnsi="Arial"/>
          <w:sz w:val="16"/>
          <w:szCs w:val="16"/>
          <w:color w:val="202E39"/>
        </w:rPr>
        <w:t>Annual Performance Cash Incentive: $1,700,000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9"/>
        </w:numPr>
        <w:rPr>
          <w:rFonts w:ascii="Arial" w:cs="Arial" w:eastAsia="Arial" w:hAnsi="Arial"/>
          <w:sz w:val="16"/>
          <w:szCs w:val="16"/>
          <w:color w:val="202E39"/>
        </w:rPr>
      </w:pPr>
      <w:r>
        <w:rPr>
          <w:rFonts w:ascii="Arial" w:cs="Arial" w:eastAsia="Arial" w:hAnsi="Arial"/>
          <w:sz w:val="16"/>
          <w:szCs w:val="16"/>
          <w:color w:val="202E39"/>
        </w:rPr>
        <w:t>Long-Term Equity Incentives: $8,750,656</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9"/>
        </w:numPr>
        <w:rPr>
          <w:rFonts w:ascii="Arial" w:cs="Arial" w:eastAsia="Arial" w:hAnsi="Arial"/>
          <w:sz w:val="16"/>
          <w:szCs w:val="16"/>
          <w:color w:val="202E39"/>
        </w:rPr>
      </w:pPr>
      <w:r>
        <w:rPr>
          <w:rFonts w:ascii="Arial" w:cs="Arial" w:eastAsia="Arial" w:hAnsi="Arial"/>
          <w:sz w:val="16"/>
          <w:szCs w:val="16"/>
          <w:color w:val="202E39"/>
        </w:rPr>
        <w:t>All Other Compensation: $17,790</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CEO Employment Agreement: </w:t>
      </w:r>
      <w:r>
        <w:rPr>
          <w:rFonts w:ascii="Arial" w:cs="Arial" w:eastAsia="Arial" w:hAnsi="Arial"/>
          <w:sz w:val="16"/>
          <w:szCs w:val="16"/>
          <w:color w:val="202E39"/>
        </w:rPr>
        <w:t>No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Change-in-Control Agreement: </w:t>
      </w:r>
      <w:r>
        <w:rPr>
          <w:rFonts w:ascii="Arial" w:cs="Arial" w:eastAsia="Arial" w:hAnsi="Arial"/>
          <w:sz w:val="16"/>
          <w:szCs w:val="16"/>
          <w:color w:val="202E39"/>
        </w:rPr>
        <w:t>Yes, double trigger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Stock Ownership Guidelines: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Anti-Hedging and Pledging Policy: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Clawback Policy: </w:t>
      </w:r>
      <w:r>
        <w:rPr>
          <w:rFonts w:ascii="Arial" w:cs="Arial" w:eastAsia="Arial" w:hAnsi="Arial"/>
          <w:sz w:val="16"/>
          <w:szCs w:val="16"/>
          <w:color w:val="202E39"/>
        </w:rPr>
        <w:t>Yes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
        <w:spacing w:after="0"/>
        <w:rPr>
          <w:sz w:val="20"/>
          <w:szCs w:val="20"/>
          <w:color w:val="auto"/>
        </w:rPr>
      </w:pPr>
      <w:r>
        <w:rPr>
          <w:rFonts w:ascii="Arial" w:cs="Arial" w:eastAsia="Arial" w:hAnsi="Arial"/>
          <w:sz w:val="27"/>
          <w:szCs w:val="27"/>
          <w:b w:val="1"/>
          <w:bCs w:val="1"/>
          <w:color w:val="009FE3"/>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34290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0" cy="25400"/>
                    </a:xfrm>
                    <a:prstGeom prst="rect">
                      <a:avLst/>
                    </a:prstGeom>
                    <a:noFill/>
                  </pic:spPr>
                </pic:pic>
              </a:graphicData>
            </a:graphic>
          </wp:anchor>
        </w:drawing>
      </w:r>
    </w:p>
    <w:p>
      <w:pPr>
        <w:spacing w:after="0" w:line="254" w:lineRule="exact"/>
        <w:rPr>
          <w:sz w:val="20"/>
          <w:szCs w:val="20"/>
          <w:color w:val="auto"/>
        </w:rPr>
      </w:pPr>
    </w:p>
    <w:p>
      <w:pPr>
        <w:ind w:left="326" w:hanging="326"/>
        <w:spacing w:after="0"/>
        <w:tabs>
          <w:tab w:leader="none" w:pos="326" w:val="left"/>
        </w:tabs>
        <w:numPr>
          <w:ilvl w:val="0"/>
          <w:numId w:val="10"/>
        </w:numPr>
        <w:rPr>
          <w:rFonts w:ascii="Arial" w:cs="Arial" w:eastAsia="Arial" w:hAnsi="Arial"/>
          <w:sz w:val="16"/>
          <w:szCs w:val="16"/>
          <w:b w:val="1"/>
          <w:bCs w:val="1"/>
          <w:color w:val="202E39"/>
        </w:rPr>
      </w:pPr>
      <w:r>
        <w:rPr>
          <w:rFonts w:ascii="Arial" w:cs="Arial" w:eastAsia="Arial" w:hAnsi="Arial"/>
          <w:sz w:val="16"/>
          <w:szCs w:val="16"/>
          <w:b w:val="1"/>
          <w:bCs w:val="1"/>
          <w:color w:val="202E39"/>
        </w:rPr>
        <w:t>The election of Mark Dankberg and Varsha Rao as directors</w:t>
      </w:r>
    </w:p>
    <w:p>
      <w:pPr>
        <w:spacing w:after="0" w:line="2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10"/>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right="420" w:hanging="326"/>
        <w:spacing w:after="0" w:line="246" w:lineRule="auto"/>
        <w:tabs>
          <w:tab w:leader="none" w:pos="326" w:val="left"/>
        </w:tabs>
        <w:numPr>
          <w:ilvl w:val="0"/>
          <w:numId w:val="10"/>
        </w:numPr>
        <w:rPr>
          <w:rFonts w:ascii="Arial" w:cs="Arial" w:eastAsia="Arial" w:hAnsi="Arial"/>
          <w:sz w:val="16"/>
          <w:szCs w:val="16"/>
          <w:b w:val="1"/>
          <w:bCs w:val="1"/>
          <w:color w:val="202E39"/>
        </w:rPr>
      </w:pPr>
      <w:r>
        <w:rPr>
          <w:rFonts w:ascii="Arial" w:cs="Arial" w:eastAsia="Arial" w:hAnsi="Arial"/>
          <w:sz w:val="16"/>
          <w:szCs w:val="16"/>
          <w:b w:val="1"/>
          <w:bCs w:val="1"/>
          <w:color w:val="202E39"/>
        </w:rPr>
        <w:t>Ratification of appointment of independent registered public accounting firm</w:t>
      </w:r>
    </w:p>
    <w:p>
      <w:pPr>
        <w:ind w:left="586" w:hanging="195"/>
        <w:spacing w:after="0"/>
        <w:tabs>
          <w:tab w:leader="none" w:pos="586" w:val="left"/>
        </w:tabs>
        <w:numPr>
          <w:ilvl w:val="1"/>
          <w:numId w:val="10"/>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10"/>
        </w:numPr>
        <w:rPr>
          <w:rFonts w:ascii="Arial" w:cs="Arial" w:eastAsia="Arial" w:hAnsi="Arial"/>
          <w:sz w:val="16"/>
          <w:szCs w:val="16"/>
          <w:b w:val="1"/>
          <w:bCs w:val="1"/>
          <w:color w:val="202E39"/>
        </w:rPr>
      </w:pPr>
      <w:r>
        <w:rPr>
          <w:rFonts w:ascii="Arial" w:cs="Arial" w:eastAsia="Arial" w:hAnsi="Arial"/>
          <w:sz w:val="16"/>
          <w:szCs w:val="16"/>
          <w:b w:val="1"/>
          <w:bCs w:val="1"/>
          <w:color w:val="202E39"/>
        </w:rPr>
        <w:t>Advisory vote to approve executive officer compensation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10"/>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10"/>
        </w:numPr>
        <w:rPr>
          <w:rFonts w:ascii="Arial" w:cs="Arial" w:eastAsia="Arial" w:hAnsi="Arial"/>
          <w:sz w:val="16"/>
          <w:szCs w:val="16"/>
          <w:b w:val="1"/>
          <w:bCs w:val="1"/>
          <w:color w:val="202E39"/>
        </w:rPr>
      </w:pPr>
      <w:r>
        <w:rPr>
          <w:rFonts w:ascii="Arial" w:cs="Arial" w:eastAsia="Arial" w:hAnsi="Arial"/>
          <w:sz w:val="16"/>
          <w:szCs w:val="16"/>
          <w:b w:val="1"/>
          <w:bCs w:val="1"/>
          <w:color w:val="202E39"/>
        </w:rPr>
        <w:t>Amendment and restatement of 1996 Equity Participation Plan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10"/>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346"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5</w:t>
            </w:r>
          </w:p>
        </w:tc>
      </w:tr>
    </w:tbl>
    <w:p>
      <w:pPr>
        <w:sectPr>
          <w:pgSz w:w="11900" w:h="16838" w:orient="portrait"/>
          <w:cols w:equalWidth="0" w:num="2">
            <w:col w:w="5280" w:space="454"/>
            <w:col w:w="5406"/>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120" w:right="1600"/>
        <w:spacing w:after="0" w:line="254" w:lineRule="auto"/>
        <w:rPr>
          <w:sz w:val="20"/>
          <w:szCs w:val="20"/>
          <w:color w:val="auto"/>
        </w:rPr>
      </w:pPr>
      <w:r>
        <w:rPr>
          <w:rFonts w:ascii="Arial" w:cs="Arial" w:eastAsia="Arial" w:hAnsi="Arial"/>
          <w:sz w:val="36"/>
          <w:szCs w:val="36"/>
          <w:color w:val="009FE3"/>
        </w:rPr>
        <w:t>CORPORATE GOVERNANCE PRINCIPLES AND BOARD MATTERS</w:t>
      </w:r>
    </w:p>
    <w:p>
      <w:pPr>
        <w:spacing w:after="0" w:line="180"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Responsibilities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Primary Responsibilities</w:t>
      </w:r>
    </w:p>
    <w:p>
      <w:pPr>
        <w:spacing w:after="0" w:line="12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of Directors is also responsible for overseeing Viasat’s Chief Executive Officer and other senior management in the competent and ethical operation of the company on a day-to-day basis. To satisfy its duties, directors are expected to take a proactive, focused approach to their position, and set standards to ensure that the company is committed to business success by maintaining the highest standards of responsibility and ethics.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Risk Oversight</w:t>
      </w:r>
    </w:p>
    <w:p>
      <w:pPr>
        <w:spacing w:after="0" w:line="124"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617220"/>
                    </a:xfrm>
                    <a:prstGeom prst="rect">
                      <a:avLst/>
                    </a:prstGeom>
                    <a:noFill/>
                  </pic:spPr>
                </pic:pic>
              </a:graphicData>
            </a:graphic>
          </wp:anchor>
        </w:drawing>
      </w:r>
    </w:p>
    <w:p>
      <w:pPr>
        <w:spacing w:after="0" w:line="46" w:lineRule="exact"/>
        <w:rPr>
          <w:sz w:val="20"/>
          <w:szCs w:val="20"/>
          <w:color w:val="auto"/>
        </w:rPr>
      </w:pPr>
    </w:p>
    <w:p>
      <w:pPr>
        <w:ind w:left="180" w:right="60"/>
        <w:spacing w:after="0" w:line="248"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jc w:val="center"/>
        <w:ind w:right="-379"/>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145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45732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6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009FE3"/>
        </w:rPr>
        <w:t xml:space="preserve">The Audit Committee is responsible for </w:t>
      </w:r>
      <w:r>
        <w:rPr>
          <w:rFonts w:ascii="Arial" w:cs="Arial" w:eastAsia="Arial" w:hAnsi="Arial"/>
          <w:sz w:val="16"/>
          <w:szCs w:val="16"/>
          <w:color w:val="202E39"/>
        </w:rPr>
        <w:t>reviewing the professional</w:t>
      </w:r>
      <w:r>
        <w:rPr>
          <w:rFonts w:ascii="Arial" w:cs="Arial" w:eastAsia="Arial" w:hAnsi="Arial"/>
          <w:sz w:val="16"/>
          <w:szCs w:val="16"/>
          <w:color w:val="009FE3"/>
        </w:rPr>
        <w:t xml:space="preserve"> </w:t>
      </w:r>
      <w:r>
        <w:rPr>
          <w:rFonts w:ascii="Arial" w:cs="Arial" w:eastAsia="Arial" w:hAnsi="Arial"/>
          <w:sz w:val="16"/>
          <w:szCs w:val="16"/>
          <w:color w:val="202E39"/>
        </w:rPr>
        <w:t>services provided by our independent registered public accounting firm, the independence of such independent registered public accounting firm from our management, and our annual and quarterly financial statements.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6"/>
          <w:szCs w:val="16"/>
          <w:color w:val="009FE3"/>
        </w:rPr>
        <w:t xml:space="preserve">The Compensation and Human Resources Committee is responsible for </w:t>
      </w:r>
      <w:r>
        <w:rPr>
          <w:rFonts w:ascii="Arial" w:cs="Arial" w:eastAsia="Arial" w:hAnsi="Arial"/>
          <w:sz w:val="16"/>
          <w:szCs w:val="16"/>
          <w:color w:val="202E39"/>
        </w:rPr>
        <w:t>designing and</w:t>
      </w:r>
      <w:r>
        <w:rPr>
          <w:rFonts w:ascii="Arial" w:cs="Arial" w:eastAsia="Arial" w:hAnsi="Arial"/>
          <w:sz w:val="16"/>
          <w:szCs w:val="16"/>
          <w:color w:val="009FE3"/>
        </w:rPr>
        <w:t xml:space="preserve"> </w:t>
      </w:r>
      <w:r>
        <w:rPr>
          <w:rFonts w:ascii="Arial" w:cs="Arial" w:eastAsia="Arial" w:hAnsi="Arial"/>
          <w:sz w:val="16"/>
          <w:szCs w:val="16"/>
          <w:color w:val="202E39"/>
        </w:rPr>
        <w:t>evaluating Viasat’s compensation plans, policies and programs, including the compensation of our executive officers.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009FE3"/>
        </w:rPr>
        <w:t xml:space="preserve">The Nomination, Evaluation and Corporate Governance Committee is responsible for </w:t>
      </w:r>
      <w:r>
        <w:rPr>
          <w:rFonts w:ascii="Arial" w:cs="Arial" w:eastAsia="Arial" w:hAnsi="Arial"/>
          <w:sz w:val="16"/>
          <w:szCs w:val="16"/>
          <w:color w:val="202E39"/>
        </w:rPr>
        <w:t>developing and</w:t>
      </w:r>
      <w:r>
        <w:rPr>
          <w:rFonts w:ascii="Arial" w:cs="Arial" w:eastAsia="Arial" w:hAnsi="Arial"/>
          <w:sz w:val="16"/>
          <w:szCs w:val="16"/>
          <w:color w:val="009FE3"/>
        </w:rPr>
        <w:t xml:space="preserve"> </w:t>
      </w:r>
      <w:r>
        <w:rPr>
          <w:rFonts w:ascii="Arial" w:cs="Arial" w:eastAsia="Arial" w:hAnsi="Arial"/>
          <w:sz w:val="16"/>
          <w:szCs w:val="16"/>
          <w:color w:val="202E39"/>
        </w:rPr>
        <w:t>recommending to the Board a set of corporate governance guidelines and principles, providing oversight of the process for the self-assessment by the Board and each of its committees, and reviewing and recommending nominees for election as directors and committee members.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17780</wp:posOffset>
            </wp:positionV>
            <wp:extent cx="699516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47" w:lineRule="auto"/>
        <w:rPr>
          <w:sz w:val="20"/>
          <w:szCs w:val="20"/>
          <w:color w:val="auto"/>
        </w:rPr>
      </w:pPr>
      <w:r>
        <w:rPr>
          <w:rFonts w:ascii="Arial" w:cs="Arial" w:eastAsia="Arial" w:hAnsi="Arial"/>
          <w:sz w:val="16"/>
          <w:szCs w:val="16"/>
          <w:color w:val="009FE3"/>
        </w:rPr>
        <w:t xml:space="preserve">The Banking and Finance Committee is responsible for </w:t>
      </w:r>
      <w:r>
        <w:rPr>
          <w:rFonts w:ascii="Arial" w:cs="Arial" w:eastAsia="Arial" w:hAnsi="Arial"/>
          <w:sz w:val="16"/>
          <w:szCs w:val="16"/>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p>
      <w:pPr>
        <w:spacing w:after="0" w:line="366" w:lineRule="exact"/>
        <w:rPr>
          <w:sz w:val="20"/>
          <w:szCs w:val="20"/>
          <w:color w:val="auto"/>
        </w:rPr>
      </w:pPr>
    </w:p>
    <w:p>
      <w:pPr>
        <w:sectPr>
          <w:pgSz w:w="11900" w:h="16838" w:orient="portrait"/>
          <w:cols w:equalWidth="0" w:num="4">
            <w:col w:w="2820" w:space="180"/>
            <w:col w:w="2420" w:space="160"/>
            <w:col w:w="2880" w:space="140"/>
            <w:col w:w="250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46" w:lineRule="exact"/>
        <w:rPr>
          <w:sz w:val="20"/>
          <w:szCs w:val="20"/>
          <w:color w:val="auto"/>
        </w:rPr>
      </w:pPr>
    </w:p>
    <w:p>
      <w:pPr>
        <w:ind w:left="180" w:right="540"/>
        <w:spacing w:after="0" w:line="260"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88265</wp:posOffset>
            </wp:positionV>
            <wp:extent cx="4286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w:t>
      </w:r>
    </w:p>
    <w:p>
      <w:pPr>
        <w:sectPr>
          <w:pgSz w:w="11900" w:h="16838" w:orient="portrait"/>
          <w:cols w:equalWidth="0" w:num="1">
            <w:col w:w="11100"/>
          </w:cols>
          <w:pgMar w:left="320" w:top="459" w:right="4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08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Leadership and Independence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Leadership and Independence</w:t>
      </w:r>
    </w:p>
    <w:p>
      <w:pPr>
        <w:spacing w:after="0" w:line="125"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b w:val="1"/>
          <w:bCs w:val="1"/>
          <w:i w:val="1"/>
          <w:iCs w:val="1"/>
          <w:color w:val="009FE3"/>
        </w:rPr>
        <w:t xml:space="preserve">Enhanced Board Leadership Structure. </w:t>
      </w:r>
      <w:r>
        <w:rPr>
          <w:rFonts w:ascii="Arial" w:cs="Arial" w:eastAsia="Arial" w:hAnsi="Arial"/>
          <w:sz w:val="16"/>
          <w:szCs w:val="16"/>
          <w:color w:val="202E39"/>
        </w:rPr>
        <w:t>The Board leadership structure is currently comprised of (1) a combined Chairman of the Board and Chief</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Executive Officer and (2) a Lead Independent Director. Mark Dankberg, our Chief Executive Officer, serves as the Chairman of the Board. In February 2019, Sean Pak was appointed by the Board to the position of Lead Independent Director. The role of Lead Independent Director provides strong independent leadership for the Board and a balance to our combined Chairman and Chief Executive Officer structure. The Lead Independent Director’s responsibilities include presiding over all meetings of the Board at which the Chairman is not present, calling meetings of independent directors and functioning as a liaison with the Chairman. Mr. Pak is an active and engaged director, who is well positioned to work collaboratively with Mr. Dankberg, while providing strong independent oversight over the Board.</w:t>
      </w:r>
    </w:p>
    <w:p>
      <w:pPr>
        <w:spacing w:after="0" w:line="93"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The Board regularly evaluates its leadership structure, and currently believes that the use of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of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Coupled with a Lead Independent Director, this leadership structure allows the Board to exercise independent oversight while enabling the Board to have direct access to information related to the day-to-day management of Viasat’s business operations. Moreover, we believe that the combined Chairman and Chief Executive Officer role is appropriately counterbalanced and enhanced by sound corporate governance principles, the leadership of the Lead Independent Director, the effective oversight of management by non-employee directors and the strength of Viasat’s independent directors.</w:t>
      </w:r>
    </w:p>
    <w:p>
      <w:pPr>
        <w:spacing w:after="0" w:line="77"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009FE3"/>
        </w:rPr>
        <w:t xml:space="preserve">Majority Independent Board. </w:t>
      </w:r>
      <w:r>
        <w:rPr>
          <w:rFonts w:ascii="Arial" w:cs="Arial" w:eastAsia="Arial" w:hAnsi="Arial"/>
          <w:sz w:val="16"/>
          <w:szCs w:val="16"/>
          <w:color w:val="202E39"/>
        </w:rPr>
        <w:t>The criteria established by The Nasdaq Stock Market, or Nasdaq, for director independence include various objective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9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 Dankberg and Richard Baldridge, who do not qualify as independent because they are Viasat 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95" w:lineRule="exact"/>
        <w:rPr>
          <w:sz w:val="20"/>
          <w:szCs w:val="20"/>
          <w:color w:val="auto"/>
        </w:rPr>
      </w:pPr>
    </w:p>
    <w:p>
      <w:pPr>
        <w:ind w:left="120" w:right="420"/>
        <w:spacing w:after="0" w:line="251" w:lineRule="auto"/>
        <w:rPr>
          <w:sz w:val="20"/>
          <w:szCs w:val="20"/>
          <w:color w:val="auto"/>
        </w:rPr>
      </w:pPr>
      <w:r>
        <w:rPr>
          <w:rFonts w:ascii="Arial" w:cs="Arial" w:eastAsia="Arial" w:hAnsi="Arial"/>
          <w:sz w:val="16"/>
          <w:szCs w:val="16"/>
          <w:color w:val="202E39"/>
        </w:rPr>
        <w:t>As a result of this evaluation, the Board of Directors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2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7</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Committee Composition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Committee Composition</w:t>
      </w:r>
    </w:p>
    <w:p>
      <w:pPr>
        <w:spacing w:after="0" w:line="145"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As of the date of this proxy statement, our Board of Directors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During our fiscal year ended March 31, 2020, the Board held eight meetings. During this period, all of the directors attended or participated in at least 75% of the aggregate of the total number of meetings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Eight of our directors attended last year’s annual meeting of stockholders.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300" w:type="dxa"/>
            <w:vAlign w:val="bottom"/>
            <w:tcBorders>
              <w:top w:val="single" w:sz="8" w:color="E8EAEB"/>
              <w:right w:val="single" w:sz="8" w:color="E8EAEB"/>
            </w:tcBorders>
          </w:tcPr>
          <w:p>
            <w:pPr>
              <w:spacing w:after="0"/>
              <w:rPr>
                <w:sz w:val="17"/>
                <w:szCs w:val="17"/>
                <w:color w:val="auto"/>
              </w:rPr>
            </w:pPr>
          </w:p>
        </w:tc>
        <w:tc>
          <w:tcPr>
            <w:tcW w:w="1720" w:type="dxa"/>
            <w:vAlign w:val="bottom"/>
            <w:tcBorders>
              <w:top w:val="single" w:sz="8" w:color="E8EAEB"/>
              <w:right w:val="single" w:sz="8" w:color="E8EAEB"/>
            </w:tcBorders>
          </w:tcPr>
          <w:p>
            <w:pPr>
              <w:spacing w:after="0"/>
              <w:rPr>
                <w:sz w:val="17"/>
                <w:szCs w:val="17"/>
                <w:color w:val="auto"/>
              </w:rPr>
            </w:pPr>
          </w:p>
        </w:tc>
        <w:tc>
          <w:tcPr>
            <w:tcW w:w="1860" w:type="dxa"/>
            <w:vAlign w:val="bottom"/>
            <w:tcBorders>
              <w:top w:val="single" w:sz="8" w:color="E8EAEB"/>
              <w:right w:val="single" w:sz="8" w:color="E8EAEB"/>
            </w:tcBorders>
          </w:tcPr>
          <w:p>
            <w:pPr>
              <w:spacing w:after="0"/>
              <w:rPr>
                <w:sz w:val="17"/>
                <w:szCs w:val="17"/>
                <w:color w:val="auto"/>
              </w:rPr>
            </w:pPr>
          </w:p>
        </w:tc>
        <w:tc>
          <w:tcPr>
            <w:tcW w:w="2120" w:type="dxa"/>
            <w:vAlign w:val="bottom"/>
            <w:tcBorders>
              <w:top w:val="single" w:sz="8" w:color="E8EAEB"/>
              <w:right w:val="single" w:sz="8" w:color="E8EAEB"/>
            </w:tcBorders>
          </w:tcPr>
          <w:p>
            <w:pPr>
              <w:jc w:val="center"/>
              <w:ind w:left="444"/>
              <w:spacing w:after="0"/>
              <w:rPr>
                <w:sz w:val="20"/>
                <w:szCs w:val="20"/>
                <w:color w:val="auto"/>
              </w:rPr>
            </w:pPr>
            <w:r>
              <w:rPr>
                <w:rFonts w:ascii="Arial" w:cs="Arial" w:eastAsia="Arial" w:hAnsi="Arial"/>
                <w:sz w:val="14"/>
                <w:szCs w:val="14"/>
                <w:b w:val="1"/>
                <w:bCs w:val="1"/>
                <w:color w:val="009FE3"/>
              </w:rPr>
              <w:t>Nomination,</w:t>
            </w:r>
          </w:p>
        </w:tc>
        <w:tc>
          <w:tcPr>
            <w:tcW w:w="2020" w:type="dxa"/>
            <w:vAlign w:val="bottom"/>
            <w:tcBorders>
              <w:top w:val="single" w:sz="8" w:color="E8EAEB"/>
            </w:tcBorders>
          </w:tcPr>
          <w:p>
            <w:pPr>
              <w:spacing w:after="0"/>
              <w:rPr>
                <w:sz w:val="17"/>
                <w:szCs w:val="17"/>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Compensation and</w:t>
            </w:r>
          </w:p>
        </w:tc>
        <w:tc>
          <w:tcPr>
            <w:tcW w:w="2120" w:type="dxa"/>
            <w:vAlign w:val="bottom"/>
            <w:tcBorders>
              <w:right w:val="single" w:sz="8" w:color="E8EAEB"/>
            </w:tcBorders>
          </w:tcPr>
          <w:p>
            <w:pPr>
              <w:jc w:val="center"/>
              <w:ind w:left="464"/>
              <w:spacing w:after="0"/>
              <w:rPr>
                <w:sz w:val="20"/>
                <w:szCs w:val="20"/>
                <w:color w:val="auto"/>
              </w:rPr>
            </w:pPr>
            <w:r>
              <w:rPr>
                <w:rFonts w:ascii="Arial" w:cs="Arial" w:eastAsia="Arial" w:hAnsi="Arial"/>
                <w:sz w:val="14"/>
                <w:szCs w:val="14"/>
                <w:b w:val="1"/>
                <w:bCs w:val="1"/>
                <w:color w:val="009FE3"/>
              </w:rPr>
              <w:t>Evaluation and</w:t>
            </w:r>
          </w:p>
        </w:tc>
        <w:tc>
          <w:tcPr>
            <w:tcW w:w="20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Human Resources</w:t>
            </w:r>
          </w:p>
        </w:tc>
        <w:tc>
          <w:tcPr>
            <w:tcW w:w="2120" w:type="dxa"/>
            <w:vAlign w:val="bottom"/>
            <w:tcBorders>
              <w:right w:val="single" w:sz="8" w:color="E8EAEB"/>
            </w:tcBorders>
          </w:tcPr>
          <w:p>
            <w:pPr>
              <w:jc w:val="center"/>
              <w:ind w:left="444"/>
              <w:spacing w:after="0"/>
              <w:rPr>
                <w:sz w:val="20"/>
                <w:szCs w:val="20"/>
                <w:color w:val="auto"/>
              </w:rPr>
            </w:pPr>
            <w:r>
              <w:rPr>
                <w:rFonts w:ascii="Arial" w:cs="Arial" w:eastAsia="Arial" w:hAnsi="Arial"/>
                <w:sz w:val="14"/>
                <w:szCs w:val="14"/>
                <w:b w:val="1"/>
                <w:bCs w:val="1"/>
                <w:color w:val="009FE3"/>
              </w:rPr>
              <w:t>Corporate Governance</w:t>
            </w:r>
          </w:p>
        </w:tc>
        <w:tc>
          <w:tcPr>
            <w:tcW w:w="2020" w:type="dxa"/>
            <w:vAlign w:val="bottom"/>
          </w:tcPr>
          <w:p>
            <w:pPr>
              <w:jc w:val="center"/>
              <w:ind w:left="462"/>
              <w:spacing w:after="0"/>
              <w:rPr>
                <w:sz w:val="20"/>
                <w:szCs w:val="20"/>
                <w:color w:val="auto"/>
              </w:rPr>
            </w:pPr>
            <w:r>
              <w:rPr>
                <w:rFonts w:ascii="Arial" w:cs="Arial" w:eastAsia="Arial" w:hAnsi="Arial"/>
                <w:sz w:val="14"/>
                <w:szCs w:val="14"/>
                <w:b w:val="1"/>
                <w:bCs w:val="1"/>
                <w:color w:val="009FE3"/>
              </w:rPr>
              <w:t>Banking and Finance</w:t>
            </w:r>
          </w:p>
        </w:tc>
      </w:tr>
      <w:tr>
        <w:trPr>
          <w:trHeight w:val="196"/>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Director</w:t>
            </w:r>
          </w:p>
        </w:tc>
        <w:tc>
          <w:tcPr>
            <w:tcW w:w="1720" w:type="dxa"/>
            <w:vAlign w:val="bottom"/>
            <w:tcBorders>
              <w:bottom w:val="single" w:sz="8" w:color="009FE3"/>
              <w:right w:val="single" w:sz="8" w:color="E8EAEB"/>
            </w:tcBorders>
          </w:tcPr>
          <w:p>
            <w:pPr>
              <w:jc w:val="center"/>
              <w:ind w:left="441"/>
              <w:spacing w:after="0"/>
              <w:rPr>
                <w:sz w:val="20"/>
                <w:szCs w:val="20"/>
                <w:color w:val="auto"/>
              </w:rPr>
            </w:pPr>
            <w:r>
              <w:rPr>
                <w:rFonts w:ascii="Arial" w:cs="Arial" w:eastAsia="Arial" w:hAnsi="Arial"/>
                <w:sz w:val="14"/>
                <w:szCs w:val="14"/>
                <w:b w:val="1"/>
                <w:bCs w:val="1"/>
                <w:color w:val="009FE3"/>
              </w:rPr>
              <w:t>Audit Committee</w:t>
            </w:r>
          </w:p>
        </w:tc>
        <w:tc>
          <w:tcPr>
            <w:tcW w:w="186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Committee</w:t>
            </w:r>
          </w:p>
        </w:tc>
        <w:tc>
          <w:tcPr>
            <w:tcW w:w="2120" w:type="dxa"/>
            <w:vAlign w:val="bottom"/>
            <w:tcBorders>
              <w:bottom w:val="single" w:sz="8" w:color="009FE3"/>
              <w:right w:val="single" w:sz="8" w:color="E8EAEB"/>
            </w:tcBorders>
          </w:tcPr>
          <w:p>
            <w:pPr>
              <w:jc w:val="center"/>
              <w:ind w:left="464"/>
              <w:spacing w:after="0"/>
              <w:rPr>
                <w:sz w:val="20"/>
                <w:szCs w:val="20"/>
                <w:color w:val="auto"/>
              </w:rPr>
            </w:pPr>
            <w:r>
              <w:rPr>
                <w:rFonts w:ascii="Arial" w:cs="Arial" w:eastAsia="Arial" w:hAnsi="Arial"/>
                <w:sz w:val="14"/>
                <w:szCs w:val="14"/>
                <w:b w:val="1"/>
                <w:bCs w:val="1"/>
                <w:color w:val="009FE3"/>
              </w:rPr>
              <w:t>Committee</w:t>
            </w:r>
          </w:p>
        </w:tc>
        <w:tc>
          <w:tcPr>
            <w:tcW w:w="2020" w:type="dxa"/>
            <w:vAlign w:val="bottom"/>
            <w:tcBorders>
              <w:bottom w:val="single" w:sz="8" w:color="009FE3"/>
            </w:tcBorders>
          </w:tcPr>
          <w:p>
            <w:pPr>
              <w:jc w:val="center"/>
              <w:ind w:left="482"/>
              <w:spacing w:after="0"/>
              <w:rPr>
                <w:sz w:val="20"/>
                <w:szCs w:val="20"/>
                <w:color w:val="auto"/>
              </w:rPr>
            </w:pPr>
            <w:r>
              <w:rPr>
                <w:rFonts w:ascii="Arial" w:cs="Arial" w:eastAsia="Arial" w:hAnsi="Arial"/>
                <w:sz w:val="14"/>
                <w:szCs w:val="14"/>
                <w:b w:val="1"/>
                <w:bCs w:val="1"/>
                <w:color w:val="009FE3"/>
              </w:rPr>
              <w:t>Committee</w:t>
            </w:r>
          </w:p>
        </w:tc>
      </w:tr>
      <w:tr>
        <w:trPr>
          <w:trHeight w:val="253"/>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20" w:type="dxa"/>
            <w:vAlign w:val="bottom"/>
            <w:tcBorders>
              <w:bottom w:val="single" w:sz="8" w:color="E8EAEB"/>
              <w:right w:val="single" w:sz="8" w:color="E8EAEB"/>
            </w:tcBorders>
          </w:tcPr>
          <w:p>
            <w:pPr>
              <w:spacing w:after="0"/>
              <w:rPr>
                <w:sz w:val="22"/>
                <w:szCs w:val="22"/>
                <w:color w:val="auto"/>
              </w:rPr>
            </w:pPr>
          </w:p>
        </w:tc>
        <w:tc>
          <w:tcPr>
            <w:tcW w:w="1860" w:type="dxa"/>
            <w:vAlign w:val="bottom"/>
            <w:tcBorders>
              <w:bottom w:val="single" w:sz="8" w:color="E8EAEB"/>
              <w:right w:val="single" w:sz="8" w:color="E8EAEB"/>
            </w:tcBorders>
          </w:tcPr>
          <w:p>
            <w:pPr>
              <w:spacing w:after="0"/>
              <w:rPr>
                <w:sz w:val="22"/>
                <w:szCs w:val="22"/>
                <w:color w:val="auto"/>
              </w:rPr>
            </w:pPr>
          </w:p>
        </w:tc>
        <w:tc>
          <w:tcPr>
            <w:tcW w:w="2120" w:type="dxa"/>
            <w:vAlign w:val="bottom"/>
            <w:tcBorders>
              <w:bottom w:val="single" w:sz="8" w:color="E8EAEB"/>
              <w:right w:val="single" w:sz="8" w:color="E8EAEB"/>
            </w:tcBorders>
          </w:tcPr>
          <w:p>
            <w:pPr>
              <w:spacing w:after="0"/>
              <w:rPr>
                <w:sz w:val="22"/>
                <w:szCs w:val="22"/>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47"/>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 (1)</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 (2)</w:t>
            </w:r>
          </w:p>
        </w:tc>
        <w:tc>
          <w:tcPr>
            <w:tcW w:w="1720" w:type="dxa"/>
            <w:vAlign w:val="bottom"/>
            <w:tcBorders>
              <w:bottom w:val="single" w:sz="8" w:color="E8EAEB"/>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center"/>
              <w:ind w:left="464"/>
              <w:spacing w:after="0"/>
              <w:rPr>
                <w:sz w:val="20"/>
                <w:szCs w:val="20"/>
                <w:color w:val="auto"/>
              </w:rPr>
            </w:pPr>
            <w:r>
              <w:rPr>
                <w:rFonts w:ascii="Arial" w:cs="Arial" w:eastAsia="Arial" w:hAnsi="Arial"/>
                <w:sz w:val="16"/>
                <w:szCs w:val="16"/>
                <w:color w:val="202E39"/>
                <w:w w:val="99"/>
              </w:rPr>
              <w:t>Chair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 (2)</w:t>
            </w:r>
          </w:p>
        </w:tc>
        <w:tc>
          <w:tcPr>
            <w:tcW w:w="1720" w:type="dxa"/>
            <w:vAlign w:val="bottom"/>
            <w:tcBorders>
              <w:bottom w:val="single" w:sz="8" w:color="E8EAEB"/>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E8EAEB"/>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Chair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 (2)</w:t>
            </w:r>
          </w:p>
        </w:tc>
        <w:tc>
          <w:tcPr>
            <w:tcW w:w="1720" w:type="dxa"/>
            <w:vAlign w:val="bottom"/>
            <w:tcBorders>
              <w:bottom w:val="single" w:sz="8" w:color="E8EAEB"/>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w w:val="99"/>
              </w:rPr>
              <w:t>Chair</w:t>
            </w:r>
          </w:p>
        </w:tc>
        <w:tc>
          <w:tcPr>
            <w:tcW w:w="2120" w:type="dxa"/>
            <w:vAlign w:val="bottom"/>
            <w:tcBorders>
              <w:bottom w:val="single" w:sz="8" w:color="E8EAEB"/>
              <w:right w:val="single" w:sz="8" w:color="E8EAEB"/>
            </w:tcBorders>
          </w:tcPr>
          <w:p>
            <w:pPr>
              <w:jc w:val="center"/>
              <w:ind w:left="444"/>
              <w:spacing w:after="0"/>
              <w:rPr>
                <w:sz w:val="20"/>
                <w:szCs w:val="20"/>
                <w:color w:val="auto"/>
              </w:rPr>
            </w:pPr>
            <w:r>
              <w:rPr>
                <w:rFonts w:ascii="Arial" w:cs="Arial" w:eastAsia="Arial" w:hAnsi="Arial"/>
                <w:sz w:val="16"/>
                <w:szCs w:val="16"/>
                <w:color w:val="202E39"/>
              </w:rPr>
              <w:t>Member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Harvey White (2)(3)</w:t>
            </w:r>
          </w:p>
        </w:tc>
        <w:tc>
          <w:tcPr>
            <w:tcW w:w="1720" w:type="dxa"/>
            <w:vAlign w:val="bottom"/>
            <w:tcBorders>
              <w:bottom w:val="single" w:sz="8" w:color="E8EAEB"/>
              <w:right w:val="single" w:sz="8" w:color="E8EAEB"/>
            </w:tcBorders>
          </w:tcPr>
          <w:p>
            <w:pPr>
              <w:jc w:val="center"/>
              <w:ind w:left="461"/>
              <w:spacing w:after="0"/>
              <w:rPr>
                <w:sz w:val="20"/>
                <w:szCs w:val="20"/>
                <w:color w:val="auto"/>
              </w:rPr>
            </w:pPr>
            <w:r>
              <w:rPr>
                <w:rFonts w:ascii="Arial" w:cs="Arial" w:eastAsia="Arial" w:hAnsi="Arial"/>
                <w:sz w:val="16"/>
                <w:szCs w:val="16"/>
                <w:color w:val="202E39"/>
                <w:w w:val="99"/>
              </w:rPr>
              <w:t>Chair</w:t>
            </w:r>
          </w:p>
        </w:tc>
        <w:tc>
          <w:tcPr>
            <w:tcW w:w="1860" w:type="dxa"/>
            <w:vAlign w:val="bottom"/>
            <w:tcBorders>
              <w:bottom w:val="single" w:sz="8" w:color="E8EAEB"/>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E8EAEB"/>
              <w:right w:val="single" w:sz="8" w:color="E8EAEB"/>
            </w:tcBorders>
          </w:tcPr>
          <w:p>
            <w:pPr>
              <w:jc w:val="center"/>
              <w:ind w:left="444"/>
              <w:spacing w:after="0"/>
              <w:rPr>
                <w:sz w:val="20"/>
                <w:szCs w:val="20"/>
                <w:color w:val="auto"/>
              </w:rPr>
            </w:pPr>
            <w:r>
              <w:rPr>
                <w:rFonts w:ascii="Arial" w:cs="Arial" w:eastAsia="Arial" w:hAnsi="Arial"/>
                <w:sz w:val="16"/>
                <w:szCs w:val="16"/>
                <w:color w:val="202E39"/>
              </w:rPr>
              <w:t>Member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Theresa Wise, Ph.D. (4)</w:t>
            </w:r>
          </w:p>
        </w:tc>
        <w:tc>
          <w:tcPr>
            <w:tcW w:w="1720" w:type="dxa"/>
            <w:vAlign w:val="bottom"/>
            <w:tcBorders>
              <w:bottom w:val="single" w:sz="8" w:color="009FE3"/>
              <w:right w:val="single" w:sz="8" w:color="E8EAEB"/>
            </w:tcBorders>
          </w:tcPr>
          <w:p>
            <w:pPr>
              <w:spacing w:after="0"/>
              <w:rPr>
                <w:sz w:val="21"/>
                <w:szCs w:val="21"/>
                <w:color w:val="auto"/>
              </w:rPr>
            </w:pPr>
          </w:p>
        </w:tc>
        <w:tc>
          <w:tcPr>
            <w:tcW w:w="1860" w:type="dxa"/>
            <w:vAlign w:val="bottom"/>
            <w:tcBorders>
              <w:bottom w:val="single" w:sz="8" w:color="009FE3"/>
              <w:right w:val="single" w:sz="8" w:color="E8EAEB"/>
            </w:tcBorders>
          </w:tcPr>
          <w:p>
            <w:pPr>
              <w:spacing w:after="0"/>
              <w:rPr>
                <w:sz w:val="21"/>
                <w:szCs w:val="21"/>
                <w:color w:val="auto"/>
              </w:rPr>
            </w:pPr>
          </w:p>
        </w:tc>
        <w:tc>
          <w:tcPr>
            <w:tcW w:w="2120" w:type="dxa"/>
            <w:vAlign w:val="bottom"/>
            <w:tcBorders>
              <w:bottom w:val="single" w:sz="8" w:color="009FE3"/>
              <w:right w:val="single" w:sz="8" w:color="E8EAEB"/>
            </w:tcBorders>
          </w:tcPr>
          <w:p>
            <w:pPr>
              <w:spacing w:after="0"/>
              <w:rPr>
                <w:sz w:val="21"/>
                <w:szCs w:val="21"/>
                <w:color w:val="auto"/>
              </w:rPr>
            </w:pPr>
          </w:p>
        </w:tc>
        <w:tc>
          <w:tcPr>
            <w:tcW w:w="2020" w:type="dxa"/>
            <w:vAlign w:val="bottom"/>
            <w:tcBorders>
              <w:bottom w:val="single" w:sz="8" w:color="009FE3"/>
            </w:tcBorders>
          </w:tcPr>
          <w:p>
            <w:pPr>
              <w:spacing w:after="0"/>
              <w:rPr>
                <w:sz w:val="21"/>
                <w:szCs w:val="21"/>
                <w:color w:val="auto"/>
              </w:rPr>
            </w:pPr>
          </w:p>
        </w:tc>
      </w:tr>
      <w:tr>
        <w:trPr>
          <w:trHeight w:val="211"/>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Number of Meetings in</w:t>
            </w:r>
          </w:p>
        </w:tc>
        <w:tc>
          <w:tcPr>
            <w:tcW w:w="1720" w:type="dxa"/>
            <w:vAlign w:val="bottom"/>
            <w:tcBorders>
              <w:right w:val="single" w:sz="8" w:color="E8EAEB"/>
            </w:tcBorders>
          </w:tcPr>
          <w:p>
            <w:pPr>
              <w:spacing w:after="0"/>
              <w:rPr>
                <w:sz w:val="18"/>
                <w:szCs w:val="18"/>
                <w:color w:val="auto"/>
              </w:rPr>
            </w:pPr>
          </w:p>
        </w:tc>
        <w:tc>
          <w:tcPr>
            <w:tcW w:w="1860" w:type="dxa"/>
            <w:vAlign w:val="bottom"/>
            <w:tcBorders>
              <w:right w:val="single" w:sz="8" w:color="E8EAEB"/>
            </w:tcBorders>
          </w:tcPr>
          <w:p>
            <w:pPr>
              <w:spacing w:after="0"/>
              <w:rPr>
                <w:sz w:val="18"/>
                <w:szCs w:val="18"/>
                <w:color w:val="auto"/>
              </w:rPr>
            </w:pPr>
          </w:p>
        </w:tc>
        <w:tc>
          <w:tcPr>
            <w:tcW w:w="2120" w:type="dxa"/>
            <w:vAlign w:val="bottom"/>
            <w:tcBorders>
              <w:right w:val="single" w:sz="8" w:color="E8EAEB"/>
            </w:tcBorders>
          </w:tcPr>
          <w:p>
            <w:pPr>
              <w:spacing w:after="0"/>
              <w:rPr>
                <w:sz w:val="18"/>
                <w:szCs w:val="18"/>
                <w:color w:val="auto"/>
              </w:rPr>
            </w:pPr>
          </w:p>
        </w:tc>
        <w:tc>
          <w:tcPr>
            <w:tcW w:w="2020" w:type="dxa"/>
            <w:vAlign w:val="bottom"/>
          </w:tcPr>
          <w:p>
            <w:pPr>
              <w:spacing w:after="0"/>
              <w:rPr>
                <w:sz w:val="18"/>
                <w:szCs w:val="18"/>
                <w:color w:val="auto"/>
              </w:rPr>
            </w:pPr>
          </w:p>
        </w:tc>
      </w:tr>
      <w:tr>
        <w:trPr>
          <w:trHeight w:val="228"/>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Fiscal Year 2020</w:t>
            </w:r>
          </w:p>
        </w:tc>
        <w:tc>
          <w:tcPr>
            <w:tcW w:w="1720" w:type="dxa"/>
            <w:vAlign w:val="bottom"/>
            <w:tcBorders>
              <w:bottom w:val="single" w:sz="8" w:color="009FE3"/>
              <w:right w:val="single" w:sz="8" w:color="E8EAEB"/>
            </w:tcBorders>
          </w:tcPr>
          <w:p>
            <w:pPr>
              <w:jc w:val="center"/>
              <w:ind w:left="441"/>
              <w:spacing w:after="0"/>
              <w:rPr>
                <w:sz w:val="20"/>
                <w:szCs w:val="20"/>
                <w:color w:val="auto"/>
              </w:rPr>
            </w:pPr>
            <w:r>
              <w:rPr>
                <w:rFonts w:ascii="Arial" w:cs="Arial" w:eastAsia="Arial" w:hAnsi="Arial"/>
                <w:sz w:val="16"/>
                <w:szCs w:val="16"/>
                <w:color w:val="202E39"/>
                <w:w w:val="89"/>
              </w:rPr>
              <w:t>5</w:t>
            </w:r>
          </w:p>
        </w:tc>
        <w:tc>
          <w:tcPr>
            <w:tcW w:w="186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6"/>
                <w:szCs w:val="16"/>
                <w:color w:val="202E39"/>
              </w:rPr>
              <w:t>9</w:t>
            </w:r>
          </w:p>
        </w:tc>
        <w:tc>
          <w:tcPr>
            <w:tcW w:w="2120" w:type="dxa"/>
            <w:vAlign w:val="bottom"/>
            <w:tcBorders>
              <w:bottom w:val="single" w:sz="8" w:color="009FE3"/>
              <w:right w:val="single" w:sz="8" w:color="E8EAEB"/>
            </w:tcBorders>
          </w:tcPr>
          <w:p>
            <w:pPr>
              <w:jc w:val="center"/>
              <w:ind w:left="444"/>
              <w:spacing w:after="0"/>
              <w:rPr>
                <w:sz w:val="20"/>
                <w:szCs w:val="20"/>
                <w:color w:val="auto"/>
              </w:rPr>
            </w:pPr>
            <w:r>
              <w:rPr>
                <w:rFonts w:ascii="Arial" w:cs="Arial" w:eastAsia="Arial" w:hAnsi="Arial"/>
                <w:sz w:val="16"/>
                <w:szCs w:val="16"/>
                <w:color w:val="202E39"/>
                <w:w w:val="89"/>
              </w:rPr>
              <w:t>3</w:t>
            </w:r>
          </w:p>
        </w:tc>
        <w:tc>
          <w:tcPr>
            <w:tcW w:w="2020" w:type="dxa"/>
            <w:vAlign w:val="bottom"/>
            <w:tcBorders>
              <w:bottom w:val="single" w:sz="8" w:color="009FE3"/>
            </w:tcBorders>
          </w:tcPr>
          <w:p>
            <w:pPr>
              <w:jc w:val="center"/>
              <w:ind w:left="462"/>
              <w:spacing w:after="0"/>
              <w:rPr>
                <w:sz w:val="20"/>
                <w:szCs w:val="20"/>
                <w:color w:val="auto"/>
              </w:rPr>
            </w:pPr>
            <w:r>
              <w:rPr>
                <w:rFonts w:ascii="Arial" w:cs="Arial" w:eastAsia="Arial" w:hAnsi="Arial"/>
                <w:sz w:val="16"/>
                <w:szCs w:val="16"/>
                <w:color w:val="202E39"/>
                <w:w w:val="89"/>
              </w:rPr>
              <w:t>1</w:t>
            </w:r>
          </w:p>
        </w:tc>
      </w:tr>
    </w:tbl>
    <w:p>
      <w:pPr>
        <w:spacing w:after="0" w:line="126"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4"/>
          <w:szCs w:val="14"/>
          <w:color w:val="202E39"/>
        </w:rPr>
      </w:pPr>
      <w:r>
        <w:rPr>
          <w:rFonts w:ascii="Arial" w:cs="Arial" w:eastAsia="Arial" w:hAnsi="Arial"/>
          <w:sz w:val="14"/>
          <w:szCs w:val="14"/>
          <w:color w:val="202E39"/>
        </w:rPr>
        <w:t>Mr. Biondi served on the Board with distinction until his untimely passing in November 2019. Viasat thanks him for his thoughtful leadership and advice.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11"/>
        </w:numPr>
        <w:rPr>
          <w:rFonts w:ascii="Arial" w:cs="Arial" w:eastAsia="Arial" w:hAnsi="Arial"/>
          <w:sz w:val="14"/>
          <w:szCs w:val="14"/>
          <w:color w:val="202E39"/>
        </w:rPr>
      </w:pPr>
      <w:r>
        <w:rPr>
          <w:rFonts w:ascii="Arial" w:cs="Arial" w:eastAsia="Arial" w:hAnsi="Arial"/>
          <w:sz w:val="14"/>
          <w:szCs w:val="14"/>
          <w:color w:val="202E39"/>
        </w:rPr>
        <w:t>Determined by the Board to qualify as an “audit committee financial expert.”</w:t>
      </w:r>
    </w:p>
    <w:p>
      <w:pPr>
        <w:spacing w:after="0" w:line="68" w:lineRule="exact"/>
        <w:rPr>
          <w:rFonts w:ascii="Arial" w:cs="Arial" w:eastAsia="Arial" w:hAnsi="Arial"/>
          <w:sz w:val="14"/>
          <w:szCs w:val="14"/>
          <w:color w:val="202E39"/>
        </w:rPr>
      </w:pPr>
    </w:p>
    <w:p>
      <w:pPr>
        <w:ind w:left="540" w:right="600" w:hanging="424"/>
        <w:spacing w:after="0" w:line="258" w:lineRule="auto"/>
        <w:tabs>
          <w:tab w:leader="none" w:pos="540" w:val="left"/>
        </w:tabs>
        <w:numPr>
          <w:ilvl w:val="0"/>
          <w:numId w:val="11"/>
        </w:numPr>
        <w:rPr>
          <w:rFonts w:ascii="Arial" w:cs="Arial" w:eastAsia="Arial" w:hAnsi="Arial"/>
          <w:sz w:val="14"/>
          <w:szCs w:val="14"/>
          <w:color w:val="202E39"/>
        </w:rPr>
      </w:pPr>
      <w:r>
        <w:rPr>
          <w:rFonts w:ascii="Arial" w:cs="Arial" w:eastAsia="Arial" w:hAnsi="Arial"/>
          <w:sz w:val="14"/>
          <w:szCs w:val="14"/>
          <w:color w:val="202E39"/>
        </w:rPr>
        <w:t>Mr. White is a Class III director whose term expires at this year’s annual meeting. Mr. White is not standing for re-election, and Viasat thanks Mr. White for his exemplary service as a director for the past fifteen years.</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11"/>
        </w:numPr>
        <w:rPr>
          <w:rFonts w:ascii="Arial" w:cs="Arial" w:eastAsia="Arial" w:hAnsi="Arial"/>
          <w:sz w:val="14"/>
          <w:szCs w:val="14"/>
          <w:color w:val="202E39"/>
        </w:rPr>
      </w:pPr>
      <w:r>
        <w:rPr>
          <w:rFonts w:ascii="Arial" w:cs="Arial" w:eastAsia="Arial" w:hAnsi="Arial"/>
          <w:sz w:val="14"/>
          <w:szCs w:val="14"/>
          <w:color w:val="202E39"/>
        </w:rPr>
        <w:t>Dr. Wise was appointed as a director on February 3, 2020.</w:t>
      </w:r>
    </w:p>
    <w:p>
      <w:pPr>
        <w:spacing w:after="0" w:line="86"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is responsible for reviewing the professional services provided by our independent registered public accounting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of Directors has determined that each of the members of our Audit Committee is an “audit committee financial expert” as defined by the rules of the SEC. The responsibilities and activities of the Audit Committee are described in greater detail in the Audit Committee Report.</w:t>
      </w:r>
    </w:p>
    <w:p>
      <w:pPr>
        <w:spacing w:after="0" w:line="74"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75"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81280</wp:posOffset>
            </wp:positionV>
            <wp:extent cx="4286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2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Evaluation and Refreshment</w:t>
      </w:r>
    </w:p>
    <w:p>
      <w:pPr>
        <w:spacing w:after="0" w:line="127"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is responsible for overseeing certain aspects of corporate finance for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company, and reviewing and making recommendations to the Board about the company’s financial affairs and policies, including short and long-term financing plans, objectives and principles, borrowings or the issuance of debt and equity securities.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Evaluation and Refreshment</w:t>
      </w:r>
    </w:p>
    <w:p>
      <w:pPr>
        <w:spacing w:after="0" w:line="14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w:t>
      </w:r>
    </w:p>
    <w:p>
      <w:pPr>
        <w:spacing w:after="0" w:line="9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w:t>
      </w:r>
    </w:p>
    <w:p>
      <w:pPr>
        <w:spacing w:after="0" w:line="94"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202E39"/>
        </w:rPr>
        <w:t>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w:t>
      </w:r>
    </w:p>
    <w:p>
      <w:pPr>
        <w:spacing w:after="0" w:line="94" w:lineRule="exact"/>
        <w:rPr>
          <w:sz w:val="20"/>
          <w:szCs w:val="20"/>
          <w:color w:val="auto"/>
        </w:rPr>
      </w:pPr>
    </w:p>
    <w:p>
      <w:pPr>
        <w:ind w:left="120" w:right="280"/>
        <w:spacing w:after="0" w:line="251" w:lineRule="auto"/>
        <w:rPr>
          <w:sz w:val="20"/>
          <w:szCs w:val="20"/>
          <w:color w:val="auto"/>
        </w:rPr>
      </w:pPr>
      <w:r>
        <w:rPr>
          <w:rFonts w:ascii="Arial" w:cs="Arial" w:eastAsia="Arial" w:hAnsi="Arial"/>
          <w:sz w:val="16"/>
          <w:szCs w:val="16"/>
          <w:color w:val="202E39"/>
        </w:rPr>
        <w:t>Following a thorough search for an additional independent member of the Board to complement the skills of its current directors, the Board appointed Dr. Theresa Wise in February 2020. Dr. Wise has a background leading major technology, business and customer-centric integration programs and experience working in the aviation industry. She also has expertise, perspectives and experience in applying IT strategy and data analytics to advance end-user experiences.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Board’s approach to refreshment and evaluation, including the recent addition of Dr. Wise, has led to:</w:t>
      </w:r>
    </w:p>
    <w:p>
      <w:pPr>
        <w:spacing w:after="0" w:line="127" w:lineRule="exact"/>
        <w:rPr>
          <w:sz w:val="20"/>
          <w:szCs w:val="20"/>
          <w:color w:val="auto"/>
        </w:rPr>
      </w:pPr>
    </w:p>
    <w:p>
      <w:pPr>
        <w:ind w:left="660" w:right="160" w:hanging="220"/>
        <w:spacing w:after="0" w:line="253"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color w:val="202E39"/>
        </w:rPr>
        <w:t>The addition of four new directors in the last five years, including three new independent directors, which increased Board diversity and provided valuable expertise on areas of strategic importance, including intellectual property development and strategy, international business, aviation, telecommunications and operations;</w:t>
      </w:r>
    </w:p>
    <w:p>
      <w:pPr>
        <w:spacing w:after="0" w:line="52" w:lineRule="exact"/>
        <w:rPr>
          <w:rFonts w:ascii="Arial" w:cs="Arial" w:eastAsia="Arial" w:hAnsi="Arial"/>
          <w:sz w:val="16"/>
          <w:szCs w:val="16"/>
          <w:color w:val="009FE3"/>
        </w:rPr>
      </w:pPr>
    </w:p>
    <w:p>
      <w:pPr>
        <w:ind w:left="660" w:right="120" w:hanging="220"/>
        <w:spacing w:after="0" w:line="260"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color w:val="202E39"/>
        </w:rPr>
        <w:t>An approximately four year decline in the average tenure of our independent directors from 2018 to 2020, following the departure of two directors at our 2019 annual meeting of stockholders and one director at our 2020 annual meeting of stockholders; and</w:t>
      </w:r>
    </w:p>
    <w:p>
      <w:pPr>
        <w:spacing w:after="0" w:line="46" w:lineRule="exact"/>
        <w:rPr>
          <w:rFonts w:ascii="Arial" w:cs="Arial" w:eastAsia="Arial" w:hAnsi="Arial"/>
          <w:sz w:val="16"/>
          <w:szCs w:val="16"/>
          <w:color w:val="009FE3"/>
        </w:rPr>
      </w:pPr>
    </w:p>
    <w:p>
      <w:pPr>
        <w:ind w:left="660" w:right="120" w:hanging="220"/>
        <w:spacing w:after="0" w:line="260"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color w:val="202E39"/>
        </w:rPr>
        <w:t>Increased diversity across multiple dimensions, including gender and ethnic diversity of 43% among directors standing for reelection at, or whose terms extend beyond, the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139700</wp:posOffset>
            </wp:positionV>
            <wp:extent cx="1320165" cy="1346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165" cy="13462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139700</wp:posOffset>
            </wp:positionV>
            <wp:extent cx="1320165" cy="1346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1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202E39"/>
        </w:rPr>
        <w:t>In recommending candidates for election to the Board, the NECG Committee considers nominees recommended by directors, management and stockholders using the same criteria to evaluate all candidates. The NECG Committee may engage consultants or third 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w:t>
      </w:r>
    </w:p>
    <w:p>
      <w:pPr>
        <w:spacing w:after="0" w:line="122"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9</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Communications with the Board</w:t>
      </w:r>
    </w:p>
    <w:p>
      <w:pPr>
        <w:spacing w:after="0" w:line="14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Communications with the Board</w:t>
      </w:r>
    </w:p>
    <w:p>
      <w:pPr>
        <w:spacing w:after="0" w:line="14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Stockholder Engagement</w:t>
      </w:r>
    </w:p>
    <w:p>
      <w:pPr>
        <w:spacing w:after="0" w:line="14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202E39"/>
        </w:rPr>
        <w:t>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2020, we engaged in substantive conversations with stockholders representing approximately 73% of our total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84455</wp:posOffset>
            </wp:positionV>
            <wp:extent cx="42862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Stockholder Engagement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9FE3"/>
        </w:rPr>
        <w:t>Actions Taken in Response to Stockholder Feedback</w:t>
      </w:r>
    </w:p>
    <w:p>
      <w:pPr>
        <w:spacing w:after="0" w:line="133"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Our Board has demonstrated responsiveness to feedback received during stockholder discussions through the recent changes we have made to our corporate governance practices and compensation programs – some of which have already been implemented, and some of which have been approved and will apply in fiscal year 2021. As a result of our Board’s evaluation of our current practices informed by stockholder feedback in prior years, we implemented a performance-based equity program in fiscal year 2018 to further align executive compensation with long-term stockholder interests and appointed a Lead Independent Director in fiscal year 2019 to further strengthen the independent oversight of our Board. Following stockholder engagement that took place in fiscal year 2020, our Board approved additional improvements to our executive compensation program, including how bonus targets are set for fiscal year 2020, and enhanced disclosure around the peer group selection process. A summary of these changes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6995160" cy="237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2374265"/>
                    </a:xfrm>
                    <a:prstGeom prst="rect">
                      <a:avLst/>
                    </a:prstGeom>
                    <a:noFill/>
                  </pic:spPr>
                </pic:pic>
              </a:graphicData>
            </a:graphic>
          </wp:anchor>
        </w:drawing>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6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r>
      <w:tr>
        <w:trPr>
          <w:trHeight w:val="23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annual grants in fiscal years 2019 and</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2020</w:t>
            </w:r>
          </w:p>
        </w:tc>
      </w:tr>
      <w:tr>
        <w:trPr>
          <w:trHeight w:val="25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independent oversight of the Board</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Appointed a Lead Independent Director in fiscal year 2019</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bonus target for annual incentive compensation in</w:t>
            </w: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fiscal year 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around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Included enhanced peer group disclosure in 2020 proxy statement,</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including changes made to fiscal year 2021 peers</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 as a</w:t>
            </w:r>
          </w:p>
        </w:tc>
      </w:tr>
      <w:tr>
        <w:trPr>
          <w:trHeight w:val="208"/>
        </w:trPr>
        <w:tc>
          <w:tcPr>
            <w:tcW w:w="5560" w:type="dxa"/>
            <w:vAlign w:val="bottom"/>
            <w:tcBorders>
              <w:bottom w:val="single" w:sz="8" w:color="009FE3"/>
            </w:tcBorders>
            <w:shd w:val="clear" w:color="auto" w:fill="EDEEEF"/>
          </w:tcPr>
          <w:p>
            <w:pPr>
              <w:spacing w:after="0"/>
              <w:rPr>
                <w:sz w:val="18"/>
                <w:szCs w:val="18"/>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 of an executive officer’s misconduct</w:t>
            </w:r>
          </w:p>
        </w:tc>
      </w:tr>
    </w:tbl>
    <w:p>
      <w:pPr>
        <w:spacing w:after="0" w:line="110"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w:t>
      </w:r>
    </w:p>
    <w:p>
      <w:pPr>
        <w:spacing w:after="0" w:line="11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11</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Election of Directors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We currently have three Class III directors whose terms expire at this year’s annual meeting. One of our existing Class III directors, Harvey White, will not be standing for re-election, and his seat will remain vacant at this time. Accordingly, proxies cannot be voted for more than the two class III nominees for election. At this year’s annual meeting of stockholders, we will elect two Class III directors to hold office until the 2023 annual meeting. At next year’s annual meeting of stockholders, we will elect three Class I directors to hold office until the 2024 annual meeting, and the following year, we will elect two Class II directors to hold office until the 2025 annual meeting. Thereafter, elections will continue in a similar manner at subsequent annual meetings. Each elected director will continue to serve until his or her successor is duly elected or appointed.</w:t>
      </w:r>
    </w:p>
    <w:p>
      <w:pPr>
        <w:spacing w:after="0" w:line="99"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6"/>
          <w:szCs w:val="16"/>
          <w:color w:val="202E39"/>
        </w:rPr>
        <w:t xml:space="preserve">The Board of Directors unanimously nominated Mark Dankberg and Varsha Rao as Class III nominees for election to the Board.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Mr. Dankberg and Ms. Rao.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95"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202E39"/>
        </w:rPr>
        <w:t>The following table sets forth the age, the positions currently held with Viasat, the year in which the current term will expire, and the class of director of each nominee to be elected at the annual meeting or director whose term of office will extend beyond the annual meeting.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91"/>
        </w:trPr>
        <w:tc>
          <w:tcPr>
            <w:tcW w:w="222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Name</w:t>
            </w:r>
          </w:p>
        </w:tc>
        <w:tc>
          <w:tcPr>
            <w:tcW w:w="760" w:type="dxa"/>
            <w:vAlign w:val="bottom"/>
            <w:tcBorders>
              <w:top w:val="single" w:sz="8" w:color="E8EAEB"/>
              <w:bottom w:val="single" w:sz="8" w:color="009FE3"/>
              <w:right w:val="single" w:sz="8" w:color="E8EAEB"/>
            </w:tcBorders>
          </w:tcPr>
          <w:p>
            <w:pPr>
              <w:jc w:val="right"/>
              <w:ind w:right="159"/>
              <w:spacing w:after="0"/>
              <w:rPr>
                <w:sz w:val="20"/>
                <w:szCs w:val="20"/>
                <w:color w:val="auto"/>
              </w:rPr>
            </w:pPr>
            <w:r>
              <w:rPr>
                <w:rFonts w:ascii="Arial" w:cs="Arial" w:eastAsia="Arial" w:hAnsi="Arial"/>
                <w:sz w:val="16"/>
                <w:szCs w:val="16"/>
                <w:b w:val="1"/>
                <w:bCs w:val="1"/>
                <w:color w:val="009FE3"/>
              </w:rPr>
              <w:t>Age</w:t>
            </w:r>
          </w:p>
        </w:tc>
        <w:tc>
          <w:tcPr>
            <w:tcW w:w="4740" w:type="dxa"/>
            <w:vAlign w:val="bottom"/>
            <w:tcBorders>
              <w:top w:val="single" w:sz="8" w:color="E8EAEB"/>
              <w:bottom w:val="single" w:sz="8" w:color="009FE3"/>
              <w:right w:val="single" w:sz="8" w:color="E8EAEB"/>
            </w:tcBorders>
          </w:tcPr>
          <w:p>
            <w:pPr>
              <w:ind w:left="1600"/>
              <w:spacing w:after="0"/>
              <w:rPr>
                <w:sz w:val="20"/>
                <w:szCs w:val="20"/>
                <w:color w:val="auto"/>
              </w:rPr>
            </w:pPr>
            <w:r>
              <w:rPr>
                <w:rFonts w:ascii="Arial" w:cs="Arial" w:eastAsia="Arial" w:hAnsi="Arial"/>
                <w:sz w:val="16"/>
                <w:szCs w:val="16"/>
                <w:b w:val="1"/>
                <w:bCs w:val="1"/>
                <w:color w:val="009FE3"/>
              </w:rPr>
              <w:t>Position with Viasat</w:t>
            </w:r>
          </w:p>
        </w:tc>
        <w:tc>
          <w:tcPr>
            <w:tcW w:w="1460" w:type="dxa"/>
            <w:vAlign w:val="bottom"/>
            <w:tcBorders>
              <w:top w:val="single" w:sz="8" w:color="E8EAEB"/>
              <w:bottom w:val="single" w:sz="8" w:color="009FE3"/>
              <w:right w:val="single" w:sz="8" w:color="E8EAEB"/>
            </w:tcBorders>
          </w:tcPr>
          <w:p>
            <w:pPr>
              <w:jc w:val="right"/>
              <w:ind w:right="119"/>
              <w:spacing w:after="0"/>
              <w:rPr>
                <w:sz w:val="20"/>
                <w:szCs w:val="20"/>
                <w:color w:val="auto"/>
              </w:rPr>
            </w:pPr>
            <w:r>
              <w:rPr>
                <w:rFonts w:ascii="Arial" w:cs="Arial" w:eastAsia="Arial" w:hAnsi="Arial"/>
                <w:sz w:val="16"/>
                <w:szCs w:val="16"/>
                <w:b w:val="1"/>
                <w:bCs w:val="1"/>
                <w:color w:val="009FE3"/>
              </w:rPr>
              <w:t>Director Since</w:t>
            </w:r>
          </w:p>
        </w:tc>
        <w:tc>
          <w:tcPr>
            <w:tcW w:w="1380" w:type="dxa"/>
            <w:vAlign w:val="bottom"/>
            <w:tcBorders>
              <w:top w:val="single" w:sz="8" w:color="E8EAEB"/>
              <w:bottom w:val="single" w:sz="8" w:color="009FE3"/>
              <w:right w:val="single" w:sz="8" w:color="E8EAEB"/>
            </w:tcBorders>
          </w:tcPr>
          <w:p>
            <w:pPr>
              <w:jc w:val="right"/>
              <w:ind w:right="119"/>
              <w:spacing w:after="0"/>
              <w:rPr>
                <w:sz w:val="20"/>
                <w:szCs w:val="20"/>
                <w:color w:val="auto"/>
              </w:rPr>
            </w:pPr>
            <w:r>
              <w:rPr>
                <w:rFonts w:ascii="Arial" w:cs="Arial" w:eastAsia="Arial" w:hAnsi="Arial"/>
                <w:sz w:val="16"/>
                <w:szCs w:val="16"/>
                <w:b w:val="1"/>
                <w:bCs w:val="1"/>
                <w:color w:val="009FE3"/>
              </w:rPr>
              <w:t>Term Expires</w:t>
            </w:r>
          </w:p>
        </w:tc>
        <w:tc>
          <w:tcPr>
            <w:tcW w:w="46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6"/>
                <w:szCs w:val="16"/>
                <w:b w:val="1"/>
                <w:bCs w:val="1"/>
                <w:color w:val="009FE3"/>
                <w:w w:val="98"/>
              </w:rPr>
              <w:t>Class</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65</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Chairman and Chief Executive Officer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1986</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2020</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III</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62</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Director, President and Chief Operating Officer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2016</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2022</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70</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1986</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2021</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47</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Director (Lead Independent Director)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2018</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2022</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50</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2017</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2020</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III</w:t>
            </w:r>
          </w:p>
        </w:tc>
      </w:tr>
      <w:tr>
        <w:trPr>
          <w:trHeight w:val="277"/>
        </w:trPr>
        <w:tc>
          <w:tcPr>
            <w:tcW w:w="2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760" w:type="dxa"/>
            <w:vAlign w:val="bottom"/>
            <w:tcBorders>
              <w:bottom w:val="single" w:sz="8" w:color="E8EAEB"/>
              <w:right w:val="single" w:sz="8" w:color="E8EAEB"/>
            </w:tcBorders>
          </w:tcPr>
          <w:p>
            <w:pPr>
              <w:jc w:val="right"/>
              <w:ind w:right="99"/>
              <w:spacing w:after="0"/>
              <w:rPr>
                <w:sz w:val="20"/>
                <w:szCs w:val="20"/>
                <w:color w:val="auto"/>
              </w:rPr>
            </w:pPr>
            <w:r>
              <w:rPr>
                <w:rFonts w:ascii="Arial" w:cs="Arial" w:eastAsia="Arial" w:hAnsi="Arial"/>
                <w:sz w:val="16"/>
                <w:szCs w:val="16"/>
                <w:color w:val="202E39"/>
              </w:rPr>
              <w:t>80</w:t>
            </w:r>
          </w:p>
        </w:tc>
        <w:tc>
          <w:tcPr>
            <w:tcW w:w="4740" w:type="dxa"/>
            <w:vAlign w:val="bottom"/>
            <w:tcBorders>
              <w:bottom w:val="single" w:sz="8" w:color="E8EAEB"/>
              <w:right w:val="single" w:sz="8" w:color="E8EAEB"/>
            </w:tcBorders>
          </w:tcPr>
          <w:p>
            <w:pPr>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2004</w:t>
            </w:r>
          </w:p>
        </w:tc>
        <w:tc>
          <w:tcPr>
            <w:tcW w:w="1380" w:type="dxa"/>
            <w:vAlign w:val="bottom"/>
            <w:tcBorders>
              <w:bottom w:val="single" w:sz="8" w:color="E8EAEB"/>
              <w:right w:val="single" w:sz="8" w:color="E8EAEB"/>
            </w:tcBorders>
          </w:tcPr>
          <w:p>
            <w:pPr>
              <w:jc w:val="right"/>
              <w:ind w:right="119"/>
              <w:spacing w:after="0"/>
              <w:rPr>
                <w:sz w:val="20"/>
                <w:szCs w:val="20"/>
                <w:color w:val="auto"/>
              </w:rPr>
            </w:pPr>
            <w:r>
              <w:rPr>
                <w:rFonts w:ascii="Arial" w:cs="Arial" w:eastAsia="Arial" w:hAnsi="Arial"/>
                <w:sz w:val="16"/>
                <w:szCs w:val="16"/>
                <w:color w:val="202E39"/>
              </w:rPr>
              <w:t>2021</w:t>
            </w:r>
          </w:p>
        </w:tc>
        <w:tc>
          <w:tcPr>
            <w:tcW w:w="46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rPr>
              <w:t>I</w:t>
            </w:r>
          </w:p>
        </w:tc>
      </w:tr>
      <w:tr>
        <w:trPr>
          <w:trHeight w:val="250"/>
        </w:trPr>
        <w:tc>
          <w:tcPr>
            <w:tcW w:w="22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Theresa Wise, Ph.D.</w:t>
            </w:r>
          </w:p>
        </w:tc>
        <w:tc>
          <w:tcPr>
            <w:tcW w:w="760" w:type="dxa"/>
            <w:vAlign w:val="bottom"/>
            <w:tcBorders>
              <w:bottom w:val="single" w:sz="8" w:color="009FE3"/>
              <w:right w:val="single" w:sz="8" w:color="E8EAEB"/>
            </w:tcBorders>
          </w:tcPr>
          <w:p>
            <w:pPr>
              <w:jc w:val="right"/>
              <w:ind w:right="99"/>
              <w:spacing w:after="0"/>
              <w:rPr>
                <w:sz w:val="20"/>
                <w:szCs w:val="20"/>
                <w:color w:val="auto"/>
              </w:rPr>
            </w:pPr>
            <w:r>
              <w:rPr>
                <w:rFonts w:ascii="Arial" w:cs="Arial" w:eastAsia="Arial" w:hAnsi="Arial"/>
                <w:sz w:val="16"/>
                <w:szCs w:val="16"/>
                <w:color w:val="202E39"/>
              </w:rPr>
              <w:t>53</w:t>
            </w:r>
          </w:p>
        </w:tc>
        <w:tc>
          <w:tcPr>
            <w:tcW w:w="4740" w:type="dxa"/>
            <w:vAlign w:val="bottom"/>
            <w:tcBorders>
              <w:bottom w:val="single" w:sz="8" w:color="009FE3"/>
              <w:right w:val="single" w:sz="8" w:color="E8EAEB"/>
            </w:tcBorders>
          </w:tcPr>
          <w:p>
            <w:pPr>
              <w:spacing w:after="0"/>
              <w:rPr>
                <w:sz w:val="20"/>
                <w:szCs w:val="20"/>
                <w:color w:val="auto"/>
              </w:rPr>
            </w:pPr>
            <w:r>
              <w:rPr>
                <w:rFonts w:ascii="Arial" w:cs="Arial" w:eastAsia="Arial" w:hAnsi="Arial"/>
                <w:sz w:val="16"/>
                <w:szCs w:val="16"/>
                <w:color w:val="202E39"/>
              </w:rPr>
              <w:t>Director</w:t>
            </w:r>
          </w:p>
        </w:tc>
        <w:tc>
          <w:tcPr>
            <w:tcW w:w="1460" w:type="dxa"/>
            <w:vAlign w:val="bottom"/>
            <w:tcBorders>
              <w:bottom w:val="single" w:sz="8" w:color="009FE3"/>
              <w:right w:val="single" w:sz="8" w:color="E8EAEB"/>
            </w:tcBorders>
          </w:tcPr>
          <w:p>
            <w:pPr>
              <w:jc w:val="right"/>
              <w:ind w:right="119"/>
              <w:spacing w:after="0"/>
              <w:rPr>
                <w:sz w:val="20"/>
                <w:szCs w:val="20"/>
                <w:color w:val="auto"/>
              </w:rPr>
            </w:pPr>
            <w:r>
              <w:rPr>
                <w:rFonts w:ascii="Arial" w:cs="Arial" w:eastAsia="Arial" w:hAnsi="Arial"/>
                <w:sz w:val="16"/>
                <w:szCs w:val="16"/>
                <w:color w:val="202E39"/>
              </w:rPr>
              <w:t>2020</w:t>
            </w:r>
          </w:p>
        </w:tc>
        <w:tc>
          <w:tcPr>
            <w:tcW w:w="1380" w:type="dxa"/>
            <w:vAlign w:val="bottom"/>
            <w:tcBorders>
              <w:bottom w:val="single" w:sz="8" w:color="009FE3"/>
              <w:right w:val="single" w:sz="8" w:color="E8EAEB"/>
            </w:tcBorders>
          </w:tcPr>
          <w:p>
            <w:pPr>
              <w:jc w:val="right"/>
              <w:ind w:right="119"/>
              <w:spacing w:after="0"/>
              <w:rPr>
                <w:sz w:val="20"/>
                <w:szCs w:val="20"/>
                <w:color w:val="auto"/>
              </w:rPr>
            </w:pPr>
            <w:r>
              <w:rPr>
                <w:rFonts w:ascii="Arial" w:cs="Arial" w:eastAsia="Arial" w:hAnsi="Arial"/>
                <w:sz w:val="16"/>
                <w:szCs w:val="16"/>
                <w:color w:val="202E39"/>
              </w:rPr>
              <w:t>2021</w:t>
            </w:r>
          </w:p>
        </w:tc>
        <w:tc>
          <w:tcPr>
            <w:tcW w:w="460" w:type="dxa"/>
            <w:vAlign w:val="bottom"/>
            <w:tcBorders>
              <w:bottom w:val="single" w:sz="8" w:color="009FE3"/>
            </w:tcBorders>
          </w:tcPr>
          <w:p>
            <w:pPr>
              <w:jc w:val="center"/>
              <w:spacing w:after="0"/>
              <w:rPr>
                <w:sz w:val="20"/>
                <w:szCs w:val="20"/>
                <w:color w:val="auto"/>
              </w:rPr>
            </w:pPr>
            <w:r>
              <w:rPr>
                <w:rFonts w:ascii="Arial" w:cs="Arial" w:eastAsia="Arial" w:hAnsi="Arial"/>
                <w:sz w:val="16"/>
                <w:szCs w:val="16"/>
                <w:color w:val="202E39"/>
              </w:rPr>
              <w:t>I</w:t>
            </w:r>
          </w:p>
        </w:tc>
      </w:tr>
      <w:tr>
        <w:trPr>
          <w:trHeight w:val="407"/>
        </w:trPr>
        <w:tc>
          <w:tcPr>
            <w:tcW w:w="2220" w:type="dxa"/>
            <w:vAlign w:val="bottom"/>
          </w:tcPr>
          <w:p>
            <w:pPr>
              <w:spacing w:after="0"/>
              <w:rPr>
                <w:sz w:val="20"/>
                <w:szCs w:val="20"/>
                <w:color w:val="auto"/>
              </w:rPr>
            </w:pPr>
            <w:r>
              <w:rPr>
                <w:rFonts w:ascii="Arial" w:cs="Arial" w:eastAsia="Arial" w:hAnsi="Arial"/>
                <w:sz w:val="14"/>
                <w:szCs w:val="14"/>
                <w:b w:val="1"/>
                <w:bCs w:val="1"/>
                <w:color w:val="202E39"/>
              </w:rPr>
              <w:t>12</w:t>
            </w:r>
          </w:p>
        </w:tc>
        <w:tc>
          <w:tcPr>
            <w:tcW w:w="7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-163195</wp:posOffset>
            </wp:positionV>
            <wp:extent cx="42862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III Directors Nominated for Election at this Annual Meeting</w:t>
      </w:r>
    </w:p>
    <w:p>
      <w:pPr>
        <w:sectPr>
          <w:pgSz w:w="11900" w:h="16838" w:orient="portrait"/>
          <w:cols w:equalWidth="0" w:num="1">
            <w:col w:w="11140"/>
          </w:cols>
          <w:pgMar w:left="320" w:top="459" w:right="439" w:bottom="1440" w:gutter="0" w:footer="0" w:header="0"/>
        </w:sectPr>
      </w:pPr>
    </w:p>
    <w:p>
      <w:pPr>
        <w:spacing w:after="0" w:line="25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Mark Dankberg is a founder of Viasat and has served as Chairman of the Board and Chief Executive Officer since its inception in 1986. Mr. Dankberg also has significant expertise and perspective as a member of the boards of directors of companies in various industries, including communications. Mr. Dankberg currently serves on the board of Lytx, Inc., a privately-held company that provides fleet safety management solutions, and the Rice University Board of Trustees.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14"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02E39"/>
        </w:rPr>
        <w:t>Mr. Dankberg provides our Board with significant operational, business and technological expertise in the satellite and communications industries, and intimate knowledge of the issues facing our management.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202E39"/>
        </w:rPr>
        <w:t>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-148590</wp:posOffset>
            </wp:positionV>
            <wp:extent cx="1114425" cy="1508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4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1986</w:t>
      </w:r>
    </w:p>
    <w:p>
      <w:pPr>
        <w:spacing w:after="0" w:line="200" w:lineRule="exact"/>
        <w:rPr>
          <w:sz w:val="20"/>
          <w:szCs w:val="20"/>
          <w:color w:val="auto"/>
        </w:rPr>
      </w:pPr>
    </w:p>
    <w:p>
      <w:pPr>
        <w:sectPr>
          <w:pgSz w:w="11900" w:h="16838" w:orient="portrait"/>
          <w:cols w:equalWidth="0" w:num="2">
            <w:col w:w="8540" w:space="280"/>
            <w:col w:w="2320"/>
          </w:cols>
          <w:pgMar w:left="320" w:top="459" w:right="439" w:bottom="1440" w:gutter="0" w:footer="0" w:header="0"/>
          <w:type w:val="continuous"/>
        </w:sectPr>
      </w:pPr>
    </w:p>
    <w:p>
      <w:pPr>
        <w:spacing w:after="0" w:line="62"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Varsha Rao has been a director of Viasat since 2017. Ms. Rao has served as the Chief Executive Officer and a director of Nurx Inc., a direct-to-consumer telehealth platform, since April 2019. From September 2017 to April 2019, she served as Chief Operating Officer of Clover Health Inc., a health insurance technology company. From 2013 to 2016, Ms. Rao served as the Head of Global Operations at Airbnb, Inc., a global travel marketplace.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earned a B.A. degree in Mathematics and a B.S. degree in Economics from the University of Pennsylvania, and an M.B.A. degree from the Harvard Business School.</w:t>
      </w:r>
    </w:p>
    <w:p>
      <w:pPr>
        <w:spacing w:after="0" w:line="118"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202E39"/>
        </w:rPr>
        <w:t>Ms. Rao provides our Board with significant international e-commerce, media and telecommunications expertise due to her leadership roles focused on those disciplines at various companies.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202E39"/>
        </w:rPr>
        <w:t>Varsha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-155575</wp:posOffset>
            </wp:positionV>
            <wp:extent cx="1114425" cy="1645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442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2017</w:t>
      </w:r>
    </w:p>
    <w:p>
      <w:pPr>
        <w:spacing w:after="0" w:line="368"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13</w:t>
            </w:r>
          </w:p>
        </w:tc>
      </w:tr>
    </w:tbl>
    <w:p>
      <w:pPr>
        <w:sectPr>
          <w:pgSz w:w="11900" w:h="16838" w:orient="portrait"/>
          <w:cols w:equalWidth="0" w:num="2">
            <w:col w:w="8480" w:space="340"/>
            <w:col w:w="232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02E39"/>
        </w:rPr>
        <w:t>Class I Directors with Terms Expiring in 2021</w:t>
      </w:r>
    </w:p>
    <w:p>
      <w:pPr>
        <w:sectPr>
          <w:pgSz w:w="11900" w:h="16838" w:orient="portrait"/>
          <w:cols w:equalWidth="0" w:num="1">
            <w:col w:w="11120"/>
          </w:cols>
          <w:pgMar w:left="320" w:top="459" w:right="459" w:bottom="1440" w:gutter="0" w:footer="0" w:header="0"/>
        </w:sectPr>
      </w:pPr>
    </w:p>
    <w:p>
      <w:pPr>
        <w:spacing w:after="0" w:line="140" w:lineRule="exact"/>
        <w:rPr>
          <w:sz w:val="20"/>
          <w:szCs w:val="20"/>
          <w:color w:val="auto"/>
        </w:rPr>
      </w:pPr>
    </w:p>
    <w:p>
      <w:pPr>
        <w:ind w:left="1100"/>
        <w:spacing w:after="0"/>
        <w:rPr>
          <w:sz w:val="20"/>
          <w:szCs w:val="20"/>
          <w:color w:val="auto"/>
        </w:rPr>
      </w:pPr>
      <w:r>
        <w:rPr>
          <w:rFonts w:ascii="Arial" w:cs="Arial" w:eastAsia="Arial" w:hAnsi="Arial"/>
          <w:sz w:val="21"/>
          <w:szCs w:val="21"/>
          <w:color w:val="202E39"/>
        </w:rPr>
        <w:t>Robert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202E39"/>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California Institute of Technology, UCLA Anderson School of Management and the Claremont Graduate School. Mr. Johnson earned B.S. and M.S. degrees in Electrical Engineering from Stanford University, and M.B.A. and D.B.A. degrees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-727710</wp:posOffset>
            </wp:positionV>
            <wp:extent cx="8890" cy="1508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508760"/>
                    </a:xfrm>
                    <a:prstGeom prst="rect">
                      <a:avLst/>
                    </a:prstGeom>
                    <a:noFill/>
                  </pic:spPr>
                </pic:pic>
              </a:graphicData>
            </a:graphic>
          </wp:anchor>
        </w:drawing>
      </w:r>
    </w:p>
    <w:p>
      <w:pPr>
        <w:spacing w:after="0" w:line="9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02E39"/>
        </w:rPr>
        <w:t>Mr. Johnson provides our Board with significant business and corporate finance expertise as a result of his role as an investor in companies in various industries.</w:t>
      </w:r>
    </w:p>
    <w:p>
      <w:pPr>
        <w:spacing w:after="0" w:line="903" w:lineRule="exact"/>
        <w:rPr>
          <w:sz w:val="20"/>
          <w:szCs w:val="20"/>
          <w:color w:val="auto"/>
        </w:rPr>
      </w:pPr>
    </w:p>
    <w:p>
      <w:pPr>
        <w:sectPr>
          <w:pgSz w:w="11900" w:h="16838" w:orient="portrait"/>
          <w:cols w:equalWidth="0" w:num="2">
            <w:col w:w="2620" w:space="280"/>
            <w:col w:w="8220"/>
          </w:cols>
          <w:pgMar w:left="320" w:top="459" w:right="459" w:bottom="1440" w:gutter="0" w:footer="0" w:header="0"/>
          <w:type w:val="continuous"/>
        </w:sectPr>
      </w:pPr>
    </w:p>
    <w:p>
      <w:pPr>
        <w:spacing w:after="0" w:line="53" w:lineRule="exact"/>
        <w:rPr>
          <w:sz w:val="20"/>
          <w:szCs w:val="20"/>
          <w:color w:val="auto"/>
        </w:rPr>
      </w:pPr>
    </w:p>
    <w:p>
      <w:pPr>
        <w:ind w:left="1420"/>
        <w:spacing w:after="0"/>
        <w:rPr>
          <w:sz w:val="20"/>
          <w:szCs w:val="20"/>
          <w:color w:val="auto"/>
        </w:rPr>
      </w:pPr>
      <w:r>
        <w:rPr>
          <w:rFonts w:ascii="Arial" w:cs="Arial" w:eastAsia="Arial" w:hAnsi="Arial"/>
          <w:sz w:val="21"/>
          <w:szCs w:val="21"/>
          <w:color w:val="202E39"/>
        </w:rPr>
        <w:t>John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0"/>
        <w:spacing w:after="0"/>
        <w:rPr>
          <w:sz w:val="20"/>
          <w:szCs w:val="20"/>
          <w:color w:val="auto"/>
        </w:rPr>
      </w:pPr>
      <w:r>
        <w:rPr>
          <w:rFonts w:ascii="Arial" w:cs="Arial" w:eastAsia="Arial" w:hAnsi="Arial"/>
          <w:sz w:val="21"/>
          <w:szCs w:val="21"/>
          <w:color w:val="202E39"/>
        </w:rPr>
        <w:t>Theresa Wise,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104775</wp:posOffset>
            </wp:positionV>
            <wp:extent cx="4286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47" w:lineRule="auto"/>
        <w:rPr>
          <w:sz w:val="20"/>
          <w:szCs w:val="20"/>
          <w:color w:val="auto"/>
        </w:rPr>
      </w:pPr>
      <w:r>
        <w:rPr>
          <w:rFonts w:ascii="Arial" w:cs="Arial" w:eastAsia="Arial" w:hAnsi="Arial"/>
          <w:sz w:val="16"/>
          <w:szCs w:val="16"/>
          <w:color w:val="202E39"/>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ScribeRule, a private corporation. Mr. Stenbit previously served as a director of Cogent, Inc., SM&amp;A Corporation and SI International, Inc., as a member of the Advisory Board of the National Security Agency and of the Science Advisory Group of the U.S. Strategic Command.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-1443355</wp:posOffset>
            </wp:positionV>
            <wp:extent cx="8890" cy="2005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2005965"/>
                    </a:xfrm>
                    <a:prstGeom prst="rect">
                      <a:avLst/>
                    </a:prstGeom>
                    <a:noFill/>
                  </pic:spPr>
                </pic:pic>
              </a:graphicData>
            </a:graphic>
          </wp:anchor>
        </w:drawing>
      </w:r>
    </w:p>
    <w:p>
      <w:pPr>
        <w:spacing w:after="0" w:line="2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202E39"/>
        </w:rPr>
        <w:t>Mr. Stenbit provides our Board with significant technological, defense and national security expertise as a result of his distinguished career of corporate and government service focused on the communications, aerospace and satellite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152400</wp:posOffset>
            </wp:positionV>
            <wp:extent cx="8890" cy="1508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508760"/>
                    </a:xfrm>
                    <a:prstGeom prst="rect">
                      <a:avLst/>
                    </a:prstGeom>
                    <a:noFill/>
                  </pic:spPr>
                </pic:pic>
              </a:graphicData>
            </a:graphic>
          </wp:anchor>
        </w:drawing>
      </w:r>
    </w:p>
    <w:p>
      <w:pPr>
        <w:spacing w:after="0" w:line="2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02E39"/>
        </w:rPr>
        <w:t>Theresa Wise, Ph.D.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a number of positions at Northwest Airlines Corporation, a commercial airline, including serving as the company’s Chief Information Officer from 2001 until Northwest Airlines Corporation’s merger with Delta in 2008. Dr. Wise currently serves on the Board of Directors of Impinj, Inc., a manufacturer of radio-frequency identification devices and software, and TCF Financial Corporation, a financial services company. Dr. Wise received a B.A. degree in mathematics and chemistry from St. Olaf College and Ph.D. and M.S. degrees in applied math from Cornell University.</w:t>
      </w:r>
    </w:p>
    <w:p>
      <w:pPr>
        <w:spacing w:after="0" w:line="11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202E39"/>
        </w:rPr>
        <w:t>Dr. Wise provides our Board with expertise, perspective and proven experience in applying IT strategy and data analytics to advance end-user experiences.</w:t>
      </w:r>
    </w:p>
    <w:p>
      <w:pPr>
        <w:spacing w:after="0" w:line="336" w:lineRule="exact"/>
        <w:rPr>
          <w:sz w:val="20"/>
          <w:szCs w:val="20"/>
          <w:color w:val="auto"/>
        </w:rPr>
      </w:pPr>
    </w:p>
    <w:p>
      <w:pPr>
        <w:sectPr>
          <w:pgSz w:w="11900" w:h="16838" w:orient="portrait"/>
          <w:cols w:equalWidth="0" w:num="2">
            <w:col w:w="2620" w:space="280"/>
            <w:col w:w="8220"/>
          </w:cols>
          <w:pgMar w:left="320" w:top="459"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14</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 Directors with Terms Expiring in 2022</w:t>
      </w:r>
    </w:p>
    <w:p>
      <w:pPr>
        <w:spacing w:after="0" w:line="16" w:lineRule="exact"/>
        <w:rPr>
          <w:sz w:val="20"/>
          <w:szCs w:val="20"/>
          <w:color w:val="auto"/>
        </w:rPr>
      </w:pPr>
    </w:p>
    <w:p>
      <w:pPr>
        <w:ind w:left="120" w:right="60"/>
        <w:spacing w:after="0" w:line="247" w:lineRule="auto"/>
        <w:rPr>
          <w:sz w:val="20"/>
          <w:szCs w:val="20"/>
          <w:color w:val="auto"/>
        </w:rPr>
      </w:pPr>
      <w:r>
        <w:rPr>
          <w:rFonts w:ascii="Arial" w:cs="Arial" w:eastAsia="Arial" w:hAnsi="Arial"/>
          <w:sz w:val="16"/>
          <w:szCs w:val="16"/>
          <w:color w:val="202E39"/>
        </w:rPr>
        <w:t>Richard Baldridge has been a director of Viasat since 2016. Mr. Baldridge joined Viasat in April 1999, serving as our Executive Vice President, Chief Financial Officer and Chief Operating Officer from 2000 and as our Executive Vice President and Chief Operating Officer from 2002. Mr. Baldridge assumed his current role as President and Chief Operating Officer in 2003.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18"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Mr. Baldridge provides our Board with significant operational and financial expertise based on his roles at Viasat and other companies.</w:t>
      </w:r>
    </w:p>
    <w:p>
      <w:pPr>
        <w:spacing w:after="0" w:line="236"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and Co-Managing Partner of the San Francisco office.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w:t>
      </w:r>
      <w:r>
        <w:rPr>
          <w:rFonts w:ascii="Arial" w:cs="Arial" w:eastAsia="Arial" w:hAnsi="Arial"/>
          <w:sz w:val="16"/>
          <w:szCs w:val="16"/>
          <w:i w:val="1"/>
          <w:iCs w:val="1"/>
          <w:color w:val="202E39"/>
        </w:rPr>
        <w:t>cum laude</w:t>
      </w:r>
      <w:r>
        <w:rPr>
          <w:rFonts w:ascii="Arial" w:cs="Arial" w:eastAsia="Arial" w:hAnsi="Arial"/>
          <w:sz w:val="16"/>
          <w:szCs w:val="16"/>
          <w:color w:val="202E39"/>
        </w:rPr>
        <w:t>) from Harvard Law School, and B.S. and M. Eng. degrees in Electrical Engineering and Computer Science from MIT.</w:t>
      </w:r>
    </w:p>
    <w:p>
      <w:pPr>
        <w:spacing w:after="0" w:line="113" w:lineRule="exact"/>
        <w:rPr>
          <w:sz w:val="20"/>
          <w:szCs w:val="20"/>
          <w:color w:val="auto"/>
        </w:rPr>
      </w:pPr>
    </w:p>
    <w:p>
      <w:pPr>
        <w:jc w:val="both"/>
        <w:ind w:left="120" w:right="120"/>
        <w:spacing w:after="0" w:line="260" w:lineRule="auto"/>
        <w:rPr>
          <w:sz w:val="20"/>
          <w:szCs w:val="20"/>
          <w:color w:val="auto"/>
        </w:rPr>
      </w:pPr>
      <w:r>
        <w:rPr>
          <w:rFonts w:ascii="Arial" w:cs="Arial" w:eastAsia="Arial" w:hAnsi="Arial"/>
          <w:sz w:val="16"/>
          <w:szCs w:val="16"/>
          <w:color w:val="202E39"/>
        </w:rPr>
        <w:t>Mr. Pak provides our Board with significant expertise in intellectual property development, strategy and enforcement, along with technological and engineering expertise in satellite systems, electrical engineering and computer science.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22"/>
          <w:szCs w:val="22"/>
          <w:color w:val="202E39"/>
        </w:rPr>
        <w:t>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-155575</wp:posOffset>
            </wp:positionV>
            <wp:extent cx="1114425" cy="1645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442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202E39"/>
        </w:rPr>
        <w:t>2016</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22"/>
          <w:szCs w:val="22"/>
          <w:color w:val="202E39"/>
        </w:rPr>
        <w:t>Sean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-155575</wp:posOffset>
            </wp:positionV>
            <wp:extent cx="1114425" cy="1508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4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202E39"/>
        </w:rPr>
        <w:t>2018</w:t>
      </w:r>
    </w:p>
    <w:p>
      <w:pPr>
        <w:spacing w:after="0" w:line="200" w:lineRule="exact"/>
        <w:rPr>
          <w:sz w:val="20"/>
          <w:szCs w:val="20"/>
          <w:color w:val="auto"/>
        </w:rPr>
      </w:pPr>
    </w:p>
    <w:p>
      <w:pPr>
        <w:sectPr>
          <w:pgSz w:w="11900" w:h="16838" w:orient="portrait"/>
          <w:cols w:equalWidth="0" w:num="2">
            <w:col w:w="8560" w:space="160"/>
            <w:col w:w="2420"/>
          </w:cols>
          <w:pgMar w:left="320" w:top="459" w:right="439" w:bottom="1440" w:gutter="0" w:footer="0" w:header="0"/>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election of Mr. Dankberg and Ms. Rao.</w:t>
      </w:r>
    </w:p>
    <w:p>
      <w:pPr>
        <w:spacing w:after="0" w:line="15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15</w:t>
            </w:r>
          </w:p>
        </w:tc>
      </w:tr>
    </w:tbl>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2:</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Ratification of Appointment of Independent Registered Public Accounting Firm</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2021.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94"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Principal Accountant Fees and Services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is a summary of the PricewaterhouseCoopers fees for professional services rendered for the fiscal years ended March 31, 2020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March 31, 2019:</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231"/>
        </w:trPr>
        <w:tc>
          <w:tcPr>
            <w:tcW w:w="3900" w:type="dxa"/>
            <w:vAlign w:val="bottom"/>
            <w:tcBorders>
              <w:top w:val="single" w:sz="8" w:color="E8EAEB"/>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Fee Category</w:t>
            </w:r>
          </w:p>
        </w:tc>
        <w:tc>
          <w:tcPr>
            <w:tcW w:w="2680" w:type="dxa"/>
            <w:vAlign w:val="bottom"/>
            <w:tcBorders>
              <w:top w:val="single" w:sz="8" w:color="E8EAEB"/>
              <w:right w:val="single" w:sz="8" w:color="E8EAEB"/>
            </w:tcBorders>
          </w:tcPr>
          <w:p>
            <w:pPr>
              <w:jc w:val="right"/>
              <w:ind w:right="721"/>
              <w:spacing w:after="0"/>
              <w:rPr>
                <w:sz w:val="20"/>
                <w:szCs w:val="20"/>
                <w:color w:val="auto"/>
              </w:rPr>
            </w:pPr>
            <w:r>
              <w:rPr>
                <w:rFonts w:ascii="Arial" w:cs="Arial" w:eastAsia="Arial" w:hAnsi="Arial"/>
                <w:sz w:val="14"/>
                <w:szCs w:val="14"/>
                <w:b w:val="1"/>
                <w:bCs w:val="1"/>
                <w:color w:val="009FE3"/>
              </w:rPr>
              <w:t>FY 2020 Fees ($)</w:t>
            </w:r>
          </w:p>
        </w:tc>
        <w:tc>
          <w:tcPr>
            <w:tcW w:w="2680" w:type="dxa"/>
            <w:vAlign w:val="bottom"/>
            <w:tcBorders>
              <w:top w:val="single" w:sz="8" w:color="E8EAEB"/>
            </w:tcBorders>
          </w:tcPr>
          <w:p>
            <w:pPr>
              <w:jc w:val="right"/>
              <w:ind w:right="701"/>
              <w:spacing w:after="0"/>
              <w:rPr>
                <w:sz w:val="20"/>
                <w:szCs w:val="20"/>
                <w:color w:val="auto"/>
              </w:rPr>
            </w:pPr>
            <w:r>
              <w:rPr>
                <w:rFonts w:ascii="Arial" w:cs="Arial" w:eastAsia="Arial" w:hAnsi="Arial"/>
                <w:sz w:val="14"/>
                <w:szCs w:val="14"/>
                <w:b w:val="1"/>
                <w:bCs w:val="1"/>
                <w:color w:val="009FE3"/>
              </w:rPr>
              <w:t>FY 2019 Fees ($)</w:t>
            </w:r>
          </w:p>
        </w:tc>
      </w:tr>
      <w:tr>
        <w:trPr>
          <w:trHeight w:val="39"/>
        </w:trPr>
        <w:tc>
          <w:tcPr>
            <w:tcW w:w="3900" w:type="dxa"/>
            <w:vAlign w:val="bottom"/>
            <w:tcBorders>
              <w:bottom w:val="single" w:sz="8" w:color="009FE3"/>
              <w:right w:val="single" w:sz="8" w:color="E8EAEB"/>
            </w:tcBorders>
          </w:tcPr>
          <w:p>
            <w:pPr>
              <w:spacing w:after="0"/>
              <w:rPr>
                <w:sz w:val="3"/>
                <w:szCs w:val="3"/>
                <w:color w:val="auto"/>
              </w:rPr>
            </w:pPr>
          </w:p>
        </w:tc>
        <w:tc>
          <w:tcPr>
            <w:tcW w:w="2680" w:type="dxa"/>
            <w:vAlign w:val="bottom"/>
            <w:tcBorders>
              <w:bottom w:val="single" w:sz="8" w:color="009FE3"/>
              <w:right w:val="single" w:sz="8" w:color="E8EAEB"/>
            </w:tcBorders>
          </w:tcPr>
          <w:p>
            <w:pPr>
              <w:spacing w:after="0"/>
              <w:rPr>
                <w:sz w:val="3"/>
                <w:szCs w:val="3"/>
                <w:color w:val="auto"/>
              </w:rPr>
            </w:pPr>
          </w:p>
        </w:tc>
        <w:tc>
          <w:tcPr>
            <w:tcW w:w="2680" w:type="dxa"/>
            <w:vAlign w:val="bottom"/>
            <w:tcBorders>
              <w:bottom w:val="single" w:sz="8" w:color="009FE3"/>
            </w:tcBorders>
          </w:tcPr>
          <w:p>
            <w:pPr>
              <w:spacing w:after="0"/>
              <w:rPr>
                <w:sz w:val="3"/>
                <w:szCs w:val="3"/>
                <w:color w:val="auto"/>
              </w:rPr>
            </w:pPr>
          </w:p>
        </w:tc>
      </w:tr>
      <w:tr>
        <w:trPr>
          <w:trHeight w:val="271"/>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 Fees</w:t>
            </w:r>
          </w:p>
        </w:tc>
        <w:tc>
          <w:tcPr>
            <w:tcW w:w="26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3,296,129</w:t>
            </w:r>
          </w:p>
        </w:tc>
        <w:tc>
          <w:tcPr>
            <w:tcW w:w="268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2,996,589</w:t>
            </w:r>
          </w:p>
        </w:tc>
      </w:tr>
      <w:tr>
        <w:trPr>
          <w:trHeight w:val="277"/>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Audit-Related Fees</w:t>
            </w:r>
          </w:p>
        </w:tc>
        <w:tc>
          <w:tcPr>
            <w:tcW w:w="26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135,000</w:t>
            </w:r>
          </w:p>
        </w:tc>
        <w:tc>
          <w:tcPr>
            <w:tcW w:w="2680" w:type="dxa"/>
            <w:vAlign w:val="bottom"/>
            <w:tcBorders>
              <w:bottom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r>
      <w:tr>
        <w:trPr>
          <w:trHeight w:val="277"/>
        </w:trPr>
        <w:tc>
          <w:tcPr>
            <w:tcW w:w="3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Tax Fees</w:t>
            </w:r>
          </w:p>
        </w:tc>
        <w:tc>
          <w:tcPr>
            <w:tcW w:w="268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23,983</w:t>
            </w:r>
          </w:p>
        </w:tc>
        <w:tc>
          <w:tcPr>
            <w:tcW w:w="268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94,550</w:t>
            </w:r>
          </w:p>
        </w:tc>
      </w:tr>
      <w:tr>
        <w:trPr>
          <w:trHeight w:val="277"/>
        </w:trPr>
        <w:tc>
          <w:tcPr>
            <w:tcW w:w="3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Fees</w:t>
            </w:r>
          </w:p>
        </w:tc>
        <w:tc>
          <w:tcPr>
            <w:tcW w:w="2680" w:type="dxa"/>
            <w:vAlign w:val="bottom"/>
            <w:tcBorders>
              <w:bottom w:val="single" w:sz="8" w:color="009FE3"/>
              <w:right w:val="single" w:sz="8" w:color="E8EAEB"/>
            </w:tcBorders>
          </w:tcPr>
          <w:p>
            <w:pPr>
              <w:jc w:val="right"/>
              <w:ind w:right="121"/>
              <w:spacing w:after="0"/>
              <w:rPr>
                <w:sz w:val="20"/>
                <w:szCs w:val="20"/>
                <w:color w:val="auto"/>
              </w:rPr>
            </w:pPr>
            <w:r>
              <w:rPr>
                <w:rFonts w:ascii="Arial" w:cs="Arial" w:eastAsia="Arial" w:hAnsi="Arial"/>
                <w:sz w:val="16"/>
                <w:szCs w:val="16"/>
                <w:color w:val="202E39"/>
              </w:rPr>
              <w:t>19,714</w:t>
            </w:r>
          </w:p>
        </w:tc>
        <w:tc>
          <w:tcPr>
            <w:tcW w:w="2680" w:type="dxa"/>
            <w:vAlign w:val="bottom"/>
            <w:tcBorders>
              <w:bottom w:val="single" w:sz="8" w:color="009FE3"/>
            </w:tcBorders>
          </w:tcPr>
          <w:p>
            <w:pPr>
              <w:jc w:val="right"/>
              <w:ind w:right="101"/>
              <w:spacing w:after="0"/>
              <w:rPr>
                <w:sz w:val="20"/>
                <w:szCs w:val="20"/>
                <w:color w:val="auto"/>
              </w:rPr>
            </w:pPr>
            <w:r>
              <w:rPr>
                <w:rFonts w:ascii="Arial" w:cs="Arial" w:eastAsia="Arial" w:hAnsi="Arial"/>
                <w:sz w:val="16"/>
                <w:szCs w:val="16"/>
                <w:color w:val="202E39"/>
              </w:rPr>
              <w:t>13,100</w:t>
            </w:r>
          </w:p>
        </w:tc>
      </w:tr>
      <w:tr>
        <w:trPr>
          <w:trHeight w:val="277"/>
        </w:trPr>
        <w:tc>
          <w:tcPr>
            <w:tcW w:w="3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 Fees</w:t>
            </w:r>
          </w:p>
        </w:tc>
        <w:tc>
          <w:tcPr>
            <w:tcW w:w="2680" w:type="dxa"/>
            <w:vAlign w:val="bottom"/>
            <w:tcBorders>
              <w:bottom w:val="single" w:sz="8" w:color="009FE3"/>
              <w:right w:val="single" w:sz="8" w:color="E8EAEB"/>
            </w:tcBorders>
          </w:tcPr>
          <w:p>
            <w:pPr>
              <w:jc w:val="right"/>
              <w:ind w:right="121"/>
              <w:spacing w:after="0"/>
              <w:rPr>
                <w:sz w:val="20"/>
                <w:szCs w:val="20"/>
                <w:color w:val="auto"/>
              </w:rPr>
            </w:pPr>
            <w:r>
              <w:rPr>
                <w:rFonts w:ascii="Arial" w:cs="Arial" w:eastAsia="Arial" w:hAnsi="Arial"/>
                <w:sz w:val="16"/>
                <w:szCs w:val="16"/>
                <w:color w:val="202E39"/>
              </w:rPr>
              <w:t>3,474,826</w:t>
            </w:r>
          </w:p>
        </w:tc>
        <w:tc>
          <w:tcPr>
            <w:tcW w:w="2680" w:type="dxa"/>
            <w:vAlign w:val="bottom"/>
            <w:tcBorders>
              <w:bottom w:val="single" w:sz="8" w:color="009FE3"/>
            </w:tcBorders>
          </w:tcPr>
          <w:p>
            <w:pPr>
              <w:jc w:val="right"/>
              <w:ind w:right="101"/>
              <w:spacing w:after="0"/>
              <w:rPr>
                <w:sz w:val="20"/>
                <w:szCs w:val="20"/>
                <w:color w:val="auto"/>
              </w:rPr>
            </w:pPr>
            <w:r>
              <w:rPr>
                <w:rFonts w:ascii="Arial" w:cs="Arial" w:eastAsia="Arial" w:hAnsi="Arial"/>
                <w:sz w:val="16"/>
                <w:szCs w:val="16"/>
                <w:color w:val="202E39"/>
              </w:rPr>
              <w:t>3,104,239</w:t>
            </w:r>
          </w:p>
        </w:tc>
      </w:tr>
    </w:tbl>
    <w:p>
      <w:pPr>
        <w:spacing w:after="0" w:line="94" w:lineRule="exact"/>
        <w:rPr>
          <w:sz w:val="20"/>
          <w:szCs w:val="20"/>
          <w:color w:val="auto"/>
        </w:rPr>
      </w:pPr>
    </w:p>
    <w:p>
      <w:pPr>
        <w:ind w:left="120" w:right="40"/>
        <w:spacing w:after="0" w:line="263" w:lineRule="auto"/>
        <w:rPr>
          <w:sz w:val="20"/>
          <w:szCs w:val="20"/>
          <w:color w:val="auto"/>
        </w:rPr>
      </w:pPr>
      <w:r>
        <w:rPr>
          <w:rFonts w:ascii="Arial" w:cs="Arial" w:eastAsia="Arial" w:hAnsi="Arial"/>
          <w:sz w:val="16"/>
          <w:szCs w:val="16"/>
          <w:i w:val="1"/>
          <w:iCs w:val="1"/>
          <w:color w:val="009FE3"/>
        </w:rPr>
        <w:t xml:space="preserve">Audit Fees. </w:t>
      </w:r>
      <w:r>
        <w:rPr>
          <w:rFonts w:ascii="Arial" w:cs="Arial" w:eastAsia="Arial" w:hAnsi="Arial"/>
          <w:sz w:val="16"/>
          <w:szCs w:val="16"/>
          <w:color w:val="202E39"/>
        </w:rPr>
        <w:t>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70"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009FE3"/>
        </w:rPr>
        <w:t xml:space="preserve">Audit-Related Fees. </w:t>
      </w:r>
      <w:r>
        <w:rPr>
          <w:rFonts w:ascii="Arial" w:cs="Arial" w:eastAsia="Arial" w:hAnsi="Arial"/>
          <w:sz w:val="16"/>
          <w:szCs w:val="16"/>
          <w:color w:val="202E39"/>
        </w:rPr>
        <w:t>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70" w:lineRule="exact"/>
        <w:rPr>
          <w:sz w:val="20"/>
          <w:szCs w:val="20"/>
          <w:color w:val="auto"/>
        </w:rPr>
      </w:pPr>
    </w:p>
    <w:p>
      <w:pPr>
        <w:ind w:left="120" w:right="120"/>
        <w:spacing w:after="0" w:line="263" w:lineRule="auto"/>
        <w:rPr>
          <w:sz w:val="20"/>
          <w:szCs w:val="20"/>
          <w:color w:val="auto"/>
        </w:rPr>
      </w:pPr>
      <w:r>
        <w:rPr>
          <w:rFonts w:ascii="Arial" w:cs="Arial" w:eastAsia="Arial" w:hAnsi="Arial"/>
          <w:sz w:val="16"/>
          <w:szCs w:val="16"/>
          <w:i w:val="1"/>
          <w:iCs w:val="1"/>
          <w:color w:val="009FE3"/>
        </w:rPr>
        <w:t xml:space="preserve">Tax Fees. </w:t>
      </w:r>
      <w:r>
        <w:rPr>
          <w:rFonts w:ascii="Arial" w:cs="Arial" w:eastAsia="Arial" w:hAnsi="Arial"/>
          <w:sz w:val="16"/>
          <w:szCs w:val="16"/>
          <w:color w:val="202E39"/>
        </w:rPr>
        <w:t>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70" w:lineRule="exact"/>
        <w:rPr>
          <w:sz w:val="20"/>
          <w:szCs w:val="20"/>
          <w:color w:val="auto"/>
        </w:rPr>
      </w:pPr>
    </w:p>
    <w:p>
      <w:pPr>
        <w:ind w:left="120" w:right="540"/>
        <w:spacing w:after="0" w:line="281" w:lineRule="auto"/>
        <w:rPr>
          <w:sz w:val="20"/>
          <w:szCs w:val="20"/>
          <w:color w:val="auto"/>
        </w:rPr>
      </w:pPr>
      <w:r>
        <w:rPr>
          <w:rFonts w:ascii="Arial" w:cs="Arial" w:eastAsia="Arial" w:hAnsi="Arial"/>
          <w:sz w:val="16"/>
          <w:szCs w:val="16"/>
          <w:i w:val="1"/>
          <w:iCs w:val="1"/>
          <w:color w:val="009FE3"/>
        </w:rPr>
        <w:t xml:space="preserve">All Other Fees. </w:t>
      </w:r>
      <w:r>
        <w:rPr>
          <w:rFonts w:ascii="Arial" w:cs="Arial" w:eastAsia="Arial" w:hAnsi="Arial"/>
          <w:sz w:val="16"/>
          <w:szCs w:val="16"/>
          <w:color w:val="202E39"/>
        </w:rPr>
        <w:t>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69850</wp:posOffset>
            </wp:positionV>
            <wp:extent cx="42862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2 • </w:t>
      </w:r>
      <w:r>
        <w:rPr>
          <w:rFonts w:ascii="Arial" w:cs="Arial" w:eastAsia="Arial" w:hAnsi="Arial"/>
          <w:sz w:val="14"/>
          <w:szCs w:val="14"/>
          <w:color w:val="202E39"/>
        </w:rPr>
        <w:t>Ratification of Appointment of Independent Registered Public Accounting Firm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Pre-Approval Policy of the Audit Committee</w:t>
      </w:r>
    </w:p>
    <w:p>
      <w:pPr>
        <w:spacing w:after="0" w:line="12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2020, the fees paid to PricewaterhouseCoopers shown in the table above were pre-approved in accordance with this policy.</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2021.</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17</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Advisory Vote On Executive Compensation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79" w:lineRule="exact"/>
        <w:rPr>
          <w:sz w:val="20"/>
          <w:szCs w:val="20"/>
          <w:color w:val="auto"/>
        </w:rPr>
      </w:pPr>
    </w:p>
    <w:p>
      <w:pPr>
        <w:ind w:left="120" w:right="200"/>
        <w:spacing w:after="0" w:line="263" w:lineRule="auto"/>
        <w:rPr>
          <w:sz w:val="20"/>
          <w:szCs w:val="20"/>
          <w:color w:val="auto"/>
        </w:rPr>
      </w:pPr>
      <w:r>
        <w:rPr>
          <w:rFonts w:ascii="Arial" w:cs="Arial" w:eastAsia="Arial" w:hAnsi="Arial"/>
          <w:sz w:val="16"/>
          <w:szCs w:val="16"/>
          <w:i w:val="1"/>
          <w:iCs w:val="1"/>
          <w:color w:val="009FE3"/>
        </w:rPr>
        <w:t xml:space="preserve">Stockholder Engagement and Responsiveness. </w:t>
      </w:r>
      <w:r>
        <w:rPr>
          <w:rFonts w:ascii="Arial" w:cs="Arial" w:eastAsia="Arial" w:hAnsi="Arial"/>
          <w:sz w:val="16"/>
          <w:szCs w:val="16"/>
          <w:color w:val="202E39"/>
        </w:rPr>
        <w:t>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our governance and compensation practices, and to address any concerns they may have. During fiscal year 2020, we engaged in substantive conversations with stockholders representing approximately 73% of our total outstanding common stock.</w:t>
      </w:r>
    </w:p>
    <w:p>
      <w:pPr>
        <w:spacing w:after="0" w:line="86"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202E39"/>
        </w:rPr>
        <w:t>Our Board of Directors has demonstrated responsiveness to feedback received during these discussions through the recent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0341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1797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FFFFFF"/>
        </w:rPr>
        <w:t>What We Heard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Did</w:t>
      </w:r>
    </w:p>
    <w:p>
      <w:pPr>
        <w:spacing w:after="0" w:line="55" w:lineRule="exact"/>
        <w:rPr>
          <w:sz w:val="20"/>
          <w:szCs w:val="20"/>
          <w:color w:val="auto"/>
        </w:rPr>
      </w:pPr>
    </w:p>
    <w:p>
      <w:pPr>
        <w:sectPr>
          <w:pgSz w:w="11900" w:h="16838" w:orient="portrait"/>
          <w:cols w:equalWidth="0" w:num="2">
            <w:col w:w="7280" w:space="720"/>
            <w:col w:w="31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4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annual grants in fiscal years 2019 and</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2021</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around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Included enhanced peer group disclosure in 2020 proxy statement,</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including changes made to fiscal year 2021 peers</w:t>
            </w:r>
          </w:p>
        </w:tc>
      </w:tr>
      <w:tr>
        <w:trPr>
          <w:trHeight w:val="251"/>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 as a</w:t>
            </w:r>
          </w:p>
        </w:tc>
      </w:tr>
      <w:tr>
        <w:trPr>
          <w:trHeight w:val="198"/>
        </w:trPr>
        <w:tc>
          <w:tcPr>
            <w:tcW w:w="5560" w:type="dxa"/>
            <w:vAlign w:val="bottom"/>
            <w:tcBorders>
              <w:bottom w:val="single" w:sz="8" w:color="009FE3"/>
            </w:tcBorders>
            <w:shd w:val="clear" w:color="auto" w:fill="EDEEEF"/>
          </w:tcPr>
          <w:p>
            <w:pPr>
              <w:spacing w:after="0"/>
              <w:rPr>
                <w:sz w:val="17"/>
                <w:szCs w:val="17"/>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 of an executive officer’s misconduct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-2056765</wp:posOffset>
            </wp:positionV>
            <wp:extent cx="6995160" cy="2057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057400"/>
                    </a:xfrm>
                    <a:prstGeom prst="rect">
                      <a:avLst/>
                    </a:prstGeom>
                    <a:noFill/>
                  </pic:spPr>
                </pic:pic>
              </a:graphicData>
            </a:graphic>
          </wp:anchor>
        </w:drawing>
      </w:r>
    </w:p>
    <w:p>
      <w:pPr>
        <w:spacing w:after="0" w:line="90"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202E39"/>
        </w:rPr>
        <w:t>These changes are described more fully in the Compensation Discussion and Analysis section of this proxy statement. 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77"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i w:val="1"/>
          <w:iCs w:val="1"/>
          <w:color w:val="009FE3"/>
        </w:rPr>
        <w:t xml:space="preserve">Executive Compensation Philosophy. </w:t>
      </w:r>
      <w:r>
        <w:rPr>
          <w:rFonts w:ascii="Arial" w:cs="Arial" w:eastAsia="Arial" w:hAnsi="Arial"/>
          <w:sz w:val="16"/>
          <w:szCs w:val="16"/>
          <w:color w:val="202E39"/>
        </w:rPr>
        <w:t>Our executive compensation program has been designed to encourage high performance, promote accountability</w:t>
      </w:r>
      <w:r>
        <w:rPr>
          <w:rFonts w:ascii="Arial" w:cs="Arial" w:eastAsia="Arial" w:hAnsi="Arial"/>
          <w:sz w:val="16"/>
          <w:szCs w:val="16"/>
          <w:i w:val="1"/>
          <w:iCs w:val="1"/>
          <w:color w:val="009FE3"/>
        </w:rPr>
        <w:t xml:space="preserve"> </w:t>
      </w:r>
      <w:r>
        <w:rPr>
          <w:rFonts w:ascii="Arial" w:cs="Arial" w:eastAsia="Arial" w:hAnsi="Arial"/>
          <w:sz w:val="16"/>
          <w:szCs w:val="16"/>
          <w:color w:val="202E39"/>
        </w:rPr>
        <w:t>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88265</wp:posOffset>
            </wp:positionV>
            <wp:extent cx="4286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18</w:t>
      </w:r>
    </w:p>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280"/>
        <w:spacing w:after="0"/>
        <w:rPr>
          <w:sz w:val="20"/>
          <w:szCs w:val="20"/>
          <w:color w:val="auto"/>
        </w:rPr>
      </w:pPr>
      <w:r>
        <w:rPr>
          <w:rFonts w:ascii="Arial" w:cs="Arial" w:eastAsia="Arial" w:hAnsi="Arial"/>
          <w:sz w:val="14"/>
          <w:szCs w:val="14"/>
          <w:color w:val="009FE3"/>
        </w:rPr>
        <w:t xml:space="preserve">PROPOSAL 3 • </w:t>
      </w:r>
      <w:r>
        <w:rPr>
          <w:rFonts w:ascii="Arial" w:cs="Arial" w:eastAsia="Arial" w:hAnsi="Arial"/>
          <w:sz w:val="14"/>
          <w:szCs w:val="14"/>
          <w:color w:val="202E39"/>
        </w:rPr>
        <w:t>Advisory Vote On Executive Compensation</w:t>
      </w:r>
    </w:p>
    <w:p>
      <w:pPr>
        <w:spacing w:after="0" w:line="14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We request stockholder approval, on an advisory basis, of the compensation of Viasat’s Named Executive Officers, as disclosed in Viasat’s proxy statement for the 2020 annual meeting of stockholders pursuant to the compensation disclosure rules of the SEC, including the Compensation Discussion and Analysis, the Summary Compensation Table and the other related compensation tables and disclosures.</w:t>
      </w:r>
    </w:p>
    <w:p>
      <w:pPr>
        <w:spacing w:after="0" w:line="93" w:lineRule="exact"/>
        <w:rPr>
          <w:sz w:val="20"/>
          <w:szCs w:val="20"/>
          <w:color w:val="auto"/>
        </w:rPr>
      </w:pPr>
    </w:p>
    <w:p>
      <w:pPr>
        <w:ind w:left="120" w:right="380"/>
        <w:spacing w:after="0" w:line="260" w:lineRule="auto"/>
        <w:rPr>
          <w:sz w:val="20"/>
          <w:szCs w:val="20"/>
          <w:color w:val="auto"/>
        </w:rPr>
      </w:pPr>
      <w:r>
        <w:rPr>
          <w:rFonts w:ascii="Arial" w:cs="Arial" w:eastAsia="Arial" w:hAnsi="Arial"/>
          <w:sz w:val="16"/>
          <w:szCs w:val="16"/>
          <w:color w:val="202E39"/>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87"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2021 annual meeting of stockholders.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the Named Executive Officers as disclosed in this proxy statement.</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19</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Amendment and Restatement of the 1996 Equity Participation Plan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15, 2020, our Board of Directors approved the Restated Equity Plan, subject to stockholder approval at the annual meeting. The Restated Equity Plan will become effective on the day of the annual meeting, assuming approval of this Proposal 4 by our stockholders.</w:t>
      </w:r>
    </w:p>
    <w:p>
      <w:pPr>
        <w:spacing w:after="0" w:line="78" w:lineRule="exact"/>
        <w:rPr>
          <w:sz w:val="20"/>
          <w:szCs w:val="20"/>
          <w:color w:val="auto"/>
        </w:rPr>
      </w:pPr>
    </w:p>
    <w:p>
      <w:pPr>
        <w:ind w:left="120"/>
        <w:spacing w:after="0"/>
        <w:tabs>
          <w:tab w:leader="none" w:pos="2800" w:val="left"/>
        </w:tabs>
        <w:rPr>
          <w:sz w:val="20"/>
          <w:szCs w:val="20"/>
          <w:color w:val="auto"/>
        </w:rPr>
      </w:pPr>
      <w:r>
        <w:rPr>
          <w:rFonts w:ascii="Arial" w:cs="Arial" w:eastAsia="Arial" w:hAnsi="Arial"/>
          <w:sz w:val="16"/>
          <w:szCs w:val="16"/>
          <w:i w:val="1"/>
          <w:iCs w:val="1"/>
          <w:color w:val="009FE3"/>
        </w:rPr>
        <w:t>Summary of Material Amendments.</w:t>
      </w:r>
      <w:r>
        <w:rPr>
          <w:sz w:val="20"/>
          <w:szCs w:val="20"/>
          <w:color w:val="auto"/>
        </w:rPr>
        <w:tab/>
      </w:r>
      <w:r>
        <w:rPr>
          <w:rFonts w:ascii="Arial" w:cs="Arial" w:eastAsia="Arial" w:hAnsi="Arial"/>
          <w:sz w:val="16"/>
          <w:szCs w:val="16"/>
          <w:color w:val="202E39"/>
        </w:rPr>
        <w:t>The Restated Equity Plan will implement the following material changes:</w:t>
      </w:r>
    </w:p>
    <w:p>
      <w:pPr>
        <w:spacing w:after="0" w:line="127" w:lineRule="exact"/>
        <w:rPr>
          <w:sz w:val="20"/>
          <w:szCs w:val="20"/>
          <w:color w:val="auto"/>
        </w:rPr>
      </w:pPr>
    </w:p>
    <w:p>
      <w:pPr>
        <w:ind w:left="660" w:right="80" w:hanging="220"/>
        <w:spacing w:after="0" w:line="253" w:lineRule="auto"/>
        <w:tabs>
          <w:tab w:leader="none" w:pos="66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Increase in Share Reserve. </w:t>
      </w:r>
      <w:r>
        <w:rPr>
          <w:rFonts w:ascii="Arial" w:cs="Arial" w:eastAsia="Arial" w:hAnsi="Arial"/>
          <w:sz w:val="16"/>
          <w:szCs w:val="16"/>
          <w:color w:val="202E39"/>
        </w:rPr>
        <w:t>If approved by the stockholders, the Restated Equity Plan will provide for an increase of 2,675,000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As of July 1, 2020, approximately 3,108,026 shares remained available for issuance under the Equity Plan, which is insufficient to meet our forecasted needs during the next year. After carefully forecasting our anticipated workforce, we believe that this increase will be sufficient for at least one year’s worth of equity-based grants under our current compensation program. The Board will continue to evaluate equity needs in the context of the business and broader compensation program in the future.</w:t>
      </w:r>
    </w:p>
    <w:p>
      <w:pPr>
        <w:spacing w:after="0" w:line="37" w:lineRule="exact"/>
        <w:rPr>
          <w:rFonts w:ascii="Arial" w:cs="Arial" w:eastAsia="Arial" w:hAnsi="Arial"/>
          <w:sz w:val="16"/>
          <w:szCs w:val="16"/>
          <w:color w:val="009FE3"/>
        </w:rPr>
      </w:pPr>
    </w:p>
    <w:p>
      <w:pPr>
        <w:ind w:left="660" w:right="20" w:hanging="220"/>
        <w:spacing w:after="0" w:line="271" w:lineRule="auto"/>
        <w:tabs>
          <w:tab w:leader="none" w:pos="66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Extension of Time Period for Granting Incentive Stock Options. </w:t>
      </w:r>
      <w:r>
        <w:rPr>
          <w:rFonts w:ascii="Arial" w:cs="Arial" w:eastAsia="Arial" w:hAnsi="Arial"/>
          <w:sz w:val="16"/>
          <w:szCs w:val="16"/>
          <w:color w:val="202E39"/>
        </w:rPr>
        <w:t>The Restated Equity Plan will permit the granting of stock options that are</w:t>
      </w:r>
      <w:r>
        <w:rPr>
          <w:rFonts w:ascii="Arial" w:cs="Arial" w:eastAsia="Arial" w:hAnsi="Arial"/>
          <w:sz w:val="16"/>
          <w:szCs w:val="16"/>
          <w:i w:val="1"/>
          <w:iCs w:val="1"/>
          <w:color w:val="202E39"/>
        </w:rPr>
        <w:t xml:space="preserve"> </w:t>
      </w:r>
      <w:r>
        <w:rPr>
          <w:rFonts w:ascii="Arial" w:cs="Arial" w:eastAsia="Arial" w:hAnsi="Arial"/>
          <w:sz w:val="16"/>
          <w:szCs w:val="16"/>
          <w:color w:val="202E39"/>
        </w:rPr>
        <w:t>intended to qualify as incentive stock options, or ISOs, as defined under Section 422 of the Internal Revenue Code, or the Code, through June 15, 2030.</w:t>
      </w:r>
    </w:p>
    <w:p>
      <w:pPr>
        <w:spacing w:after="0" w:line="218" w:lineRule="exact"/>
        <w:rPr>
          <w:rFonts w:ascii="Arial" w:cs="Arial" w:eastAsia="Arial" w:hAnsi="Arial"/>
          <w:sz w:val="16"/>
          <w:szCs w:val="16"/>
          <w:color w:val="009FE3"/>
        </w:rPr>
      </w:pPr>
    </w:p>
    <w:p>
      <w:pPr>
        <w:ind w:left="660" w:right="660" w:hanging="220"/>
        <w:spacing w:after="0" w:line="263" w:lineRule="auto"/>
        <w:tabs>
          <w:tab w:leader="none" w:pos="660" w:val="left"/>
        </w:tabs>
        <w:numPr>
          <w:ilvl w:val="0"/>
          <w:numId w:val="13"/>
        </w:numPr>
        <w:rPr>
          <w:rFonts w:ascii="Arial" w:cs="Arial" w:eastAsia="Arial" w:hAnsi="Arial"/>
          <w:sz w:val="16"/>
          <w:szCs w:val="16"/>
          <w:color w:val="009FE3"/>
        </w:rPr>
      </w:pPr>
      <w:r>
        <w:rPr>
          <w:rFonts w:ascii="Arial" w:cs="Arial" w:eastAsia="Arial" w:hAnsi="Arial"/>
          <w:sz w:val="16"/>
          <w:szCs w:val="16"/>
          <w:i w:val="1"/>
          <w:iCs w:val="1"/>
          <w:color w:val="202E39"/>
        </w:rPr>
        <w:t xml:space="preserve">Amendment of Certain Vesting Provisions. </w:t>
      </w:r>
      <w:r>
        <w:rPr>
          <w:rFonts w:ascii="Arial" w:cs="Arial" w:eastAsia="Arial" w:hAnsi="Arial"/>
          <w:sz w:val="16"/>
          <w:szCs w:val="16"/>
          <w:color w:val="202E39"/>
        </w:rPr>
        <w:t>The Restated Equity Plan provides that annual, formulaic equity awards granted to our</w:t>
      </w:r>
      <w:r>
        <w:rPr>
          <w:rFonts w:ascii="Arial" w:cs="Arial" w:eastAsia="Arial" w:hAnsi="Arial"/>
          <w:sz w:val="16"/>
          <w:szCs w:val="16"/>
          <w:i w:val="1"/>
          <w:iCs w:val="1"/>
          <w:color w:val="202E39"/>
        </w:rPr>
        <w:t xml:space="preserve"> </w:t>
      </w:r>
      <w:r>
        <w:rPr>
          <w:rFonts w:ascii="Arial" w:cs="Arial" w:eastAsia="Arial" w:hAnsi="Arial"/>
          <w:sz w:val="16"/>
          <w:szCs w:val="16"/>
          <w:color w:val="202E39"/>
        </w:rPr>
        <w:t>non-employee directors will vest upon death, disability or a change in control, and adds certain limited exceptions to the minimum vesting provision in the plan.</w:t>
      </w:r>
    </w:p>
    <w:p>
      <w:pPr>
        <w:spacing w:after="0" w:line="70"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6"/>
          <w:szCs w:val="16"/>
          <w:i w:val="1"/>
          <w:iCs w:val="1"/>
          <w:color w:val="009FE3"/>
        </w:rPr>
        <w:t>Stockholder Approval Requirement.</w:t>
      </w:r>
      <w:r>
        <w:rPr>
          <w:sz w:val="20"/>
          <w:szCs w:val="20"/>
          <w:color w:val="auto"/>
        </w:rPr>
        <w:tab/>
      </w:r>
      <w:r>
        <w:rPr>
          <w:rFonts w:ascii="Arial" w:cs="Arial" w:eastAsia="Arial" w:hAnsi="Arial"/>
          <w:sz w:val="16"/>
          <w:szCs w:val="16"/>
          <w:color w:val="202E39"/>
        </w:rPr>
        <w:t>In general, stockholder approval of the Restated Equity Plan will implement the foregoing changes while</w:t>
      </w:r>
    </w:p>
    <w:p>
      <w:pPr>
        <w:spacing w:after="0" w:line="21" w:lineRule="exact"/>
        <w:rPr>
          <w:sz w:val="20"/>
          <w:szCs w:val="20"/>
          <w:color w:val="auto"/>
        </w:rPr>
      </w:pPr>
    </w:p>
    <w:p>
      <w:pPr>
        <w:ind w:left="120" w:right="60" w:hanging="4"/>
        <w:spacing w:after="0" w:line="260" w:lineRule="auto"/>
        <w:tabs>
          <w:tab w:leader="none" w:pos="363" w:val="left"/>
        </w:tabs>
        <w:numPr>
          <w:ilvl w:val="0"/>
          <w:numId w:val="14"/>
        </w:numPr>
        <w:rPr>
          <w:rFonts w:ascii="Arial" w:cs="Arial" w:eastAsia="Arial" w:hAnsi="Arial"/>
          <w:sz w:val="16"/>
          <w:szCs w:val="16"/>
          <w:color w:val="202E39"/>
        </w:rPr>
      </w:pP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87"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You Should Vote for the Restated Equity Plan</w:t>
      </w:r>
    </w:p>
    <w:p>
      <w:pPr>
        <w:spacing w:after="0" w:line="10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i w:val="1"/>
          <w:iCs w:val="1"/>
          <w:color w:val="009FE3"/>
        </w:rPr>
        <w:t xml:space="preserve">Equity Incentive Awards Are an Important Part of Our Compensation Philosophy. </w:t>
      </w:r>
      <w:r>
        <w:rPr>
          <w:rFonts w:ascii="Arial" w:cs="Arial" w:eastAsia="Arial" w:hAnsi="Arial"/>
          <w:sz w:val="16"/>
          <w:szCs w:val="16"/>
          <w:color w:val="202E39"/>
        </w:rPr>
        <w:t>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Beginning in fiscal year 2018, our executive officers received a combination of restricted stock units and performance-based stock options as we believe the form of these awards continues to drive strong retention value while promoting further alignment with stockholder interests by motivating them to achieve superior performance results.</w:t>
      </w:r>
    </w:p>
    <w:p>
      <w:pPr>
        <w:spacing w:after="0" w:line="289"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9.2%, which is much lower than the annual 22.4% employee turnover rate for companies in a similar industry as reported in the Q4 2019 Radford Turnover &amp; Hiring Sentiment report. We believe employee retention is particularly important to our success due to the extended time required to design, construct and launch our advanced satellite systems.</w:t>
      </w:r>
    </w:p>
    <w:p>
      <w:pPr>
        <w:spacing w:after="0" w:line="94"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80010</wp:posOffset>
            </wp:positionV>
            <wp:extent cx="4286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202E39"/>
        </w:rPr>
        <w:t>attract and motivate the world-class talent necessary for our continued growth and success. As of July 1, 2020, 47.7% of our employees held outstanding equity awards and all six of our non-employee directors held outstanding equity awards.</w:t>
      </w:r>
    </w:p>
    <w:p>
      <w:pPr>
        <w:spacing w:after="0" w:line="7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The Equity Plan Will No Longer Have Shares Available for Grant. </w:t>
      </w:r>
      <w:r>
        <w:rPr>
          <w:rFonts w:ascii="Arial" w:cs="Arial" w:eastAsia="Arial" w:hAnsi="Arial"/>
          <w:sz w:val="16"/>
          <w:szCs w:val="16"/>
          <w:color w:val="202E39"/>
        </w:rPr>
        <w:t>Under our current forecasts, the Equity Plan will run out of shares available for grant</w:t>
      </w:r>
      <w:r>
        <w:rPr>
          <w:rFonts w:ascii="Arial" w:cs="Arial" w:eastAsia="Arial" w:hAnsi="Arial"/>
          <w:sz w:val="16"/>
          <w:szCs w:val="16"/>
          <w:i w:val="1"/>
          <w:iCs w:val="1"/>
          <w:color w:val="009FE3"/>
        </w:rPr>
        <w:t xml:space="preserve"> </w:t>
      </w:r>
      <w:r>
        <w:rPr>
          <w:rFonts w:ascii="Arial" w:cs="Arial" w:eastAsia="Arial" w:hAnsi="Arial"/>
          <w:sz w:val="16"/>
          <w:szCs w:val="16"/>
          <w:color w:val="202E39"/>
        </w:rPr>
        <w:t>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79"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009FE3"/>
        </w:rPr>
        <w:t xml:space="preserve">We Manage Our Equity Incentive Award Use Carefully. </w:t>
      </w:r>
      <w:r>
        <w:rPr>
          <w:rFonts w:ascii="Arial" w:cs="Arial" w:eastAsia="Arial" w:hAnsi="Arial"/>
          <w:sz w:val="16"/>
          <w:szCs w:val="16"/>
          <w:color w:val="202E39"/>
        </w:rPr>
        <w:t>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 as of July 1, 2020, and the proposed increase in shares authorized for issuance under the Restated Equity Plan: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Equity Compensation Plans as of July 1, 2020</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20" w:type="dxa"/>
            <w:vAlign w:val="bottom"/>
            <w:tcBorders>
              <w:top w:val="single" w:sz="8" w:color="E8EAEB"/>
              <w:right w:val="single" w:sz="8" w:color="E8EAEB"/>
            </w:tcBorders>
          </w:tcPr>
          <w:p>
            <w:pPr>
              <w:spacing w:after="0"/>
              <w:rPr>
                <w:sz w:val="17"/>
                <w:szCs w:val="17"/>
                <w:color w:val="auto"/>
              </w:rPr>
            </w:pPr>
          </w:p>
        </w:tc>
        <w:tc>
          <w:tcPr>
            <w:tcW w:w="1540" w:type="dxa"/>
            <w:vAlign w:val="bottom"/>
            <w:tcBorders>
              <w:top w:val="single" w:sz="8" w:color="E8EAEB"/>
              <w:right w:val="single" w:sz="8" w:color="E8EAEB"/>
            </w:tcBorders>
          </w:tcPr>
          <w:p>
            <w:pPr>
              <w:spacing w:after="0"/>
              <w:rPr>
                <w:sz w:val="17"/>
                <w:szCs w:val="17"/>
                <w:color w:val="auto"/>
              </w:rPr>
            </w:pPr>
          </w:p>
        </w:tc>
        <w:tc>
          <w:tcPr>
            <w:tcW w:w="10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a % of</w:t>
            </w:r>
          </w:p>
        </w:tc>
        <w:tc>
          <w:tcPr>
            <w:tcW w:w="440" w:type="dxa"/>
            <w:vAlign w:val="bottom"/>
            <w:tcBorders>
              <w:top w:val="single" w:sz="8" w:color="E8EAEB"/>
            </w:tcBorders>
          </w:tcPr>
          <w:p>
            <w:pPr>
              <w:spacing w:after="0"/>
              <w:rPr>
                <w:sz w:val="17"/>
                <w:szCs w:val="17"/>
                <w:color w:val="auto"/>
              </w:rPr>
            </w:pPr>
          </w:p>
        </w:tc>
        <w:tc>
          <w:tcPr>
            <w:tcW w:w="1340" w:type="dxa"/>
            <w:vAlign w:val="bottom"/>
            <w:tcBorders>
              <w:top w:val="single" w:sz="8" w:color="E8EAEB"/>
            </w:tcBorders>
          </w:tcPr>
          <w:p>
            <w:pPr>
              <w:spacing w:after="0"/>
              <w:rPr>
                <w:sz w:val="17"/>
                <w:szCs w:val="17"/>
                <w:color w:val="auto"/>
              </w:rPr>
            </w:pPr>
          </w:p>
        </w:tc>
      </w:tr>
      <w:tr>
        <w:trPr>
          <w:trHeight w:val="162"/>
        </w:trPr>
        <w:tc>
          <w:tcPr>
            <w:tcW w:w="6620" w:type="dxa"/>
            <w:vAlign w:val="bottom"/>
            <w:tcBorders>
              <w:right w:val="single" w:sz="8" w:color="E8EAEB"/>
            </w:tcBorders>
          </w:tcPr>
          <w:p>
            <w:pPr>
              <w:spacing w:after="0"/>
              <w:rPr>
                <w:sz w:val="14"/>
                <w:szCs w:val="14"/>
                <w:color w:val="auto"/>
              </w:rPr>
            </w:pPr>
          </w:p>
        </w:tc>
        <w:tc>
          <w:tcPr>
            <w:tcW w:w="1540" w:type="dxa"/>
            <w:vAlign w:val="bottom"/>
            <w:tcBorders>
              <w:right w:val="single" w:sz="8" w:color="E8EAEB"/>
            </w:tcBorders>
          </w:tcPr>
          <w:p>
            <w:pPr>
              <w:jc w:val="right"/>
              <w:ind w:right="341"/>
              <w:spacing w:after="0"/>
              <w:rPr>
                <w:sz w:val="20"/>
                <w:szCs w:val="20"/>
                <w:color w:val="auto"/>
              </w:rPr>
            </w:pPr>
            <w:r>
              <w:rPr>
                <w:rFonts w:ascii="Arial" w:cs="Arial" w:eastAsia="Arial" w:hAnsi="Arial"/>
                <w:sz w:val="14"/>
                <w:szCs w:val="14"/>
                <w:b w:val="1"/>
                <w:bCs w:val="1"/>
                <w:color w:val="009FE3"/>
              </w:rPr>
              <w:t>Number of</w:t>
            </w: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Shares</w:t>
            </w:r>
          </w:p>
        </w:tc>
        <w:tc>
          <w:tcPr>
            <w:tcW w:w="440" w:type="dxa"/>
            <w:vAlign w:val="bottom"/>
          </w:tcPr>
          <w:p>
            <w:pPr>
              <w:spacing w:after="0"/>
              <w:rPr>
                <w:sz w:val="14"/>
                <w:szCs w:val="14"/>
                <w:color w:val="auto"/>
              </w:rPr>
            </w:pPr>
          </w:p>
        </w:tc>
        <w:tc>
          <w:tcPr>
            <w:tcW w:w="1340" w:type="dxa"/>
            <w:vAlign w:val="bottom"/>
          </w:tcPr>
          <w:p>
            <w:pPr>
              <w:jc w:val="right"/>
              <w:ind w:right="602"/>
              <w:spacing w:after="0"/>
              <w:rPr>
                <w:sz w:val="20"/>
                <w:szCs w:val="20"/>
                <w:color w:val="auto"/>
              </w:rPr>
            </w:pPr>
            <w:r>
              <w:rPr>
                <w:rFonts w:ascii="Arial" w:cs="Arial" w:eastAsia="Arial" w:hAnsi="Arial"/>
                <w:sz w:val="14"/>
                <w:szCs w:val="14"/>
                <w:b w:val="1"/>
                <w:bCs w:val="1"/>
                <w:color w:val="009FE3"/>
              </w:rPr>
              <w:t>Dollar</w:t>
            </w:r>
          </w:p>
        </w:tc>
      </w:tr>
      <w:tr>
        <w:trPr>
          <w:trHeight w:val="196"/>
        </w:trPr>
        <w:tc>
          <w:tcPr>
            <w:tcW w:w="6620" w:type="dxa"/>
            <w:vAlign w:val="bottom"/>
            <w:tcBorders>
              <w:bottom w:val="single" w:sz="8" w:color="009FE3"/>
              <w:right w:val="single" w:sz="8" w:color="E8EAEB"/>
            </w:tcBorders>
          </w:tcPr>
          <w:p>
            <w:pPr>
              <w:spacing w:after="0"/>
              <w:rPr>
                <w:sz w:val="17"/>
                <w:szCs w:val="17"/>
                <w:color w:val="auto"/>
              </w:rPr>
            </w:pPr>
          </w:p>
        </w:tc>
        <w:tc>
          <w:tcPr>
            <w:tcW w:w="1540" w:type="dxa"/>
            <w:vAlign w:val="bottom"/>
            <w:tcBorders>
              <w:bottom w:val="single" w:sz="8" w:color="009FE3"/>
              <w:right w:val="single" w:sz="8" w:color="E8EAEB"/>
            </w:tcBorders>
          </w:tcPr>
          <w:p>
            <w:pPr>
              <w:jc w:val="right"/>
              <w:ind w:right="461"/>
              <w:spacing w:after="0"/>
              <w:rPr>
                <w:sz w:val="20"/>
                <w:szCs w:val="20"/>
                <w:color w:val="auto"/>
              </w:rPr>
            </w:pPr>
            <w:r>
              <w:rPr>
                <w:rFonts w:ascii="Arial" w:cs="Arial" w:eastAsia="Arial" w:hAnsi="Arial"/>
                <w:sz w:val="14"/>
                <w:szCs w:val="14"/>
                <w:b w:val="1"/>
                <w:bCs w:val="1"/>
                <w:color w:val="009FE3"/>
              </w:rPr>
              <w:t>Shares</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(1)</w:t>
            </w:r>
          </w:p>
        </w:tc>
        <w:tc>
          <w:tcPr>
            <w:tcW w:w="440" w:type="dxa"/>
            <w:vAlign w:val="bottom"/>
            <w:tcBorders>
              <w:bottom w:val="single" w:sz="8" w:color="009FE3"/>
            </w:tcBorders>
          </w:tcPr>
          <w:p>
            <w:pPr>
              <w:spacing w:after="0"/>
              <w:rPr>
                <w:sz w:val="17"/>
                <w:szCs w:val="17"/>
                <w:color w:val="auto"/>
              </w:rPr>
            </w:pPr>
          </w:p>
        </w:tc>
        <w:tc>
          <w:tcPr>
            <w:tcW w:w="1340" w:type="dxa"/>
            <w:vAlign w:val="bottom"/>
            <w:tcBorders>
              <w:bottom w:val="single" w:sz="8" w:color="009FE3"/>
            </w:tcBorders>
          </w:tcPr>
          <w:p>
            <w:pPr>
              <w:jc w:val="right"/>
              <w:ind w:right="522"/>
              <w:spacing w:after="0"/>
              <w:rPr>
                <w:sz w:val="20"/>
                <w:szCs w:val="20"/>
                <w:color w:val="auto"/>
              </w:rPr>
            </w:pPr>
            <w:r>
              <w:rPr>
                <w:rFonts w:ascii="Arial" w:cs="Arial" w:eastAsia="Arial" w:hAnsi="Arial"/>
                <w:sz w:val="14"/>
                <w:szCs w:val="14"/>
                <w:b w:val="1"/>
                <w:bCs w:val="1"/>
                <w:color w:val="009FE3"/>
              </w:rPr>
              <w:t>Value (2)</w:t>
            </w:r>
          </w:p>
        </w:tc>
      </w:tr>
      <w:tr>
        <w:trPr>
          <w:trHeight w:val="215"/>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Equity Plan</w:t>
            </w:r>
          </w:p>
        </w:tc>
        <w:tc>
          <w:tcPr>
            <w:tcW w:w="1540" w:type="dxa"/>
            <w:vAlign w:val="bottom"/>
            <w:tcBorders>
              <w:bottom w:val="single" w:sz="8" w:color="E8EAEB"/>
              <w:right w:val="single" w:sz="8" w:color="E8EAEB"/>
            </w:tcBorders>
          </w:tcPr>
          <w:p>
            <w:pPr>
              <w:spacing w:after="0"/>
              <w:rPr>
                <w:sz w:val="18"/>
                <w:szCs w:val="18"/>
                <w:color w:val="auto"/>
              </w:rPr>
            </w:pPr>
          </w:p>
        </w:tc>
        <w:tc>
          <w:tcPr>
            <w:tcW w:w="1080" w:type="dxa"/>
            <w:vAlign w:val="bottom"/>
            <w:tcBorders>
              <w:bottom w:val="single" w:sz="8" w:color="E8EAEB"/>
              <w:right w:val="single" w:sz="8" w:color="E8EAEB"/>
            </w:tcBorders>
          </w:tcPr>
          <w:p>
            <w:pPr>
              <w:spacing w:after="0"/>
              <w:rPr>
                <w:sz w:val="18"/>
                <w:szCs w:val="18"/>
                <w:color w:val="auto"/>
              </w:rPr>
            </w:pPr>
          </w:p>
        </w:tc>
        <w:tc>
          <w:tcPr>
            <w:tcW w:w="440" w:type="dxa"/>
            <w:vAlign w:val="bottom"/>
            <w:tcBorders>
              <w:bottom w:val="single" w:sz="8" w:color="E8EAEB"/>
            </w:tcBorders>
          </w:tcPr>
          <w:p>
            <w:pPr>
              <w:spacing w:after="0"/>
              <w:rPr>
                <w:sz w:val="18"/>
                <w:szCs w:val="18"/>
                <w:color w:val="auto"/>
              </w:rPr>
            </w:pPr>
          </w:p>
        </w:tc>
        <w:tc>
          <w:tcPr>
            <w:tcW w:w="1340" w:type="dxa"/>
            <w:vAlign w:val="bottom"/>
            <w:tcBorders>
              <w:bottom w:val="single" w:sz="8" w:color="E8EAEB"/>
            </w:tcBorders>
          </w:tcPr>
          <w:p>
            <w:pPr>
              <w:spacing w:after="0"/>
              <w:rPr>
                <w:sz w:val="18"/>
                <w:szCs w:val="18"/>
                <w:color w:val="auto"/>
              </w:rPr>
            </w:pPr>
          </w:p>
        </w:tc>
      </w:tr>
      <w:tr>
        <w:trPr>
          <w:trHeight w:val="204"/>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Options outstanding (3)</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2,856,039</w:t>
            </w:r>
          </w:p>
        </w:tc>
        <w:tc>
          <w:tcPr>
            <w:tcW w:w="10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6"/>
                <w:szCs w:val="16"/>
                <w:color w:val="202E39"/>
              </w:rPr>
              <w:t>4.5%</w:t>
            </w:r>
          </w:p>
        </w:tc>
        <w:tc>
          <w:tcPr>
            <w:tcW w:w="440" w:type="dxa"/>
            <w:vAlign w:val="bottom"/>
            <w:tcBorders>
              <w:bottom w:val="single" w:sz="8" w:color="E8EAEB"/>
            </w:tcBorders>
          </w:tcPr>
          <w:p>
            <w:pPr>
              <w:jc w:val="right"/>
              <w:ind w:right="99"/>
              <w:spacing w:after="0"/>
              <w:rPr>
                <w:sz w:val="20"/>
                <w:szCs w:val="20"/>
                <w:color w:val="auto"/>
              </w:rPr>
            </w:pPr>
            <w:r>
              <w:rPr>
                <w:rFonts w:ascii="Arial" w:cs="Arial" w:eastAsia="Arial" w:hAnsi="Arial"/>
                <w:sz w:val="16"/>
                <w:szCs w:val="16"/>
                <w:color w:val="202E39"/>
              </w:rPr>
              <w:t>$</w:t>
            </w:r>
          </w:p>
        </w:tc>
        <w:tc>
          <w:tcPr>
            <w:tcW w:w="134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105,016,554</w:t>
            </w:r>
          </w:p>
        </w:tc>
      </w:tr>
      <w:tr>
        <w:trPr>
          <w:trHeight w:val="250"/>
        </w:trPr>
        <w:tc>
          <w:tcPr>
            <w:tcW w:w="66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$69.13</w:t>
            </w:r>
          </w:p>
        </w:tc>
        <w:tc>
          <w:tcPr>
            <w:tcW w:w="1080" w:type="dxa"/>
            <w:vAlign w:val="bottom"/>
            <w:tcBorders>
              <w:bottom w:val="single" w:sz="8" w:color="E8EAEB"/>
              <w:right w:val="single" w:sz="8" w:color="E8EAEB"/>
            </w:tcBorders>
          </w:tcPr>
          <w:p>
            <w:pPr>
              <w:spacing w:after="0"/>
              <w:rPr>
                <w:sz w:val="21"/>
                <w:szCs w:val="21"/>
                <w:color w:val="auto"/>
              </w:rPr>
            </w:pPr>
          </w:p>
        </w:tc>
        <w:tc>
          <w:tcPr>
            <w:tcW w:w="440" w:type="dxa"/>
            <w:vAlign w:val="bottom"/>
            <w:tcBorders>
              <w:bottom w:val="single" w:sz="8" w:color="E8EAEB"/>
            </w:tcBorders>
          </w:tcPr>
          <w:p>
            <w:pPr>
              <w:spacing w:after="0"/>
              <w:rPr>
                <w:sz w:val="21"/>
                <w:szCs w:val="21"/>
                <w:color w:val="auto"/>
              </w:rPr>
            </w:pPr>
          </w:p>
        </w:tc>
        <w:tc>
          <w:tcPr>
            <w:tcW w:w="134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3.27 years</w:t>
            </w:r>
          </w:p>
        </w:tc>
        <w:tc>
          <w:tcPr>
            <w:tcW w:w="1080" w:type="dxa"/>
            <w:vAlign w:val="bottom"/>
            <w:tcBorders>
              <w:bottom w:val="single" w:sz="8" w:color="E8EAEB"/>
              <w:right w:val="single" w:sz="8" w:color="E8EAEB"/>
            </w:tcBorders>
          </w:tcPr>
          <w:p>
            <w:pPr>
              <w:spacing w:after="0"/>
              <w:rPr>
                <w:sz w:val="21"/>
                <w:szCs w:val="21"/>
                <w:color w:val="auto"/>
              </w:rPr>
            </w:pPr>
          </w:p>
        </w:tc>
        <w:tc>
          <w:tcPr>
            <w:tcW w:w="440" w:type="dxa"/>
            <w:vAlign w:val="bottom"/>
            <w:tcBorders>
              <w:bottom w:val="single" w:sz="8" w:color="E8EAEB"/>
            </w:tcBorders>
          </w:tcPr>
          <w:p>
            <w:pPr>
              <w:spacing w:after="0"/>
              <w:rPr>
                <w:sz w:val="21"/>
                <w:szCs w:val="21"/>
                <w:color w:val="auto"/>
              </w:rPr>
            </w:pPr>
          </w:p>
        </w:tc>
        <w:tc>
          <w:tcPr>
            <w:tcW w:w="1340" w:type="dxa"/>
            <w:vAlign w:val="bottom"/>
            <w:tcBorders>
              <w:bottom w:val="single" w:sz="8" w:color="E8EAEB"/>
            </w:tcBorders>
          </w:tcPr>
          <w:p>
            <w:pPr>
              <w:spacing w:after="0"/>
              <w:rPr>
                <w:sz w:val="21"/>
                <w:szCs w:val="21"/>
                <w:color w:val="auto"/>
              </w:rPr>
            </w:pP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3,001,442</w:t>
            </w:r>
          </w:p>
        </w:tc>
        <w:tc>
          <w:tcPr>
            <w:tcW w:w="10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6"/>
                <w:szCs w:val="16"/>
                <w:color w:val="202E39"/>
              </w:rPr>
              <w:t>4.8%</w:t>
            </w:r>
          </w:p>
        </w:tc>
        <w:tc>
          <w:tcPr>
            <w:tcW w:w="440" w:type="dxa"/>
            <w:vAlign w:val="bottom"/>
            <w:tcBorders>
              <w:bottom w:val="single" w:sz="8" w:color="E8EAEB"/>
            </w:tcBorders>
          </w:tcPr>
          <w:p>
            <w:pPr>
              <w:jc w:val="right"/>
              <w:ind w:right="99"/>
              <w:spacing w:after="0"/>
              <w:rPr>
                <w:sz w:val="20"/>
                <w:szCs w:val="20"/>
                <w:color w:val="auto"/>
              </w:rPr>
            </w:pPr>
            <w:r>
              <w:rPr>
                <w:rFonts w:ascii="Arial" w:cs="Arial" w:eastAsia="Arial" w:hAnsi="Arial"/>
                <w:sz w:val="16"/>
                <w:szCs w:val="16"/>
                <w:color w:val="202E39"/>
              </w:rPr>
              <w:t>$</w:t>
            </w:r>
          </w:p>
        </w:tc>
        <w:tc>
          <w:tcPr>
            <w:tcW w:w="134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110,363,022</w:t>
            </w:r>
          </w:p>
        </w:tc>
      </w:tr>
      <w:tr>
        <w:trPr>
          <w:trHeight w:val="250"/>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 (4)</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3,108,026</w:t>
            </w:r>
          </w:p>
        </w:tc>
        <w:tc>
          <w:tcPr>
            <w:tcW w:w="10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6"/>
                <w:szCs w:val="16"/>
                <w:color w:val="202E39"/>
              </w:rPr>
              <w:t>4.9%</w:t>
            </w:r>
          </w:p>
        </w:tc>
        <w:tc>
          <w:tcPr>
            <w:tcW w:w="440" w:type="dxa"/>
            <w:vAlign w:val="bottom"/>
            <w:tcBorders>
              <w:bottom w:val="single" w:sz="8" w:color="E8EAEB"/>
            </w:tcBorders>
          </w:tcPr>
          <w:p>
            <w:pPr>
              <w:jc w:val="right"/>
              <w:ind w:right="99"/>
              <w:spacing w:after="0"/>
              <w:rPr>
                <w:sz w:val="20"/>
                <w:szCs w:val="20"/>
                <w:color w:val="auto"/>
              </w:rPr>
            </w:pPr>
            <w:r>
              <w:rPr>
                <w:rFonts w:ascii="Arial" w:cs="Arial" w:eastAsia="Arial" w:hAnsi="Arial"/>
                <w:sz w:val="16"/>
                <w:szCs w:val="16"/>
                <w:color w:val="202E39"/>
              </w:rPr>
              <w:t>$</w:t>
            </w:r>
          </w:p>
        </w:tc>
        <w:tc>
          <w:tcPr>
            <w:tcW w:w="134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114,282,116</w:t>
            </w:r>
          </w:p>
        </w:tc>
      </w:tr>
      <w:tr>
        <w:trPr>
          <w:trHeight w:val="231"/>
        </w:trPr>
        <w:tc>
          <w:tcPr>
            <w:tcW w:w="66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Proposed increase in shares available for future issuance under Restated Equity Plan</w:t>
            </w:r>
          </w:p>
        </w:tc>
        <w:tc>
          <w:tcPr>
            <w:tcW w:w="1540" w:type="dxa"/>
            <w:vAlign w:val="bottom"/>
            <w:tcBorders>
              <w:right w:val="single" w:sz="8" w:color="E8EAEB"/>
            </w:tcBorders>
          </w:tcPr>
          <w:p>
            <w:pPr>
              <w:spacing w:after="0"/>
              <w:rPr>
                <w:sz w:val="20"/>
                <w:szCs w:val="20"/>
                <w:color w:val="auto"/>
              </w:rPr>
            </w:pPr>
          </w:p>
        </w:tc>
        <w:tc>
          <w:tcPr>
            <w:tcW w:w="1080" w:type="dxa"/>
            <w:vAlign w:val="bottom"/>
            <w:tcBorders>
              <w:right w:val="single" w:sz="8" w:color="E8EAEB"/>
            </w:tcBorders>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8"/>
        </w:trPr>
        <w:tc>
          <w:tcPr>
            <w:tcW w:w="66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(over existing share reserve under Equity Plan)</w:t>
            </w:r>
          </w:p>
        </w:tc>
        <w:tc>
          <w:tcPr>
            <w:tcW w:w="154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2,675,000</w:t>
            </w:r>
          </w:p>
        </w:tc>
        <w:tc>
          <w:tcPr>
            <w:tcW w:w="1080" w:type="dxa"/>
            <w:vAlign w:val="bottom"/>
            <w:tcBorders>
              <w:bottom w:val="single" w:sz="8" w:color="E8EAEB"/>
              <w:right w:val="single" w:sz="8" w:color="E8EAEB"/>
            </w:tcBorders>
          </w:tcPr>
          <w:p>
            <w:pPr>
              <w:jc w:val="right"/>
              <w:spacing w:after="0"/>
              <w:rPr>
                <w:sz w:val="20"/>
                <w:szCs w:val="20"/>
                <w:color w:val="auto"/>
              </w:rPr>
            </w:pPr>
            <w:r>
              <w:rPr>
                <w:rFonts w:ascii="Arial" w:cs="Arial" w:eastAsia="Arial" w:hAnsi="Arial"/>
                <w:sz w:val="16"/>
                <w:szCs w:val="16"/>
                <w:color w:val="202E39"/>
              </w:rPr>
              <w:t>4.2%</w:t>
            </w:r>
          </w:p>
        </w:tc>
        <w:tc>
          <w:tcPr>
            <w:tcW w:w="440" w:type="dxa"/>
            <w:vAlign w:val="bottom"/>
            <w:tcBorders>
              <w:bottom w:val="single" w:sz="8" w:color="E8EAEB"/>
            </w:tcBorders>
          </w:tcPr>
          <w:p>
            <w:pPr>
              <w:jc w:val="right"/>
              <w:ind w:right="99"/>
              <w:spacing w:after="0"/>
              <w:rPr>
                <w:sz w:val="20"/>
                <w:szCs w:val="20"/>
                <w:color w:val="auto"/>
              </w:rPr>
            </w:pPr>
            <w:r>
              <w:rPr>
                <w:rFonts w:ascii="Arial" w:cs="Arial" w:eastAsia="Arial" w:hAnsi="Arial"/>
                <w:sz w:val="16"/>
                <w:szCs w:val="16"/>
                <w:color w:val="202E39"/>
              </w:rPr>
              <w:t>$</w:t>
            </w:r>
          </w:p>
        </w:tc>
        <w:tc>
          <w:tcPr>
            <w:tcW w:w="134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98,359,750</w:t>
            </w:r>
          </w:p>
        </w:tc>
      </w:tr>
      <w:tr>
        <w:trPr>
          <w:trHeight w:val="250"/>
        </w:trPr>
        <w:tc>
          <w:tcPr>
            <w:tcW w:w="6620" w:type="dxa"/>
            <w:vAlign w:val="bottom"/>
            <w:tcBorders>
              <w:bottom w:val="single" w:sz="8" w:color="D2D5D7"/>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Employee Stock Purchase Plan</w:t>
            </w:r>
          </w:p>
        </w:tc>
        <w:tc>
          <w:tcPr>
            <w:tcW w:w="1540" w:type="dxa"/>
            <w:vAlign w:val="bottom"/>
            <w:tcBorders>
              <w:bottom w:val="single" w:sz="8" w:color="D2D5D7"/>
              <w:right w:val="single" w:sz="8" w:color="E8EAEB"/>
            </w:tcBorders>
          </w:tcPr>
          <w:p>
            <w:pPr>
              <w:spacing w:after="0"/>
              <w:rPr>
                <w:sz w:val="21"/>
                <w:szCs w:val="21"/>
                <w:color w:val="auto"/>
              </w:rPr>
            </w:pPr>
          </w:p>
        </w:tc>
        <w:tc>
          <w:tcPr>
            <w:tcW w:w="1080" w:type="dxa"/>
            <w:vAlign w:val="bottom"/>
            <w:tcBorders>
              <w:bottom w:val="single" w:sz="8" w:color="D2D5D7"/>
              <w:right w:val="single" w:sz="8" w:color="E8EAEB"/>
            </w:tcBorders>
          </w:tcPr>
          <w:p>
            <w:pPr>
              <w:spacing w:after="0"/>
              <w:rPr>
                <w:sz w:val="21"/>
                <w:szCs w:val="21"/>
                <w:color w:val="auto"/>
              </w:rPr>
            </w:pPr>
          </w:p>
        </w:tc>
        <w:tc>
          <w:tcPr>
            <w:tcW w:w="440" w:type="dxa"/>
            <w:vAlign w:val="bottom"/>
            <w:tcBorders>
              <w:bottom w:val="single" w:sz="8" w:color="D2D5D7"/>
            </w:tcBorders>
          </w:tcPr>
          <w:p>
            <w:pPr>
              <w:spacing w:after="0"/>
              <w:rPr>
                <w:sz w:val="21"/>
                <w:szCs w:val="21"/>
                <w:color w:val="auto"/>
              </w:rPr>
            </w:pPr>
          </w:p>
        </w:tc>
        <w:tc>
          <w:tcPr>
            <w:tcW w:w="1340" w:type="dxa"/>
            <w:vAlign w:val="bottom"/>
            <w:tcBorders>
              <w:bottom w:val="single" w:sz="8" w:color="D2D5D7"/>
            </w:tcBorders>
          </w:tcPr>
          <w:p>
            <w:pPr>
              <w:spacing w:after="0"/>
              <w:rPr>
                <w:sz w:val="21"/>
                <w:szCs w:val="21"/>
                <w:color w:val="auto"/>
              </w:rPr>
            </w:pPr>
          </w:p>
        </w:tc>
      </w:tr>
      <w:tr>
        <w:trPr>
          <w:trHeight w:val="250"/>
        </w:trPr>
        <w:tc>
          <w:tcPr>
            <w:tcW w:w="66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1540" w:type="dxa"/>
            <w:vAlign w:val="bottom"/>
            <w:tcBorders>
              <w:bottom w:val="single" w:sz="8" w:color="009FE3"/>
              <w:right w:val="single" w:sz="8" w:color="E8EAEB"/>
            </w:tcBorders>
          </w:tcPr>
          <w:p>
            <w:pPr>
              <w:jc w:val="right"/>
              <w:ind w:right="101"/>
              <w:spacing w:after="0"/>
              <w:rPr>
                <w:sz w:val="20"/>
                <w:szCs w:val="20"/>
                <w:color w:val="auto"/>
              </w:rPr>
            </w:pPr>
            <w:r>
              <w:rPr>
                <w:rFonts w:ascii="Arial" w:cs="Arial" w:eastAsia="Arial" w:hAnsi="Arial"/>
                <w:sz w:val="16"/>
                <w:szCs w:val="16"/>
                <w:color w:val="202E39"/>
              </w:rPr>
              <w:t>695,302</w:t>
            </w:r>
          </w:p>
        </w:tc>
        <w:tc>
          <w:tcPr>
            <w:tcW w:w="10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6"/>
                <w:szCs w:val="16"/>
                <w:color w:val="202E39"/>
              </w:rPr>
              <w:t>1.1%</w:t>
            </w:r>
          </w:p>
        </w:tc>
        <w:tc>
          <w:tcPr>
            <w:tcW w:w="440" w:type="dxa"/>
            <w:vAlign w:val="bottom"/>
            <w:tcBorders>
              <w:bottom w:val="single" w:sz="8" w:color="009FE3"/>
            </w:tcBorders>
          </w:tcPr>
          <w:p>
            <w:pPr>
              <w:jc w:val="right"/>
              <w:ind w:right="99"/>
              <w:spacing w:after="0"/>
              <w:rPr>
                <w:sz w:val="20"/>
                <w:szCs w:val="20"/>
                <w:color w:val="auto"/>
              </w:rPr>
            </w:pPr>
            <w:r>
              <w:rPr>
                <w:rFonts w:ascii="Arial" w:cs="Arial" w:eastAsia="Arial" w:hAnsi="Arial"/>
                <w:sz w:val="16"/>
                <w:szCs w:val="16"/>
                <w:color w:val="202E39"/>
              </w:rPr>
              <w:t>$</w:t>
            </w:r>
          </w:p>
        </w:tc>
        <w:tc>
          <w:tcPr>
            <w:tcW w:w="1340" w:type="dxa"/>
            <w:vAlign w:val="bottom"/>
            <w:tcBorders>
              <w:bottom w:val="single" w:sz="8" w:color="009FE3"/>
            </w:tcBorders>
          </w:tcPr>
          <w:p>
            <w:pPr>
              <w:jc w:val="right"/>
              <w:ind w:right="102"/>
              <w:spacing w:after="0"/>
              <w:rPr>
                <w:sz w:val="20"/>
                <w:szCs w:val="20"/>
                <w:color w:val="auto"/>
              </w:rPr>
            </w:pPr>
            <w:r>
              <w:rPr>
                <w:rFonts w:ascii="Arial" w:cs="Arial" w:eastAsia="Arial" w:hAnsi="Arial"/>
                <w:sz w:val="16"/>
                <w:szCs w:val="16"/>
                <w:color w:val="202E39"/>
              </w:rPr>
              <w:t>25,566,255</w:t>
            </w:r>
          </w:p>
        </w:tc>
      </w:tr>
    </w:tbl>
    <w:p>
      <w:pPr>
        <w:spacing w:after="0" w:line="126"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4"/>
          <w:szCs w:val="14"/>
          <w:color w:val="202E39"/>
        </w:rPr>
      </w:pPr>
      <w:r>
        <w:rPr>
          <w:rFonts w:ascii="Arial" w:cs="Arial" w:eastAsia="Arial" w:hAnsi="Arial"/>
          <w:sz w:val="14"/>
          <w:szCs w:val="14"/>
          <w:color w:val="202E39"/>
        </w:rPr>
        <w:t>Based on 63,026,001 shares of Viasat common stock outstanding as of July 1, 2020.</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15"/>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July 1, 2020 ($36.77).</w:t>
      </w:r>
    </w:p>
    <w:p>
      <w:pPr>
        <w:spacing w:after="0" w:line="68" w:lineRule="exact"/>
        <w:rPr>
          <w:rFonts w:ascii="Arial" w:cs="Arial" w:eastAsia="Arial" w:hAnsi="Arial"/>
          <w:sz w:val="14"/>
          <w:szCs w:val="14"/>
          <w:color w:val="202E39"/>
        </w:rPr>
      </w:pPr>
    </w:p>
    <w:p>
      <w:pPr>
        <w:ind w:left="540" w:right="700" w:hanging="424"/>
        <w:spacing w:after="0" w:line="258" w:lineRule="auto"/>
        <w:tabs>
          <w:tab w:leader="none" w:pos="540" w:val="left"/>
        </w:tabs>
        <w:numPr>
          <w:ilvl w:val="0"/>
          <w:numId w:val="15"/>
        </w:numPr>
        <w:rPr>
          <w:rFonts w:ascii="Arial" w:cs="Arial" w:eastAsia="Arial" w:hAnsi="Arial"/>
          <w:sz w:val="14"/>
          <w:szCs w:val="14"/>
          <w:color w:val="202E39"/>
        </w:rPr>
      </w:pPr>
      <w:r>
        <w:rPr>
          <w:rFonts w:ascii="Arial" w:cs="Arial" w:eastAsia="Arial" w:hAnsi="Arial"/>
          <w:sz w:val="14"/>
          <w:szCs w:val="14"/>
          <w:color w:val="202E39"/>
        </w:rPr>
        <w:t>Includes an aggregate of 1,630,806 performance-based stock options granted in fiscal years 2020, 2019 and 2018 (based on “target” level of performance). Performance-based stock options may be eligible to vest at 175% of the “target” award levels at “maximum” performance.</w:t>
      </w:r>
    </w:p>
    <w:p>
      <w:pPr>
        <w:spacing w:after="0" w:line="45" w:lineRule="exact"/>
        <w:rPr>
          <w:rFonts w:ascii="Arial" w:cs="Arial" w:eastAsia="Arial" w:hAnsi="Arial"/>
          <w:sz w:val="14"/>
          <w:szCs w:val="14"/>
          <w:color w:val="202E39"/>
        </w:rPr>
      </w:pPr>
    </w:p>
    <w:p>
      <w:pPr>
        <w:ind w:left="540" w:right="140" w:hanging="424"/>
        <w:spacing w:after="0" w:line="258" w:lineRule="auto"/>
        <w:tabs>
          <w:tab w:leader="none" w:pos="540" w:val="left"/>
        </w:tabs>
        <w:numPr>
          <w:ilvl w:val="0"/>
          <w:numId w:val="15"/>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83"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202E39"/>
        </w:rPr>
        <w:t>In fiscal years 2020, 2019 and 2018, our annual gross burn rates under the Equity Plan were 3.13%, 3.16% and 2.94%, respectively (calculated by dividing (1) the number of shares subject to equity awards granted during the applicable fiscal year by (2) the weighted-average number of shares outstanding during such fiscal year). If we multiply each “full-value award” by a multiplier of 2.0 (consistent with the methodology employed by certain proxy advisory firms), the “adjusted” annual gross burn rates under the Equity Plan would be 4.23%, 4.48% and 4.08% for fiscal years 2020, 2019 and 2018, respectively. Our three-year average “adjusted” gross burn rate of 4.26% during this period falls below the applicable ISS burn rate benchmark of 6.95% for Russell 3000 Technology Hardware and Equipment companies. As permitted under the burn rate calculation policy published by ISS, the foregoing burn rate calculations exclude the performance-based stock options granted during fiscal years 2020, 2019 and 2018. In fiscal years 2020, 2019 and 2018, we issued performance-based stock options to purchase an aggregate of 603,306, 530,000 and 497,500 shares of our common stock at “target” performance, respectively, which represented 0.98%, 0.88% and 0.85% of the weighted-average number of shares outstanding during fiscal years 2020, 2019 and 2018, respectively.</w:t>
      </w:r>
    </w:p>
    <w:p>
      <w:pPr>
        <w:spacing w:after="0" w:line="97"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202E39"/>
        </w:rPr>
        <w:t>In fiscal years 2020, 2019, and 2018, our end of year equity overhang rates for the Equity Plan were 14.45%, 12.86% and 12.35%, respectively (calculated by dividing (1) the number of shares subject to equity awards outstanding at the end of the applicable fiscal year plus the number of shares remaining available for issuance under the Equity Plan at the end of such</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21</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202E39"/>
        </w:rPr>
        <w:t>fiscal year by (2) the number of our shares outstanding at the end of such fiscal year). If approved, the issuance of the additional 2,675,000 shares to be reserved under the Restated Equity Plan would dilute the holdings of stockholders by an additional 4.24%, based on the number of shares of Viasat common stock outstanding as of July 1, 2020.</w:t>
      </w:r>
    </w:p>
    <w:p>
      <w:pPr>
        <w:spacing w:after="0" w:line="93" w:lineRule="exact"/>
        <w:rPr>
          <w:sz w:val="20"/>
          <w:szCs w:val="20"/>
          <w:color w:val="auto"/>
        </w:rPr>
      </w:pPr>
    </w:p>
    <w:p>
      <w:pPr>
        <w:ind w:left="120" w:right="220"/>
        <w:spacing w:after="0" w:line="249" w:lineRule="auto"/>
        <w:rPr>
          <w:sz w:val="20"/>
          <w:szCs w:val="20"/>
          <w:color w:val="auto"/>
        </w:rPr>
      </w:pPr>
      <w:r>
        <w:rPr>
          <w:rFonts w:ascii="Arial" w:cs="Arial" w:eastAsia="Arial" w:hAnsi="Arial"/>
          <w:sz w:val="16"/>
          <w:szCs w:val="16"/>
          <w:color w:val="202E39"/>
        </w:rPr>
        <w:t>In requesting approval of the Restated Equity Plan, we are asking stockholders for a pool of shares anticipated for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8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i w:val="1"/>
          <w:iCs w:val="1"/>
          <w:color w:val="009FE3"/>
        </w:rPr>
        <w:t xml:space="preserve">The Restated Equity Plan Combines Compensation and Governance Best Practices. </w:t>
      </w:r>
      <w:r>
        <w:rPr>
          <w:rFonts w:ascii="Arial" w:cs="Arial" w:eastAsia="Arial" w:hAnsi="Arial"/>
          <w:sz w:val="16"/>
          <w:szCs w:val="16"/>
          <w:color w:val="202E39"/>
        </w:rPr>
        <w:t>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69" w:lineRule="exact"/>
        <w:rPr>
          <w:sz w:val="20"/>
          <w:szCs w:val="20"/>
          <w:color w:val="auto"/>
        </w:rPr>
      </w:pPr>
    </w:p>
    <w:p>
      <w:pPr>
        <w:ind w:left="660" w:right="42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Continued broad-based eligibility for equity awards. </w:t>
      </w:r>
      <w:r>
        <w:rPr>
          <w:rFonts w:ascii="Arial" w:cs="Arial" w:eastAsia="Arial" w:hAnsi="Arial"/>
          <w:sz w:val="16"/>
          <w:szCs w:val="16"/>
          <w:color w:val="202E39"/>
        </w:rPr>
        <w:t>We grant equity awards to a significant number of our employees. By doing so, we link</w:t>
      </w:r>
      <w:r>
        <w:rPr>
          <w:rFonts w:ascii="Arial" w:cs="Arial" w:eastAsia="Arial" w:hAnsi="Arial"/>
          <w:sz w:val="16"/>
          <w:szCs w:val="16"/>
          <w:i w:val="1"/>
          <w:iCs w:val="1"/>
          <w:color w:val="202E39"/>
        </w:rPr>
        <w:t xml:space="preserve"> </w:t>
      </w:r>
      <w:r>
        <w:rPr>
          <w:rFonts w:ascii="Arial" w:cs="Arial" w:eastAsia="Arial" w:hAnsi="Arial"/>
          <w:sz w:val="16"/>
          <w:szCs w:val="16"/>
          <w:color w:val="202E39"/>
        </w:rPr>
        <w:t>employee interests with stockholder interests throughout the organization and motivate our employees to act as owners of the business.</w:t>
      </w:r>
    </w:p>
    <w:p>
      <w:pPr>
        <w:spacing w:after="0" w:line="14" w:lineRule="exact"/>
        <w:rPr>
          <w:rFonts w:ascii="Arial" w:cs="Arial" w:eastAsia="Arial" w:hAnsi="Arial"/>
          <w:sz w:val="16"/>
          <w:szCs w:val="16"/>
          <w:color w:val="009FE3"/>
        </w:rPr>
      </w:pPr>
    </w:p>
    <w:p>
      <w:pPr>
        <w:ind w:left="660" w:right="80" w:hanging="220"/>
        <w:spacing w:after="0" w:line="263"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Restated Equity Plan authorizes a fixed number of shares, so that stockholder approval is required to increase the maximum number of shares of our common stock which may be issued under the Restated Equity Plan.</w:t>
      </w:r>
    </w:p>
    <w:p>
      <w:pPr>
        <w:spacing w:after="0" w:line="29" w:lineRule="exact"/>
        <w:rPr>
          <w:rFonts w:ascii="Arial" w:cs="Arial" w:eastAsia="Arial" w:hAnsi="Arial"/>
          <w:sz w:val="16"/>
          <w:szCs w:val="16"/>
          <w:color w:val="009FE3"/>
        </w:rPr>
      </w:pPr>
    </w:p>
    <w:p>
      <w:pPr>
        <w:ind w:left="660" w:right="260" w:hanging="220"/>
        <w:spacing w:after="0" w:line="263"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29" w:lineRule="exact"/>
        <w:rPr>
          <w:rFonts w:ascii="Arial" w:cs="Arial" w:eastAsia="Arial" w:hAnsi="Arial"/>
          <w:sz w:val="16"/>
          <w:szCs w:val="16"/>
          <w:color w:val="009FE3"/>
        </w:rPr>
      </w:pPr>
    </w:p>
    <w:p>
      <w:pPr>
        <w:ind w:left="660" w:right="50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Minimum vesting provision. </w:t>
      </w:r>
      <w:r>
        <w:rPr>
          <w:rFonts w:ascii="Arial" w:cs="Arial" w:eastAsia="Arial" w:hAnsi="Arial"/>
          <w:sz w:val="16"/>
          <w:szCs w:val="16"/>
          <w:color w:val="202E39"/>
        </w:rPr>
        <w:t>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14" w:lineRule="exact"/>
        <w:rPr>
          <w:rFonts w:ascii="Arial" w:cs="Arial" w:eastAsia="Arial" w:hAnsi="Arial"/>
          <w:sz w:val="16"/>
          <w:szCs w:val="16"/>
          <w:color w:val="009FE3"/>
        </w:rPr>
      </w:pPr>
    </w:p>
    <w:p>
      <w:pPr>
        <w:ind w:left="660" w:right="28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No single-trigger vesting of awards for employees. </w:t>
      </w:r>
      <w:r>
        <w:rPr>
          <w:rFonts w:ascii="Arial" w:cs="Arial" w:eastAsia="Arial" w:hAnsi="Arial"/>
          <w:sz w:val="16"/>
          <w:szCs w:val="16"/>
          <w:color w:val="202E39"/>
        </w:rPr>
        <w:t>The Restated Equity Plan does not provide employees with any single-trigger accelerated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vesting provisions for changes in control.</w:t>
      </w:r>
    </w:p>
    <w:p>
      <w:pPr>
        <w:spacing w:after="0" w:line="14" w:lineRule="exact"/>
        <w:rPr>
          <w:rFonts w:ascii="Arial" w:cs="Arial" w:eastAsia="Arial" w:hAnsi="Arial"/>
          <w:sz w:val="16"/>
          <w:szCs w:val="16"/>
          <w:color w:val="009FE3"/>
        </w:rPr>
      </w:pPr>
    </w:p>
    <w:p>
      <w:pPr>
        <w:ind w:left="660" w:right="140" w:hanging="220"/>
        <w:spacing w:after="0" w:line="255"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awards. </w:t>
      </w:r>
      <w:r>
        <w:rPr>
          <w:rFonts w:ascii="Arial" w:cs="Arial" w:eastAsia="Arial" w:hAnsi="Arial"/>
          <w:sz w:val="16"/>
          <w:szCs w:val="16"/>
          <w:color w:val="202E39"/>
        </w:rPr>
        <w:t>Not more than 1,000,000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In addition, the maximum aggregate amount of cash that may be paid in cash to any one person during any fiscal year with respect to one or more awards initially payable in cash is $5,000,000.</w:t>
      </w:r>
    </w:p>
    <w:p>
      <w:pPr>
        <w:spacing w:after="0" w:line="35" w:lineRule="exact"/>
        <w:rPr>
          <w:rFonts w:ascii="Arial" w:cs="Arial" w:eastAsia="Arial" w:hAnsi="Arial"/>
          <w:sz w:val="16"/>
          <w:szCs w:val="16"/>
          <w:color w:val="009FE3"/>
        </w:rPr>
      </w:pPr>
    </w:p>
    <w:p>
      <w:pPr>
        <w:ind w:left="660" w:right="6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14" w:lineRule="exact"/>
        <w:rPr>
          <w:rFonts w:ascii="Arial" w:cs="Arial" w:eastAsia="Arial" w:hAnsi="Arial"/>
          <w:sz w:val="16"/>
          <w:szCs w:val="16"/>
          <w:color w:val="009FE3"/>
        </w:rPr>
      </w:pPr>
    </w:p>
    <w:p>
      <w:pPr>
        <w:ind w:left="660" w:hanging="220"/>
        <w:spacing w:after="0"/>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72" w:lineRule="exact"/>
        <w:rPr>
          <w:rFonts w:ascii="Arial" w:cs="Arial" w:eastAsia="Arial" w:hAnsi="Arial"/>
          <w:sz w:val="16"/>
          <w:szCs w:val="16"/>
          <w:color w:val="009FE3"/>
        </w:rPr>
      </w:pPr>
    </w:p>
    <w:p>
      <w:pPr>
        <w:ind w:left="660" w:right="20" w:hanging="220"/>
        <w:spacing w:after="0" w:line="258"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stock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w:t>
      </w:r>
    </w:p>
    <w:p>
      <w:pPr>
        <w:spacing w:after="0" w:line="32" w:lineRule="exact"/>
        <w:rPr>
          <w:rFonts w:ascii="Arial" w:cs="Arial" w:eastAsia="Arial" w:hAnsi="Arial"/>
          <w:sz w:val="16"/>
          <w:szCs w:val="16"/>
          <w:color w:val="009FE3"/>
        </w:rPr>
      </w:pPr>
    </w:p>
    <w:p>
      <w:pPr>
        <w:ind w:left="660" w:hanging="220"/>
        <w:spacing w:after="0" w:line="249"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share counting provisions. </w:t>
      </w:r>
      <w:r>
        <w:rPr>
          <w:rFonts w:ascii="Arial" w:cs="Arial" w:eastAsia="Arial" w:hAnsi="Arial"/>
          <w:sz w:val="16"/>
          <w:szCs w:val="16"/>
          <w:color w:val="202E39"/>
        </w:rPr>
        <w:t>In general, when awards granted under the Restated Equity Plan expire or are canceled, or are settled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w:t>
      </w:r>
    </w:p>
    <w:p>
      <w:pPr>
        <w:spacing w:after="0" w:line="2" w:lineRule="exact"/>
        <w:rPr>
          <w:rFonts w:ascii="Arial" w:cs="Arial" w:eastAsia="Arial" w:hAnsi="Arial"/>
          <w:sz w:val="16"/>
          <w:szCs w:val="16"/>
          <w:color w:val="009FE3"/>
        </w:rPr>
      </w:pPr>
    </w:p>
    <w:p>
      <w:pPr>
        <w:ind w:left="660" w:right="20"/>
        <w:spacing w:after="0" w:line="251" w:lineRule="auto"/>
        <w:rPr>
          <w:rFonts w:ascii="Arial" w:cs="Arial" w:eastAsia="Arial" w:hAnsi="Arial"/>
          <w:sz w:val="16"/>
          <w:szCs w:val="16"/>
          <w:color w:val="009FE3"/>
        </w:rPr>
      </w:pPr>
      <w:r>
        <w:rPr>
          <w:rFonts w:ascii="Arial" w:cs="Arial" w:eastAsia="Arial" w:hAnsi="Arial"/>
          <w:sz w:val="16"/>
          <w:szCs w:val="16"/>
          <w:color w:val="202E39"/>
        </w:rPr>
        <w:t>(1)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37" w:lineRule="exact"/>
        <w:rPr>
          <w:rFonts w:ascii="Arial" w:cs="Arial" w:eastAsia="Arial" w:hAnsi="Arial"/>
          <w:sz w:val="16"/>
          <w:szCs w:val="16"/>
          <w:color w:val="009FE3"/>
        </w:rPr>
      </w:pPr>
    </w:p>
    <w:p>
      <w:pPr>
        <w:ind w:left="660" w:right="8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69850</wp:posOffset>
            </wp:positionV>
            <wp:extent cx="4286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Summary of the Restated Equity Plan</w:t>
      </w:r>
    </w:p>
    <w:p>
      <w:pPr>
        <w:spacing w:after="0" w:line="124"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71"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Restated Equity Plan was adopted (1) to further our growth, development and financial success by providing</w:t>
      </w:r>
      <w:r>
        <w:rPr>
          <w:rFonts w:ascii="Arial" w:cs="Arial" w:eastAsia="Arial" w:hAnsi="Arial"/>
          <w:sz w:val="16"/>
          <w:szCs w:val="16"/>
          <w:i w:val="1"/>
          <w:iCs w:val="1"/>
          <w:color w:val="009FE3"/>
        </w:rPr>
        <w:t xml:space="preserve"> </w:t>
      </w:r>
      <w:r>
        <w:rPr>
          <w:rFonts w:ascii="Arial" w:cs="Arial" w:eastAsia="Arial" w:hAnsi="Arial"/>
          <w:sz w:val="16"/>
          <w:szCs w:val="16"/>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120" w:right="40" w:hanging="4"/>
        <w:spacing w:after="0" w:line="250" w:lineRule="auto"/>
        <w:tabs>
          <w:tab w:leader="none" w:pos="363" w:val="left"/>
        </w:tabs>
        <w:numPr>
          <w:ilvl w:val="0"/>
          <w:numId w:val="17"/>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79" w:lineRule="exact"/>
        <w:rPr>
          <w:sz w:val="20"/>
          <w:szCs w:val="20"/>
          <w:color w:val="auto"/>
        </w:rPr>
      </w:pPr>
    </w:p>
    <w:p>
      <w:pPr>
        <w:ind w:left="120" w:right="80"/>
        <w:spacing w:after="0" w:line="258"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Compensation and Human Resources Committee of the Board of Directors will administer the Restated Equity Plan. The full Board</w:t>
      </w:r>
      <w:r>
        <w:rPr>
          <w:rFonts w:ascii="Arial" w:cs="Arial" w:eastAsia="Arial" w:hAnsi="Arial"/>
          <w:sz w:val="16"/>
          <w:szCs w:val="16"/>
          <w:i w:val="1"/>
          <w:iCs w:val="1"/>
          <w:color w:val="009FE3"/>
        </w:rPr>
        <w:t xml:space="preserve"> </w:t>
      </w:r>
      <w:r>
        <w:rPr>
          <w:rFonts w:ascii="Arial" w:cs="Arial" w:eastAsia="Arial" w:hAnsi="Arial"/>
          <w:sz w:val="16"/>
          <w:szCs w:val="16"/>
          <w:color w:val="202E39"/>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73"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i w:val="1"/>
          <w:iCs w:val="1"/>
          <w:color w:val="009FE3"/>
        </w:rPr>
        <w:t xml:space="preserve">Shares Subject to Restated Equity Plan. </w:t>
      </w:r>
      <w:r>
        <w:rPr>
          <w:rFonts w:ascii="Arial" w:cs="Arial" w:eastAsia="Arial" w:hAnsi="Arial"/>
          <w:sz w:val="16"/>
          <w:szCs w:val="16"/>
          <w:color w:val="202E39"/>
        </w:rPr>
        <w:t>The Equity Plan currently provides for the issuance of up to 35,350,000 shares of our common stock (of which</w:t>
      </w:r>
      <w:r>
        <w:rPr>
          <w:rFonts w:ascii="Arial" w:cs="Arial" w:eastAsia="Arial" w:hAnsi="Arial"/>
          <w:sz w:val="16"/>
          <w:szCs w:val="16"/>
          <w:i w:val="1"/>
          <w:iCs w:val="1"/>
          <w:color w:val="009FE3"/>
        </w:rPr>
        <w:t xml:space="preserve"> </w:t>
      </w:r>
      <w:r>
        <w:rPr>
          <w:rFonts w:ascii="Arial" w:cs="Arial" w:eastAsia="Arial" w:hAnsi="Arial"/>
          <w:sz w:val="16"/>
          <w:szCs w:val="16"/>
          <w:color w:val="202E39"/>
        </w:rPr>
        <w:t>3,108,026 shares remain available for issuance as of July 1, 2020) and, if this Proposal 4 is approved, the Restated Equity Plan will provide for the issuance of up to 38,025,000 shares of our common stock. 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The payment of dividend equivalents in cash in conjunction with any outstanding awards will not be counted against the shares available for issuance under the Restated Equity Plan.</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If (1) any award under the Restated Equity Plan expires or is cancelled without having been fully exercised or paid or such award is settled for cash,</w:t>
      </w:r>
    </w:p>
    <w:p>
      <w:pPr>
        <w:spacing w:after="0" w:line="5" w:lineRule="exact"/>
        <w:rPr>
          <w:sz w:val="20"/>
          <w:szCs w:val="20"/>
          <w:color w:val="auto"/>
        </w:rPr>
      </w:pPr>
    </w:p>
    <w:p>
      <w:pPr>
        <w:ind w:left="120" w:right="120" w:hanging="4"/>
        <w:spacing w:after="0" w:line="251" w:lineRule="auto"/>
        <w:tabs>
          <w:tab w:leader="none" w:pos="363" w:val="left"/>
        </w:tabs>
        <w:numPr>
          <w:ilvl w:val="0"/>
          <w:numId w:val="18"/>
        </w:numPr>
        <w:rPr>
          <w:rFonts w:ascii="Arial" w:cs="Arial" w:eastAsia="Arial" w:hAnsi="Arial"/>
          <w:sz w:val="16"/>
          <w:szCs w:val="16"/>
          <w:color w:val="202E39"/>
        </w:rPr>
      </w:pPr>
      <w:r>
        <w:rPr>
          <w:rFonts w:ascii="Arial" w:cs="Arial" w:eastAsia="Arial" w:hAnsi="Arial"/>
          <w:sz w:val="16"/>
          <w:szCs w:val="16"/>
          <w:color w:val="202E39"/>
        </w:rPr>
        <w:t>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w:t>
      </w:r>
    </w:p>
    <w:p>
      <w:pPr>
        <w:spacing w:after="0" w:line="94"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120" w:right="80" w:hanging="4"/>
        <w:spacing w:after="0" w:line="253" w:lineRule="auto"/>
        <w:tabs>
          <w:tab w:leader="none" w:pos="363" w:val="left"/>
        </w:tabs>
        <w:numPr>
          <w:ilvl w:val="0"/>
          <w:numId w:val="19"/>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9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289"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202E39"/>
        </w:rPr>
        <w:t>Under the Restated Equity Plan, not more than 1,000,000 shares may be subject to options or stock appreciation rights for any one individual per fiscal year. The Restated Equity Plan also has an individual award limit of 300,000 shares per fiscal year for grants of restricted stock, performance awards, dividend equivalents, restricted stock units and stock payments (except for grants made upon initial service of an employee, which has an award limit of 600,000 shares). In addition, the maximum aggregate amount of cash that may be paid in cash to any one person during any fiscal year with respect to one or more awards initially payable in cash shall be $5,000,000.</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23</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31"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 conditions of the awards. As of July 1, 2020, outstanding equity awards have been issued to 2,813 of our approximately 5,900 employees, to one of our approximately 397 consultants, and to all six of our non-employee directors under the Equity Plan.</w:t>
      </w:r>
    </w:p>
    <w:p>
      <w:pPr>
        <w:spacing w:after="0" w:line="76"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009FE3"/>
        </w:rPr>
        <w:t xml:space="preserve">Purchase Price of Optioned Shares. </w:t>
      </w:r>
      <w:r>
        <w:rPr>
          <w:rFonts w:ascii="Arial" w:cs="Arial" w:eastAsia="Arial" w:hAnsi="Arial"/>
          <w:sz w:val="16"/>
          <w:szCs w:val="16"/>
          <w:color w:val="202E39"/>
        </w:rPr>
        <w:t>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2020, the closing price of Viasat common stock on the Nasdaq Global Select Market was $36.77 per share.</w:t>
      </w:r>
    </w:p>
    <w:p>
      <w:pPr>
        <w:spacing w:after="0" w:line="76"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009FE3"/>
        </w:rPr>
        <w:t xml:space="preserve">Terms of Options. </w:t>
      </w:r>
      <w:r>
        <w:rPr>
          <w:rFonts w:ascii="Arial" w:cs="Arial" w:eastAsia="Arial" w:hAnsi="Arial"/>
          <w:sz w:val="16"/>
          <w:szCs w:val="16"/>
          <w:color w:val="202E39"/>
        </w:rPr>
        <w:t>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70"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6"/>
          <w:szCs w:val="16"/>
          <w:i w:val="1"/>
          <w:iCs w:val="1"/>
          <w:color w:val="009FE3"/>
        </w:rPr>
        <w:t xml:space="preserve">Exercise of Options. </w:t>
      </w:r>
      <w:r>
        <w:rPr>
          <w:rFonts w:ascii="Arial" w:cs="Arial" w:eastAsia="Arial" w:hAnsi="Arial"/>
          <w:sz w:val="16"/>
          <w:szCs w:val="16"/>
          <w:color w:val="202E39"/>
        </w:rPr>
        <w:t>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70"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i w:val="1"/>
          <w:iCs w:val="1"/>
          <w:color w:val="009FE3"/>
        </w:rPr>
        <w:t xml:space="preserve">Other Stock Awards. </w:t>
      </w:r>
      <w:r>
        <w:rPr>
          <w:rFonts w:ascii="Arial" w:cs="Arial" w:eastAsia="Arial" w:hAnsi="Arial"/>
          <w:sz w:val="16"/>
          <w:szCs w:val="16"/>
          <w:color w:val="202E39"/>
        </w:rPr>
        <w:t>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7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Director Compensation. </w:t>
      </w:r>
      <w:r>
        <w:rPr>
          <w:rFonts w:ascii="Arial" w:cs="Arial" w:eastAsia="Arial" w:hAnsi="Arial"/>
          <w:sz w:val="16"/>
          <w:szCs w:val="16"/>
          <w:color w:val="202E39"/>
        </w:rPr>
        <w:t>During the term of the Restated Equity Plan, a person who is initially elected to the Board of Directors and who is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 Under the Restated Equity Plan, awards to non-employee directors will be eligible for accelerated vesting in the event of a change in control or the director’s death or disability.</w:t>
      </w:r>
    </w:p>
    <w:p>
      <w:pPr>
        <w:spacing w:after="0" w:line="79" w:lineRule="exact"/>
        <w:rPr>
          <w:sz w:val="20"/>
          <w:szCs w:val="20"/>
          <w:color w:val="auto"/>
        </w:rPr>
      </w:pPr>
    </w:p>
    <w:p>
      <w:pPr>
        <w:ind w:left="120" w:right="20"/>
        <w:spacing w:after="0" w:line="263" w:lineRule="auto"/>
        <w:rPr>
          <w:sz w:val="20"/>
          <w:szCs w:val="20"/>
          <w:color w:val="auto"/>
        </w:rPr>
      </w:pPr>
      <w:r>
        <w:rPr>
          <w:rFonts w:ascii="Arial" w:cs="Arial" w:eastAsia="Arial" w:hAnsi="Arial"/>
          <w:sz w:val="16"/>
          <w:szCs w:val="16"/>
          <w:i w:val="1"/>
          <w:iCs w:val="1"/>
          <w:color w:val="009FE3"/>
        </w:rPr>
        <w:t xml:space="preserve">Performance Criteria. </w:t>
      </w:r>
      <w:r>
        <w:rPr>
          <w:rFonts w:ascii="Arial" w:cs="Arial" w:eastAsia="Arial" w:hAnsi="Arial"/>
          <w:sz w:val="16"/>
          <w:szCs w:val="16"/>
          <w:color w:val="202E39"/>
        </w:rPr>
        <w:t>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100" w:lineRule="exact"/>
        <w:rPr>
          <w:sz w:val="20"/>
          <w:szCs w:val="20"/>
          <w:color w:val="auto"/>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costs,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286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202E39"/>
        </w:rPr>
        <w:t>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78"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i w:val="1"/>
          <w:iCs w:val="1"/>
          <w:color w:val="009FE3"/>
        </w:rPr>
        <w:t xml:space="preserve">Minimum Vesting Requirement. </w:t>
      </w:r>
      <w:r>
        <w:rPr>
          <w:rFonts w:ascii="Arial" w:cs="Arial" w:eastAsia="Arial" w:hAnsi="Arial"/>
          <w:sz w:val="16"/>
          <w:szCs w:val="16"/>
          <w:color w:val="202E39"/>
        </w:rPr>
        <w:t>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w:t>
      </w:r>
    </w:p>
    <w:p>
      <w:pPr>
        <w:spacing w:after="0" w:line="84" w:lineRule="exact"/>
        <w:rPr>
          <w:sz w:val="20"/>
          <w:szCs w:val="20"/>
          <w:color w:val="auto"/>
        </w:rPr>
      </w:pPr>
    </w:p>
    <w:p>
      <w:pPr>
        <w:ind w:left="120" w:right="500"/>
        <w:spacing w:after="0" w:line="281" w:lineRule="auto"/>
        <w:rPr>
          <w:sz w:val="20"/>
          <w:szCs w:val="20"/>
          <w:color w:val="auto"/>
        </w:rPr>
      </w:pPr>
      <w:r>
        <w:rPr>
          <w:rFonts w:ascii="Arial" w:cs="Arial" w:eastAsia="Arial" w:hAnsi="Arial"/>
          <w:sz w:val="16"/>
          <w:szCs w:val="16"/>
          <w:i w:val="1"/>
          <w:iCs w:val="1"/>
          <w:color w:val="009FE3"/>
        </w:rPr>
        <w:t xml:space="preserve">No Repricing. </w:t>
      </w:r>
      <w:r>
        <w:rPr>
          <w:rFonts w:ascii="Arial" w:cs="Arial" w:eastAsia="Arial" w:hAnsi="Arial"/>
          <w:sz w:val="16"/>
          <w:szCs w:val="16"/>
          <w:color w:val="202E39"/>
        </w:rPr>
        <w:t>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5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Amendment and Termination of the Plan. </w:t>
      </w:r>
      <w:r>
        <w:rPr>
          <w:rFonts w:ascii="Arial" w:cs="Arial" w:eastAsia="Arial" w:hAnsi="Arial"/>
          <w:sz w:val="16"/>
          <w:szCs w:val="16"/>
          <w:color w:val="202E39"/>
        </w:rPr>
        <w:t>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without approval of the stockholders of Viasat, (1) the Restated Equity Plan may not be amended to (a) increase the maximum number of shares issuable upon exercise of equity awards granted under the Restated Equity Plan, or</w:t>
      </w:r>
    </w:p>
    <w:p>
      <w:pPr>
        <w:spacing w:after="0" w:line="1" w:lineRule="exact"/>
        <w:rPr>
          <w:sz w:val="20"/>
          <w:szCs w:val="20"/>
          <w:color w:val="auto"/>
        </w:rPr>
      </w:pPr>
    </w:p>
    <w:p>
      <w:pPr>
        <w:ind w:left="120" w:right="20" w:hanging="4"/>
        <w:spacing w:after="0" w:line="253" w:lineRule="auto"/>
        <w:tabs>
          <w:tab w:leader="none" w:pos="363" w:val="left"/>
        </w:tabs>
        <w:numPr>
          <w:ilvl w:val="0"/>
          <w:numId w:val="21"/>
        </w:numPr>
        <w:rPr>
          <w:rFonts w:ascii="Arial" w:cs="Arial" w:eastAsia="Arial" w:hAnsi="Arial"/>
          <w:sz w:val="16"/>
          <w:szCs w:val="16"/>
          <w:color w:val="202E39"/>
        </w:rPr>
      </w:pPr>
      <w:r>
        <w:rPr>
          <w:rFonts w:ascii="Arial" w:cs="Arial" w:eastAsia="Arial" w:hAnsi="Arial"/>
          <w:sz w:val="16"/>
          <w:szCs w:val="16"/>
          <w:color w:val="202E39"/>
        </w:rPr>
        <w:t>increase the annual award limits applicable to participants, and (2) no action of the plan administrator may be taken that would otherwise require stockholder approval as a matter of applicable law, regulation or rule. The Restated Equity Plan will continue until terminated by the plan administrator. No incentive stock options may be granted under the Restated Equity Plan after June 15, 2030.</w:t>
      </w:r>
    </w:p>
    <w:p>
      <w:pPr>
        <w:spacing w:after="0" w:line="77"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Equity Plan is intended to comply with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24"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79"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i w:val="1"/>
          <w:iCs w:val="1"/>
          <w:color w:val="009FE3"/>
        </w:rPr>
        <w:t xml:space="preserve">Consequences to Employees: Incentive Stock Options. </w:t>
      </w:r>
      <w:r>
        <w:rPr>
          <w:rFonts w:ascii="Arial" w:cs="Arial" w:eastAsia="Arial" w:hAnsi="Arial"/>
          <w:sz w:val="16"/>
          <w:szCs w:val="16"/>
          <w:color w:val="202E39"/>
        </w:rPr>
        <w:t>No income is recognized for federal income tax purposes by an optionee at the time an</w:t>
      </w:r>
      <w:r>
        <w:rPr>
          <w:rFonts w:ascii="Arial" w:cs="Arial" w:eastAsia="Arial" w:hAnsi="Arial"/>
          <w:sz w:val="16"/>
          <w:szCs w:val="16"/>
          <w:i w:val="1"/>
          <w:iCs w:val="1"/>
          <w:color w:val="009FE3"/>
        </w:rPr>
        <w:t xml:space="preserve"> </w:t>
      </w:r>
      <w:r>
        <w:rPr>
          <w:rFonts w:ascii="Arial" w:cs="Arial" w:eastAsia="Arial" w:hAnsi="Arial"/>
          <w:sz w:val="16"/>
          <w:szCs w:val="16"/>
          <w:color w:val="202E39"/>
        </w:rPr>
        <w:t>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85"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i w:val="1"/>
          <w:iCs w:val="1"/>
          <w:color w:val="009FE3"/>
        </w:rPr>
        <w:t xml:space="preserve">Consequences to Employees: Non-Qualified Stock Options. </w:t>
      </w:r>
      <w:r>
        <w:rPr>
          <w:rFonts w:ascii="Arial" w:cs="Arial" w:eastAsia="Arial" w:hAnsi="Arial"/>
          <w:sz w:val="16"/>
          <w:szCs w:val="16"/>
          <w:color w:val="202E39"/>
        </w:rPr>
        <w:t>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25</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02E39"/>
        </w:rPr>
        <w:t>stock are held as a capital asset, any gain or loss resulting from a subsequent sale will be short-term or long-term capital gain or loss depending upon the length of time the shares have been held.</w:t>
      </w:r>
    </w:p>
    <w:p>
      <w:pPr>
        <w:spacing w:after="0" w:line="71" w:lineRule="exact"/>
        <w:rPr>
          <w:sz w:val="20"/>
          <w:szCs w:val="20"/>
          <w:color w:val="auto"/>
        </w:rPr>
      </w:pPr>
    </w:p>
    <w:p>
      <w:pPr>
        <w:ind w:left="120" w:right="120"/>
        <w:spacing w:after="0" w:line="258" w:lineRule="auto"/>
        <w:rPr>
          <w:sz w:val="20"/>
          <w:szCs w:val="20"/>
          <w:color w:val="auto"/>
        </w:rPr>
      </w:pPr>
      <w:r>
        <w:rPr>
          <w:rFonts w:ascii="Arial" w:cs="Arial" w:eastAsia="Arial" w:hAnsi="Arial"/>
          <w:sz w:val="16"/>
          <w:szCs w:val="16"/>
          <w:i w:val="1"/>
          <w:iCs w:val="1"/>
          <w:color w:val="009FE3"/>
        </w:rPr>
        <w:t xml:space="preserve">Consequences to Viasat: Incentive Stock Options. </w:t>
      </w:r>
      <w:r>
        <w:rPr>
          <w:rFonts w:ascii="Arial" w:cs="Arial" w:eastAsia="Arial" w:hAnsi="Arial"/>
          <w:sz w:val="16"/>
          <w:szCs w:val="16"/>
          <w:color w:val="202E39"/>
        </w:rPr>
        <w:t>We will not be allowed a deduction for federal income tax purposes at the time of the grant or</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73"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i w:val="1"/>
          <w:iCs w:val="1"/>
          <w:color w:val="009FE3"/>
        </w:rPr>
        <w:t xml:space="preserve">Consequences to Viasat: Non-Qualified Stock Options. </w:t>
      </w:r>
      <w:r>
        <w:rPr>
          <w:rFonts w:ascii="Arial" w:cs="Arial" w:eastAsia="Arial" w:hAnsi="Arial"/>
          <w:sz w:val="16"/>
          <w:szCs w:val="16"/>
          <w:color w:val="202E39"/>
        </w:rPr>
        <w:t>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55"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i w:val="1"/>
          <w:iCs w:val="1"/>
          <w:color w:val="009FE3"/>
        </w:rPr>
        <w:t xml:space="preserve">Restricted Stock. </w:t>
      </w:r>
      <w:r>
        <w:rPr>
          <w:rFonts w:ascii="Arial" w:cs="Arial" w:eastAsia="Arial" w:hAnsi="Arial"/>
          <w:sz w:val="16"/>
          <w:szCs w:val="16"/>
          <w:color w:val="202E39"/>
        </w:rPr>
        <w:t>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81" w:lineRule="exact"/>
        <w:rPr>
          <w:sz w:val="20"/>
          <w:szCs w:val="20"/>
          <w:color w:val="auto"/>
        </w:rPr>
      </w:pPr>
    </w:p>
    <w:p>
      <w:pPr>
        <w:ind w:left="120" w:right="80"/>
        <w:spacing w:after="0" w:line="263" w:lineRule="auto"/>
        <w:rPr>
          <w:sz w:val="20"/>
          <w:szCs w:val="20"/>
          <w:color w:val="auto"/>
        </w:rPr>
      </w:pPr>
      <w:r>
        <w:rPr>
          <w:rFonts w:ascii="Arial" w:cs="Arial" w:eastAsia="Arial" w:hAnsi="Arial"/>
          <w:sz w:val="16"/>
          <w:szCs w:val="16"/>
          <w:i w:val="1"/>
          <w:iCs w:val="1"/>
          <w:color w:val="009FE3"/>
        </w:rPr>
        <w:t xml:space="preserve">Stock Appreciation Rights. </w:t>
      </w:r>
      <w:r>
        <w:rPr>
          <w:rFonts w:ascii="Arial" w:cs="Arial" w:eastAsia="Arial" w:hAnsi="Arial"/>
          <w:sz w:val="16"/>
          <w:szCs w:val="16"/>
          <w:color w:val="202E39"/>
        </w:rPr>
        <w:t>A participant will not be taxed upon the grant of a stock appreciation right. Upon the exercise of the stock appreciation right,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70" w:lineRule="exact"/>
        <w:rPr>
          <w:sz w:val="20"/>
          <w:szCs w:val="20"/>
          <w:color w:val="auto"/>
        </w:rPr>
      </w:pPr>
    </w:p>
    <w:p>
      <w:pPr>
        <w:ind w:left="120" w:right="20"/>
        <w:spacing w:after="0" w:line="263" w:lineRule="auto"/>
        <w:rPr>
          <w:sz w:val="20"/>
          <w:szCs w:val="20"/>
          <w:color w:val="auto"/>
        </w:rPr>
      </w:pPr>
      <w:r>
        <w:rPr>
          <w:rFonts w:ascii="Arial" w:cs="Arial" w:eastAsia="Arial" w:hAnsi="Arial"/>
          <w:sz w:val="16"/>
          <w:szCs w:val="16"/>
          <w:i w:val="1"/>
          <w:iCs w:val="1"/>
          <w:color w:val="009FE3"/>
        </w:rPr>
        <w:t xml:space="preserve">Performance Awards, Dividend Equivalents, Restricted Stock Units and Stock Payments. </w:t>
      </w:r>
      <w:r>
        <w:rPr>
          <w:rFonts w:ascii="Arial" w:cs="Arial" w:eastAsia="Arial" w:hAnsi="Arial"/>
          <w:sz w:val="16"/>
          <w:szCs w:val="16"/>
          <w:color w:val="202E39"/>
        </w:rPr>
        <w:t>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70"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i w:val="1"/>
          <w:iCs w:val="1"/>
          <w:color w:val="009FE3"/>
        </w:rPr>
        <w:t xml:space="preserve">Section 162(m). </w:t>
      </w:r>
      <w:r>
        <w:rPr>
          <w:rFonts w:ascii="Arial" w:cs="Arial" w:eastAsia="Arial" w:hAnsi="Arial"/>
          <w:sz w:val="16"/>
          <w:szCs w:val="16"/>
          <w:color w:val="202E39"/>
        </w:rPr>
        <w:t>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Prior to the Tax Cuts and Jobs Act of 2017, or TCJA, covered employees generally consisted of our chief executive officer and each of the next three highest compensated officers serving at the end of the taxable year other than our chief financial officer, and the deduction limit did not apply to certain “performance-based” compensation established by an independent compensation committee which conformed to certain restrictive conditions stated under the Code and related regulations. As part of the TCJA, the ability to rely on this exemption was, with certain limited exceptions, eliminated, and the definition of covered employees was expanded to generally include all named executive officers. Certain awards under the Equity Plan granted prior to November 2, 2017 may be grandfathered from the changes made by the TCJA under certain limited transition relief, however, for grants after that date and any grants which are not grandfathered, we will no longer be able to take a deduction for any compensation in excess of $1 million that is paid to a covered employee. There is no guarantee that any awards will be eligible for the transition relief or that we will be able to take a deduction for any compensation in excess of $1 million that is paid to a covered employee under the Equity Plan or the Restated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88900</wp:posOffset>
            </wp:positionV>
            <wp:extent cx="4286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New Plan Benefits</w:t>
      </w:r>
    </w:p>
    <w:p>
      <w:pPr>
        <w:spacing w:after="0" w:line="124"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 For illustrative purposes only, the following table sets forth the aggregate number of shares subject to restricted stock unit awards and stock options granted under the Equity Plan during the last fiscal year to the following individuals and groups: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740" w:type="dxa"/>
            <w:vAlign w:val="bottom"/>
            <w:tcBorders>
              <w:top w:val="single" w:sz="8" w:color="E8EAEB"/>
              <w:right w:val="single" w:sz="8" w:color="E8EAEB"/>
            </w:tcBorders>
          </w:tcPr>
          <w:p>
            <w:pPr>
              <w:spacing w:after="0"/>
              <w:rPr>
                <w:sz w:val="17"/>
                <w:szCs w:val="17"/>
                <w:color w:val="auto"/>
              </w:rPr>
            </w:pPr>
          </w:p>
        </w:tc>
        <w:tc>
          <w:tcPr>
            <w:tcW w:w="2600" w:type="dxa"/>
            <w:vAlign w:val="bottom"/>
            <w:tcBorders>
              <w:top w:val="single" w:sz="8" w:color="E8EAEB"/>
              <w:right w:val="single" w:sz="8" w:color="E8EAEB"/>
            </w:tcBorders>
          </w:tcPr>
          <w:p>
            <w:pPr>
              <w:jc w:val="center"/>
              <w:ind w:left="1244"/>
              <w:spacing w:after="0"/>
              <w:rPr>
                <w:sz w:val="20"/>
                <w:szCs w:val="20"/>
                <w:color w:val="auto"/>
              </w:rPr>
            </w:pPr>
            <w:r>
              <w:rPr>
                <w:rFonts w:ascii="Arial" w:cs="Arial" w:eastAsia="Arial" w:hAnsi="Arial"/>
                <w:sz w:val="14"/>
                <w:szCs w:val="14"/>
                <w:b w:val="1"/>
                <w:bCs w:val="1"/>
                <w:color w:val="009FE3"/>
              </w:rPr>
              <w:t>Number of Shares</w:t>
            </w:r>
          </w:p>
        </w:tc>
        <w:tc>
          <w:tcPr>
            <w:tcW w:w="268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40" w:type="dxa"/>
            <w:vAlign w:val="bottom"/>
            <w:tcBorders>
              <w:right w:val="single" w:sz="8" w:color="E8EAEB"/>
            </w:tcBorders>
          </w:tcPr>
          <w:p>
            <w:pPr>
              <w:spacing w:after="0"/>
              <w:rPr>
                <w:sz w:val="14"/>
                <w:szCs w:val="14"/>
                <w:color w:val="auto"/>
              </w:rPr>
            </w:pPr>
          </w:p>
        </w:tc>
        <w:tc>
          <w:tcPr>
            <w:tcW w:w="2600" w:type="dxa"/>
            <w:vAlign w:val="bottom"/>
            <w:tcBorders>
              <w:right w:val="single" w:sz="8" w:color="E8EAEB"/>
            </w:tcBorders>
          </w:tcPr>
          <w:p>
            <w:pPr>
              <w:jc w:val="center"/>
              <w:ind w:left="1224"/>
              <w:spacing w:after="0"/>
              <w:rPr>
                <w:sz w:val="20"/>
                <w:szCs w:val="20"/>
                <w:color w:val="auto"/>
              </w:rPr>
            </w:pPr>
            <w:r>
              <w:rPr>
                <w:rFonts w:ascii="Arial" w:cs="Arial" w:eastAsia="Arial" w:hAnsi="Arial"/>
                <w:sz w:val="14"/>
                <w:szCs w:val="14"/>
                <w:b w:val="1"/>
                <w:bCs w:val="1"/>
                <w:color w:val="009FE3"/>
              </w:rPr>
              <w:t>Subject to</w:t>
            </w:r>
          </w:p>
        </w:tc>
        <w:tc>
          <w:tcPr>
            <w:tcW w:w="2680" w:type="dxa"/>
            <w:vAlign w:val="bottom"/>
          </w:tcPr>
          <w:p>
            <w:pPr>
              <w:jc w:val="center"/>
              <w:ind w:left="1244"/>
              <w:spacing w:after="0"/>
              <w:rPr>
                <w:sz w:val="20"/>
                <w:szCs w:val="20"/>
                <w:color w:val="auto"/>
              </w:rPr>
            </w:pPr>
            <w:r>
              <w:rPr>
                <w:rFonts w:ascii="Arial" w:cs="Arial" w:eastAsia="Arial" w:hAnsi="Arial"/>
                <w:sz w:val="14"/>
                <w:szCs w:val="14"/>
                <w:b w:val="1"/>
                <w:bCs w:val="1"/>
                <w:color w:val="009FE3"/>
              </w:rPr>
              <w:t>Number of Shares</w:t>
            </w:r>
          </w:p>
        </w:tc>
        <w:tc>
          <w:tcPr>
            <w:tcW w:w="0" w:type="dxa"/>
            <w:vAlign w:val="bottom"/>
          </w:tcPr>
          <w:p>
            <w:pPr>
              <w:spacing w:after="0"/>
              <w:rPr>
                <w:sz w:val="1"/>
                <w:szCs w:val="1"/>
                <w:color w:val="auto"/>
              </w:rPr>
            </w:pPr>
          </w:p>
        </w:tc>
      </w:tr>
      <w:tr>
        <w:trPr>
          <w:trHeight w:val="162"/>
        </w:trPr>
        <w:tc>
          <w:tcPr>
            <w:tcW w:w="574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Name or Group</w:t>
            </w:r>
          </w:p>
        </w:tc>
        <w:tc>
          <w:tcPr>
            <w:tcW w:w="2600" w:type="dxa"/>
            <w:vAlign w:val="bottom"/>
            <w:tcBorders>
              <w:right w:val="single" w:sz="8" w:color="E8EAEB"/>
            </w:tcBorders>
          </w:tcPr>
          <w:p>
            <w:pPr>
              <w:jc w:val="center"/>
              <w:ind w:left="1224"/>
              <w:spacing w:after="0"/>
              <w:rPr>
                <w:sz w:val="20"/>
                <w:szCs w:val="20"/>
                <w:color w:val="auto"/>
              </w:rPr>
            </w:pPr>
            <w:r>
              <w:rPr>
                <w:rFonts w:ascii="Arial" w:cs="Arial" w:eastAsia="Arial" w:hAnsi="Arial"/>
                <w:sz w:val="14"/>
                <w:szCs w:val="14"/>
                <w:b w:val="1"/>
                <w:bCs w:val="1"/>
                <w:color w:val="009FE3"/>
              </w:rPr>
              <w:t>Restricted Stock</w:t>
            </w:r>
          </w:p>
        </w:tc>
        <w:tc>
          <w:tcPr>
            <w:tcW w:w="2680" w:type="dxa"/>
            <w:vAlign w:val="bottom"/>
          </w:tcPr>
          <w:p>
            <w:pPr>
              <w:jc w:val="center"/>
              <w:ind w:left="1264"/>
              <w:spacing w:after="0"/>
              <w:rPr>
                <w:sz w:val="20"/>
                <w:szCs w:val="20"/>
                <w:color w:val="auto"/>
              </w:rPr>
            </w:pPr>
            <w:r>
              <w:rPr>
                <w:rFonts w:ascii="Arial" w:cs="Arial" w:eastAsia="Arial" w:hAnsi="Arial"/>
                <w:sz w:val="14"/>
                <w:szCs w:val="14"/>
                <w:b w:val="1"/>
                <w:bCs w:val="1"/>
                <w:color w:val="009FE3"/>
              </w:rPr>
              <w:t>Underlying Options</w:t>
            </w:r>
          </w:p>
        </w:tc>
        <w:tc>
          <w:tcPr>
            <w:tcW w:w="0" w:type="dxa"/>
            <w:vAlign w:val="bottom"/>
          </w:tcPr>
          <w:p>
            <w:pPr>
              <w:spacing w:after="0"/>
              <w:rPr>
                <w:sz w:val="1"/>
                <w:szCs w:val="1"/>
                <w:color w:val="auto"/>
              </w:rPr>
            </w:pPr>
          </w:p>
        </w:tc>
      </w:tr>
      <w:tr>
        <w:trPr>
          <w:trHeight w:val="189"/>
        </w:trPr>
        <w:tc>
          <w:tcPr>
            <w:tcW w:w="5740" w:type="dxa"/>
            <w:vAlign w:val="bottom"/>
            <w:tcBorders>
              <w:bottom w:val="single" w:sz="8" w:color="009FE3"/>
              <w:right w:val="single" w:sz="8" w:color="E8EAEB"/>
            </w:tcBorders>
            <w:vMerge w:val="continue"/>
          </w:tcPr>
          <w:p>
            <w:pPr>
              <w:spacing w:after="0"/>
              <w:rPr>
                <w:sz w:val="16"/>
                <w:szCs w:val="16"/>
                <w:color w:val="auto"/>
              </w:rPr>
            </w:pPr>
          </w:p>
        </w:tc>
        <w:tc>
          <w:tcPr>
            <w:tcW w:w="2600" w:type="dxa"/>
            <w:vAlign w:val="bottom"/>
            <w:tcBorders>
              <w:bottom w:val="single" w:sz="8" w:color="009FE3"/>
              <w:right w:val="single" w:sz="8" w:color="E8EAEB"/>
            </w:tcBorders>
          </w:tcPr>
          <w:p>
            <w:pPr>
              <w:jc w:val="center"/>
              <w:ind w:left="1224"/>
              <w:spacing w:after="0"/>
              <w:rPr>
                <w:sz w:val="20"/>
                <w:szCs w:val="20"/>
                <w:color w:val="auto"/>
              </w:rPr>
            </w:pPr>
            <w:r>
              <w:rPr>
                <w:rFonts w:ascii="Arial" w:cs="Arial" w:eastAsia="Arial" w:hAnsi="Arial"/>
                <w:sz w:val="14"/>
                <w:szCs w:val="14"/>
                <w:b w:val="1"/>
                <w:bCs w:val="1"/>
                <w:color w:val="009FE3"/>
              </w:rPr>
              <w:t>Units Granted (#)</w:t>
            </w:r>
          </w:p>
        </w:tc>
        <w:tc>
          <w:tcPr>
            <w:tcW w:w="2680" w:type="dxa"/>
            <w:vAlign w:val="bottom"/>
            <w:tcBorders>
              <w:bottom w:val="single" w:sz="8" w:color="009FE3"/>
            </w:tcBorders>
          </w:tcPr>
          <w:p>
            <w:pPr>
              <w:jc w:val="center"/>
              <w:ind w:left="1264"/>
              <w:spacing w:after="0"/>
              <w:rPr>
                <w:sz w:val="20"/>
                <w:szCs w:val="20"/>
                <w:color w:val="auto"/>
              </w:rPr>
            </w:pPr>
            <w:r>
              <w:rPr>
                <w:rFonts w:ascii="Arial" w:cs="Arial" w:eastAsia="Arial" w:hAnsi="Arial"/>
                <w:sz w:val="14"/>
                <w:szCs w:val="14"/>
                <w:b w:val="1"/>
                <w:bCs w:val="1"/>
                <w:color w:val="009FE3"/>
              </w:rPr>
              <w:t>Granted (#) (1)</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60,908</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143,888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51,772</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122,305</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17,403</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41,111</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13,922</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32,889</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20,883</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49,333</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(12 persons)</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237,980</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562,194</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(6 persons)</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11,000</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34,000</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nominees for election as a director (2 persons)</w:t>
            </w:r>
          </w:p>
        </w:tc>
        <w:tc>
          <w:tcPr>
            <w:tcW w:w="260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62,508</w:t>
            </w:r>
          </w:p>
        </w:tc>
        <w:tc>
          <w:tcPr>
            <w:tcW w:w="2680" w:type="dxa"/>
            <w:vAlign w:val="bottom"/>
            <w:tcBorders>
              <w:bottom w:val="single" w:sz="8" w:color="E8EAEB"/>
            </w:tcBorders>
          </w:tcPr>
          <w:p>
            <w:pPr>
              <w:jc w:val="right"/>
              <w:ind w:right="304"/>
              <w:spacing w:after="0"/>
              <w:rPr>
                <w:sz w:val="20"/>
                <w:szCs w:val="20"/>
                <w:color w:val="auto"/>
              </w:rPr>
            </w:pPr>
            <w:r>
              <w:rPr>
                <w:rFonts w:ascii="Arial" w:cs="Arial" w:eastAsia="Arial" w:hAnsi="Arial"/>
                <w:sz w:val="16"/>
                <w:szCs w:val="16"/>
                <w:color w:val="202E39"/>
              </w:rPr>
              <w:t>148,888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Each associate of any such directors, executive officers or nominees</w:t>
            </w:r>
          </w:p>
        </w:tc>
        <w:tc>
          <w:tcPr>
            <w:tcW w:w="2600" w:type="dxa"/>
            <w:vAlign w:val="bottom"/>
            <w:tcBorders>
              <w:bottom w:val="single" w:sz="8" w:color="E8EAEB"/>
              <w:right w:val="single" w:sz="8" w:color="E8EAEB"/>
            </w:tcBorders>
          </w:tcPr>
          <w:p>
            <w:pPr>
              <w:jc w:val="right"/>
              <w:ind w:right="284"/>
              <w:spacing w:after="0"/>
              <w:rPr>
                <w:sz w:val="20"/>
                <w:szCs w:val="20"/>
                <w:color w:val="auto"/>
              </w:rPr>
            </w:pPr>
            <w:r>
              <w:rPr>
                <w:rFonts w:ascii="Arial" w:cs="Arial" w:eastAsia="Arial" w:hAnsi="Arial"/>
                <w:sz w:val="13"/>
                <w:szCs w:val="13"/>
                <w:color w:val="202E39"/>
              </w:rPr>
              <w:t>—</w:t>
            </w:r>
          </w:p>
        </w:tc>
        <w:tc>
          <w:tcPr>
            <w:tcW w:w="2680" w:type="dxa"/>
            <w:vAlign w:val="bottom"/>
            <w:tcBorders>
              <w:bottom w:val="single" w:sz="8" w:color="E8EAEB"/>
            </w:tcBorders>
          </w:tcPr>
          <w:p>
            <w:pPr>
              <w:jc w:val="right"/>
              <w:ind w:right="384"/>
              <w:spacing w:after="0"/>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231"/>
        </w:trPr>
        <w:tc>
          <w:tcPr>
            <w:tcW w:w="57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other person who received or is to receive 5% of such options, warrants</w:t>
            </w:r>
          </w:p>
        </w:tc>
        <w:tc>
          <w:tcPr>
            <w:tcW w:w="2600" w:type="dxa"/>
            <w:vAlign w:val="bottom"/>
            <w:tcBorders>
              <w:right w:val="single" w:sz="8" w:color="E8EAEB"/>
            </w:tcBorders>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or rights</w:t>
            </w:r>
          </w:p>
        </w:tc>
        <w:tc>
          <w:tcPr>
            <w:tcW w:w="2600" w:type="dxa"/>
            <w:vAlign w:val="bottom"/>
            <w:tcBorders>
              <w:bottom w:val="single" w:sz="8" w:color="E8EAEB"/>
              <w:right w:val="single" w:sz="8" w:color="E8EAEB"/>
            </w:tcBorders>
          </w:tcPr>
          <w:p>
            <w:pPr>
              <w:jc w:val="right"/>
              <w:ind w:right="284"/>
              <w:spacing w:after="0"/>
              <w:rPr>
                <w:sz w:val="20"/>
                <w:szCs w:val="20"/>
                <w:color w:val="auto"/>
              </w:rPr>
            </w:pPr>
            <w:r>
              <w:rPr>
                <w:rFonts w:ascii="Arial" w:cs="Arial" w:eastAsia="Arial" w:hAnsi="Arial"/>
                <w:sz w:val="13"/>
                <w:szCs w:val="13"/>
                <w:color w:val="202E39"/>
              </w:rPr>
              <w:t>—</w:t>
            </w:r>
          </w:p>
        </w:tc>
        <w:tc>
          <w:tcPr>
            <w:tcW w:w="2680" w:type="dxa"/>
            <w:vAlign w:val="bottom"/>
            <w:tcBorders>
              <w:bottom w:val="single" w:sz="8" w:color="E8EAEB"/>
            </w:tcBorders>
          </w:tcPr>
          <w:p>
            <w:pPr>
              <w:jc w:val="right"/>
              <w:ind w:right="384"/>
              <w:spacing w:after="0"/>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2600" w:type="dxa"/>
            <w:vAlign w:val="bottom"/>
            <w:tcBorders>
              <w:bottom w:val="single" w:sz="8" w:color="009FE3"/>
              <w:right w:val="single" w:sz="8" w:color="E8EAEB"/>
            </w:tcBorders>
          </w:tcPr>
          <w:p>
            <w:pPr>
              <w:jc w:val="right"/>
              <w:ind w:right="204"/>
              <w:spacing w:after="0"/>
              <w:rPr>
                <w:sz w:val="20"/>
                <w:szCs w:val="20"/>
                <w:color w:val="auto"/>
              </w:rPr>
            </w:pPr>
            <w:r>
              <w:rPr>
                <w:rFonts w:ascii="Arial" w:cs="Arial" w:eastAsia="Arial" w:hAnsi="Arial"/>
                <w:sz w:val="16"/>
                <w:szCs w:val="16"/>
                <w:color w:val="202E39"/>
              </w:rPr>
              <w:t>1,035,704</w:t>
            </w:r>
          </w:p>
        </w:tc>
        <w:tc>
          <w:tcPr>
            <w:tcW w:w="2680" w:type="dxa"/>
            <w:vAlign w:val="bottom"/>
            <w:tcBorders>
              <w:bottom w:val="single" w:sz="8" w:color="009FE3"/>
            </w:tcBorders>
          </w:tcPr>
          <w:p>
            <w:pPr>
              <w:jc w:val="right"/>
              <w:ind w:right="304"/>
              <w:spacing w:after="0"/>
              <w:rPr>
                <w:sz w:val="20"/>
                <w:szCs w:val="20"/>
                <w:color w:val="auto"/>
              </w:rPr>
            </w:pPr>
            <w:r>
              <w:rPr>
                <w:rFonts w:ascii="Arial" w:cs="Arial" w:eastAsia="Arial" w:hAnsi="Arial"/>
                <w:sz w:val="16"/>
                <w:szCs w:val="16"/>
                <w:color w:val="202E39"/>
              </w:rPr>
              <w:t>46,112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40" w:hanging="424"/>
        <w:spacing w:after="0" w:line="249" w:lineRule="auto"/>
        <w:tabs>
          <w:tab w:leader="none" w:pos="54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5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27</w:t>
            </w: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OWNERSHIP OF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Beneficial Ownership Table</w:t>
      </w:r>
    </w:p>
    <w:p>
      <w:pPr>
        <w:spacing w:after="0" w:line="14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July 1, 2020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80" w:type="dxa"/>
            <w:vAlign w:val="bottom"/>
            <w:tcBorders>
              <w:top w:val="single" w:sz="8" w:color="E8EAEB"/>
              <w:right w:val="single" w:sz="8" w:color="E8EAEB"/>
            </w:tcBorders>
          </w:tcPr>
          <w:p>
            <w:pPr>
              <w:spacing w:after="0"/>
              <w:rPr>
                <w:sz w:val="17"/>
                <w:szCs w:val="17"/>
                <w:color w:val="auto"/>
              </w:rPr>
            </w:pPr>
          </w:p>
        </w:tc>
        <w:tc>
          <w:tcPr>
            <w:tcW w:w="2300" w:type="dxa"/>
            <w:vAlign w:val="bottom"/>
            <w:tcBorders>
              <w:top w:val="single" w:sz="8" w:color="E8EAEB"/>
              <w:right w:val="single" w:sz="8" w:color="E8EAEB"/>
            </w:tcBorders>
            <w:gridSpan w:val="3"/>
          </w:tcPr>
          <w:p>
            <w:pPr>
              <w:jc w:val="center"/>
              <w:ind w:right="239"/>
              <w:spacing w:after="0"/>
              <w:rPr>
                <w:sz w:val="20"/>
                <w:szCs w:val="20"/>
                <w:color w:val="auto"/>
              </w:rPr>
            </w:pPr>
            <w:r>
              <w:rPr>
                <w:rFonts w:ascii="Arial" w:cs="Arial" w:eastAsia="Arial" w:hAnsi="Arial"/>
                <w:sz w:val="14"/>
                <w:szCs w:val="14"/>
                <w:b w:val="1"/>
                <w:bCs w:val="1"/>
                <w:color w:val="009FE3"/>
              </w:rPr>
              <w:t>Amount and Nature</w:t>
            </w:r>
          </w:p>
        </w:tc>
        <w:tc>
          <w:tcPr>
            <w:tcW w:w="1940" w:type="dxa"/>
            <w:vAlign w:val="bottom"/>
            <w:tcBorders>
              <w:top w:val="single" w:sz="8" w:color="E8EAEB"/>
            </w:tcBorders>
          </w:tcPr>
          <w:p>
            <w:pPr>
              <w:jc w:val="right"/>
              <w:ind w:right="320"/>
              <w:spacing w:after="0"/>
              <w:rPr>
                <w:sz w:val="20"/>
                <w:szCs w:val="20"/>
                <w:color w:val="auto"/>
              </w:rPr>
            </w:pPr>
            <w:r>
              <w:rPr>
                <w:rFonts w:ascii="Arial" w:cs="Arial" w:eastAsia="Arial" w:hAnsi="Arial"/>
                <w:sz w:val="14"/>
                <w:szCs w:val="14"/>
                <w:b w:val="1"/>
                <w:bCs w:val="1"/>
                <w:color w:val="009FE3"/>
              </w:rPr>
              <w:t>Percent Beneficial</w:t>
            </w:r>
          </w:p>
        </w:tc>
        <w:tc>
          <w:tcPr>
            <w:tcW w:w="0" w:type="dxa"/>
            <w:vAlign w:val="bottom"/>
          </w:tcPr>
          <w:p>
            <w:pPr>
              <w:spacing w:after="0"/>
              <w:rPr>
                <w:sz w:val="1"/>
                <w:szCs w:val="1"/>
                <w:color w:val="auto"/>
              </w:rPr>
            </w:pPr>
          </w:p>
        </w:tc>
      </w:tr>
      <w:tr>
        <w:trPr>
          <w:trHeight w:val="162"/>
        </w:trPr>
        <w:tc>
          <w:tcPr>
            <w:tcW w:w="678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Name of Beneficial Owner (1)</w:t>
            </w:r>
          </w:p>
        </w:tc>
        <w:tc>
          <w:tcPr>
            <w:tcW w:w="148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009FE3"/>
              </w:rPr>
              <w:t>of Beneficial</w:t>
            </w:r>
          </w:p>
        </w:tc>
        <w:tc>
          <w:tcPr>
            <w:tcW w:w="820" w:type="dxa"/>
            <w:vAlign w:val="bottom"/>
            <w:tcBorders>
              <w:right w:val="single" w:sz="8" w:color="E8EAEB"/>
            </w:tcBorders>
          </w:tcPr>
          <w:p>
            <w:pPr>
              <w:spacing w:after="0"/>
              <w:rPr>
                <w:sz w:val="14"/>
                <w:szCs w:val="14"/>
                <w:color w:val="auto"/>
              </w:rPr>
            </w:pPr>
          </w:p>
        </w:tc>
        <w:tc>
          <w:tcPr>
            <w:tcW w:w="1940" w:type="dxa"/>
            <w:vAlign w:val="bottom"/>
          </w:tcPr>
          <w:p>
            <w:pPr>
              <w:jc w:val="right"/>
              <w:ind w:right="580"/>
              <w:spacing w:after="0"/>
              <w:rPr>
                <w:sz w:val="20"/>
                <w:szCs w:val="20"/>
                <w:color w:val="auto"/>
              </w:rPr>
            </w:pPr>
            <w:r>
              <w:rPr>
                <w:rFonts w:ascii="Arial" w:cs="Arial" w:eastAsia="Arial" w:hAnsi="Arial"/>
                <w:sz w:val="14"/>
                <w:szCs w:val="14"/>
                <w:b w:val="1"/>
                <w:bCs w:val="1"/>
                <w:color w:val="009FE3"/>
              </w:rPr>
              <w:t>Ownership</w:t>
            </w:r>
          </w:p>
        </w:tc>
        <w:tc>
          <w:tcPr>
            <w:tcW w:w="0" w:type="dxa"/>
            <w:vAlign w:val="bottom"/>
          </w:tcPr>
          <w:p>
            <w:pPr>
              <w:spacing w:after="0"/>
              <w:rPr>
                <w:sz w:val="1"/>
                <w:szCs w:val="1"/>
                <w:color w:val="auto"/>
              </w:rPr>
            </w:pPr>
          </w:p>
        </w:tc>
      </w:tr>
      <w:tr>
        <w:trPr>
          <w:trHeight w:val="189"/>
        </w:trPr>
        <w:tc>
          <w:tcPr>
            <w:tcW w:w="6780" w:type="dxa"/>
            <w:vAlign w:val="bottom"/>
            <w:tcBorders>
              <w:bottom w:val="single" w:sz="8" w:color="009FE3"/>
              <w:right w:val="single" w:sz="8" w:color="E8EAEB"/>
            </w:tcBorders>
            <w:vMerge w:val="continue"/>
          </w:tcPr>
          <w:p>
            <w:pPr>
              <w:spacing w:after="0"/>
              <w:rPr>
                <w:sz w:val="16"/>
                <w:szCs w:val="16"/>
                <w:color w:val="auto"/>
              </w:rPr>
            </w:pPr>
          </w:p>
        </w:tc>
        <w:tc>
          <w:tcPr>
            <w:tcW w:w="1480" w:type="dxa"/>
            <w:vAlign w:val="bottom"/>
            <w:tcBorders>
              <w:bottom w:val="single" w:sz="8" w:color="009FE3"/>
            </w:tcBorders>
            <w:gridSpan w:val="2"/>
          </w:tcPr>
          <w:p>
            <w:pPr>
              <w:jc w:val="center"/>
              <w:ind w:left="440"/>
              <w:spacing w:after="0"/>
              <w:rPr>
                <w:sz w:val="20"/>
                <w:szCs w:val="20"/>
                <w:color w:val="auto"/>
              </w:rPr>
            </w:pPr>
            <w:r>
              <w:rPr>
                <w:rFonts w:ascii="Arial" w:cs="Arial" w:eastAsia="Arial" w:hAnsi="Arial"/>
                <w:sz w:val="14"/>
                <w:szCs w:val="14"/>
                <w:b w:val="1"/>
                <w:bCs w:val="1"/>
                <w:color w:val="009FE3"/>
              </w:rPr>
              <w:t>Ownership (2)</w:t>
            </w:r>
          </w:p>
        </w:tc>
        <w:tc>
          <w:tcPr>
            <w:tcW w:w="820" w:type="dxa"/>
            <w:vAlign w:val="bottom"/>
            <w:tcBorders>
              <w:bottom w:val="single" w:sz="8" w:color="009FE3"/>
              <w:right w:val="single" w:sz="8" w:color="E8EAEB"/>
            </w:tcBorders>
          </w:tcPr>
          <w:p>
            <w:pPr>
              <w:spacing w:after="0"/>
              <w:rPr>
                <w:sz w:val="16"/>
                <w:szCs w:val="16"/>
                <w:color w:val="auto"/>
              </w:rPr>
            </w:pPr>
          </w:p>
        </w:tc>
        <w:tc>
          <w:tcPr>
            <w:tcW w:w="1940" w:type="dxa"/>
            <w:vAlign w:val="bottom"/>
            <w:tcBorders>
              <w:bottom w:val="single" w:sz="8" w:color="009FE3"/>
            </w:tcBorders>
          </w:tcPr>
          <w:p>
            <w:pPr>
              <w:jc w:val="right"/>
              <w:ind w:right="720"/>
              <w:spacing w:after="0"/>
              <w:rPr>
                <w:sz w:val="20"/>
                <w:szCs w:val="20"/>
                <w:color w:val="auto"/>
              </w:rPr>
            </w:pPr>
            <w:r>
              <w:rPr>
                <w:rFonts w:ascii="Arial" w:cs="Arial" w:eastAsia="Arial" w:hAnsi="Arial"/>
                <w:sz w:val="14"/>
                <w:szCs w:val="14"/>
                <w:b w:val="1"/>
                <w:bCs w:val="1"/>
                <w:color w:val="009FE3"/>
              </w:rPr>
              <w:t>(%) (3)</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8"/>
                <w:szCs w:val="18"/>
                <w:b w:val="1"/>
                <w:bCs w:val="1"/>
                <w:color w:val="202E39"/>
              </w:rPr>
              <w:t>Directors and Officers:</w:t>
            </w:r>
          </w:p>
        </w:tc>
        <w:tc>
          <w:tcPr>
            <w:tcW w:w="1380" w:type="dxa"/>
            <w:vAlign w:val="bottom"/>
            <w:tcBorders>
              <w:bottom w:val="single" w:sz="8" w:color="E8EAEB"/>
            </w:tcBorders>
          </w:tcPr>
          <w:p>
            <w:pPr>
              <w:spacing w:after="0"/>
              <w:rPr>
                <w:sz w:val="22"/>
                <w:szCs w:val="22"/>
                <w:color w:val="auto"/>
              </w:rPr>
            </w:pPr>
          </w:p>
        </w:tc>
        <w:tc>
          <w:tcPr>
            <w:tcW w:w="100" w:type="dxa"/>
            <w:vAlign w:val="bottom"/>
            <w:tcBorders>
              <w:bottom w:val="single" w:sz="8" w:color="E8EAEB"/>
            </w:tcBorders>
          </w:tcPr>
          <w:p>
            <w:pPr>
              <w:spacing w:after="0"/>
              <w:rPr>
                <w:sz w:val="22"/>
                <w:szCs w:val="22"/>
                <w:color w:val="auto"/>
              </w:rPr>
            </w:pPr>
          </w:p>
        </w:tc>
        <w:tc>
          <w:tcPr>
            <w:tcW w:w="820" w:type="dxa"/>
            <w:vAlign w:val="bottom"/>
            <w:tcBorders>
              <w:bottom w:val="single" w:sz="8" w:color="E8EAEB"/>
              <w:right w:val="single" w:sz="8" w:color="E8EAEB"/>
            </w:tcBorders>
          </w:tcPr>
          <w:p>
            <w:pPr>
              <w:spacing w:after="0"/>
              <w:rPr>
                <w:sz w:val="22"/>
                <w:szCs w:val="22"/>
                <w:color w:val="auto"/>
              </w:rPr>
            </w:pPr>
          </w:p>
        </w:tc>
        <w:tc>
          <w:tcPr>
            <w:tcW w:w="1940" w:type="dxa"/>
            <w:vAlign w:val="bottom"/>
            <w:tcBorders>
              <w:bottom w:val="single" w:sz="8" w:color="E8EAEB"/>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1,958,986</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(4)</w:t>
            </w: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3.1</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713,496</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(5)</w:t>
            </w: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1.1</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393,498</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(6)</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106,652</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(7)</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73,783</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(8)</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59,330</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(9)</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44,400</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(10)</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Theresa Wise, Ph.D.</w:t>
            </w:r>
          </w:p>
        </w:tc>
        <w:tc>
          <w:tcPr>
            <w:tcW w:w="1480" w:type="dxa"/>
            <w:vAlign w:val="bottom"/>
            <w:tcBorders>
              <w:bottom w:val="single" w:sz="8" w:color="E8EAEB"/>
            </w:tcBorders>
            <w:gridSpan w:val="2"/>
          </w:tcPr>
          <w:p>
            <w:pPr>
              <w:jc w:val="right"/>
              <w:ind w:right="400"/>
              <w:spacing w:after="0"/>
              <w:rPr>
                <w:sz w:val="20"/>
                <w:szCs w:val="20"/>
                <w:color w:val="auto"/>
              </w:rPr>
            </w:pPr>
            <w:r>
              <w:rPr>
                <w:rFonts w:ascii="Arial" w:cs="Arial" w:eastAsia="Arial" w:hAnsi="Arial"/>
                <w:sz w:val="16"/>
                <w:szCs w:val="16"/>
                <w:color w:val="202E39"/>
              </w:rPr>
              <w:t>—</w:t>
            </w:r>
          </w:p>
        </w:tc>
        <w:tc>
          <w:tcPr>
            <w:tcW w:w="8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7"/>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43,454</w:t>
            </w:r>
          </w:p>
        </w:tc>
        <w:tc>
          <w:tcPr>
            <w:tcW w:w="100" w:type="dxa"/>
            <w:vAlign w:val="bottom"/>
            <w:tcBorders>
              <w:bottom w:val="single" w:sz="8" w:color="E8EAEB"/>
            </w:tcBorders>
          </w:tcPr>
          <w:p>
            <w:pPr>
              <w:spacing w:after="0"/>
              <w:rPr>
                <w:sz w:val="22"/>
                <w:szCs w:val="22"/>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(11)</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43"/>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23,450</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(12)</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14,600</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(13)</w:t>
            </w:r>
          </w:p>
        </w:tc>
        <w:tc>
          <w:tcPr>
            <w:tcW w:w="1940" w:type="dxa"/>
            <w:vAlign w:val="bottom"/>
            <w:tcBorders>
              <w:bottom w:val="single" w:sz="8" w:color="E8EAEB"/>
            </w:tcBorders>
          </w:tcPr>
          <w:p>
            <w:pPr>
              <w:jc w:val="right"/>
              <w:ind w:right="7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directors and executive officers as a group (18 persons)</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4,050,274</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6.3</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Other 5% Stockholders:</w:t>
            </w:r>
          </w:p>
        </w:tc>
        <w:tc>
          <w:tcPr>
            <w:tcW w:w="1380" w:type="dxa"/>
            <w:vAlign w:val="bottom"/>
            <w:tcBorders>
              <w:bottom w:val="single" w:sz="8" w:color="E8EAEB"/>
            </w:tcBorders>
          </w:tcPr>
          <w:p>
            <w:pPr>
              <w:spacing w:after="0"/>
              <w:rPr>
                <w:sz w:val="21"/>
                <w:szCs w:val="21"/>
                <w:color w:val="auto"/>
              </w:rPr>
            </w:pP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spacing w:after="0"/>
              <w:rPr>
                <w:sz w:val="21"/>
                <w:szCs w:val="21"/>
                <w:color w:val="auto"/>
              </w:rPr>
            </w:pPr>
          </w:p>
        </w:tc>
        <w:tc>
          <w:tcPr>
            <w:tcW w:w="1940" w:type="dxa"/>
            <w:vAlign w:val="bottom"/>
            <w:tcBorders>
              <w:bottom w:val="single" w:sz="8" w:color="E8EAEB"/>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 Baupost Group, L.L.C.</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13,732,068</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(14)</w:t>
            </w: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21.8</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FPR Partners, LLC</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6,182,221</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(15)</w:t>
            </w: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9.8</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 Vanguard Group</w:t>
            </w:r>
          </w:p>
        </w:tc>
        <w:tc>
          <w:tcPr>
            <w:tcW w:w="1380" w:type="dxa"/>
            <w:vAlign w:val="bottom"/>
            <w:tcBorders>
              <w:bottom w:val="single" w:sz="8" w:color="E8EAEB"/>
            </w:tcBorders>
          </w:tcPr>
          <w:p>
            <w:pPr>
              <w:jc w:val="right"/>
              <w:ind w:right="220"/>
              <w:spacing w:after="0"/>
              <w:rPr>
                <w:sz w:val="20"/>
                <w:szCs w:val="20"/>
                <w:color w:val="auto"/>
              </w:rPr>
            </w:pPr>
            <w:r>
              <w:rPr>
                <w:rFonts w:ascii="Arial" w:cs="Arial" w:eastAsia="Arial" w:hAnsi="Arial"/>
                <w:sz w:val="16"/>
                <w:szCs w:val="16"/>
                <w:color w:val="202E39"/>
              </w:rPr>
              <w:t>5,317,526</w:t>
            </w:r>
          </w:p>
        </w:tc>
        <w:tc>
          <w:tcPr>
            <w:tcW w:w="100" w:type="dxa"/>
            <w:vAlign w:val="bottom"/>
            <w:tcBorders>
              <w:bottom w:val="single" w:sz="8" w:color="E8EAEB"/>
            </w:tcBorders>
          </w:tcPr>
          <w:p>
            <w:pPr>
              <w:spacing w:after="0"/>
              <w:rPr>
                <w:sz w:val="21"/>
                <w:szCs w:val="21"/>
                <w:color w:val="auto"/>
              </w:rPr>
            </w:pPr>
          </w:p>
        </w:tc>
        <w:tc>
          <w:tcPr>
            <w:tcW w:w="820" w:type="dxa"/>
            <w:vAlign w:val="bottom"/>
            <w:tcBorders>
              <w:bottom w:val="single" w:sz="8" w:color="E8EAEB"/>
              <w:right w:val="single" w:sz="8" w:color="E8EAEB"/>
            </w:tcBorders>
          </w:tcPr>
          <w:p>
            <w:pPr>
              <w:ind w:left="20"/>
              <w:spacing w:after="0"/>
              <w:rPr>
                <w:sz w:val="20"/>
                <w:szCs w:val="20"/>
                <w:color w:val="auto"/>
              </w:rPr>
            </w:pPr>
            <w:r>
              <w:rPr>
                <w:rFonts w:ascii="Arial" w:cs="Arial" w:eastAsia="Arial" w:hAnsi="Arial"/>
                <w:sz w:val="16"/>
                <w:szCs w:val="16"/>
                <w:color w:val="202E39"/>
              </w:rPr>
              <w:t>(16)</w:t>
            </w:r>
          </w:p>
        </w:tc>
        <w:tc>
          <w:tcPr>
            <w:tcW w:w="1940" w:type="dxa"/>
            <w:vAlign w:val="bottom"/>
            <w:tcBorders>
              <w:bottom w:val="single" w:sz="8" w:color="E8EAEB"/>
            </w:tcBorders>
          </w:tcPr>
          <w:p>
            <w:pPr>
              <w:jc w:val="right"/>
              <w:ind w:right="700"/>
              <w:spacing w:after="0"/>
              <w:rPr>
                <w:sz w:val="20"/>
                <w:szCs w:val="20"/>
                <w:color w:val="auto"/>
              </w:rPr>
            </w:pPr>
            <w:r>
              <w:rPr>
                <w:rFonts w:ascii="Arial" w:cs="Arial" w:eastAsia="Arial" w:hAnsi="Arial"/>
                <w:sz w:val="16"/>
                <w:szCs w:val="16"/>
                <w:color w:val="202E39"/>
              </w:rPr>
              <w:t>8.4</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BlackRock, Inc.</w:t>
            </w:r>
          </w:p>
        </w:tc>
        <w:tc>
          <w:tcPr>
            <w:tcW w:w="1380" w:type="dxa"/>
            <w:vAlign w:val="bottom"/>
            <w:tcBorders>
              <w:bottom w:val="single" w:sz="8" w:color="009FE3"/>
              <w:right w:val="single" w:sz="8" w:color="E8EAEB"/>
            </w:tcBorders>
          </w:tcPr>
          <w:p>
            <w:pPr>
              <w:jc w:val="right"/>
              <w:ind w:right="220"/>
              <w:spacing w:after="0"/>
              <w:rPr>
                <w:sz w:val="20"/>
                <w:szCs w:val="20"/>
                <w:color w:val="auto"/>
              </w:rPr>
            </w:pPr>
            <w:r>
              <w:rPr>
                <w:rFonts w:ascii="Arial" w:cs="Arial" w:eastAsia="Arial" w:hAnsi="Arial"/>
                <w:sz w:val="16"/>
                <w:szCs w:val="16"/>
                <w:color w:val="202E39"/>
              </w:rPr>
              <w:t>5,223,719</w:t>
            </w:r>
          </w:p>
        </w:tc>
        <w:tc>
          <w:tcPr>
            <w:tcW w:w="100" w:type="dxa"/>
            <w:vAlign w:val="bottom"/>
            <w:tcBorders>
              <w:bottom w:val="single" w:sz="8" w:color="009FE3"/>
            </w:tcBorders>
          </w:tcPr>
          <w:p>
            <w:pPr>
              <w:spacing w:after="0"/>
              <w:rPr>
                <w:sz w:val="21"/>
                <w:szCs w:val="21"/>
                <w:color w:val="auto"/>
              </w:rPr>
            </w:pPr>
          </w:p>
        </w:tc>
        <w:tc>
          <w:tcPr>
            <w:tcW w:w="820" w:type="dxa"/>
            <w:vAlign w:val="bottom"/>
            <w:tcBorders>
              <w:bottom w:val="single" w:sz="8" w:color="009FE3"/>
              <w:right w:val="single" w:sz="8" w:color="E8EAEB"/>
            </w:tcBorders>
          </w:tcPr>
          <w:p>
            <w:pPr>
              <w:ind w:left="20"/>
              <w:spacing w:after="0"/>
              <w:rPr>
                <w:sz w:val="20"/>
                <w:szCs w:val="20"/>
                <w:color w:val="auto"/>
              </w:rPr>
            </w:pPr>
            <w:r>
              <w:rPr>
                <w:rFonts w:ascii="Arial" w:cs="Arial" w:eastAsia="Arial" w:hAnsi="Arial"/>
                <w:sz w:val="16"/>
                <w:szCs w:val="16"/>
                <w:color w:val="202E39"/>
              </w:rPr>
              <w:t>(17)</w:t>
            </w:r>
          </w:p>
        </w:tc>
        <w:tc>
          <w:tcPr>
            <w:tcW w:w="1940" w:type="dxa"/>
            <w:vAlign w:val="bottom"/>
            <w:tcBorders>
              <w:bottom w:val="single" w:sz="8" w:color="009FE3"/>
            </w:tcBorders>
          </w:tcPr>
          <w:p>
            <w:pPr>
              <w:jc w:val="right"/>
              <w:ind w:right="700"/>
              <w:spacing w:after="0"/>
              <w:rPr>
                <w:sz w:val="20"/>
                <w:szCs w:val="20"/>
                <w:color w:val="auto"/>
              </w:rPr>
            </w:pPr>
            <w:r>
              <w:rPr>
                <w:rFonts w:ascii="Arial" w:cs="Arial" w:eastAsia="Arial" w:hAnsi="Arial"/>
                <w:sz w:val="16"/>
                <w:szCs w:val="16"/>
                <w:color w:val="202E39"/>
              </w:rPr>
              <w:t>8.3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9" w:lineRule="exact"/>
        <w:rPr>
          <w:sz w:val="20"/>
          <w:szCs w:val="20"/>
          <w:color w:val="auto"/>
        </w:rPr>
      </w:pPr>
    </w:p>
    <w:p>
      <w:pPr>
        <w:ind w:left="540" w:right="180" w:hanging="424"/>
        <w:spacing w:after="0" w:line="247" w:lineRule="auto"/>
        <w:tabs>
          <w:tab w:leader="none" w:pos="5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52" w:lineRule="exact"/>
        <w:rPr>
          <w:rFonts w:ascii="Arial" w:cs="Arial" w:eastAsia="Arial" w:hAnsi="Arial"/>
          <w:sz w:val="14"/>
          <w:szCs w:val="14"/>
          <w:color w:val="202E39"/>
        </w:rPr>
      </w:pPr>
    </w:p>
    <w:p>
      <w:pPr>
        <w:ind w:left="540" w:right="20" w:hanging="424"/>
        <w:spacing w:after="0" w:line="245" w:lineRule="auto"/>
        <w:tabs>
          <w:tab w:leader="none" w:pos="5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July 1, 2020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2020 and references to restricted stock units in the footnotes of the table include only restricted stock units that are scheduled to vest within 60 days after July 1, 2020.</w:t>
      </w:r>
    </w:p>
    <w:p>
      <w:pPr>
        <w:spacing w:after="0" w:line="55" w:lineRule="exact"/>
        <w:rPr>
          <w:rFonts w:ascii="Arial" w:cs="Arial" w:eastAsia="Arial" w:hAnsi="Arial"/>
          <w:sz w:val="14"/>
          <w:szCs w:val="14"/>
          <w:color w:val="202E39"/>
        </w:rPr>
      </w:pPr>
    </w:p>
    <w:p>
      <w:pPr>
        <w:ind w:left="540" w:right="200" w:hanging="424"/>
        <w:spacing w:after="0" w:line="249" w:lineRule="auto"/>
        <w:tabs>
          <w:tab w:leader="none" w:pos="5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63,026,001 shares of common stock outstanding on July 1, 2020 plus (b) the number of shares of common stock that such person had the right to acquire within 60 days after July 1, 2020.</w:t>
      </w:r>
    </w:p>
    <w:p>
      <w:pPr>
        <w:spacing w:after="0" w:line="52" w:lineRule="exact"/>
        <w:rPr>
          <w:rFonts w:ascii="Arial" w:cs="Arial" w:eastAsia="Arial" w:hAnsi="Arial"/>
          <w:sz w:val="14"/>
          <w:szCs w:val="14"/>
          <w:color w:val="202E39"/>
        </w:rPr>
      </w:pPr>
    </w:p>
    <w:p>
      <w:pPr>
        <w:ind w:left="540" w:right="40" w:hanging="424"/>
        <w:spacing w:after="0" w:line="243" w:lineRule="auto"/>
        <w:tabs>
          <w:tab w:leader="none" w:pos="5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340,000 shares subject to options exercisable by Mr. Dankberg within 60 days after July 1, 2020, (b) 74,536 shares held by the Dankberg Family Foundation, (c) 1,542,177 shares held by the Dankberg Family Trust, and (d) 587,049 shares pledged as collateral in a brokerage margin account.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margin account arrangement constituted less than 1.0% of the total outstanding shares of Viasat common stock as of July 1, 2020, (iii) the maximum aggregate principal amount of advances secured by Mr. Dankberg’s pledged shares is $9.5 million, which, based on the closing price of Viasat common stock on July 1, 2020, would be equivalent to only approximately 258,363 shares of Viasat common stock, and (iv) Mr. Dankberg has advised us that he has the financial capacity to meet a margin call or repay any advance under his margin agreement without resort to the pledged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86360</wp:posOffset>
            </wp:positionV>
            <wp:extent cx="4286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OWNERSHIP OF SECURITIES • </w:t>
      </w:r>
      <w:r>
        <w:rPr>
          <w:rFonts w:ascii="Arial" w:cs="Arial" w:eastAsia="Arial" w:hAnsi="Arial"/>
          <w:sz w:val="14"/>
          <w:szCs w:val="14"/>
          <w:color w:val="202E39"/>
        </w:rPr>
        <w:t>Beneficial Ownership Table</w:t>
      </w:r>
    </w:p>
    <w:p>
      <w:pPr>
        <w:spacing w:after="0" w:line="150" w:lineRule="exact"/>
        <w:rPr>
          <w:sz w:val="20"/>
          <w:szCs w:val="20"/>
          <w:color w:val="auto"/>
        </w:rPr>
      </w:pPr>
    </w:p>
    <w:p>
      <w:pPr>
        <w:ind w:left="540" w:right="28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July 1, 2020, and (b) 688,496 shares held by the Robert W. Johnson Revocable Trust dated 8/13/1992.</w:t>
      </w:r>
    </w:p>
    <w:p>
      <w:pPr>
        <w:spacing w:after="0" w:line="45" w:lineRule="exact"/>
        <w:rPr>
          <w:rFonts w:ascii="Arial" w:cs="Arial" w:eastAsia="Arial" w:hAnsi="Arial"/>
          <w:sz w:val="14"/>
          <w:szCs w:val="14"/>
          <w:color w:val="202E39"/>
        </w:rPr>
      </w:pPr>
    </w:p>
    <w:p>
      <w:pPr>
        <w:ind w:left="540" w:right="12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244,375 shares subject to options exercisable by Mr. Baldridge within 60 days after July 1, 2020, and (b) 146,304 shares held by the Richard and Donna Baldridge Family Trust.</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70,625 shares subject to options exercisable by Ms. Duffy within 60 days after July 1, 2020.</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58,625 shares subject to options exercisable by Mr. Harkenrider within 60 days after July 1, 2020.</w:t>
      </w:r>
    </w:p>
    <w:p>
      <w:pPr>
        <w:spacing w:after="0" w:line="68" w:lineRule="exact"/>
        <w:rPr>
          <w:rFonts w:ascii="Arial" w:cs="Arial" w:eastAsia="Arial" w:hAnsi="Arial"/>
          <w:sz w:val="14"/>
          <w:szCs w:val="14"/>
          <w:color w:val="202E39"/>
        </w:rPr>
      </w:pPr>
    </w:p>
    <w:p>
      <w:pPr>
        <w:ind w:left="540" w:right="20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5,000 shares subject to options exercisable by Mr. White within 60 days after July 1, 2020, (b) 51,613 shares held by the Harvey P. and Sheryl L. White Trust and (c) 2,717 shares held by the Sheryl and Harvey White Foundation.</w:t>
      </w:r>
    </w:p>
    <w:p>
      <w:pPr>
        <w:spacing w:after="0" w:line="45" w:lineRule="exact"/>
        <w:rPr>
          <w:rFonts w:ascii="Arial" w:cs="Arial" w:eastAsia="Arial" w:hAnsi="Arial"/>
          <w:sz w:val="14"/>
          <w:szCs w:val="14"/>
          <w:color w:val="202E39"/>
        </w:rPr>
      </w:pPr>
    </w:p>
    <w:p>
      <w:pPr>
        <w:ind w:left="540" w:right="38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Stenbit within 60 days after July 1, 2020, and (b) 16,200 shares held by THE PIETJE 2012 GIFT TRUST.</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11,000 shares subject to options exercisable by Mr. Peterman within 60 days after July 1, 2020.</w:t>
      </w:r>
    </w:p>
    <w:p>
      <w:pPr>
        <w:spacing w:after="0" w:line="68" w:lineRule="exact"/>
        <w:rPr>
          <w:rFonts w:ascii="Arial" w:cs="Arial" w:eastAsia="Arial" w:hAnsi="Arial"/>
          <w:sz w:val="14"/>
          <w:szCs w:val="14"/>
          <w:color w:val="202E39"/>
        </w:rPr>
      </w:pPr>
    </w:p>
    <w:p>
      <w:pPr>
        <w:ind w:left="540" w:right="16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19,000 shares subject to options exercisable by Ms. Rao within 60 days after July 1, 2020, and (b) 1,000 shares subject to restricted stock units that are scheduled to vest within 60 days after July 1, 2020.</w:t>
      </w:r>
    </w:p>
    <w:p>
      <w:pPr>
        <w:spacing w:after="0" w:line="45" w:lineRule="exact"/>
        <w:rPr>
          <w:rFonts w:ascii="Arial" w:cs="Arial" w:eastAsia="Arial" w:hAnsi="Arial"/>
          <w:sz w:val="14"/>
          <w:szCs w:val="14"/>
          <w:color w:val="202E39"/>
        </w:rPr>
      </w:pPr>
    </w:p>
    <w:p>
      <w:pPr>
        <w:ind w:left="540" w:right="120" w:hanging="424"/>
        <w:spacing w:after="0" w:line="258"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11,000 shares subject to options exercisable by Mr. Pak within 60 days after July 1, 2020, and (b) 3,600 shares held by the Sean S. Pak and Caroline K. Shin Revocable Trust dated April 29, 2015.</w:t>
      </w:r>
    </w:p>
    <w:p>
      <w:pPr>
        <w:spacing w:after="0" w:line="45" w:lineRule="exact"/>
        <w:rPr>
          <w:rFonts w:ascii="Arial" w:cs="Arial" w:eastAsia="Arial" w:hAnsi="Arial"/>
          <w:sz w:val="14"/>
          <w:szCs w:val="14"/>
          <w:color w:val="202E39"/>
        </w:rPr>
      </w:pPr>
    </w:p>
    <w:p>
      <w:pPr>
        <w:ind w:left="540" w:right="120" w:hanging="424"/>
        <w:spacing w:after="0" w:line="245"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jointly filed with the SEC on October 4, 2018 by The Baupost Group, L.L.C. (Baupost), Baupost Group GP, L.L.C. (Baupost GP) and Seth A. Klarman. Such Schedule states that Baupost, Baupost GP and Mr. Klarman have shared voting and dispositive power over 13,732,068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55" w:lineRule="exact"/>
        <w:rPr>
          <w:rFonts w:ascii="Arial" w:cs="Arial" w:eastAsia="Arial" w:hAnsi="Arial"/>
          <w:sz w:val="14"/>
          <w:szCs w:val="14"/>
          <w:color w:val="202E39"/>
        </w:rPr>
      </w:pPr>
    </w:p>
    <w:p>
      <w:pPr>
        <w:ind w:left="540" w:right="20" w:hanging="424"/>
        <w:spacing w:after="0" w:line="245"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jointly filed with the SEC on March 17, 2020, and Form 4s jointly filed with the SEC on March 27, 2020, March 31, 2020 and July 2, 2020 by FPR Partners, LLC (FPR), Andrew Raab and Bob Peck. Such Schedule and Form 4s reflect that FPR has sole voting and dispositive power over 6,182,221 shares, and that Mr. Raab and Mr. Peck have shared voting and dispositive power over 6,182,221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55" w:lineRule="exact"/>
        <w:rPr>
          <w:rFonts w:ascii="Arial" w:cs="Arial" w:eastAsia="Arial" w:hAnsi="Arial"/>
          <w:sz w:val="14"/>
          <w:szCs w:val="14"/>
          <w:color w:val="202E39"/>
        </w:rPr>
      </w:pPr>
    </w:p>
    <w:p>
      <w:pPr>
        <w:ind w:left="540" w:right="200" w:hanging="424"/>
        <w:spacing w:after="0" w:line="249"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February 12, 2020 by The Vanguard Group (Vanguard). Such Schedule states that Vanguard has sole voting power over 27,266 shares, shared voting power over 10,556 shares, sole dispositive power over 5,285,322 shares and shared dispositive power over 32,204 shares. The address of Vanguard is 100 Vanguard Boulevard, Malvern, Pennsylvania 19355.</w:t>
      </w:r>
    </w:p>
    <w:p>
      <w:pPr>
        <w:spacing w:after="0" w:line="52" w:lineRule="exact"/>
        <w:rPr>
          <w:rFonts w:ascii="Arial" w:cs="Arial" w:eastAsia="Arial" w:hAnsi="Arial"/>
          <w:sz w:val="14"/>
          <w:szCs w:val="14"/>
          <w:color w:val="202E39"/>
        </w:rPr>
      </w:pPr>
    </w:p>
    <w:p>
      <w:pPr>
        <w:jc w:val="both"/>
        <w:ind w:left="540" w:right="200" w:hanging="424"/>
        <w:spacing w:after="0" w:line="249" w:lineRule="auto"/>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February 6, 2020 by BlackRock, Inc. Such Schedule states that BlackRock has sole voting power over 5,017,237 shares and sole dispositive power over 5,223,719 shares. The address of BlackRock, Inc. is 55 East 52nd Street, New York, New York 10055.</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Delinquent Section 16(a) Reports</w:t>
      </w:r>
    </w:p>
    <w:p>
      <w:pPr>
        <w:spacing w:after="0" w:line="14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Section 16(a) of the Securities Exchange Act of 1934 requires our directors, executive officers and beneficial owners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beneficial owners complied with the Section 16(a) filing requirements during the fiscal year ended March 31, 2020.</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29</w:t>
            </w: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EXECUTIVE COMPENSATION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QUICK REFERENCE GUIDE:</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26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460" w:type="dxa"/>
            <w:vAlign w:val="bottom"/>
            <w:tcBorders>
              <w:bottom w:val="single" w:sz="8" w:color="009FE3"/>
            </w:tcBorders>
          </w:tcPr>
          <w:p>
            <w:pPr>
              <w:spacing w:after="0"/>
              <w:rPr>
                <w:sz w:val="19"/>
                <w:szCs w:val="19"/>
                <w:color w:val="auto"/>
              </w:rPr>
            </w:pPr>
          </w:p>
        </w:tc>
        <w:tc>
          <w:tcPr>
            <w:tcW w:w="100" w:type="dxa"/>
            <w:vAlign w:val="bottom"/>
            <w:tcBorders>
              <w:bottom w:val="single" w:sz="8" w:color="009FE3"/>
            </w:tcBorders>
          </w:tcPr>
          <w:p>
            <w:pPr>
              <w:spacing w:after="0"/>
              <w:rPr>
                <w:sz w:val="19"/>
                <w:szCs w:val="19"/>
                <w:color w:val="auto"/>
              </w:rPr>
            </w:pPr>
          </w:p>
        </w:tc>
        <w:tc>
          <w:tcPr>
            <w:tcW w:w="140" w:type="dxa"/>
            <w:vAlign w:val="bottom"/>
            <w:tcBorders>
              <w:bottom w:val="single" w:sz="8" w:color="009FE3"/>
            </w:tcBorders>
          </w:tcPr>
          <w:p>
            <w:pPr>
              <w:spacing w:after="0"/>
              <w:rPr>
                <w:sz w:val="19"/>
                <w:szCs w:val="19"/>
                <w:color w:val="auto"/>
              </w:rPr>
            </w:pPr>
          </w:p>
        </w:tc>
        <w:tc>
          <w:tcPr>
            <w:tcW w:w="860" w:type="dxa"/>
            <w:vAlign w:val="bottom"/>
            <w:tcBorders>
              <w:bottom w:val="single" w:sz="8" w:color="009FE3"/>
            </w:tcBorders>
          </w:tcPr>
          <w:p>
            <w:pPr>
              <w:spacing w:after="0"/>
              <w:rPr>
                <w:sz w:val="19"/>
                <w:szCs w:val="19"/>
                <w:color w:val="auto"/>
              </w:rPr>
            </w:pPr>
          </w:p>
        </w:tc>
        <w:tc>
          <w:tcPr>
            <w:tcW w:w="1900" w:type="dxa"/>
            <w:vAlign w:val="bottom"/>
            <w:tcBorders>
              <w:bottom w:val="single" w:sz="8" w:color="009FE3"/>
            </w:tcBorders>
          </w:tcPr>
          <w:p>
            <w:pPr>
              <w:spacing w:after="0"/>
              <w:rPr>
                <w:sz w:val="19"/>
                <w:szCs w:val="19"/>
                <w:color w:val="auto"/>
              </w:rPr>
            </w:pPr>
          </w:p>
        </w:tc>
        <w:tc>
          <w:tcPr>
            <w:tcW w:w="360" w:type="dxa"/>
            <w:vAlign w:val="bottom"/>
            <w:tcBorders>
              <w:bottom w:val="single" w:sz="8" w:color="009FE3"/>
            </w:tcBorders>
          </w:tcPr>
          <w:p>
            <w:pPr>
              <w:spacing w:after="0"/>
              <w:rPr>
                <w:sz w:val="19"/>
                <w:szCs w:val="19"/>
                <w:color w:val="auto"/>
              </w:rPr>
            </w:pPr>
          </w:p>
        </w:tc>
        <w:tc>
          <w:tcPr>
            <w:tcW w:w="120" w:type="dxa"/>
            <w:vAlign w:val="bottom"/>
            <w:tcBorders>
              <w:bottom w:val="single" w:sz="8" w:color="009FE3"/>
            </w:tcBorders>
          </w:tcPr>
          <w:p>
            <w:pPr>
              <w:spacing w:after="0"/>
              <w:rPr>
                <w:sz w:val="19"/>
                <w:szCs w:val="19"/>
                <w:color w:val="auto"/>
              </w:rPr>
            </w:pPr>
          </w:p>
        </w:tc>
        <w:tc>
          <w:tcPr>
            <w:tcW w:w="200" w:type="dxa"/>
            <w:vAlign w:val="bottom"/>
            <w:tcBorders>
              <w:bottom w:val="single" w:sz="8" w:color="009FE3"/>
            </w:tcBorders>
          </w:tcPr>
          <w:p>
            <w:pPr>
              <w:spacing w:after="0"/>
              <w:rPr>
                <w:sz w:val="19"/>
                <w:szCs w:val="19"/>
                <w:color w:val="auto"/>
              </w:rPr>
            </w:pPr>
          </w:p>
        </w:tc>
        <w:tc>
          <w:tcPr>
            <w:tcW w:w="70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c>
          <w:tcPr>
            <w:tcW w:w="340" w:type="dxa"/>
            <w:vAlign w:val="bottom"/>
          </w:tcPr>
          <w:p>
            <w:pPr>
              <w:spacing w:after="0"/>
              <w:rPr>
                <w:sz w:val="19"/>
                <w:szCs w:val="19"/>
                <w:color w:val="auto"/>
              </w:rPr>
            </w:pPr>
          </w:p>
        </w:tc>
        <w:tc>
          <w:tcPr>
            <w:tcW w:w="4660" w:type="dxa"/>
            <w:vAlign w:val="bottom"/>
            <w:tcBorders>
              <w:bottom w:val="single" w:sz="8" w:color="009FE3"/>
            </w:tcBorders>
          </w:tcPr>
          <w:p>
            <w:pPr>
              <w:spacing w:after="0"/>
              <w:rPr>
                <w:sz w:val="19"/>
                <w:szCs w:val="19"/>
                <w:color w:val="auto"/>
              </w:rPr>
            </w:pPr>
          </w:p>
        </w:tc>
        <w:tc>
          <w:tcPr>
            <w:tcW w:w="74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c>
          <w:tcPr>
            <w:tcW w:w="0" w:type="dxa"/>
            <w:vAlign w:val="bottom"/>
          </w:tcPr>
          <w:p>
            <w:pPr>
              <w:spacing w:after="0"/>
              <w:rPr>
                <w:sz w:val="1"/>
                <w:szCs w:val="1"/>
                <w:color w:val="auto"/>
              </w:rPr>
            </w:pPr>
          </w:p>
        </w:tc>
      </w:tr>
      <w:tr>
        <w:trPr>
          <w:trHeight w:val="232"/>
        </w:trPr>
        <w:tc>
          <w:tcPr>
            <w:tcW w:w="4580" w:type="dxa"/>
            <w:vAlign w:val="bottom"/>
            <w:gridSpan w:val="10"/>
          </w:tcPr>
          <w:p>
            <w:pPr>
              <w:ind w:left="8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COMPENSATION DISCUSSION AND ANALYSIS</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30</w:t>
            </w:r>
          </w:p>
        </w:tc>
        <w:tc>
          <w:tcPr>
            <w:tcW w:w="340" w:type="dxa"/>
            <w:vAlign w:val="bottom"/>
          </w:tcPr>
          <w:p>
            <w:pPr>
              <w:spacing w:after="0"/>
              <w:rPr>
                <w:sz w:val="20"/>
                <w:szCs w:val="20"/>
                <w:color w:val="auto"/>
              </w:rPr>
            </w:pPr>
          </w:p>
        </w:tc>
        <w:tc>
          <w:tcPr>
            <w:tcW w:w="4660" w:type="dxa"/>
            <w:vAlign w:val="bottom"/>
          </w:tcPr>
          <w:p>
            <w:pPr>
              <w:ind w:left="80"/>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COMPENSATION COMMITTEE REPORT</w:t>
              </w:r>
            </w:hyperlink>
          </w:p>
        </w:tc>
        <w:tc>
          <w:tcPr>
            <w:tcW w:w="74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120" w:type="dxa"/>
            <w:vAlign w:val="bottom"/>
            <w:tcBorders>
              <w:bottom w:val="single" w:sz="8" w:color="0000EE"/>
            </w:tcBorders>
            <w:gridSpan w:val="8"/>
          </w:tcPr>
          <w:p>
            <w:pPr>
              <w:spacing w:after="0"/>
              <w:rPr>
                <w:rFonts w:ascii="Arial" w:cs="Arial" w:eastAsia="Arial" w:hAnsi="Arial"/>
                <w:sz w:val="17"/>
                <w:szCs w:val="17"/>
                <w:color w:val="0000EE"/>
                <w:w w:val="99"/>
              </w:rPr>
            </w:pPr>
            <w:hyperlink w:anchor="page33">
              <w:r>
                <w:rPr>
                  <w:rFonts w:ascii="Arial" w:cs="Arial" w:eastAsia="Arial" w:hAnsi="Arial"/>
                  <w:sz w:val="17"/>
                  <w:szCs w:val="17"/>
                  <w:color w:val="0000EE"/>
                  <w:w w:val="99"/>
                </w:rPr>
                <w:t>Business Overview and Fiscal Year 2020 Performance</w:t>
              </w:r>
            </w:hyperlink>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60" w:type="dxa"/>
            <w:vAlign w:val="bottom"/>
            <w:vMerge w:val="restart"/>
          </w:tcPr>
          <w:p>
            <w:pPr>
              <w:ind w:left="8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COMPENSATION TABLES</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45</w:t>
            </w: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4320" w:type="dxa"/>
            <w:vAlign w:val="bottom"/>
            <w:gridSpan w:val="9"/>
            <w:vMerge w:val="restart"/>
          </w:tcPr>
          <w:p>
            <w:pPr>
              <w:spacing w:after="0" w:line="169" w:lineRule="exact"/>
              <w:rPr>
                <w:rFonts w:ascii="Arial" w:cs="Arial" w:eastAsia="Arial" w:hAnsi="Arial"/>
                <w:sz w:val="17"/>
                <w:szCs w:val="17"/>
                <w:color w:val="0000EE"/>
              </w:rPr>
            </w:pPr>
            <w:hyperlink w:anchor="page33">
              <w:r>
                <w:rPr>
                  <w:rFonts w:ascii="Arial" w:cs="Arial" w:eastAsia="Arial" w:hAnsi="Arial"/>
                  <w:sz w:val="17"/>
                  <w:szCs w:val="17"/>
                  <w:color w:val="0000EE"/>
                </w:rPr>
                <w:t>Highlights</w:t>
              </w:r>
            </w:hyperlink>
          </w:p>
        </w:tc>
        <w:tc>
          <w:tcPr>
            <w:tcW w:w="700" w:type="dxa"/>
            <w:vAlign w:val="bottom"/>
            <w:vMerge w:val="restart"/>
          </w:tcPr>
          <w:p>
            <w:pPr>
              <w:jc w:val="right"/>
              <w:spacing w:after="0" w:line="169" w:lineRule="exact"/>
              <w:rPr>
                <w:sz w:val="20"/>
                <w:szCs w:val="20"/>
                <w:color w:val="auto"/>
              </w:rPr>
            </w:pPr>
            <w:r>
              <w:rPr>
                <w:rFonts w:ascii="Arial" w:cs="Arial" w:eastAsia="Arial" w:hAnsi="Arial"/>
                <w:sz w:val="17"/>
                <w:szCs w:val="17"/>
                <w:color w:val="202E39"/>
              </w:rPr>
              <w:t>30</w:t>
            </w:r>
          </w:p>
        </w:tc>
        <w:tc>
          <w:tcPr>
            <w:tcW w:w="34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4320" w:type="dxa"/>
            <w:vAlign w:val="bottom"/>
            <w:gridSpan w:val="9"/>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Summary Compensation Table</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 w:type="dxa"/>
            <w:vAlign w:val="bottom"/>
          </w:tcPr>
          <w:p>
            <w:pPr>
              <w:spacing w:after="0"/>
              <w:rPr>
                <w:sz w:val="14"/>
                <w:szCs w:val="14"/>
                <w:color w:val="auto"/>
              </w:rPr>
            </w:pPr>
          </w:p>
        </w:tc>
        <w:tc>
          <w:tcPr>
            <w:tcW w:w="4320" w:type="dxa"/>
            <w:vAlign w:val="bottom"/>
            <w:gridSpan w:val="9"/>
            <w:vMerge w:val="restart"/>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Executive Compensation Decisions Informed by</w:t>
              </w:r>
            </w:hyperlink>
          </w:p>
        </w:tc>
        <w:tc>
          <w:tcPr>
            <w:tcW w:w="7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4320" w:type="dxa"/>
            <w:vAlign w:val="bottom"/>
            <w:gridSpan w:val="9"/>
            <w:vMerge w:val="continue"/>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31</w:t>
            </w:r>
          </w:p>
        </w:tc>
        <w:tc>
          <w:tcPr>
            <w:tcW w:w="340" w:type="dxa"/>
            <w:vAlign w:val="bottom"/>
          </w:tcPr>
          <w:p>
            <w:pPr>
              <w:spacing w:after="0"/>
              <w:rPr>
                <w:sz w:val="8"/>
                <w:szCs w:val="8"/>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Grants of Plan-Based Awards in Fiscal Year 2020</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46</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5"/>
          </w:tcPr>
          <w:p>
            <w:pPr>
              <w:spacing w:after="0" w:line="169" w:lineRule="exact"/>
              <w:rPr>
                <w:rFonts w:ascii="Arial" w:cs="Arial" w:eastAsia="Arial" w:hAnsi="Arial"/>
                <w:sz w:val="17"/>
                <w:szCs w:val="17"/>
                <w:color w:val="0000EE"/>
                <w:w w:val="98"/>
              </w:rPr>
            </w:pPr>
            <w:hyperlink w:anchor="page34">
              <w:r>
                <w:rPr>
                  <w:rFonts w:ascii="Arial" w:cs="Arial" w:eastAsia="Arial" w:hAnsi="Arial"/>
                  <w:sz w:val="17"/>
                  <w:szCs w:val="17"/>
                  <w:color w:val="0000EE"/>
                  <w:w w:val="98"/>
                </w:rPr>
                <w:t>Stockholder Feedback</w:t>
              </w:r>
              <w:r>
                <w:rPr>
                  <w:rFonts w:ascii="Arial" w:cs="Arial" w:eastAsia="Arial" w:hAnsi="Arial"/>
                  <w:sz w:val="17"/>
                  <w:szCs w:val="17"/>
                  <w:i w:val="1"/>
                  <w:iCs w:val="1"/>
                  <w:color w:val="0000EE"/>
                  <w:w w:val="98"/>
                </w:rPr>
                <w:t>.</w:t>
              </w:r>
            </w:hyperlink>
          </w:p>
        </w:tc>
        <w:tc>
          <w:tcPr>
            <w:tcW w:w="1900" w:type="dxa"/>
            <w:vAlign w:val="bottom"/>
            <w:tcBorders>
              <w:top w:val="single" w:sz="8" w:color="0000EE"/>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320" w:type="dxa"/>
            <w:vAlign w:val="bottom"/>
            <w:gridSpan w:val="9"/>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Overview and Objectives of Executive Compensation</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32</w:t>
            </w:r>
          </w:p>
        </w:tc>
        <w:tc>
          <w:tcPr>
            <w:tcW w:w="340" w:type="dxa"/>
            <w:vAlign w:val="bottom"/>
          </w:tcPr>
          <w:p>
            <w:pPr>
              <w:spacing w:after="0"/>
              <w:rPr>
                <w:sz w:val="22"/>
                <w:szCs w:val="22"/>
                <w:color w:val="auto"/>
              </w:rPr>
            </w:pPr>
          </w:p>
        </w:tc>
        <w:tc>
          <w:tcPr>
            <w:tcW w:w="4660" w:type="dxa"/>
            <w:vAlign w:val="bottom"/>
          </w:tcPr>
          <w:p>
            <w:pPr>
              <w:ind w:left="260"/>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Outstanding Equity Awards at 2020 Fiscal Year End</w:t>
              </w:r>
            </w:hyperlink>
          </w:p>
        </w:tc>
        <w:tc>
          <w:tcPr>
            <w:tcW w:w="740" w:type="dxa"/>
            <w:vAlign w:val="bottom"/>
          </w:tcPr>
          <w:p>
            <w:pPr>
              <w:jc w:val="right"/>
              <w:spacing w:after="0"/>
              <w:rPr>
                <w:sz w:val="20"/>
                <w:szCs w:val="20"/>
                <w:color w:val="auto"/>
              </w:rPr>
            </w:pPr>
            <w:r>
              <w:rPr>
                <w:rFonts w:ascii="Arial" w:cs="Arial" w:eastAsia="Arial" w:hAnsi="Arial"/>
                <w:sz w:val="17"/>
                <w:szCs w:val="17"/>
                <w:color w:val="202E39"/>
              </w:rPr>
              <w:t>47</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4000" w:type="dxa"/>
            <w:vAlign w:val="bottom"/>
            <w:tcBorders>
              <w:top w:val="single" w:sz="8" w:color="0000EE"/>
            </w:tcBorders>
            <w:gridSpan w:val="7"/>
          </w:tcPr>
          <w:p>
            <w:pPr>
              <w:spacing w:after="0" w:line="169" w:lineRule="exact"/>
              <w:rPr>
                <w:rFonts w:ascii="Arial" w:cs="Arial" w:eastAsia="Arial" w:hAnsi="Arial"/>
                <w:sz w:val="17"/>
                <w:szCs w:val="17"/>
                <w:color w:val="0000EE"/>
              </w:rPr>
            </w:pPr>
            <w:hyperlink w:anchor="page35">
              <w:r>
                <w:rPr>
                  <w:rFonts w:ascii="Arial" w:cs="Arial" w:eastAsia="Arial" w:hAnsi="Arial"/>
                  <w:sz w:val="17"/>
                  <w:szCs w:val="17"/>
                  <w:color w:val="0000EE"/>
                </w:rPr>
                <w:t>Program</w:t>
              </w:r>
            </w:hyperlink>
          </w:p>
        </w:tc>
        <w:tc>
          <w:tcPr>
            <w:tcW w:w="320" w:type="dxa"/>
            <w:vAlign w:val="bottom"/>
            <w:gridSpan w:val="2"/>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Option Exercises and Stock Vested in Fiscal Year 2020</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60" w:type="dxa"/>
            <w:vAlign w:val="bottom"/>
          </w:tcPr>
          <w:p>
            <w:pPr>
              <w:spacing w:after="0"/>
              <w:rPr>
                <w:sz w:val="6"/>
                <w:szCs w:val="6"/>
                <w:color w:val="auto"/>
              </w:rPr>
            </w:pPr>
          </w:p>
        </w:tc>
        <w:tc>
          <w:tcPr>
            <w:tcW w:w="4320" w:type="dxa"/>
            <w:vAlign w:val="bottom"/>
            <w:gridSpan w:val="9"/>
            <w:vMerge w:val="restart"/>
          </w:tcPr>
          <w:p>
            <w:pPr>
              <w:ind w:left="180"/>
              <w:spacing w:after="0"/>
              <w:rPr>
                <w:rFonts w:ascii="Arial" w:cs="Arial" w:eastAsia="Arial" w:hAnsi="Arial"/>
                <w:sz w:val="17"/>
                <w:szCs w:val="17"/>
                <w:color w:val="0000EE"/>
              </w:rPr>
            </w:pPr>
            <w:hyperlink w:anchor="page35">
              <w:r>
                <w:rPr>
                  <w:rFonts w:ascii="Arial" w:cs="Arial" w:eastAsia="Arial" w:hAnsi="Arial"/>
                  <w:sz w:val="17"/>
                  <w:szCs w:val="17"/>
                  <w:color w:val="0000EE"/>
                </w:rPr>
                <w:t>Key Features of Our Executive Compensation</w:t>
              </w:r>
            </w:hyperlink>
          </w:p>
        </w:tc>
        <w:tc>
          <w:tcPr>
            <w:tcW w:w="7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4320" w:type="dxa"/>
            <w:vAlign w:val="bottom"/>
            <w:gridSpan w:val="9"/>
            <w:vMerge w:val="continue"/>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Pension Benefits</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60" w:type="dxa"/>
            <w:vAlign w:val="bottom"/>
          </w:tcPr>
          <w:p>
            <w:pPr>
              <w:spacing w:after="0"/>
              <w:rPr>
                <w:sz w:val="6"/>
                <w:szCs w:val="6"/>
                <w:color w:val="auto"/>
              </w:rPr>
            </w:pPr>
          </w:p>
        </w:tc>
        <w:tc>
          <w:tcPr>
            <w:tcW w:w="4320" w:type="dxa"/>
            <w:vAlign w:val="bottom"/>
            <w:gridSpan w:val="9"/>
            <w:vMerge w:val="restart"/>
          </w:tcPr>
          <w:p>
            <w:pPr>
              <w:ind w:left="180"/>
              <w:spacing w:after="0" w:line="169" w:lineRule="exact"/>
              <w:rPr>
                <w:rFonts w:ascii="Arial" w:cs="Arial" w:eastAsia="Arial" w:hAnsi="Arial"/>
                <w:sz w:val="17"/>
                <w:szCs w:val="17"/>
                <w:color w:val="0000EE"/>
              </w:rPr>
            </w:pPr>
            <w:hyperlink w:anchor="page35">
              <w:r>
                <w:rPr>
                  <w:rFonts w:ascii="Arial" w:cs="Arial" w:eastAsia="Arial" w:hAnsi="Arial"/>
                  <w:sz w:val="17"/>
                  <w:szCs w:val="17"/>
                  <w:color w:val="0000EE"/>
                </w:rPr>
                <w:t>Practices</w:t>
              </w:r>
            </w:hyperlink>
          </w:p>
        </w:tc>
        <w:tc>
          <w:tcPr>
            <w:tcW w:w="700" w:type="dxa"/>
            <w:vAlign w:val="bottom"/>
            <w:vMerge w:val="restart"/>
          </w:tcPr>
          <w:p>
            <w:pPr>
              <w:jc w:val="right"/>
              <w:spacing w:after="0" w:line="169" w:lineRule="exact"/>
              <w:rPr>
                <w:sz w:val="20"/>
                <w:szCs w:val="20"/>
                <w:color w:val="auto"/>
              </w:rPr>
            </w:pPr>
            <w:r>
              <w:rPr>
                <w:rFonts w:ascii="Arial" w:cs="Arial" w:eastAsia="Arial" w:hAnsi="Arial"/>
                <w:sz w:val="17"/>
                <w:szCs w:val="17"/>
                <w:color w:val="202E39"/>
              </w:rPr>
              <w:t>32</w:t>
            </w:r>
          </w:p>
        </w:tc>
        <w:tc>
          <w:tcPr>
            <w:tcW w:w="340" w:type="dxa"/>
            <w:vAlign w:val="bottom"/>
            <w:vMerge w:val="continue"/>
          </w:tcPr>
          <w:p>
            <w:pPr>
              <w:spacing w:after="0"/>
              <w:rPr>
                <w:sz w:val="6"/>
                <w:szCs w:val="6"/>
                <w:color w:val="auto"/>
              </w:rPr>
            </w:pPr>
          </w:p>
        </w:tc>
        <w:tc>
          <w:tcPr>
            <w:tcW w:w="4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4320" w:type="dxa"/>
            <w:vAlign w:val="bottom"/>
            <w:gridSpan w:val="9"/>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Non-Qualified Deferred Compensation</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6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0" w:type="dxa"/>
            <w:vAlign w:val="bottom"/>
          </w:tcPr>
          <w:p>
            <w:pPr>
              <w:spacing w:after="0"/>
              <w:rPr>
                <w:sz w:val="14"/>
                <w:szCs w:val="14"/>
                <w:color w:val="auto"/>
              </w:rPr>
            </w:pPr>
          </w:p>
        </w:tc>
        <w:tc>
          <w:tcPr>
            <w:tcW w:w="4320" w:type="dxa"/>
            <w:vAlign w:val="bottom"/>
            <w:gridSpan w:val="9"/>
            <w:vMerge w:val="restart"/>
          </w:tcPr>
          <w:p>
            <w:pPr>
              <w:ind w:left="180"/>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Compensation Objectives</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32</w:t>
            </w:r>
          </w:p>
        </w:tc>
        <w:tc>
          <w:tcPr>
            <w:tcW w:w="34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320" w:type="dxa"/>
            <w:vAlign w:val="bottom"/>
            <w:gridSpan w:val="9"/>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660" w:type="dxa"/>
            <w:vAlign w:val="bottom"/>
            <w:vMerge w:val="restart"/>
          </w:tcPr>
          <w:p>
            <w:pPr>
              <w:ind w:left="260"/>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Potential Payments Upon Termination</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49</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320" w:type="dxa"/>
            <w:vAlign w:val="bottom"/>
            <w:gridSpan w:val="9"/>
            <w:vMerge w:val="restart"/>
          </w:tcPr>
          <w:p>
            <w:pPr>
              <w:ind w:left="180"/>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Decision-Making Process and Criteria</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33</w:t>
            </w:r>
          </w:p>
        </w:tc>
        <w:tc>
          <w:tcPr>
            <w:tcW w:w="340" w:type="dxa"/>
            <w:vAlign w:val="bottom"/>
          </w:tcPr>
          <w:p>
            <w:pPr>
              <w:spacing w:after="0"/>
              <w:rPr>
                <w:sz w:val="12"/>
                <w:szCs w:val="12"/>
                <w:color w:val="auto"/>
              </w:rPr>
            </w:pPr>
          </w:p>
        </w:tc>
        <w:tc>
          <w:tcPr>
            <w:tcW w:w="46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4320" w:type="dxa"/>
            <w:vAlign w:val="bottom"/>
            <w:gridSpan w:val="9"/>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660" w:type="dxa"/>
            <w:vAlign w:val="bottom"/>
            <w:vMerge w:val="restart"/>
          </w:tcPr>
          <w:p>
            <w:pPr>
              <w:ind w:left="80"/>
              <w:spacing w:after="0"/>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CEO PAY RATIO</w:t>
              </w:r>
            </w:hyperlink>
          </w:p>
        </w:tc>
        <w:tc>
          <w:tcPr>
            <w:tcW w:w="740" w:type="dxa"/>
            <w:vAlign w:val="bottom"/>
            <w:vMerge w:val="restart"/>
          </w:tcPr>
          <w:p>
            <w:pPr>
              <w:jc w:val="right"/>
              <w:spacing w:after="0"/>
              <w:rPr>
                <w:sz w:val="20"/>
                <w:szCs w:val="20"/>
                <w:color w:val="auto"/>
              </w:rPr>
            </w:pPr>
            <w:r>
              <w:rPr>
                <w:rFonts w:ascii="Arial" w:cs="Arial" w:eastAsia="Arial" w:hAnsi="Arial"/>
                <w:sz w:val="17"/>
                <w:szCs w:val="17"/>
                <w:color w:val="202E39"/>
              </w:rPr>
              <w:t>50</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4320" w:type="dxa"/>
            <w:vAlign w:val="bottom"/>
            <w:gridSpan w:val="9"/>
            <w:vMerge w:val="restart"/>
          </w:tcPr>
          <w:p>
            <w:pPr>
              <w:ind w:left="18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Components of Our Compensation Program</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36</w:t>
            </w:r>
          </w:p>
        </w:tc>
        <w:tc>
          <w:tcPr>
            <w:tcW w:w="34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4320" w:type="dxa"/>
            <w:vAlign w:val="bottom"/>
            <w:gridSpan w:val="9"/>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4320" w:type="dxa"/>
            <w:vAlign w:val="bottom"/>
            <w:gridSpan w:val="9"/>
          </w:tcPr>
          <w:p>
            <w:pPr>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Additional Information</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42</w:t>
            </w:r>
          </w:p>
        </w:tc>
        <w:tc>
          <w:tcPr>
            <w:tcW w:w="340" w:type="dxa"/>
            <w:vAlign w:val="bottom"/>
          </w:tcPr>
          <w:p>
            <w:pPr>
              <w:spacing w:after="0"/>
              <w:rPr>
                <w:sz w:val="24"/>
                <w:szCs w:val="24"/>
                <w:color w:val="auto"/>
              </w:rPr>
            </w:pPr>
          </w:p>
        </w:tc>
        <w:tc>
          <w:tcPr>
            <w:tcW w:w="4660" w:type="dxa"/>
            <w:vAlign w:val="bottom"/>
          </w:tcPr>
          <w:p>
            <w:pPr>
              <w:ind w:left="80"/>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DIRECTOR COMPENSATION</w:t>
              </w:r>
            </w:hyperlink>
          </w:p>
        </w:tc>
        <w:tc>
          <w:tcPr>
            <w:tcW w:w="740" w:type="dxa"/>
            <w:vAlign w:val="bottom"/>
          </w:tcPr>
          <w:p>
            <w:pPr>
              <w:jc w:val="right"/>
              <w:spacing w:after="0"/>
              <w:rPr>
                <w:sz w:val="20"/>
                <w:szCs w:val="20"/>
                <w:color w:val="auto"/>
              </w:rPr>
            </w:pPr>
            <w:r>
              <w:rPr>
                <w:rFonts w:ascii="Arial" w:cs="Arial" w:eastAsia="Arial" w:hAnsi="Arial"/>
                <w:sz w:val="17"/>
                <w:szCs w:val="17"/>
                <w:color w:val="202E39"/>
              </w:rPr>
              <w:t>51</w:t>
            </w: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4320" w:type="dxa"/>
            <w:vAlign w:val="bottom"/>
            <w:gridSpan w:val="9"/>
          </w:tcPr>
          <w:p>
            <w:pPr>
              <w:ind w:left="180"/>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Stock Ownership Guidelines</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42</w:t>
            </w: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4320" w:type="dxa"/>
            <w:vAlign w:val="bottom"/>
            <w:gridSpan w:val="9"/>
          </w:tcPr>
          <w:p>
            <w:pPr>
              <w:ind w:left="180"/>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Clawback Policy</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42</w:t>
            </w: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4"/>
                <w:szCs w:val="24"/>
                <w:color w:val="auto"/>
              </w:rPr>
            </w:pPr>
          </w:p>
        </w:tc>
        <w:tc>
          <w:tcPr>
            <w:tcW w:w="4320" w:type="dxa"/>
            <w:vAlign w:val="bottom"/>
            <w:gridSpan w:val="9"/>
          </w:tcPr>
          <w:p>
            <w:pPr>
              <w:ind w:left="180"/>
              <w:spacing w:after="0"/>
              <w:rPr>
                <w:rFonts w:ascii="Arial" w:cs="Arial" w:eastAsia="Arial" w:hAnsi="Arial"/>
                <w:sz w:val="17"/>
                <w:szCs w:val="17"/>
                <w:u w:val="single" w:color="auto"/>
                <w:color w:val="0000EE"/>
              </w:rPr>
            </w:pPr>
            <w:hyperlink w:anchor="page45">
              <w:r>
                <w:rPr>
                  <w:rFonts w:ascii="Arial" w:cs="Arial" w:eastAsia="Arial" w:hAnsi="Arial"/>
                  <w:sz w:val="17"/>
                  <w:szCs w:val="17"/>
                  <w:u w:val="single" w:color="auto"/>
                  <w:color w:val="0000EE"/>
                </w:rPr>
                <w:t>Anti-Hedging and Pledging Policy</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42</w:t>
            </w: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4320" w:type="dxa"/>
            <w:vAlign w:val="bottom"/>
            <w:gridSpan w:val="9"/>
          </w:tcPr>
          <w:p>
            <w:pPr>
              <w:ind w:left="180"/>
              <w:spacing w:after="0"/>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Tax and Accounting Considerations</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43</w:t>
            </w:r>
          </w:p>
        </w:tc>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99695</wp:posOffset>
            </wp:positionV>
            <wp:extent cx="8890" cy="22371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22371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59" w:lineRule="exact"/>
        <w:rPr>
          <w:sz w:val="20"/>
          <w:szCs w:val="20"/>
          <w:color w:val="auto"/>
        </w:rPr>
      </w:pPr>
    </w:p>
    <w:p>
      <w:pPr>
        <w:ind w:left="2360"/>
        <w:spacing w:after="0"/>
        <w:rPr>
          <w:sz w:val="20"/>
          <w:szCs w:val="20"/>
          <w:color w:val="auto"/>
        </w:rPr>
      </w:pPr>
      <w:r>
        <w:rPr>
          <w:rFonts w:ascii="Arial" w:cs="Arial" w:eastAsia="Arial" w:hAnsi="Arial"/>
          <w:sz w:val="16"/>
          <w:szCs w:val="16"/>
          <w:color w:val="009FE3"/>
        </w:rPr>
        <w:t>Mark Dankberg</w:t>
      </w:r>
    </w:p>
    <w:p>
      <w:pPr>
        <w:spacing w:after="0" w:line="5" w:lineRule="exact"/>
        <w:rPr>
          <w:sz w:val="20"/>
          <w:szCs w:val="20"/>
          <w:color w:val="auto"/>
        </w:rPr>
      </w:pPr>
    </w:p>
    <w:p>
      <w:pPr>
        <w:jc w:val="right"/>
        <w:ind w:left="1480" w:right="60"/>
        <w:spacing w:after="0" w:line="260" w:lineRule="auto"/>
        <w:rPr>
          <w:sz w:val="20"/>
          <w:szCs w:val="20"/>
          <w:color w:val="auto"/>
        </w:rPr>
      </w:pPr>
      <w:r>
        <w:rPr>
          <w:rFonts w:ascii="Arial" w:cs="Arial" w:eastAsia="Arial" w:hAnsi="Arial"/>
          <w:sz w:val="16"/>
          <w:szCs w:val="16"/>
          <w:i w:val="1"/>
          <w:iCs w:val="1"/>
          <w:color w:val="202E39"/>
        </w:rPr>
        <w:t>Chairman of the Board and Chief Executive Officer</w:t>
      </w:r>
    </w:p>
    <w:p>
      <w:pPr>
        <w:spacing w:after="0" w:line="101" w:lineRule="exact"/>
        <w:rPr>
          <w:sz w:val="20"/>
          <w:szCs w:val="20"/>
          <w:color w:val="auto"/>
        </w:rPr>
      </w:pPr>
    </w:p>
    <w:p>
      <w:pPr>
        <w:ind w:left="2140"/>
        <w:spacing w:after="0"/>
        <w:rPr>
          <w:sz w:val="20"/>
          <w:szCs w:val="20"/>
          <w:color w:val="auto"/>
        </w:rPr>
      </w:pPr>
      <w:r>
        <w:rPr>
          <w:rFonts w:ascii="Arial" w:cs="Arial" w:eastAsia="Arial" w:hAnsi="Arial"/>
          <w:sz w:val="16"/>
          <w:szCs w:val="16"/>
          <w:color w:val="009FE3"/>
        </w:rPr>
        <w:t>Richard Baldridge</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202E39"/>
        </w:rPr>
        <w:t>Director, President and</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202E39"/>
        </w:rPr>
        <w:t>Chief Operating Officer</w:t>
      </w:r>
    </w:p>
    <w:p>
      <w:pPr>
        <w:spacing w:after="0" w:line="127" w:lineRule="exact"/>
        <w:rPr>
          <w:sz w:val="20"/>
          <w:szCs w:val="20"/>
          <w:color w:val="auto"/>
        </w:rPr>
      </w:pPr>
    </w:p>
    <w:p>
      <w:pPr>
        <w:ind w:left="2520"/>
        <w:spacing w:after="0"/>
        <w:rPr>
          <w:sz w:val="20"/>
          <w:szCs w:val="20"/>
          <w:color w:val="auto"/>
        </w:rPr>
      </w:pPr>
      <w:r>
        <w:rPr>
          <w:rFonts w:ascii="Arial" w:cs="Arial" w:eastAsia="Arial" w:hAnsi="Arial"/>
          <w:sz w:val="16"/>
          <w:szCs w:val="16"/>
          <w:color w:val="009FE3"/>
        </w:rPr>
        <w:t>Shawn Duffy</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i w:val="1"/>
          <w:iCs w:val="1"/>
          <w:color w:val="202E39"/>
        </w:rPr>
        <w:t>Senior Vice President and</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i w:val="1"/>
          <w:iCs w:val="1"/>
          <w:color w:val="202E39"/>
        </w:rPr>
        <w:t>Chief Financial Officer</w:t>
      </w:r>
    </w:p>
    <w:p>
      <w:pPr>
        <w:spacing w:after="0" w:line="127" w:lineRule="exact"/>
        <w:rPr>
          <w:sz w:val="20"/>
          <w:szCs w:val="20"/>
          <w:color w:val="auto"/>
        </w:rPr>
      </w:pPr>
    </w:p>
    <w:p>
      <w:pPr>
        <w:ind w:left="2140"/>
        <w:spacing w:after="0"/>
        <w:rPr>
          <w:sz w:val="20"/>
          <w:szCs w:val="20"/>
          <w:color w:val="auto"/>
        </w:rPr>
      </w:pPr>
      <w:r>
        <w:rPr>
          <w:rFonts w:ascii="Arial" w:cs="Arial" w:eastAsia="Arial" w:hAnsi="Arial"/>
          <w:sz w:val="16"/>
          <w:szCs w:val="16"/>
          <w:color w:val="009FE3"/>
        </w:rPr>
        <w:t>Kevin Harkenrider</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i w:val="1"/>
          <w:iCs w:val="1"/>
          <w:color w:val="202E39"/>
        </w:rPr>
        <w:t>Executive Vice President,</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i w:val="1"/>
          <w:iCs w:val="1"/>
          <w:color w:val="202E39"/>
        </w:rPr>
        <w:t>Global Operations and</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i w:val="1"/>
          <w:iCs w:val="1"/>
          <w:color w:val="202E39"/>
        </w:rPr>
        <w:t>Chief Operations Officer</w:t>
      </w:r>
    </w:p>
    <w:p>
      <w:pPr>
        <w:spacing w:after="0" w:line="127" w:lineRule="exact"/>
        <w:rPr>
          <w:sz w:val="20"/>
          <w:szCs w:val="20"/>
          <w:color w:val="auto"/>
        </w:rPr>
      </w:pPr>
    </w:p>
    <w:p>
      <w:pPr>
        <w:ind w:left="2400"/>
        <w:spacing w:after="0"/>
        <w:rPr>
          <w:sz w:val="20"/>
          <w:szCs w:val="20"/>
          <w:color w:val="auto"/>
        </w:rPr>
      </w:pPr>
      <w:r>
        <w:rPr>
          <w:rFonts w:ascii="Arial" w:cs="Arial" w:eastAsia="Arial" w:hAnsi="Arial"/>
          <w:sz w:val="16"/>
          <w:szCs w:val="16"/>
          <w:color w:val="009FE3"/>
        </w:rPr>
        <w:t>Ken Peterman</w:t>
      </w:r>
    </w:p>
    <w:p>
      <w:pPr>
        <w:spacing w:after="0" w:line="5" w:lineRule="exact"/>
        <w:rPr>
          <w:sz w:val="20"/>
          <w:szCs w:val="20"/>
          <w:color w:val="auto"/>
        </w:rPr>
      </w:pPr>
    </w:p>
    <w:p>
      <w:pPr>
        <w:jc w:val="right"/>
        <w:ind w:left="780" w:right="60"/>
        <w:spacing w:after="0" w:line="260" w:lineRule="auto"/>
        <w:rPr>
          <w:sz w:val="20"/>
          <w:szCs w:val="20"/>
          <w:color w:val="auto"/>
        </w:rPr>
      </w:pPr>
      <w:r>
        <w:rPr>
          <w:rFonts w:ascii="Arial" w:cs="Arial" w:eastAsia="Arial" w:hAnsi="Arial"/>
          <w:sz w:val="16"/>
          <w:szCs w:val="16"/>
          <w:i w:val="1"/>
          <w:iCs w:val="1"/>
          <w:color w:val="202E39"/>
        </w:rPr>
        <w:t>Senior Vice President and President, Government Systems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202E39"/>
        </w:rPr>
        <w:t>The following Compensation Discussion and Analysis provides information regarding the compensation program in place for our executive officers, including the Named Executive Officers identified in the Summary Compensation Table, during our 2020 fiscal year. In particular, this Compensation Discussion and Analysis provides information related to our performance and each of the following aspects of our executive compensation program:</w:t>
      </w:r>
    </w:p>
    <w:p>
      <w:pPr>
        <w:spacing w:after="0" w:line="108" w:lineRule="exact"/>
        <w:rPr>
          <w:sz w:val="20"/>
          <w:szCs w:val="20"/>
          <w:color w:val="auto"/>
        </w:rPr>
      </w:pPr>
    </w:p>
    <w:p>
      <w:pPr>
        <w:ind w:left="320" w:hanging="157"/>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overview and objectives of our executive compensation program,</w:t>
      </w:r>
    </w:p>
    <w:p>
      <w:pPr>
        <w:spacing w:after="0" w:line="72" w:lineRule="exact"/>
        <w:rPr>
          <w:rFonts w:ascii="Arial" w:cs="Arial" w:eastAsia="Arial" w:hAnsi="Arial"/>
          <w:sz w:val="16"/>
          <w:szCs w:val="16"/>
          <w:color w:val="009FE3"/>
        </w:rPr>
      </w:pPr>
    </w:p>
    <w:p>
      <w:pPr>
        <w:ind w:left="320" w:hanging="157"/>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explanation of our executive compensation decision-making processes and criteria,</w:t>
      </w:r>
    </w:p>
    <w:p>
      <w:pPr>
        <w:spacing w:after="0" w:line="72" w:lineRule="exact"/>
        <w:rPr>
          <w:rFonts w:ascii="Arial" w:cs="Arial" w:eastAsia="Arial" w:hAnsi="Arial"/>
          <w:sz w:val="16"/>
          <w:szCs w:val="16"/>
          <w:color w:val="009FE3"/>
        </w:rPr>
      </w:pPr>
    </w:p>
    <w:p>
      <w:pPr>
        <w:ind w:left="320" w:hanging="157"/>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description of the components of our executive compensation program, and</w:t>
      </w:r>
    </w:p>
    <w:p>
      <w:pPr>
        <w:spacing w:after="0" w:line="72" w:lineRule="exact"/>
        <w:rPr>
          <w:rFonts w:ascii="Arial" w:cs="Arial" w:eastAsia="Arial" w:hAnsi="Arial"/>
          <w:sz w:val="16"/>
          <w:szCs w:val="16"/>
          <w:color w:val="009FE3"/>
        </w:rPr>
      </w:pPr>
    </w:p>
    <w:p>
      <w:pPr>
        <w:ind w:left="320" w:hanging="157"/>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discussion of how each component fits into our overall compensation objectives.</w:t>
      </w:r>
    </w:p>
    <w:p>
      <w:pPr>
        <w:spacing w:after="0" w:line="1689" w:lineRule="exact"/>
        <w:rPr>
          <w:sz w:val="20"/>
          <w:szCs w:val="20"/>
          <w:color w:val="auto"/>
        </w:rPr>
      </w:pPr>
    </w:p>
    <w:p>
      <w:pPr>
        <w:sectPr>
          <w:pgSz w:w="11900" w:h="16838" w:orient="portrait"/>
          <w:cols w:equalWidth="0" w:num="2">
            <w:col w:w="3480" w:space="280"/>
            <w:col w:w="738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202E39"/>
        </w:rPr>
        <w:t>Business Overview and Fiscal Year 2020 Performance Highlights</w:t>
      </w:r>
    </w:p>
    <w:p>
      <w:pPr>
        <w:spacing w:after="0" w:line="124"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202E39"/>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portfolio of products and services, combined with our vertical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4286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30</w:t>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202E39"/>
        </w:rPr>
        <w:t>strategy and ability to effectively cross-deploy technologies between government and commercial segments and across different geographic markets, provides us with a strong foundation to sustain and enhance our leadership in advanced communications and networking technologies.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In fiscal year 2020, we delivered strong financial results and achieved key strategic and developmental objectives, including:</w:t>
      </w:r>
    </w:p>
    <w:p>
      <w:pPr>
        <w:spacing w:after="0" w:line="73" w:lineRule="exact"/>
        <w:rPr>
          <w:sz w:val="20"/>
          <w:szCs w:val="20"/>
          <w:color w:val="auto"/>
        </w:rPr>
      </w:pPr>
    </w:p>
    <w:p>
      <w:pPr>
        <w:ind w:left="660" w:hanging="220"/>
        <w:spacing w:after="0"/>
        <w:tabs>
          <w:tab w:leader="none" w:pos="660" w:val="left"/>
        </w:tabs>
        <w:numPr>
          <w:ilvl w:val="1"/>
          <w:numId w:val="27"/>
        </w:numPr>
        <w:rPr>
          <w:rFonts w:ascii="Arial" w:cs="Arial" w:eastAsia="Arial" w:hAnsi="Arial"/>
          <w:sz w:val="16"/>
          <w:szCs w:val="16"/>
          <w:color w:val="009FE3"/>
        </w:rPr>
      </w:pPr>
      <w:r>
        <w:rPr>
          <w:rFonts w:ascii="Arial" w:cs="Arial" w:eastAsia="Arial" w:hAnsi="Arial"/>
          <w:sz w:val="16"/>
          <w:szCs w:val="16"/>
          <w:color w:val="202E39"/>
        </w:rPr>
        <w:t>Record revenue, a significantly lower net loss and record Adjusted EBITDA</w:t>
      </w:r>
      <w:r>
        <w:rPr>
          <w:rFonts w:ascii="Arial" w:cs="Arial" w:eastAsia="Arial" w:hAnsi="Arial"/>
          <w:sz w:val="27"/>
          <w:szCs w:val="27"/>
          <w:color w:val="202E39"/>
          <w:vertAlign w:val="superscript"/>
        </w:rPr>
        <w:t>1</w:t>
      </w:r>
      <w:r>
        <w:rPr>
          <w:rFonts w:ascii="Arial" w:cs="Arial" w:eastAsia="Arial" w:hAnsi="Arial"/>
          <w:sz w:val="16"/>
          <w:szCs w:val="16"/>
          <w:color w:val="202E39"/>
        </w:rPr>
        <w:t>;</w:t>
      </w:r>
    </w:p>
    <w:p>
      <w:pPr>
        <w:ind w:left="660" w:hanging="220"/>
        <w:spacing w:after="0"/>
        <w:tabs>
          <w:tab w:leader="none" w:pos="660" w:val="left"/>
        </w:tabs>
        <w:numPr>
          <w:ilvl w:val="1"/>
          <w:numId w:val="27"/>
        </w:numPr>
        <w:rPr>
          <w:rFonts w:ascii="Arial" w:cs="Arial" w:eastAsia="Arial" w:hAnsi="Arial"/>
          <w:sz w:val="16"/>
          <w:szCs w:val="16"/>
          <w:color w:val="009FE3"/>
        </w:rPr>
      </w:pPr>
      <w:r>
        <w:rPr>
          <w:rFonts w:ascii="Arial" w:cs="Arial" w:eastAsia="Arial" w:hAnsi="Arial"/>
          <w:sz w:val="16"/>
          <w:szCs w:val="16"/>
          <w:color w:val="202E39"/>
        </w:rPr>
        <w:t>Continued strength in our Government Systems business, with annual revenue exceeding $1 billion for the first time;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27"/>
        </w:numPr>
        <w:rPr>
          <w:rFonts w:ascii="Arial" w:cs="Arial" w:eastAsia="Arial" w:hAnsi="Arial"/>
          <w:sz w:val="16"/>
          <w:szCs w:val="16"/>
          <w:color w:val="009FE3"/>
        </w:rPr>
      </w:pPr>
      <w:r>
        <w:rPr>
          <w:rFonts w:ascii="Arial" w:cs="Arial" w:eastAsia="Arial" w:hAnsi="Arial"/>
          <w:sz w:val="16"/>
          <w:szCs w:val="16"/>
          <w:color w:val="202E39"/>
        </w:rPr>
        <w:t>Earned multiple awards and honors, including:</w:t>
      </w:r>
    </w:p>
    <w:p>
      <w:pPr>
        <w:spacing w:after="0" w:line="72" w:lineRule="exact"/>
        <w:rPr>
          <w:rFonts w:ascii="Arial" w:cs="Arial" w:eastAsia="Arial" w:hAnsi="Arial"/>
          <w:sz w:val="16"/>
          <w:szCs w:val="16"/>
          <w:color w:val="009FE3"/>
        </w:rPr>
      </w:pPr>
    </w:p>
    <w:p>
      <w:pPr>
        <w:ind w:left="1320" w:hanging="327"/>
        <w:spacing w:after="0"/>
        <w:tabs>
          <w:tab w:leader="none" w:pos="1320" w:val="left"/>
        </w:tabs>
        <w:numPr>
          <w:ilvl w:val="2"/>
          <w:numId w:val="27"/>
        </w:numPr>
        <w:rPr>
          <w:rFonts w:ascii="Arial" w:cs="Arial" w:eastAsia="Arial" w:hAnsi="Arial"/>
          <w:sz w:val="16"/>
          <w:szCs w:val="16"/>
          <w:color w:val="202E39"/>
        </w:rPr>
      </w:pPr>
      <w:r>
        <w:rPr>
          <w:rFonts w:ascii="Arial" w:cs="Arial" w:eastAsia="Arial" w:hAnsi="Arial"/>
          <w:sz w:val="16"/>
          <w:szCs w:val="16"/>
          <w:color w:val="202E39"/>
        </w:rPr>
        <w:t>#12 on Fortune Magazine’s 2019 Change the World list</w:t>
      </w:r>
    </w:p>
    <w:p>
      <w:pPr>
        <w:spacing w:after="0" w:line="72" w:lineRule="exact"/>
        <w:rPr>
          <w:rFonts w:ascii="Arial" w:cs="Arial" w:eastAsia="Arial" w:hAnsi="Arial"/>
          <w:sz w:val="16"/>
          <w:szCs w:val="16"/>
          <w:color w:val="202E39"/>
        </w:rPr>
      </w:pPr>
    </w:p>
    <w:p>
      <w:pPr>
        <w:ind w:left="1320" w:hanging="327"/>
        <w:spacing w:after="0"/>
        <w:tabs>
          <w:tab w:leader="none" w:pos="1320" w:val="left"/>
        </w:tabs>
        <w:numPr>
          <w:ilvl w:val="2"/>
          <w:numId w:val="27"/>
        </w:numPr>
        <w:rPr>
          <w:rFonts w:ascii="Arial" w:cs="Arial" w:eastAsia="Arial" w:hAnsi="Arial"/>
          <w:sz w:val="16"/>
          <w:szCs w:val="16"/>
          <w:color w:val="202E39"/>
        </w:rPr>
      </w:pPr>
      <w:r>
        <w:rPr>
          <w:rFonts w:ascii="Arial" w:cs="Arial" w:eastAsia="Arial" w:hAnsi="Arial"/>
          <w:sz w:val="16"/>
          <w:szCs w:val="16"/>
          <w:color w:val="202E39"/>
        </w:rPr>
        <w:t>Global Satellite Business of the Year at the World Satellite Business Week 2019 conference</w:t>
      </w:r>
    </w:p>
    <w:p>
      <w:pPr>
        <w:spacing w:after="0" w:line="72" w:lineRule="exact"/>
        <w:rPr>
          <w:rFonts w:ascii="Arial" w:cs="Arial" w:eastAsia="Arial" w:hAnsi="Arial"/>
          <w:sz w:val="16"/>
          <w:szCs w:val="16"/>
          <w:color w:val="202E39"/>
        </w:rPr>
      </w:pPr>
    </w:p>
    <w:p>
      <w:pPr>
        <w:ind w:left="1320" w:hanging="327"/>
        <w:spacing w:after="0"/>
        <w:tabs>
          <w:tab w:leader="none" w:pos="1320" w:val="left"/>
        </w:tabs>
        <w:numPr>
          <w:ilvl w:val="2"/>
          <w:numId w:val="27"/>
        </w:numPr>
        <w:rPr>
          <w:rFonts w:ascii="Arial" w:cs="Arial" w:eastAsia="Arial" w:hAnsi="Arial"/>
          <w:sz w:val="16"/>
          <w:szCs w:val="16"/>
          <w:color w:val="202E39"/>
        </w:rPr>
      </w:pPr>
      <w:r>
        <w:rPr>
          <w:rFonts w:ascii="Arial" w:cs="Arial" w:eastAsia="Arial" w:hAnsi="Arial"/>
          <w:sz w:val="16"/>
          <w:szCs w:val="16"/>
          <w:color w:val="202E39"/>
        </w:rPr>
        <w:t>Glassdoor’s 2020 Best Places to Work for U.S. large employers</w:t>
      </w:r>
    </w:p>
    <w:p>
      <w:pPr>
        <w:spacing w:after="0" w:line="72" w:lineRule="exact"/>
        <w:rPr>
          <w:rFonts w:ascii="Arial" w:cs="Arial" w:eastAsia="Arial" w:hAnsi="Arial"/>
          <w:sz w:val="16"/>
          <w:szCs w:val="16"/>
          <w:color w:val="202E39"/>
        </w:rPr>
      </w:pPr>
    </w:p>
    <w:p>
      <w:pPr>
        <w:ind w:left="1320" w:hanging="327"/>
        <w:spacing w:after="0"/>
        <w:tabs>
          <w:tab w:leader="none" w:pos="1320" w:val="left"/>
        </w:tabs>
        <w:numPr>
          <w:ilvl w:val="2"/>
          <w:numId w:val="27"/>
        </w:numPr>
        <w:rPr>
          <w:rFonts w:ascii="Arial" w:cs="Arial" w:eastAsia="Arial" w:hAnsi="Arial"/>
          <w:sz w:val="16"/>
          <w:szCs w:val="16"/>
          <w:color w:val="202E39"/>
        </w:rPr>
      </w:pPr>
      <w:r>
        <w:rPr>
          <w:rFonts w:ascii="Arial" w:cs="Arial" w:eastAsia="Arial" w:hAnsi="Arial"/>
          <w:sz w:val="16"/>
          <w:szCs w:val="16"/>
          <w:color w:val="202E39"/>
        </w:rPr>
        <w:t>Finalist in Fast Company’s Best World Changing Ideas Awards 2020</w:t>
      </w:r>
    </w:p>
    <w:p>
      <w:pPr>
        <w:spacing w:after="0" w:line="72" w:lineRule="exact"/>
        <w:rPr>
          <w:rFonts w:ascii="Arial" w:cs="Arial" w:eastAsia="Arial" w:hAnsi="Arial"/>
          <w:sz w:val="16"/>
          <w:szCs w:val="16"/>
          <w:color w:val="202E39"/>
        </w:rPr>
      </w:pPr>
    </w:p>
    <w:p>
      <w:pPr>
        <w:ind w:left="1320" w:hanging="327"/>
        <w:spacing w:after="0"/>
        <w:tabs>
          <w:tab w:leader="none" w:pos="1320" w:val="left"/>
        </w:tabs>
        <w:numPr>
          <w:ilvl w:val="2"/>
          <w:numId w:val="27"/>
        </w:numPr>
        <w:rPr>
          <w:rFonts w:ascii="Arial" w:cs="Arial" w:eastAsia="Arial" w:hAnsi="Arial"/>
          <w:sz w:val="16"/>
          <w:szCs w:val="16"/>
          <w:color w:val="202E39"/>
        </w:rPr>
      </w:pPr>
      <w:r>
        <w:rPr>
          <w:rFonts w:ascii="Arial" w:cs="Arial" w:eastAsia="Arial" w:hAnsi="Arial"/>
          <w:sz w:val="16"/>
          <w:szCs w:val="16"/>
          <w:color w:val="202E39"/>
        </w:rPr>
        <w:t>U.S. News &amp; World Report Top 10 ranking for U.S. internet service providers, out of 30 candidates</w:t>
      </w:r>
    </w:p>
    <w:p>
      <w:pPr>
        <w:spacing w:after="0" w:line="72" w:lineRule="exact"/>
        <w:rPr>
          <w:rFonts w:ascii="Arial" w:cs="Arial" w:eastAsia="Arial" w:hAnsi="Arial"/>
          <w:sz w:val="16"/>
          <w:szCs w:val="16"/>
          <w:color w:val="202E39"/>
        </w:rPr>
      </w:pPr>
    </w:p>
    <w:p>
      <w:pPr>
        <w:ind w:left="660" w:right="100" w:hanging="220"/>
        <w:spacing w:after="0" w:line="253" w:lineRule="auto"/>
        <w:tabs>
          <w:tab w:leader="none" w:pos="660" w:val="left"/>
        </w:tabs>
        <w:numPr>
          <w:ilvl w:val="1"/>
          <w:numId w:val="27"/>
        </w:numPr>
        <w:rPr>
          <w:rFonts w:ascii="Arial" w:cs="Arial" w:eastAsia="Arial" w:hAnsi="Arial"/>
          <w:sz w:val="16"/>
          <w:szCs w:val="16"/>
          <w:color w:val="009FE3"/>
        </w:rPr>
      </w:pPr>
      <w:r>
        <w:rPr>
          <w:rFonts w:ascii="Arial" w:cs="Arial" w:eastAsia="Arial" w:hAnsi="Arial"/>
          <w:sz w:val="16"/>
          <w:szCs w:val="16"/>
          <w:color w:val="202E39"/>
        </w:rPr>
        <w:t>Continued growth of the in-flight connectivity, or IFC, business (despite fourth quarter impact of the COVID-19 pandemic), with 1,390 commercial aircraft using our IFC services across the United States, Europe, Middle East and Australia as of the end of fiscal year 2020, with IFC services anticipated to be activated on approximately 750 additional commercial aircraft under our existing customer agreements with commercial airlines;</w:t>
      </w:r>
    </w:p>
    <w:p>
      <w:pPr>
        <w:spacing w:after="0" w:line="52" w:lineRule="exact"/>
        <w:rPr>
          <w:rFonts w:ascii="Arial" w:cs="Arial" w:eastAsia="Arial" w:hAnsi="Arial"/>
          <w:sz w:val="16"/>
          <w:szCs w:val="16"/>
          <w:color w:val="009FE3"/>
        </w:rPr>
      </w:pPr>
    </w:p>
    <w:p>
      <w:pPr>
        <w:ind w:left="660" w:right="20" w:hanging="220"/>
        <w:spacing w:after="0" w:line="251" w:lineRule="auto"/>
        <w:tabs>
          <w:tab w:leader="none" w:pos="660" w:val="left"/>
        </w:tabs>
        <w:numPr>
          <w:ilvl w:val="1"/>
          <w:numId w:val="27"/>
        </w:numPr>
        <w:rPr>
          <w:rFonts w:ascii="Arial" w:cs="Arial" w:eastAsia="Arial" w:hAnsi="Arial"/>
          <w:sz w:val="16"/>
          <w:szCs w:val="16"/>
          <w:color w:val="009FE3"/>
        </w:rPr>
      </w:pPr>
      <w:r>
        <w:rPr>
          <w:rFonts w:ascii="Arial" w:cs="Arial" w:eastAsia="Arial" w:hAnsi="Arial"/>
          <w:sz w:val="16"/>
          <w:szCs w:val="16"/>
          <w:color w:val="202E39"/>
        </w:rPr>
        <w:t>Significant progress toward the completion of the ViaSat-3 class satellite constellation, including the achievement of important payload and ground network assembly, test and integration milestones for the ViaSat-3 (Americas) and ViaSat-3 (Europe, Middle East, Africa) satellites, and the successful completion of the Preliminary Design Review for the ViaSat-3 (Asia Pacific) satellite. Once in service, we expect that our global ViaSat-3 class satellite constellation will enable us to deliver affordable broadband connectivity across most of the world.</w:t>
      </w:r>
    </w:p>
    <w:p>
      <w:pPr>
        <w:spacing w:after="0" w:line="103" w:lineRule="exact"/>
        <w:rPr>
          <w:rFonts w:ascii="Arial" w:cs="Arial" w:eastAsia="Arial" w:hAnsi="Arial"/>
          <w:sz w:val="16"/>
          <w:szCs w:val="16"/>
          <w:color w:val="009FE3"/>
        </w:rPr>
      </w:pPr>
    </w:p>
    <w:p>
      <w:pPr>
        <w:ind w:left="540" w:right="160" w:hanging="432"/>
        <w:spacing w:after="0" w:line="249" w:lineRule="auto"/>
        <w:rPr>
          <w:rFonts w:ascii="Arial" w:cs="Arial" w:eastAsia="Arial" w:hAnsi="Arial"/>
          <w:sz w:val="16"/>
          <w:szCs w:val="16"/>
          <w:color w:val="009FE3"/>
        </w:rPr>
      </w:pPr>
      <w:r>
        <w:rPr>
          <w:rFonts w:ascii="Arial" w:cs="Arial" w:eastAsia="Arial" w:hAnsi="Arial"/>
          <w:sz w:val="24"/>
          <w:szCs w:val="24"/>
          <w:color w:val="202E39"/>
          <w:vertAlign w:val="superscript"/>
        </w:rPr>
        <w:t>1</w:t>
      </w: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An itemized reconciliation between net income (loss) attributable to Viasat, Inc. and Adjusted EBITDA for fiscal year 2020 is set forth below in this Compensation Discussion and Analysis.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Investing in our Future</w:t>
      </w:r>
    </w:p>
    <w:p>
      <w:pPr>
        <w:spacing w:after="0" w:line="133"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We continue to invest heavily in positioning Viasat for long-term success. Due to the upfront investment necessary to grow our satellite fleet, our financial growth is not linear or coincident with research and development, or R&amp;D, spending. However, record revenues and strong order flow demonstrate that our long-term strategy is working. Our investments have allowed us to make significant progress toward completing our global constellation of ViaSat-3 class satellites. Our third-generation ViaSat-3 class satellites under construction offer a new satellite architecture with miniaturized electronics and more productive and efficient antenna designs. This new satellite design is expected to significantly expand the geographic coverage area and data throughput capacity of each satellite and to further enhance our ability to flexibly and dynamically allocate capacity to match geographic demand, resulting in greater speed, availability and cost-efficiency of our proprietary Ka-band satellite network.</w:t>
      </w:r>
    </w:p>
    <w:p>
      <w:pPr>
        <w:spacing w:after="0" w:line="100" w:lineRule="exact"/>
        <w:rPr>
          <w:sz w:val="20"/>
          <w:szCs w:val="20"/>
          <w:color w:val="auto"/>
        </w:rPr>
      </w:pPr>
    </w:p>
    <w:p>
      <w:pPr>
        <w:ind w:left="120" w:right="240"/>
        <w:spacing w:after="0" w:line="248" w:lineRule="auto"/>
        <w:rPr>
          <w:sz w:val="20"/>
          <w:szCs w:val="20"/>
          <w:color w:val="auto"/>
        </w:rPr>
      </w:pPr>
      <w:r>
        <w:rPr>
          <w:rFonts w:ascii="Arial" w:cs="Arial" w:eastAsia="Arial" w:hAnsi="Arial"/>
          <w:sz w:val="16"/>
          <w:szCs w:val="16"/>
          <w:color w:val="202E39"/>
        </w:rPr>
        <w:t>As the capacity, data throughput speeds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 In addition, we expect that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Community Internet business. Although it will take a few years until we realize all of the benefits of these technology investments, we believe that they uniquely position us to capitalize on future opportunities to grow our business and create significant stockholder value.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Executive Compensation Decisions Informed by Stockholder Feedback</w:t>
      </w:r>
    </w:p>
    <w:p>
      <w:pPr>
        <w:spacing w:after="0" w:line="124"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Our management team regularly engages with our stockholders to proactively understand their perspectives on our business and strategy and governance and compensation practices, and to address any concerns they may have. During fiscal year 2020, we engaged in substantive conversations with stockholders representing approximately 73% of our total outstanding common stock.</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31</w:t>
            </w:r>
          </w:p>
        </w:tc>
      </w:tr>
    </w:tbl>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202E39"/>
        </w:rPr>
        <w:t>Our Board of Directors and our Compensation and Human Resources Committee, or the Committee, have demonstrated responsiveness to feedback received during these discussions through the recent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254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225488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100" w:type="dxa"/>
            <w:vAlign w:val="bottom"/>
            <w:shd w:val="clear" w:color="auto" w:fill="009FE3"/>
          </w:tcPr>
          <w:p>
            <w:pPr>
              <w:spacing w:after="0"/>
              <w:rPr>
                <w:sz w:val="19"/>
                <w:szCs w:val="19"/>
                <w:color w:val="auto"/>
              </w:rPr>
            </w:pPr>
          </w:p>
        </w:tc>
        <w:tc>
          <w:tcPr>
            <w:tcW w:w="5360" w:type="dxa"/>
            <w:vAlign w:val="bottom"/>
            <w:shd w:val="clear" w:color="auto" w:fill="009FE3"/>
          </w:tcPr>
          <w:p>
            <w:pPr>
              <w:ind w:left="2240"/>
              <w:spacing w:after="0"/>
              <w:rPr>
                <w:sz w:val="20"/>
                <w:szCs w:val="20"/>
                <w:color w:val="auto"/>
              </w:rPr>
            </w:pPr>
            <w:r>
              <w:rPr>
                <w:rFonts w:ascii="Arial" w:cs="Arial" w:eastAsia="Arial" w:hAnsi="Arial"/>
                <w:sz w:val="14"/>
                <w:szCs w:val="14"/>
                <w:b w:val="1"/>
                <w:bCs w:val="1"/>
                <w:color w:val="FFFFFF"/>
              </w:rPr>
              <w:t>What We Did</w:t>
            </w:r>
          </w:p>
        </w:tc>
        <w:tc>
          <w:tcPr>
            <w:tcW w:w="0" w:type="dxa"/>
            <w:vAlign w:val="bottom"/>
          </w:tcPr>
          <w:p>
            <w:pPr>
              <w:spacing w:after="0"/>
              <w:rPr>
                <w:sz w:val="1"/>
                <w:szCs w:val="1"/>
                <w:color w:val="auto"/>
              </w:rPr>
            </w:pPr>
          </w:p>
        </w:tc>
      </w:tr>
      <w:tr>
        <w:trPr>
          <w:trHeight w:val="23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Seek further alignment of executive compensation with long-term stockholder</w:t>
            </w:r>
          </w:p>
        </w:tc>
        <w:tc>
          <w:tcPr>
            <w:tcW w:w="100" w:type="dxa"/>
            <w:vAlign w:val="bottom"/>
            <w:shd w:val="clear" w:color="auto" w:fill="EDEEEF"/>
          </w:tcPr>
          <w:p>
            <w:pPr>
              <w:spacing w:after="0"/>
              <w:rPr>
                <w:sz w:val="20"/>
                <w:szCs w:val="20"/>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Implemented a performance-based equity program in fiscal year 2018 and</w:t>
            </w:r>
          </w:p>
        </w:tc>
        <w:tc>
          <w:tcPr>
            <w:tcW w:w="0" w:type="dxa"/>
            <w:vAlign w:val="bottom"/>
          </w:tcPr>
          <w:p>
            <w:pPr>
              <w:spacing w:after="0"/>
              <w:rPr>
                <w:sz w:val="1"/>
                <w:szCs w:val="1"/>
                <w:color w:val="auto"/>
              </w:rPr>
            </w:pPr>
          </w:p>
        </w:tc>
      </w:tr>
      <w:tr>
        <w:trPr>
          <w:trHeight w:val="189"/>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interests</w:t>
            </w: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maintained program in subsequent annual grants in fiscal years 2019 and</w:t>
            </w:r>
          </w:p>
        </w:tc>
        <w:tc>
          <w:tcPr>
            <w:tcW w:w="0" w:type="dxa"/>
            <w:vAlign w:val="bottom"/>
          </w:tcPr>
          <w:p>
            <w:pPr>
              <w:spacing w:after="0"/>
              <w:rPr>
                <w:sz w:val="1"/>
                <w:szCs w:val="1"/>
                <w:color w:val="auto"/>
              </w:rPr>
            </w:pPr>
          </w:p>
        </w:tc>
      </w:tr>
      <w:tr>
        <w:trPr>
          <w:trHeight w:val="195"/>
        </w:trPr>
        <w:tc>
          <w:tcPr>
            <w:tcW w:w="5560" w:type="dxa"/>
            <w:vAlign w:val="bottom"/>
            <w:shd w:val="clear" w:color="auto" w:fill="EDEEEF"/>
          </w:tcPr>
          <w:p>
            <w:pPr>
              <w:spacing w:after="0"/>
              <w:rPr>
                <w:sz w:val="16"/>
                <w:szCs w:val="16"/>
                <w:color w:val="auto"/>
              </w:rPr>
            </w:pPr>
          </w:p>
        </w:tc>
        <w:tc>
          <w:tcPr>
            <w:tcW w:w="5460" w:type="dxa"/>
            <w:vAlign w:val="bottom"/>
            <w:gridSpan w:val="2"/>
            <w:shd w:val="clear" w:color="auto" w:fill="EDEEEF"/>
          </w:tcPr>
          <w:p>
            <w:pPr>
              <w:ind w:left="100"/>
              <w:spacing w:after="0"/>
              <w:rPr>
                <w:sz w:val="20"/>
                <w:szCs w:val="20"/>
                <w:color w:val="auto"/>
              </w:rPr>
            </w:pPr>
            <w:r>
              <w:rPr>
                <w:rFonts w:ascii="Arial" w:cs="Arial" w:eastAsia="Arial" w:hAnsi="Arial"/>
                <w:sz w:val="16"/>
                <w:szCs w:val="16"/>
                <w:color w:val="202E39"/>
              </w:rPr>
              <w:t>2020</w:t>
            </w:r>
          </w:p>
        </w:tc>
        <w:tc>
          <w:tcPr>
            <w:tcW w:w="0" w:type="dxa"/>
            <w:vAlign w:val="bottom"/>
          </w:tcPr>
          <w:p>
            <w:pPr>
              <w:spacing w:after="0"/>
              <w:rPr>
                <w:sz w:val="1"/>
                <w:szCs w:val="1"/>
                <w:color w:val="auto"/>
              </w:rPr>
            </w:pPr>
          </w:p>
        </w:tc>
      </w:tr>
      <w:tr>
        <w:trPr>
          <w:trHeight w:val="25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Increase weighting of objective, financial criteria in determining annual bonus</w:t>
            </w:r>
          </w:p>
        </w:tc>
        <w:tc>
          <w:tcPr>
            <w:tcW w:w="100" w:type="dxa"/>
            <w:vAlign w:val="bottom"/>
            <w:shd w:val="clear" w:color="auto" w:fill="EDEEEF"/>
          </w:tcPr>
          <w:p>
            <w:pPr>
              <w:spacing w:after="0"/>
              <w:rPr>
                <w:sz w:val="21"/>
                <w:szCs w:val="21"/>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Increased weighting of objective, financial criteria in bonus determination</w:t>
            </w:r>
          </w:p>
        </w:tc>
        <w:tc>
          <w:tcPr>
            <w:tcW w:w="0" w:type="dxa"/>
            <w:vAlign w:val="bottom"/>
          </w:tcPr>
          <w:p>
            <w:pPr>
              <w:spacing w:after="0"/>
              <w:rPr>
                <w:sz w:val="1"/>
                <w:szCs w:val="1"/>
                <w:color w:val="auto"/>
              </w:rPr>
            </w:pPr>
          </w:p>
        </w:tc>
      </w:tr>
      <w:tr>
        <w:trPr>
          <w:trHeight w:val="189"/>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payouts</w:t>
            </w: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to 50% for Chief Executive Officer, consistent with weighting for all other</w:t>
            </w:r>
          </w:p>
        </w:tc>
        <w:tc>
          <w:tcPr>
            <w:tcW w:w="0" w:type="dxa"/>
            <w:vAlign w:val="bottom"/>
          </w:tcPr>
          <w:p>
            <w:pPr>
              <w:spacing w:after="0"/>
              <w:rPr>
                <w:sz w:val="1"/>
                <w:szCs w:val="1"/>
                <w:color w:val="auto"/>
              </w:rPr>
            </w:pPr>
          </w:p>
        </w:tc>
      </w:tr>
      <w:tr>
        <w:trPr>
          <w:trHeight w:val="195"/>
        </w:trPr>
        <w:tc>
          <w:tcPr>
            <w:tcW w:w="5560" w:type="dxa"/>
            <w:vAlign w:val="bottom"/>
            <w:shd w:val="clear" w:color="auto" w:fill="EDEEEF"/>
          </w:tcPr>
          <w:p>
            <w:pPr>
              <w:spacing w:after="0"/>
              <w:rPr>
                <w:sz w:val="16"/>
                <w:szCs w:val="16"/>
                <w:color w:val="auto"/>
              </w:rPr>
            </w:pP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executive officers, in fiscal year 2020</w:t>
            </w:r>
          </w:p>
        </w:tc>
        <w:tc>
          <w:tcPr>
            <w:tcW w:w="0" w:type="dxa"/>
            <w:vAlign w:val="bottom"/>
          </w:tcPr>
          <w:p>
            <w:pPr>
              <w:spacing w:after="0"/>
              <w:rPr>
                <w:sz w:val="1"/>
                <w:szCs w:val="1"/>
                <w:color w:val="auto"/>
              </w:rPr>
            </w:pPr>
          </w:p>
        </w:tc>
      </w:tr>
      <w:tr>
        <w:trPr>
          <w:trHeight w:val="25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Replace target annual bonus ranges with specific target annual bonus</w:t>
            </w:r>
          </w:p>
        </w:tc>
        <w:tc>
          <w:tcPr>
            <w:tcW w:w="100" w:type="dxa"/>
            <w:vAlign w:val="bottom"/>
            <w:shd w:val="clear" w:color="auto" w:fill="EDEEEF"/>
          </w:tcPr>
          <w:p>
            <w:pPr>
              <w:spacing w:after="0"/>
              <w:rPr>
                <w:sz w:val="21"/>
                <w:szCs w:val="21"/>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Shifted to a specific annual bonus target for annual incentive</w:t>
            </w:r>
          </w:p>
        </w:tc>
        <w:tc>
          <w:tcPr>
            <w:tcW w:w="0" w:type="dxa"/>
            <w:vAlign w:val="bottom"/>
          </w:tcPr>
          <w:p>
            <w:pPr>
              <w:spacing w:after="0"/>
              <w:rPr>
                <w:sz w:val="1"/>
                <w:szCs w:val="1"/>
                <w:color w:val="auto"/>
              </w:rPr>
            </w:pPr>
          </w:p>
        </w:tc>
      </w:tr>
      <w:tr>
        <w:trPr>
          <w:trHeight w:val="235"/>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percentages for each executive officer</w:t>
            </w:r>
          </w:p>
        </w:tc>
        <w:tc>
          <w:tcPr>
            <w:tcW w:w="100" w:type="dxa"/>
            <w:vAlign w:val="bottom"/>
            <w:shd w:val="clear" w:color="auto" w:fill="EDEEEF"/>
          </w:tcPr>
          <w:p>
            <w:pPr>
              <w:spacing w:after="0"/>
              <w:rPr>
                <w:sz w:val="20"/>
                <w:szCs w:val="20"/>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compensation in fiscal 2020</w:t>
            </w:r>
          </w:p>
        </w:tc>
        <w:tc>
          <w:tcPr>
            <w:tcW w:w="0" w:type="dxa"/>
            <w:vAlign w:val="bottom"/>
          </w:tcPr>
          <w:p>
            <w:pPr>
              <w:spacing w:after="0"/>
              <w:rPr>
                <w:sz w:val="1"/>
                <w:szCs w:val="1"/>
                <w:color w:val="auto"/>
              </w:rPr>
            </w:pPr>
          </w:p>
        </w:tc>
      </w:tr>
      <w:tr>
        <w:trPr>
          <w:trHeight w:val="25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Adopt a maximum cap on annual bonus payouts</w:t>
            </w:r>
          </w:p>
        </w:tc>
        <w:tc>
          <w:tcPr>
            <w:tcW w:w="100" w:type="dxa"/>
            <w:vAlign w:val="bottom"/>
            <w:shd w:val="clear" w:color="auto" w:fill="EDEEEF"/>
          </w:tcPr>
          <w:p>
            <w:pPr>
              <w:spacing w:after="0"/>
              <w:rPr>
                <w:sz w:val="21"/>
                <w:szCs w:val="21"/>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Implemented a maximum annual bonus payout, equal to 250% of target,</w:t>
            </w:r>
          </w:p>
        </w:tc>
        <w:tc>
          <w:tcPr>
            <w:tcW w:w="0" w:type="dxa"/>
            <w:vAlign w:val="bottom"/>
          </w:tcPr>
          <w:p>
            <w:pPr>
              <w:spacing w:after="0"/>
              <w:rPr>
                <w:sz w:val="1"/>
                <w:szCs w:val="1"/>
                <w:color w:val="auto"/>
              </w:rPr>
            </w:pPr>
          </w:p>
        </w:tc>
      </w:tr>
      <w:tr>
        <w:trPr>
          <w:trHeight w:val="195"/>
        </w:trPr>
        <w:tc>
          <w:tcPr>
            <w:tcW w:w="5560" w:type="dxa"/>
            <w:vAlign w:val="bottom"/>
            <w:shd w:val="clear" w:color="auto" w:fill="EDEEEF"/>
          </w:tcPr>
          <w:p>
            <w:pPr>
              <w:spacing w:after="0"/>
              <w:rPr>
                <w:sz w:val="16"/>
                <w:szCs w:val="16"/>
                <w:color w:val="auto"/>
              </w:rPr>
            </w:pP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for all executive officers in fiscal year 2020</w:t>
            </w:r>
          </w:p>
        </w:tc>
        <w:tc>
          <w:tcPr>
            <w:tcW w:w="0" w:type="dxa"/>
            <w:vAlign w:val="bottom"/>
          </w:tcPr>
          <w:p>
            <w:pPr>
              <w:spacing w:after="0"/>
              <w:rPr>
                <w:sz w:val="1"/>
                <w:szCs w:val="1"/>
                <w:color w:val="auto"/>
              </w:rPr>
            </w:pPr>
          </w:p>
        </w:tc>
      </w:tr>
      <w:tr>
        <w:trPr>
          <w:trHeight w:val="25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Provide additional disclosure around peer group selection process</w:t>
            </w:r>
          </w:p>
        </w:tc>
        <w:tc>
          <w:tcPr>
            <w:tcW w:w="100" w:type="dxa"/>
            <w:vAlign w:val="bottom"/>
            <w:shd w:val="clear" w:color="auto" w:fill="EDEEEF"/>
          </w:tcPr>
          <w:p>
            <w:pPr>
              <w:spacing w:after="0"/>
              <w:rPr>
                <w:sz w:val="21"/>
                <w:szCs w:val="21"/>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Enhanced peer group disclosure in 2020 proxy statement, including</w:t>
            </w:r>
          </w:p>
        </w:tc>
        <w:tc>
          <w:tcPr>
            <w:tcW w:w="0" w:type="dxa"/>
            <w:vAlign w:val="bottom"/>
          </w:tcPr>
          <w:p>
            <w:pPr>
              <w:spacing w:after="0"/>
              <w:rPr>
                <w:sz w:val="1"/>
                <w:szCs w:val="1"/>
                <w:color w:val="auto"/>
              </w:rPr>
            </w:pPr>
          </w:p>
        </w:tc>
      </w:tr>
      <w:tr>
        <w:trPr>
          <w:trHeight w:val="195"/>
        </w:trPr>
        <w:tc>
          <w:tcPr>
            <w:tcW w:w="5560" w:type="dxa"/>
            <w:vAlign w:val="bottom"/>
            <w:shd w:val="clear" w:color="auto" w:fill="EDEEEF"/>
          </w:tcPr>
          <w:p>
            <w:pPr>
              <w:spacing w:after="0"/>
              <w:rPr>
                <w:sz w:val="16"/>
                <w:szCs w:val="16"/>
                <w:color w:val="auto"/>
              </w:rPr>
            </w:pP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changes made to fiscal year 2021 peers</w:t>
            </w:r>
          </w:p>
        </w:tc>
        <w:tc>
          <w:tcPr>
            <w:tcW w:w="0" w:type="dxa"/>
            <w:vAlign w:val="bottom"/>
          </w:tcPr>
          <w:p>
            <w:pPr>
              <w:spacing w:after="0"/>
              <w:rPr>
                <w:sz w:val="1"/>
                <w:szCs w:val="1"/>
                <w:color w:val="auto"/>
              </w:rPr>
            </w:pPr>
          </w:p>
        </w:tc>
      </w:tr>
      <w:tr>
        <w:trPr>
          <w:trHeight w:val="251"/>
        </w:trPr>
        <w:tc>
          <w:tcPr>
            <w:tcW w:w="5560" w:type="dxa"/>
            <w:vAlign w:val="bottom"/>
            <w:shd w:val="clear" w:color="auto" w:fill="EDEEEF"/>
          </w:tcPr>
          <w:p>
            <w:pPr>
              <w:spacing w:after="0"/>
              <w:rPr>
                <w:sz w:val="20"/>
                <w:szCs w:val="20"/>
                <w:color w:val="auto"/>
              </w:rPr>
            </w:pPr>
            <w:r>
              <w:rPr>
                <w:rFonts w:ascii="Arial" w:cs="Arial" w:eastAsia="Arial" w:hAnsi="Arial"/>
                <w:sz w:val="16"/>
                <w:szCs w:val="16"/>
                <w:color w:val="202E39"/>
              </w:rPr>
              <w:t>Implement a clawback policy</w:t>
            </w:r>
          </w:p>
        </w:tc>
        <w:tc>
          <w:tcPr>
            <w:tcW w:w="100" w:type="dxa"/>
            <w:vAlign w:val="bottom"/>
            <w:shd w:val="clear" w:color="auto" w:fill="EDEEEF"/>
          </w:tcPr>
          <w:p>
            <w:pPr>
              <w:spacing w:after="0"/>
              <w:rPr>
                <w:sz w:val="21"/>
                <w:szCs w:val="21"/>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Adopted a clawback policy in fiscal year 2021 to enable recovery of cash</w:t>
            </w:r>
          </w:p>
        </w:tc>
        <w:tc>
          <w:tcPr>
            <w:tcW w:w="0" w:type="dxa"/>
            <w:vAlign w:val="bottom"/>
          </w:tcPr>
          <w:p>
            <w:pPr>
              <w:spacing w:after="0"/>
              <w:rPr>
                <w:sz w:val="1"/>
                <w:szCs w:val="1"/>
                <w:color w:val="auto"/>
              </w:rPr>
            </w:pPr>
          </w:p>
        </w:tc>
      </w:tr>
      <w:tr>
        <w:trPr>
          <w:trHeight w:val="189"/>
        </w:trPr>
        <w:tc>
          <w:tcPr>
            <w:tcW w:w="5560" w:type="dxa"/>
            <w:vAlign w:val="bottom"/>
            <w:shd w:val="clear" w:color="auto" w:fill="EDEEEF"/>
          </w:tcPr>
          <w:p>
            <w:pPr>
              <w:spacing w:after="0"/>
              <w:rPr>
                <w:sz w:val="16"/>
                <w:szCs w:val="16"/>
                <w:color w:val="auto"/>
              </w:rPr>
            </w:pPr>
          </w:p>
        </w:tc>
        <w:tc>
          <w:tcPr>
            <w:tcW w:w="100" w:type="dxa"/>
            <w:vAlign w:val="bottom"/>
            <w:shd w:val="clear" w:color="auto" w:fill="EDEEEF"/>
          </w:tcPr>
          <w:p>
            <w:pPr>
              <w:spacing w:after="0"/>
              <w:rPr>
                <w:sz w:val="16"/>
                <w:szCs w:val="16"/>
                <w:color w:val="auto"/>
              </w:rPr>
            </w:pPr>
          </w:p>
        </w:tc>
        <w:tc>
          <w:tcPr>
            <w:tcW w:w="5360" w:type="dxa"/>
            <w:vAlign w:val="bottom"/>
            <w:shd w:val="clear" w:color="auto" w:fill="EDEEEF"/>
          </w:tcPr>
          <w:p>
            <w:pPr>
              <w:spacing w:after="0"/>
              <w:rPr>
                <w:sz w:val="20"/>
                <w:szCs w:val="20"/>
                <w:color w:val="auto"/>
              </w:rPr>
            </w:pPr>
            <w:r>
              <w:rPr>
                <w:rFonts w:ascii="Arial" w:cs="Arial" w:eastAsia="Arial" w:hAnsi="Arial"/>
                <w:sz w:val="16"/>
                <w:szCs w:val="16"/>
                <w:color w:val="202E39"/>
              </w:rPr>
              <w:t>and equity incentive compensation related to a financial restatement as a</w:t>
            </w:r>
          </w:p>
        </w:tc>
        <w:tc>
          <w:tcPr>
            <w:tcW w:w="0" w:type="dxa"/>
            <w:vAlign w:val="bottom"/>
          </w:tcPr>
          <w:p>
            <w:pPr>
              <w:spacing w:after="0"/>
              <w:rPr>
                <w:sz w:val="1"/>
                <w:szCs w:val="1"/>
                <w:color w:val="auto"/>
              </w:rPr>
            </w:pPr>
          </w:p>
        </w:tc>
      </w:tr>
      <w:tr>
        <w:trPr>
          <w:trHeight w:val="246"/>
        </w:trPr>
        <w:tc>
          <w:tcPr>
            <w:tcW w:w="5560" w:type="dxa"/>
            <w:vAlign w:val="bottom"/>
            <w:tcBorders>
              <w:bottom w:val="single" w:sz="8" w:color="EDEEEF"/>
            </w:tcBorders>
            <w:shd w:val="clear" w:color="auto" w:fill="EDEEEF"/>
          </w:tcPr>
          <w:p>
            <w:pPr>
              <w:spacing w:after="0"/>
              <w:rPr>
                <w:sz w:val="20"/>
                <w:szCs w:val="20"/>
                <w:color w:val="auto"/>
              </w:rPr>
            </w:pPr>
          </w:p>
        </w:tc>
        <w:tc>
          <w:tcPr>
            <w:tcW w:w="100" w:type="dxa"/>
            <w:vAlign w:val="bottom"/>
            <w:tcBorders>
              <w:bottom w:val="single" w:sz="8" w:color="EDEEEF"/>
            </w:tcBorders>
            <w:shd w:val="clear" w:color="auto" w:fill="EDEEEF"/>
          </w:tcPr>
          <w:p>
            <w:pPr>
              <w:spacing w:after="0"/>
              <w:rPr>
                <w:sz w:val="20"/>
                <w:szCs w:val="20"/>
                <w:color w:val="auto"/>
              </w:rPr>
            </w:pPr>
          </w:p>
        </w:tc>
        <w:tc>
          <w:tcPr>
            <w:tcW w:w="5360" w:type="dxa"/>
            <w:vAlign w:val="bottom"/>
            <w:tcBorders>
              <w:bottom w:val="single" w:sz="8" w:color="EDEEEF"/>
            </w:tcBorders>
            <w:shd w:val="clear" w:color="auto" w:fill="EDEEEF"/>
          </w:tcPr>
          <w:p>
            <w:pPr>
              <w:spacing w:after="0"/>
              <w:rPr>
                <w:sz w:val="20"/>
                <w:szCs w:val="20"/>
                <w:color w:val="auto"/>
              </w:rPr>
            </w:pPr>
            <w:r>
              <w:rPr>
                <w:rFonts w:ascii="Arial" w:cs="Arial" w:eastAsia="Arial" w:hAnsi="Arial"/>
                <w:sz w:val="16"/>
                <w:szCs w:val="16"/>
                <w:color w:val="202E39"/>
              </w:rPr>
              <w:t>result of an executive officer’s misconduct</w:t>
            </w:r>
          </w:p>
        </w:tc>
        <w:tc>
          <w:tcPr>
            <w:tcW w:w="0" w:type="dxa"/>
            <w:vAlign w:val="bottom"/>
          </w:tcPr>
          <w:p>
            <w:pPr>
              <w:spacing w:after="0"/>
              <w:rPr>
                <w:sz w:val="1"/>
                <w:szCs w:val="1"/>
                <w:color w:val="auto"/>
              </w:rPr>
            </w:pPr>
          </w:p>
        </w:tc>
      </w:tr>
      <w:tr>
        <w:trPr>
          <w:trHeight w:val="443"/>
        </w:trPr>
        <w:tc>
          <w:tcPr>
            <w:tcW w:w="11020" w:type="dxa"/>
            <w:vAlign w:val="bottom"/>
            <w:tcBorders>
              <w:top w:val="single" w:sz="8" w:color="009FE3"/>
            </w:tcBorders>
            <w:gridSpan w:val="3"/>
          </w:tcPr>
          <w:p>
            <w:pPr>
              <w:spacing w:after="0"/>
              <w:rPr>
                <w:sz w:val="20"/>
                <w:szCs w:val="20"/>
                <w:color w:val="auto"/>
              </w:rPr>
            </w:pPr>
            <w:r>
              <w:rPr>
                <w:rFonts w:ascii="Arial" w:cs="Arial" w:eastAsia="Arial" w:hAnsi="Arial"/>
                <w:sz w:val="20"/>
                <w:szCs w:val="20"/>
                <w:b w:val="1"/>
                <w:bCs w:val="1"/>
                <w:color w:val="202E39"/>
              </w:rPr>
              <w:t>Overview and Objectives of Executive Compensation Program</w:t>
            </w:r>
          </w:p>
        </w:tc>
        <w:tc>
          <w:tcPr>
            <w:tcW w:w="0" w:type="dxa"/>
            <w:vAlign w:val="bottom"/>
          </w:tcPr>
          <w:p>
            <w:pPr>
              <w:spacing w:after="0"/>
              <w:rPr>
                <w:sz w:val="1"/>
                <w:szCs w:val="1"/>
                <w:color w:val="auto"/>
              </w:rPr>
            </w:pPr>
          </w:p>
        </w:tc>
      </w:tr>
      <w:tr>
        <w:trPr>
          <w:trHeight w:val="226"/>
        </w:trPr>
        <w:tc>
          <w:tcPr>
            <w:tcW w:w="110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1020" w:type="dxa"/>
            <w:vAlign w:val="bottom"/>
            <w:gridSpan w:val="3"/>
            <w:shd w:val="clear" w:color="auto" w:fill="009FE3"/>
          </w:tcPr>
          <w:p>
            <w:pPr>
              <w:ind w:left="3700"/>
              <w:spacing w:after="0"/>
              <w:rPr>
                <w:sz w:val="20"/>
                <w:szCs w:val="20"/>
                <w:color w:val="auto"/>
              </w:rPr>
            </w:pPr>
            <w:r>
              <w:rPr>
                <w:rFonts w:ascii="Arial" w:cs="Arial" w:eastAsia="Arial" w:hAnsi="Arial"/>
                <w:sz w:val="14"/>
                <w:szCs w:val="14"/>
                <w:b w:val="1"/>
                <w:bCs w:val="1"/>
                <w:color w:val="FFFFFF"/>
              </w:rPr>
              <w:t>Key Features of Our Executive Compensation Practices</w:t>
            </w:r>
          </w:p>
        </w:tc>
        <w:tc>
          <w:tcPr>
            <w:tcW w:w="0" w:type="dxa"/>
            <w:vAlign w:val="bottom"/>
          </w:tcPr>
          <w:p>
            <w:pPr>
              <w:spacing w:after="0"/>
              <w:rPr>
                <w:sz w:val="1"/>
                <w:szCs w:val="1"/>
                <w:color w:val="auto"/>
              </w:rPr>
            </w:pPr>
          </w:p>
        </w:tc>
      </w:tr>
      <w:tr>
        <w:trPr>
          <w:trHeight w:val="93"/>
        </w:trPr>
        <w:tc>
          <w:tcPr>
            <w:tcW w:w="5560" w:type="dxa"/>
            <w:vAlign w:val="bottom"/>
            <w:shd w:val="clear" w:color="auto" w:fill="009FE3"/>
          </w:tcPr>
          <w:p>
            <w:pPr>
              <w:spacing w:after="0"/>
              <w:rPr>
                <w:sz w:val="8"/>
                <w:szCs w:val="8"/>
                <w:color w:val="auto"/>
              </w:rPr>
            </w:pPr>
          </w:p>
        </w:tc>
        <w:tc>
          <w:tcPr>
            <w:tcW w:w="100" w:type="dxa"/>
            <w:vAlign w:val="bottom"/>
            <w:shd w:val="clear" w:color="auto" w:fill="009FE3"/>
          </w:tcPr>
          <w:p>
            <w:pPr>
              <w:spacing w:after="0"/>
              <w:rPr>
                <w:sz w:val="8"/>
                <w:szCs w:val="8"/>
                <w:color w:val="auto"/>
              </w:rPr>
            </w:pPr>
          </w:p>
        </w:tc>
        <w:tc>
          <w:tcPr>
            <w:tcW w:w="5360" w:type="dxa"/>
            <w:vAlign w:val="bottom"/>
            <w:shd w:val="clear" w:color="auto" w:fill="009FE3"/>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5560" w:type="dxa"/>
            <w:vAlign w:val="bottom"/>
          </w:tcPr>
          <w:p>
            <w:pPr>
              <w:spacing w:after="0"/>
              <w:rPr>
                <w:sz w:val="20"/>
                <w:szCs w:val="20"/>
                <w:color w:val="auto"/>
              </w:rPr>
            </w:pPr>
            <w:r>
              <w:rPr>
                <w:rFonts w:ascii="Arial" w:cs="Arial" w:eastAsia="Arial" w:hAnsi="Arial"/>
                <w:sz w:val="14"/>
                <w:szCs w:val="14"/>
                <w:b w:val="1"/>
                <w:bCs w:val="1"/>
                <w:color w:val="202E39"/>
              </w:rPr>
              <w:t>What We Do</w:t>
            </w:r>
          </w:p>
        </w:tc>
        <w:tc>
          <w:tcPr>
            <w:tcW w:w="10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Arial" w:cs="Arial" w:eastAsia="Arial" w:hAnsi="Arial"/>
                <w:sz w:val="14"/>
                <w:szCs w:val="14"/>
                <w:b w:val="1"/>
                <w:bCs w:val="1"/>
                <w:color w:val="202E39"/>
              </w:rPr>
              <w:t>What We Don’t Do</w:t>
            </w:r>
          </w:p>
        </w:tc>
        <w:tc>
          <w:tcPr>
            <w:tcW w:w="0" w:type="dxa"/>
            <w:vAlign w:val="bottom"/>
          </w:tcPr>
          <w:p>
            <w:pPr>
              <w:spacing w:after="0"/>
              <w:rPr>
                <w:sz w:val="1"/>
                <w:szCs w:val="1"/>
                <w:color w:val="auto"/>
              </w:rPr>
            </w:pPr>
          </w:p>
        </w:tc>
      </w:tr>
      <w:tr>
        <w:trPr>
          <w:trHeight w:val="297"/>
        </w:trPr>
        <w:tc>
          <w:tcPr>
            <w:tcW w:w="556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Establish the vast majority of executive officer pay on business</w:t>
            </w:r>
          </w:p>
        </w:tc>
        <w:tc>
          <w:tcPr>
            <w:tcW w:w="100" w:type="dxa"/>
            <w:vAlign w:val="bottom"/>
          </w:tcPr>
          <w:p>
            <w:pPr>
              <w:spacing w:after="0"/>
              <w:rPr>
                <w:sz w:val="24"/>
                <w:szCs w:val="24"/>
                <w:color w:val="auto"/>
              </w:rPr>
            </w:pPr>
          </w:p>
        </w:tc>
        <w:tc>
          <w:tcPr>
            <w:tcW w:w="5360" w:type="dxa"/>
            <w:vAlign w:val="bottom"/>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repricing of underwater stock options without stockholder approval</w:t>
            </w:r>
          </w:p>
        </w:tc>
        <w:tc>
          <w:tcPr>
            <w:tcW w:w="0" w:type="dxa"/>
            <w:vAlign w:val="bottom"/>
          </w:tcPr>
          <w:p>
            <w:pPr>
              <w:spacing w:after="0"/>
              <w:rPr>
                <w:sz w:val="1"/>
                <w:szCs w:val="1"/>
                <w:color w:val="auto"/>
              </w:rPr>
            </w:pPr>
          </w:p>
        </w:tc>
      </w:tr>
      <w:tr>
        <w:trPr>
          <w:trHeight w:val="147"/>
        </w:trPr>
        <w:tc>
          <w:tcPr>
            <w:tcW w:w="5560" w:type="dxa"/>
            <w:vAlign w:val="bottom"/>
          </w:tcPr>
          <w:p>
            <w:pPr>
              <w:ind w:left="240"/>
              <w:spacing w:after="0" w:line="148" w:lineRule="exact"/>
              <w:rPr>
                <w:sz w:val="20"/>
                <w:szCs w:val="20"/>
                <w:color w:val="auto"/>
              </w:rPr>
            </w:pPr>
            <w:r>
              <w:rPr>
                <w:rFonts w:ascii="Arial" w:cs="Arial" w:eastAsia="Arial" w:hAnsi="Arial"/>
                <w:sz w:val="16"/>
                <w:szCs w:val="16"/>
                <w:color w:val="202E39"/>
              </w:rPr>
              <w:t>performance</w:t>
            </w:r>
          </w:p>
        </w:tc>
        <w:tc>
          <w:tcPr>
            <w:tcW w:w="100" w:type="dxa"/>
            <w:vAlign w:val="bottom"/>
          </w:tcPr>
          <w:p>
            <w:pPr>
              <w:spacing w:after="0"/>
              <w:rPr>
                <w:sz w:val="12"/>
                <w:szCs w:val="12"/>
                <w:color w:val="auto"/>
              </w:rPr>
            </w:pPr>
          </w:p>
        </w:tc>
        <w:tc>
          <w:tcPr>
            <w:tcW w:w="5360" w:type="dxa"/>
            <w:vAlign w:val="bottom"/>
            <w:vMerge w:val="restart"/>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single trigger change in control provisions for executive officers</w:t>
            </w:r>
          </w:p>
        </w:tc>
        <w:tc>
          <w:tcPr>
            <w:tcW w:w="0" w:type="dxa"/>
            <w:vAlign w:val="bottom"/>
          </w:tcPr>
          <w:p>
            <w:pPr>
              <w:spacing w:after="0"/>
              <w:rPr>
                <w:sz w:val="1"/>
                <w:szCs w:val="1"/>
                <w:color w:val="auto"/>
              </w:rPr>
            </w:pPr>
          </w:p>
        </w:tc>
      </w:tr>
      <w:tr>
        <w:trPr>
          <w:trHeight w:val="187"/>
        </w:trPr>
        <w:tc>
          <w:tcPr>
            <w:tcW w:w="5560" w:type="dxa"/>
            <w:vAlign w:val="bottom"/>
            <w:vMerge w:val="restart"/>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meaningful executive officer and director stock ownership</w:t>
            </w:r>
          </w:p>
        </w:tc>
        <w:tc>
          <w:tcPr>
            <w:tcW w:w="10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5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5560" w:type="dxa"/>
            <w:vAlign w:val="bottom"/>
          </w:tcPr>
          <w:p>
            <w:pPr>
              <w:ind w:left="240"/>
              <w:spacing w:after="0"/>
              <w:rPr>
                <w:sz w:val="20"/>
                <w:szCs w:val="20"/>
                <w:color w:val="auto"/>
              </w:rPr>
            </w:pPr>
            <w:r>
              <w:rPr>
                <w:rFonts w:ascii="Arial" w:cs="Arial" w:eastAsia="Arial" w:hAnsi="Arial"/>
                <w:sz w:val="16"/>
                <w:szCs w:val="16"/>
                <w:color w:val="202E39"/>
              </w:rPr>
              <w:t>guidelines</w:t>
            </w:r>
          </w:p>
        </w:tc>
        <w:tc>
          <w:tcPr>
            <w:tcW w:w="100" w:type="dxa"/>
            <w:vAlign w:val="bottom"/>
          </w:tcPr>
          <w:p>
            <w:pPr>
              <w:spacing w:after="0"/>
              <w:rPr>
                <w:sz w:val="17"/>
                <w:szCs w:val="17"/>
                <w:color w:val="auto"/>
              </w:rPr>
            </w:pPr>
          </w:p>
        </w:tc>
        <w:tc>
          <w:tcPr>
            <w:tcW w:w="5360" w:type="dxa"/>
            <w:vAlign w:val="bottom"/>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excise tax gross-ups</w:t>
            </w:r>
          </w:p>
        </w:tc>
        <w:tc>
          <w:tcPr>
            <w:tcW w:w="0" w:type="dxa"/>
            <w:vAlign w:val="bottom"/>
          </w:tcPr>
          <w:p>
            <w:pPr>
              <w:spacing w:after="0"/>
              <w:rPr>
                <w:sz w:val="1"/>
                <w:szCs w:val="1"/>
                <w:color w:val="auto"/>
              </w:rPr>
            </w:pPr>
          </w:p>
        </w:tc>
      </w:tr>
      <w:tr>
        <w:trPr>
          <w:trHeight w:val="149"/>
        </w:trPr>
        <w:tc>
          <w:tcPr>
            <w:tcW w:w="5560" w:type="dxa"/>
            <w:vAlign w:val="bottom"/>
          </w:tcPr>
          <w:p>
            <w:pPr>
              <w:spacing w:after="0" w:line="149"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Provide a limited number of perquisites</w:t>
            </w:r>
          </w:p>
        </w:tc>
        <w:tc>
          <w:tcPr>
            <w:tcW w:w="100" w:type="dxa"/>
            <w:vAlign w:val="bottom"/>
          </w:tcPr>
          <w:p>
            <w:pPr>
              <w:spacing w:after="0"/>
              <w:rPr>
                <w:sz w:val="12"/>
                <w:szCs w:val="12"/>
                <w:color w:val="auto"/>
              </w:rPr>
            </w:pPr>
          </w:p>
        </w:tc>
        <w:tc>
          <w:tcPr>
            <w:tcW w:w="5360" w:type="dxa"/>
            <w:vAlign w:val="bottom"/>
            <w:vMerge w:val="restart"/>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employment contracts unless required by law</w:t>
            </w:r>
          </w:p>
        </w:tc>
        <w:tc>
          <w:tcPr>
            <w:tcW w:w="0" w:type="dxa"/>
            <w:vAlign w:val="bottom"/>
          </w:tcPr>
          <w:p>
            <w:pPr>
              <w:spacing w:after="0"/>
              <w:rPr>
                <w:sz w:val="1"/>
                <w:szCs w:val="1"/>
                <w:color w:val="auto"/>
              </w:rPr>
            </w:pPr>
          </w:p>
        </w:tc>
      </w:tr>
      <w:tr>
        <w:trPr>
          <w:trHeight w:val="244"/>
        </w:trPr>
        <w:tc>
          <w:tcPr>
            <w:tcW w:w="556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Prohibit short sales and hedging of Viasat stock by executive officers and</w:t>
            </w:r>
          </w:p>
        </w:tc>
        <w:tc>
          <w:tcPr>
            <w:tcW w:w="100" w:type="dxa"/>
            <w:vAlign w:val="bottom"/>
          </w:tcPr>
          <w:p>
            <w:pPr>
              <w:spacing w:after="0"/>
              <w:rPr>
                <w:sz w:val="21"/>
                <w:szCs w:val="21"/>
                <w:color w:val="auto"/>
              </w:rPr>
            </w:pPr>
          </w:p>
        </w:tc>
        <w:tc>
          <w:tcPr>
            <w:tcW w:w="5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5560" w:type="dxa"/>
            <w:vAlign w:val="bottom"/>
          </w:tcPr>
          <w:p>
            <w:pPr>
              <w:ind w:left="240"/>
              <w:spacing w:after="0" w:line="148" w:lineRule="exact"/>
              <w:rPr>
                <w:sz w:val="20"/>
                <w:szCs w:val="20"/>
                <w:color w:val="auto"/>
              </w:rPr>
            </w:pPr>
            <w:r>
              <w:rPr>
                <w:rFonts w:ascii="Arial" w:cs="Arial" w:eastAsia="Arial" w:hAnsi="Arial"/>
                <w:sz w:val="16"/>
                <w:szCs w:val="16"/>
                <w:color w:val="202E39"/>
              </w:rPr>
              <w:t>directors</w:t>
            </w:r>
          </w:p>
        </w:tc>
        <w:tc>
          <w:tcPr>
            <w:tcW w:w="100" w:type="dxa"/>
            <w:vAlign w:val="bottom"/>
          </w:tcPr>
          <w:p>
            <w:pPr>
              <w:spacing w:after="0"/>
              <w:rPr>
                <w:sz w:val="12"/>
                <w:szCs w:val="12"/>
                <w:color w:val="auto"/>
              </w:rPr>
            </w:pPr>
          </w:p>
        </w:tc>
        <w:tc>
          <w:tcPr>
            <w:tcW w:w="5360" w:type="dxa"/>
            <w:vAlign w:val="bottom"/>
            <w:vMerge w:val="restart"/>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guaranteed base salary increases or bonuses</w:t>
            </w:r>
          </w:p>
        </w:tc>
        <w:tc>
          <w:tcPr>
            <w:tcW w:w="0" w:type="dxa"/>
            <w:vAlign w:val="bottom"/>
          </w:tcPr>
          <w:p>
            <w:pPr>
              <w:spacing w:after="0"/>
              <w:rPr>
                <w:sz w:val="1"/>
                <w:szCs w:val="1"/>
                <w:color w:val="auto"/>
              </w:rPr>
            </w:pPr>
          </w:p>
        </w:tc>
      </w:tr>
      <w:tr>
        <w:trPr>
          <w:trHeight w:val="203"/>
        </w:trPr>
        <w:tc>
          <w:tcPr>
            <w:tcW w:w="556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a clawback policy</w:t>
            </w:r>
          </w:p>
        </w:tc>
        <w:tc>
          <w:tcPr>
            <w:tcW w:w="10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56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Use multiple performance measures and caps on potential incentive</w:t>
            </w:r>
          </w:p>
        </w:tc>
        <w:tc>
          <w:tcPr>
            <w:tcW w:w="100" w:type="dxa"/>
            <w:vAlign w:val="bottom"/>
          </w:tcPr>
          <w:p>
            <w:pPr>
              <w:spacing w:after="0"/>
              <w:rPr>
                <w:sz w:val="21"/>
                <w:szCs w:val="21"/>
                <w:color w:val="auto"/>
              </w:rPr>
            </w:pPr>
          </w:p>
        </w:tc>
        <w:tc>
          <w:tcPr>
            <w:tcW w:w="5360" w:type="dxa"/>
            <w:vAlign w:val="bottom"/>
          </w:tcPr>
          <w:p>
            <w:pPr>
              <w:ind w:left="8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plans that encourage excessive risk taking</w:t>
            </w:r>
          </w:p>
        </w:tc>
        <w:tc>
          <w:tcPr>
            <w:tcW w:w="0" w:type="dxa"/>
            <w:vAlign w:val="bottom"/>
          </w:tcPr>
          <w:p>
            <w:pPr>
              <w:spacing w:after="0"/>
              <w:rPr>
                <w:sz w:val="1"/>
                <w:szCs w:val="1"/>
                <w:color w:val="auto"/>
              </w:rPr>
            </w:pPr>
          </w:p>
        </w:tc>
      </w:tr>
      <w:tr>
        <w:trPr>
          <w:trHeight w:val="195"/>
        </w:trPr>
        <w:tc>
          <w:tcPr>
            <w:tcW w:w="5560" w:type="dxa"/>
            <w:vAlign w:val="bottom"/>
          </w:tcPr>
          <w:p>
            <w:pPr>
              <w:ind w:left="240"/>
              <w:spacing w:after="0"/>
              <w:rPr>
                <w:sz w:val="20"/>
                <w:szCs w:val="20"/>
                <w:color w:val="auto"/>
              </w:rPr>
            </w:pPr>
            <w:r>
              <w:rPr>
                <w:rFonts w:ascii="Arial" w:cs="Arial" w:eastAsia="Arial" w:hAnsi="Arial"/>
                <w:sz w:val="16"/>
                <w:szCs w:val="16"/>
                <w:color w:val="202E39"/>
              </w:rPr>
              <w:t>payments</w:t>
            </w:r>
          </w:p>
        </w:tc>
        <w:tc>
          <w:tcPr>
            <w:tcW w:w="1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12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Engage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5" w:lineRule="exact"/>
        <w:rPr>
          <w:sz w:val="20"/>
          <w:szCs w:val="20"/>
          <w:color w:val="auto"/>
        </w:rPr>
      </w:pPr>
    </w:p>
    <w:p>
      <w:pPr>
        <w:ind w:left="120" w:right="20" w:hanging="4"/>
        <w:spacing w:after="0" w:line="249" w:lineRule="auto"/>
        <w:tabs>
          <w:tab w:leader="none" w:pos="363" w:val="left"/>
        </w:tabs>
        <w:numPr>
          <w:ilvl w:val="0"/>
          <w:numId w:val="28"/>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81" w:lineRule="exact"/>
        <w:rPr>
          <w:sz w:val="20"/>
          <w:szCs w:val="20"/>
          <w:color w:val="auto"/>
        </w:rPr>
      </w:pPr>
    </w:p>
    <w:p>
      <w:pPr>
        <w:ind w:left="120" w:right="300"/>
        <w:spacing w:after="0" w:line="263" w:lineRule="auto"/>
        <w:rPr>
          <w:sz w:val="20"/>
          <w:szCs w:val="20"/>
          <w:color w:val="auto"/>
        </w:rPr>
      </w:pPr>
      <w:r>
        <w:rPr>
          <w:rFonts w:ascii="Arial" w:cs="Arial" w:eastAsia="Arial" w:hAnsi="Arial"/>
          <w:sz w:val="16"/>
          <w:szCs w:val="16"/>
          <w:i w:val="1"/>
          <w:iCs w:val="1"/>
          <w:color w:val="009FE3"/>
        </w:rPr>
        <w:t xml:space="preserve">Performance-Based Compensation. </w:t>
      </w:r>
      <w:r>
        <w:rPr>
          <w:rFonts w:ascii="Arial" w:cs="Arial" w:eastAsia="Arial" w:hAnsi="Arial"/>
          <w:sz w:val="16"/>
          <w:szCs w:val="16"/>
          <w:color w:val="202E39"/>
        </w:rPr>
        <w:t>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79375</wp:posOffset>
            </wp:positionV>
            <wp:extent cx="4286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D8DD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during fiscal year 2018, we introduced performance-based stock options as a significant component of our long-term incentives for our executive officers, as described below. As illustrated below, a significant portion of the total direct compensation for our Named Executive Officers is delivered as variable performance-based compensation, including restricted stock units and performance–based stock options, the value of which is driven by stock price performance. Variable incentive-based compensation accounted for approximately 89% of total direct compensation for our Chief Executive Officer and an average of approximately 86% of total direct compensation for our other Named Executive Officers in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224790</wp:posOffset>
            </wp:positionV>
            <wp:extent cx="5829300" cy="2271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930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i w:val="1"/>
          <w:iCs w:val="1"/>
          <w:color w:val="0D8DD3"/>
        </w:rPr>
        <w:t xml:space="preserve">Alignment with Stockholder Interests. </w:t>
      </w:r>
      <w:r>
        <w:rPr>
          <w:rFonts w:ascii="Arial" w:cs="Arial" w:eastAsia="Arial" w:hAnsi="Arial"/>
          <w:sz w:val="16"/>
          <w:szCs w:val="16"/>
          <w:color w:val="202E39"/>
        </w:rPr>
        <w:t>We believe that executive compensation and stockholder interests should be linked, and our compensation</w:t>
      </w:r>
      <w:r>
        <w:rPr>
          <w:rFonts w:ascii="Arial" w:cs="Arial" w:eastAsia="Arial" w:hAnsi="Arial"/>
          <w:sz w:val="16"/>
          <w:szCs w:val="16"/>
          <w:i w:val="1"/>
          <w:iCs w:val="1"/>
          <w:color w:val="0D8DD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and operational performance goals. Second, we have adopted stock ownership guidelines that require our executive officers to own a significant amount of Viasat stock. Third, we grant performance-based stock options as a significant part of our long-term equity award program, which provide our executive officers with an opportunity to earn a number of stock options based, in part, on Viasat’s total shareholder return, or TSR, relative to the TSR of the companies that comprise the S&amp;P MidCap 400 Index over a four-year performance period and, in part, based on continued service for that performance period. We have also adopted a clawback policy to allow the Committee to recover incentive compensation from an executive officer in the event of a financial restatement as a result of such executive’s misconduct, as further described below.</w:t>
      </w:r>
    </w:p>
    <w:p>
      <w:pPr>
        <w:spacing w:after="0" w:line="84" w:lineRule="exact"/>
        <w:rPr>
          <w:sz w:val="20"/>
          <w:szCs w:val="20"/>
          <w:color w:val="auto"/>
        </w:rPr>
      </w:pPr>
    </w:p>
    <w:p>
      <w:pPr>
        <w:ind w:left="120" w:right="40"/>
        <w:spacing w:after="0" w:line="258" w:lineRule="auto"/>
        <w:rPr>
          <w:sz w:val="20"/>
          <w:szCs w:val="20"/>
          <w:color w:val="auto"/>
        </w:rPr>
      </w:pPr>
      <w:r>
        <w:rPr>
          <w:rFonts w:ascii="Arial" w:cs="Arial" w:eastAsia="Arial" w:hAnsi="Arial"/>
          <w:sz w:val="16"/>
          <w:szCs w:val="16"/>
          <w:i w:val="1"/>
          <w:iCs w:val="1"/>
          <w:color w:val="0D8DD3"/>
        </w:rPr>
        <w:t xml:space="preserve">Structure Allows Competitive and Fair Compensation Packages. </w:t>
      </w:r>
      <w:r>
        <w:rPr>
          <w:rFonts w:ascii="Arial" w:cs="Arial" w:eastAsia="Arial" w:hAnsi="Arial"/>
          <w:sz w:val="16"/>
          <w:szCs w:val="16"/>
          <w:color w:val="202E39"/>
        </w:rPr>
        <w:t>We believe our success depends to a significant degree on our ability to attract and</w:t>
      </w:r>
      <w:r>
        <w:rPr>
          <w:rFonts w:ascii="Arial" w:cs="Arial" w:eastAsia="Arial" w:hAnsi="Arial"/>
          <w:sz w:val="16"/>
          <w:szCs w:val="16"/>
          <w:i w:val="1"/>
          <w:iCs w:val="1"/>
          <w:color w:val="0D8DD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33"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202E39"/>
        </w:rPr>
        <w:t xml:space="preserve">The Committee is responsible for determining our overall executive compensation philosophy, and for evaluating and recommending all components of executive officer compensation to our Board of Directors for approval. The Committee acts under a written charter adopted and approved by our Board and may, in its discretion, obtain the assistance of outside advisors, including compensation consultants, legal counsel and accounting and other advisors.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97"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202E39"/>
        </w:rPr>
        <w:t>In fiscal year 2020,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2020.</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D8DD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33</w:t>
            </w: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w:t>
      </w:r>
    </w:p>
    <w:p>
      <w:pPr>
        <w:spacing w:after="0" w:line="107" w:lineRule="exact"/>
        <w:rPr>
          <w:sz w:val="20"/>
          <w:szCs w:val="20"/>
          <w:color w:val="auto"/>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97"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i w:val="1"/>
          <w:iCs w:val="1"/>
          <w:color w:val="009FE3"/>
        </w:rPr>
        <w:t xml:space="preserve">Peer Group Selection Process. </w:t>
      </w:r>
      <w:r>
        <w:rPr>
          <w:rFonts w:ascii="Arial" w:cs="Arial" w:eastAsia="Arial" w:hAnsi="Arial"/>
          <w:sz w:val="16"/>
          <w:szCs w:val="16"/>
          <w:color w:val="202E39"/>
        </w:rPr>
        <w:t>As part of the process of determining executive compensation, the Committee reviews competitive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data of relevant companies from across the industries in which we primarily operate. Through a thorough evaluation process that takes place on an annual basis,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680" w:type="dxa"/>
            <w:vAlign w:val="bottom"/>
            <w:tcBorders>
              <w:top w:val="single" w:sz="8" w:color="202E39"/>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Factors Considered for  Peer</w:t>
            </w:r>
          </w:p>
        </w:tc>
        <w:tc>
          <w:tcPr>
            <w:tcW w:w="300" w:type="dxa"/>
            <w:vAlign w:val="bottom"/>
            <w:tcBorders>
              <w:top w:val="single" w:sz="8" w:color="202E39"/>
            </w:tcBorders>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top w:val="single" w:sz="8" w:color="202E39"/>
              <w:right w:val="single" w:sz="8" w:color="202E39"/>
            </w:tcBorders>
          </w:tcPr>
          <w:p>
            <w:pPr>
              <w:ind w:left="100"/>
              <w:spacing w:after="0"/>
              <w:rPr>
                <w:sz w:val="20"/>
                <w:szCs w:val="20"/>
                <w:color w:val="auto"/>
              </w:rPr>
            </w:pPr>
            <w:r>
              <w:rPr>
                <w:rFonts w:ascii="Arial" w:cs="Arial" w:eastAsia="Arial" w:hAnsi="Arial"/>
                <w:sz w:val="16"/>
                <w:szCs w:val="16"/>
                <w:color w:val="202E39"/>
              </w:rPr>
              <w:t>Industry</w:t>
            </w:r>
          </w:p>
        </w:tc>
        <w:tc>
          <w:tcPr>
            <w:tcW w:w="4040" w:type="dxa"/>
            <w:vAlign w:val="bottom"/>
            <w:tcBorders>
              <w:top w:val="single" w:sz="8" w:color="202E39"/>
              <w:right w:val="single" w:sz="8" w:color="202E39"/>
            </w:tcBorders>
          </w:tcPr>
          <w:p>
            <w:pPr>
              <w:ind w:left="1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Provides multiple lenses to review potentially</w:t>
            </w:r>
          </w:p>
        </w:tc>
        <w:tc>
          <w:tcPr>
            <w:tcW w:w="0" w:type="dxa"/>
            <w:vAlign w:val="bottom"/>
          </w:tcPr>
          <w:p>
            <w:pPr>
              <w:spacing w:after="0"/>
              <w:rPr>
                <w:sz w:val="1"/>
                <w:szCs w:val="1"/>
                <w:color w:val="auto"/>
              </w:rPr>
            </w:pPr>
          </w:p>
        </w:tc>
      </w:tr>
      <w:tr>
        <w:trPr>
          <w:trHeight w:val="215"/>
        </w:trPr>
        <w:tc>
          <w:tcPr>
            <w:tcW w:w="2680" w:type="dxa"/>
            <w:vAlign w:val="bottom"/>
            <w:tcBorders>
              <w:left w:val="single" w:sz="8" w:color="202E39"/>
              <w:right w:val="single" w:sz="8" w:color="202E39"/>
            </w:tcBorders>
            <w:shd w:val="clear" w:color="auto" w:fill="D8F0FA"/>
          </w:tcPr>
          <w:p>
            <w:pPr>
              <w:ind w:left="160"/>
              <w:spacing w:after="0"/>
              <w:rPr>
                <w:sz w:val="20"/>
                <w:szCs w:val="20"/>
                <w:color w:val="auto"/>
              </w:rPr>
            </w:pPr>
            <w:r>
              <w:rPr>
                <w:rFonts w:ascii="Arial" w:cs="Arial" w:eastAsia="Arial" w:hAnsi="Arial"/>
                <w:sz w:val="16"/>
                <w:szCs w:val="16"/>
                <w:b w:val="1"/>
                <w:bCs w:val="1"/>
                <w:color w:val="202E39"/>
              </w:rPr>
              <w:t>Group Selection</w:t>
            </w:r>
          </w:p>
        </w:tc>
        <w:tc>
          <w:tcPr>
            <w:tcW w:w="300" w:type="dxa"/>
            <w:vAlign w:val="bottom"/>
            <w:vMerge w:val="restart"/>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right w:val="single" w:sz="8" w:color="202E39"/>
            </w:tcBorders>
            <w:vMerge w:val="restart"/>
          </w:tcPr>
          <w:p>
            <w:pPr>
              <w:ind w:left="100"/>
              <w:spacing w:after="0"/>
              <w:rPr>
                <w:sz w:val="20"/>
                <w:szCs w:val="20"/>
                <w:color w:val="auto"/>
              </w:rPr>
            </w:pPr>
            <w:r>
              <w:rPr>
                <w:rFonts w:ascii="Arial" w:cs="Arial" w:eastAsia="Arial" w:hAnsi="Arial"/>
                <w:sz w:val="16"/>
                <w:szCs w:val="16"/>
                <w:color w:val="202E39"/>
              </w:rPr>
              <w:t>Revenue</w:t>
            </w: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comparable companies</w:t>
            </w:r>
          </w:p>
        </w:tc>
        <w:tc>
          <w:tcPr>
            <w:tcW w:w="0" w:type="dxa"/>
            <w:vAlign w:val="bottom"/>
          </w:tcPr>
          <w:p>
            <w:pPr>
              <w:spacing w:after="0"/>
              <w:rPr>
                <w:sz w:val="1"/>
                <w:szCs w:val="1"/>
                <w:color w:val="auto"/>
              </w:rPr>
            </w:pPr>
          </w:p>
        </w:tc>
      </w:tr>
      <w:tr>
        <w:trPr>
          <w:trHeight w:val="68"/>
        </w:trPr>
        <w:tc>
          <w:tcPr>
            <w:tcW w:w="2680" w:type="dxa"/>
            <w:vAlign w:val="bottom"/>
            <w:tcBorders>
              <w:left w:val="single" w:sz="8" w:color="202E39"/>
              <w:right w:val="single" w:sz="8" w:color="202E39"/>
            </w:tcBorders>
            <w:shd w:val="clear" w:color="auto" w:fill="D8F0FA"/>
          </w:tcPr>
          <w:p>
            <w:pPr>
              <w:spacing w:after="0"/>
              <w:rPr>
                <w:sz w:val="5"/>
                <w:szCs w:val="5"/>
                <w:color w:val="auto"/>
              </w:rPr>
            </w:pPr>
          </w:p>
        </w:tc>
        <w:tc>
          <w:tcPr>
            <w:tcW w:w="300" w:type="dxa"/>
            <w:vAlign w:val="bottom"/>
            <w:vMerge w:val="continue"/>
          </w:tcPr>
          <w:p>
            <w:pPr>
              <w:spacing w:after="0"/>
              <w:rPr>
                <w:sz w:val="5"/>
                <w:szCs w:val="5"/>
                <w:color w:val="auto"/>
              </w:rPr>
            </w:pPr>
          </w:p>
        </w:tc>
        <w:tc>
          <w:tcPr>
            <w:tcW w:w="4020" w:type="dxa"/>
            <w:vAlign w:val="bottom"/>
            <w:tcBorders>
              <w:right w:val="single" w:sz="8" w:color="202E39"/>
            </w:tcBorders>
            <w:vMerge w:val="continue"/>
          </w:tcPr>
          <w:p>
            <w:pPr>
              <w:spacing w:after="0"/>
              <w:rPr>
                <w:sz w:val="5"/>
                <w:szCs w:val="5"/>
                <w:color w:val="auto"/>
              </w:rPr>
            </w:pPr>
          </w:p>
        </w:tc>
        <w:tc>
          <w:tcPr>
            <w:tcW w:w="4040" w:type="dxa"/>
            <w:vAlign w:val="bottom"/>
            <w:tcBorders>
              <w:right w:val="single" w:sz="8" w:color="202E39"/>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680" w:type="dxa"/>
            <w:vAlign w:val="bottom"/>
            <w:tcBorders>
              <w:left w:val="single" w:sz="8" w:color="202E39"/>
              <w:right w:val="single" w:sz="8" w:color="202E39"/>
            </w:tcBorders>
            <w:shd w:val="clear" w:color="auto" w:fill="D8F0FA"/>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right w:val="single" w:sz="8" w:color="202E39"/>
            </w:tcBorders>
          </w:tcPr>
          <w:p>
            <w:pPr>
              <w:ind w:left="100"/>
              <w:spacing w:after="0"/>
              <w:rPr>
                <w:sz w:val="20"/>
                <w:szCs w:val="20"/>
                <w:color w:val="auto"/>
              </w:rPr>
            </w:pPr>
            <w:r>
              <w:rPr>
                <w:rFonts w:ascii="Arial" w:cs="Arial" w:eastAsia="Arial" w:hAnsi="Arial"/>
                <w:sz w:val="16"/>
                <w:szCs w:val="16"/>
                <w:color w:val="202E39"/>
              </w:rPr>
              <w:t>Business Model</w:t>
            </w:r>
          </w:p>
        </w:tc>
        <w:tc>
          <w:tcPr>
            <w:tcW w:w="4040" w:type="dxa"/>
            <w:vAlign w:val="bottom"/>
            <w:tcBorders>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680" w:type="dxa"/>
            <w:vAlign w:val="bottom"/>
            <w:tcBorders>
              <w:left w:val="single" w:sz="8" w:color="202E39"/>
              <w:bottom w:val="single" w:sz="8" w:color="202E39"/>
              <w:right w:val="single" w:sz="8" w:color="202E39"/>
            </w:tcBorders>
            <w:shd w:val="clear" w:color="auto" w:fill="D8F0FA"/>
          </w:tcPr>
          <w:p>
            <w:pPr>
              <w:spacing w:after="0"/>
              <w:rPr>
                <w:sz w:val="22"/>
                <w:szCs w:val="22"/>
                <w:color w:val="auto"/>
              </w:rPr>
            </w:pPr>
          </w:p>
        </w:tc>
        <w:tc>
          <w:tcPr>
            <w:tcW w:w="300" w:type="dxa"/>
            <w:vAlign w:val="bottom"/>
            <w:tcBorders>
              <w:bottom w:val="single" w:sz="8" w:color="202E39"/>
            </w:tcBorders>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bottom w:val="single" w:sz="8" w:color="202E39"/>
              <w:right w:val="single" w:sz="8" w:color="202E39"/>
            </w:tcBorders>
          </w:tcPr>
          <w:p>
            <w:pPr>
              <w:ind w:left="100"/>
              <w:spacing w:after="0"/>
              <w:rPr>
                <w:sz w:val="20"/>
                <w:szCs w:val="20"/>
                <w:color w:val="auto"/>
              </w:rPr>
            </w:pPr>
            <w:r>
              <w:rPr>
                <w:rFonts w:ascii="Arial" w:cs="Arial" w:eastAsia="Arial" w:hAnsi="Arial"/>
                <w:sz w:val="16"/>
                <w:szCs w:val="16"/>
                <w:color w:val="202E39"/>
              </w:rPr>
              <w:t>Market Capitalization</w:t>
            </w:r>
          </w:p>
        </w:tc>
        <w:tc>
          <w:tcPr>
            <w:tcW w:w="4040" w:type="dxa"/>
            <w:vAlign w:val="bottom"/>
            <w:tcBorders>
              <w:bottom w:val="single" w:sz="8" w:color="202E39"/>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680" w:type="dxa"/>
            <w:vAlign w:val="bottom"/>
            <w:tcBorders>
              <w:left w:val="single" w:sz="8" w:color="202E39"/>
              <w:right w:val="single" w:sz="8" w:color="202E39"/>
            </w:tcBorders>
            <w:shd w:val="clear" w:color="auto" w:fill="D8F0FA"/>
          </w:tcPr>
          <w:p>
            <w:pPr>
              <w:ind w:left="240"/>
              <w:spacing w:after="0" w:line="168" w:lineRule="exact"/>
              <w:rPr>
                <w:sz w:val="20"/>
                <w:szCs w:val="20"/>
                <w:color w:val="auto"/>
              </w:rPr>
            </w:pPr>
            <w:r>
              <w:rPr>
                <w:rFonts w:ascii="Arial" w:cs="Arial" w:eastAsia="Arial" w:hAnsi="Arial"/>
                <w:sz w:val="16"/>
                <w:szCs w:val="16"/>
                <w:b w:val="1"/>
                <w:bCs w:val="1"/>
                <w:color w:val="202E39"/>
              </w:rPr>
              <w:t>Additional Inputs Used for</w:t>
            </w:r>
          </w:p>
        </w:tc>
        <w:tc>
          <w:tcPr>
            <w:tcW w:w="300" w:type="dxa"/>
            <w:vAlign w:val="bottom"/>
          </w:tcPr>
          <w:p>
            <w:pPr>
              <w:ind w:left="200"/>
              <w:spacing w:after="0" w:line="168" w:lineRule="exact"/>
              <w:rPr>
                <w:sz w:val="20"/>
                <w:szCs w:val="20"/>
                <w:color w:val="auto"/>
              </w:rPr>
            </w:pPr>
            <w:r>
              <w:rPr>
                <w:rFonts w:ascii="Arial" w:cs="Arial" w:eastAsia="Arial" w:hAnsi="Arial"/>
                <w:sz w:val="16"/>
                <w:szCs w:val="16"/>
                <w:color w:val="009FE3"/>
              </w:rPr>
              <w:t>•</w:t>
            </w:r>
          </w:p>
        </w:tc>
        <w:tc>
          <w:tcPr>
            <w:tcW w:w="4020" w:type="dxa"/>
            <w:vAlign w:val="bottom"/>
            <w:tcBorders>
              <w:right w:val="single" w:sz="8" w:color="202E39"/>
            </w:tcBorders>
          </w:tcPr>
          <w:p>
            <w:pPr>
              <w:ind w:left="100"/>
              <w:spacing w:after="0" w:line="168" w:lineRule="exact"/>
              <w:rPr>
                <w:sz w:val="20"/>
                <w:szCs w:val="20"/>
                <w:color w:val="auto"/>
              </w:rPr>
            </w:pPr>
            <w:r>
              <w:rPr>
                <w:rFonts w:ascii="Arial" w:cs="Arial" w:eastAsia="Arial" w:hAnsi="Arial"/>
                <w:sz w:val="16"/>
                <w:szCs w:val="16"/>
                <w:color w:val="202E39"/>
              </w:rPr>
              <w:t>Competitive market information from the Radford</w:t>
            </w:r>
          </w:p>
        </w:tc>
        <w:tc>
          <w:tcPr>
            <w:tcW w:w="4040" w:type="dxa"/>
            <w:vAlign w:val="bottom"/>
            <w:tcBorders>
              <w:right w:val="single" w:sz="8" w:color="202E39"/>
            </w:tcBorders>
          </w:tcPr>
          <w:p>
            <w:pPr>
              <w:ind w:left="100"/>
              <w:spacing w:after="0" w:line="168" w:lineRule="exact"/>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Permits the Committee to review aggregated</w:t>
            </w:r>
          </w:p>
        </w:tc>
        <w:tc>
          <w:tcPr>
            <w:tcW w:w="0" w:type="dxa"/>
            <w:vAlign w:val="bottom"/>
          </w:tcPr>
          <w:p>
            <w:pPr>
              <w:spacing w:after="0"/>
              <w:rPr>
                <w:sz w:val="1"/>
                <w:szCs w:val="1"/>
                <w:color w:val="auto"/>
              </w:rPr>
            </w:pPr>
          </w:p>
        </w:tc>
      </w:tr>
      <w:tr>
        <w:trPr>
          <w:trHeight w:val="209"/>
        </w:trPr>
        <w:tc>
          <w:tcPr>
            <w:tcW w:w="2680" w:type="dxa"/>
            <w:vAlign w:val="bottom"/>
            <w:tcBorders>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Compensation Decisions</w:t>
            </w:r>
          </w:p>
        </w:tc>
        <w:tc>
          <w:tcPr>
            <w:tcW w:w="300" w:type="dxa"/>
            <w:vAlign w:val="bottom"/>
          </w:tcPr>
          <w:p>
            <w:pPr>
              <w:spacing w:after="0"/>
              <w:rPr>
                <w:sz w:val="18"/>
                <w:szCs w:val="18"/>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Global Technology survey, a globally recognized</w:t>
            </w: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compensation data for positions similar to those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compensation survey containing market information of</w:t>
            </w: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held by executive officers in the technology industry</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companies in the technology industry</w:t>
            </w:r>
          </w:p>
        </w:tc>
        <w:tc>
          <w:tcPr>
            <w:tcW w:w="4040" w:type="dxa"/>
            <w:vAlign w:val="bottom"/>
            <w:tcBorders>
              <w:right w:val="single" w:sz="8" w:color="202E39"/>
            </w:tcBorders>
            <w:vMerge w:val="restart"/>
          </w:tcPr>
          <w:p>
            <w:pPr>
              <w:ind w:left="1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Provides comprehensive survey data including</w:t>
            </w:r>
          </w:p>
        </w:tc>
        <w:tc>
          <w:tcPr>
            <w:tcW w:w="0" w:type="dxa"/>
            <w:vAlign w:val="bottom"/>
          </w:tcPr>
          <w:p>
            <w:pPr>
              <w:spacing w:after="0"/>
              <w:rPr>
                <w:sz w:val="1"/>
                <w:szCs w:val="1"/>
                <w:color w:val="auto"/>
              </w:rPr>
            </w:pPr>
          </w:p>
        </w:tc>
      </w:tr>
      <w:tr>
        <w:trPr>
          <w:trHeight w:val="116"/>
        </w:trPr>
        <w:tc>
          <w:tcPr>
            <w:tcW w:w="2680" w:type="dxa"/>
            <w:vAlign w:val="bottom"/>
            <w:tcBorders>
              <w:left w:val="single" w:sz="8" w:color="202E39"/>
              <w:right w:val="single" w:sz="8" w:color="202E39"/>
            </w:tcBorders>
            <w:shd w:val="clear" w:color="auto" w:fill="D8F0FA"/>
          </w:tcPr>
          <w:p>
            <w:pPr>
              <w:spacing w:after="0"/>
              <w:rPr>
                <w:sz w:val="10"/>
                <w:szCs w:val="10"/>
                <w:color w:val="auto"/>
              </w:rPr>
            </w:pPr>
          </w:p>
        </w:tc>
        <w:tc>
          <w:tcPr>
            <w:tcW w:w="300" w:type="dxa"/>
            <w:vAlign w:val="bottom"/>
          </w:tcPr>
          <w:p>
            <w:pPr>
              <w:spacing w:after="0"/>
              <w:rPr>
                <w:sz w:val="10"/>
                <w:szCs w:val="10"/>
                <w:color w:val="auto"/>
              </w:rPr>
            </w:pPr>
          </w:p>
        </w:tc>
        <w:tc>
          <w:tcPr>
            <w:tcW w:w="4020" w:type="dxa"/>
            <w:vAlign w:val="bottom"/>
            <w:tcBorders>
              <w:right w:val="single" w:sz="8" w:color="202E39"/>
            </w:tcBorders>
          </w:tcPr>
          <w:p>
            <w:pPr>
              <w:spacing w:after="0"/>
              <w:rPr>
                <w:sz w:val="10"/>
                <w:szCs w:val="10"/>
                <w:color w:val="auto"/>
              </w:rPr>
            </w:pPr>
          </w:p>
        </w:tc>
        <w:tc>
          <w:tcPr>
            <w:tcW w:w="4040" w:type="dxa"/>
            <w:vAlign w:val="bottom"/>
            <w:tcBorders>
              <w:right w:val="single" w:sz="8" w:color="202E3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pooled compensation data for positions closely akin</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to those held by each executive officer</w:t>
            </w:r>
          </w:p>
        </w:tc>
        <w:tc>
          <w:tcPr>
            <w:tcW w:w="0" w:type="dxa"/>
            <w:vAlign w:val="bottom"/>
          </w:tcPr>
          <w:p>
            <w:pPr>
              <w:spacing w:after="0"/>
              <w:rPr>
                <w:sz w:val="1"/>
                <w:szCs w:val="1"/>
                <w:color w:val="auto"/>
              </w:rPr>
            </w:pPr>
          </w:p>
        </w:tc>
      </w:tr>
      <w:tr>
        <w:trPr>
          <w:trHeight w:val="305"/>
        </w:trPr>
        <w:tc>
          <w:tcPr>
            <w:tcW w:w="2680" w:type="dxa"/>
            <w:vAlign w:val="bottom"/>
            <w:tcBorders>
              <w:left w:val="single" w:sz="8" w:color="202E39"/>
              <w:right w:val="single" w:sz="8" w:color="202E39"/>
            </w:tcBorders>
            <w:shd w:val="clear" w:color="auto" w:fill="D8F0FA"/>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tcBorders>
              <w:right w:val="single" w:sz="8" w:color="202E39"/>
            </w:tcBorders>
          </w:tcPr>
          <w:p>
            <w:pPr>
              <w:spacing w:after="0"/>
              <w:rPr>
                <w:sz w:val="24"/>
                <w:szCs w:val="24"/>
                <w:color w:val="auto"/>
              </w:rPr>
            </w:pPr>
          </w:p>
        </w:tc>
        <w:tc>
          <w:tcPr>
            <w:tcW w:w="4040" w:type="dxa"/>
            <w:vAlign w:val="bottom"/>
            <w:tcBorders>
              <w:right w:val="single" w:sz="8" w:color="202E39"/>
            </w:tcBorders>
          </w:tcPr>
          <w:p>
            <w:pPr>
              <w:ind w:left="1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Allows for the Committee to compare executives to</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those across a wide range of organizations outside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of Viasat’s traditional, and limited, group of</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competitors</w:t>
            </w:r>
          </w:p>
        </w:tc>
        <w:tc>
          <w:tcPr>
            <w:tcW w:w="0" w:type="dxa"/>
            <w:vAlign w:val="bottom"/>
          </w:tcPr>
          <w:p>
            <w:pPr>
              <w:spacing w:after="0"/>
              <w:rPr>
                <w:sz w:val="1"/>
                <w:szCs w:val="1"/>
                <w:color w:val="auto"/>
              </w:rPr>
            </w:pPr>
          </w:p>
        </w:tc>
      </w:tr>
      <w:tr>
        <w:trPr>
          <w:trHeight w:val="305"/>
        </w:trPr>
        <w:tc>
          <w:tcPr>
            <w:tcW w:w="2680" w:type="dxa"/>
            <w:vAlign w:val="bottom"/>
            <w:tcBorders>
              <w:left w:val="single" w:sz="8" w:color="202E39"/>
              <w:right w:val="single" w:sz="8" w:color="202E39"/>
            </w:tcBorders>
            <w:shd w:val="clear" w:color="auto" w:fill="D8F0FA"/>
          </w:tcPr>
          <w:p>
            <w:pPr>
              <w:spacing w:after="0"/>
              <w:rPr>
                <w:sz w:val="24"/>
                <w:szCs w:val="24"/>
                <w:color w:val="auto"/>
              </w:rPr>
            </w:pPr>
          </w:p>
        </w:tc>
        <w:tc>
          <w:tcPr>
            <w:tcW w:w="300" w:type="dxa"/>
            <w:vAlign w:val="bottom"/>
          </w:tcPr>
          <w:p>
            <w:pPr>
              <w:spacing w:after="0"/>
              <w:rPr>
                <w:sz w:val="24"/>
                <w:szCs w:val="24"/>
                <w:color w:val="auto"/>
              </w:rPr>
            </w:pPr>
          </w:p>
        </w:tc>
        <w:tc>
          <w:tcPr>
            <w:tcW w:w="4020" w:type="dxa"/>
            <w:vAlign w:val="bottom"/>
            <w:tcBorders>
              <w:right w:val="single" w:sz="8" w:color="202E39"/>
            </w:tcBorders>
          </w:tcPr>
          <w:p>
            <w:pPr>
              <w:spacing w:after="0"/>
              <w:rPr>
                <w:sz w:val="24"/>
                <w:szCs w:val="24"/>
                <w:color w:val="auto"/>
              </w:rPr>
            </w:pPr>
          </w:p>
        </w:tc>
        <w:tc>
          <w:tcPr>
            <w:tcW w:w="4040" w:type="dxa"/>
            <w:vAlign w:val="bottom"/>
            <w:tcBorders>
              <w:right w:val="single" w:sz="8" w:color="202E39"/>
            </w:tcBorders>
          </w:tcPr>
          <w:p>
            <w:pPr>
              <w:ind w:left="1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Individual company compensation data for</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companies in the survey was not provided to the</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4040" w:type="dxa"/>
            <w:vAlign w:val="bottom"/>
            <w:tcBorders>
              <w:right w:val="single" w:sz="8" w:color="202E39"/>
            </w:tcBorders>
          </w:tcPr>
          <w:p>
            <w:pPr>
              <w:ind w:left="240"/>
              <w:spacing w:after="0"/>
              <w:rPr>
                <w:sz w:val="20"/>
                <w:szCs w:val="20"/>
                <w:color w:val="auto"/>
              </w:rPr>
            </w:pPr>
            <w:r>
              <w:rPr>
                <w:rFonts w:ascii="Arial" w:cs="Arial" w:eastAsia="Arial" w:hAnsi="Arial"/>
                <w:sz w:val="16"/>
                <w:szCs w:val="16"/>
                <w:color w:val="202E39"/>
              </w:rPr>
              <w:t>Committee</w:t>
            </w:r>
          </w:p>
        </w:tc>
        <w:tc>
          <w:tcPr>
            <w:tcW w:w="0" w:type="dxa"/>
            <w:vAlign w:val="bottom"/>
          </w:tcPr>
          <w:p>
            <w:pPr>
              <w:spacing w:after="0"/>
              <w:rPr>
                <w:sz w:val="1"/>
                <w:szCs w:val="1"/>
                <w:color w:val="auto"/>
              </w:rPr>
            </w:pPr>
          </w:p>
        </w:tc>
      </w:tr>
      <w:tr>
        <w:trPr>
          <w:trHeight w:val="87"/>
        </w:trPr>
        <w:tc>
          <w:tcPr>
            <w:tcW w:w="2680" w:type="dxa"/>
            <w:vAlign w:val="bottom"/>
            <w:tcBorders>
              <w:left w:val="single" w:sz="8" w:color="202E39"/>
              <w:bottom w:val="single" w:sz="8" w:color="202E39"/>
              <w:right w:val="single" w:sz="8" w:color="202E39"/>
            </w:tcBorders>
            <w:shd w:val="clear" w:color="auto" w:fill="D8F0FA"/>
          </w:tcPr>
          <w:p>
            <w:pPr>
              <w:spacing w:after="0"/>
              <w:rPr>
                <w:sz w:val="7"/>
                <w:szCs w:val="7"/>
                <w:color w:val="auto"/>
              </w:rPr>
            </w:pPr>
          </w:p>
        </w:tc>
        <w:tc>
          <w:tcPr>
            <w:tcW w:w="300" w:type="dxa"/>
            <w:vAlign w:val="bottom"/>
            <w:tcBorders>
              <w:bottom w:val="single" w:sz="8" w:color="202E39"/>
            </w:tcBorders>
          </w:tcPr>
          <w:p>
            <w:pPr>
              <w:spacing w:after="0"/>
              <w:rPr>
                <w:sz w:val="7"/>
                <w:szCs w:val="7"/>
                <w:color w:val="auto"/>
              </w:rPr>
            </w:pPr>
          </w:p>
        </w:tc>
        <w:tc>
          <w:tcPr>
            <w:tcW w:w="4020" w:type="dxa"/>
            <w:vAlign w:val="bottom"/>
            <w:tcBorders>
              <w:bottom w:val="single" w:sz="8" w:color="202E39"/>
              <w:right w:val="single" w:sz="8" w:color="202E39"/>
            </w:tcBorders>
          </w:tcPr>
          <w:p>
            <w:pPr>
              <w:spacing w:after="0"/>
              <w:rPr>
                <w:sz w:val="7"/>
                <w:szCs w:val="7"/>
                <w:color w:val="auto"/>
              </w:rPr>
            </w:pPr>
          </w:p>
        </w:tc>
        <w:tc>
          <w:tcPr>
            <w:tcW w:w="4040" w:type="dxa"/>
            <w:vAlign w:val="bottom"/>
            <w:tcBorders>
              <w:bottom w:val="single" w:sz="8" w:color="202E39"/>
              <w:right w:val="single" w:sz="8" w:color="202E39"/>
            </w:tcBorders>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2680" w:type="dxa"/>
            <w:vAlign w:val="bottom"/>
          </w:tcPr>
          <w:p>
            <w:pPr>
              <w:spacing w:after="0"/>
              <w:rPr>
                <w:sz w:val="20"/>
                <w:szCs w:val="20"/>
                <w:color w:val="auto"/>
              </w:rPr>
            </w:pPr>
            <w:r>
              <w:rPr>
                <w:rFonts w:ascii="Arial" w:cs="Arial" w:eastAsia="Arial" w:hAnsi="Arial"/>
                <w:sz w:val="14"/>
                <w:szCs w:val="14"/>
                <w:b w:val="1"/>
                <w:bCs w:val="1"/>
                <w:color w:val="202E39"/>
              </w:rPr>
              <w:t>34</w:t>
            </w: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-163195</wp:posOffset>
            </wp:positionV>
            <wp:extent cx="4286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For fiscal year 2020 compensation decisions, the Committee approved a peer group consisting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003415" cy="1911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03415" cy="1911350"/>
                    </a:xfrm>
                    <a:prstGeom prst="rect">
                      <a:avLst/>
                    </a:prstGeom>
                    <a:noFill/>
                  </pic:spPr>
                </pic:pic>
              </a:graphicData>
            </a:graphic>
          </wp:anchor>
        </w:drawing>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FFFFFF"/>
        </w:rPr>
        <w:t>Fiscal Year 2020 Peer Group</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60" w:type="dxa"/>
            <w:vAlign w:val="bottom"/>
            <w:tcBorders>
              <w:top w:val="single" w:sz="8" w:color="202E39"/>
              <w:bottom w:val="single" w:sz="8" w:color="202E39"/>
              <w:right w:val="single" w:sz="8" w:color="202E39"/>
            </w:tcBorders>
          </w:tcPr>
          <w:p>
            <w:pPr>
              <w:jc w:val="center"/>
              <w:ind w:left="39"/>
              <w:spacing w:after="0"/>
              <w:rPr>
                <w:sz w:val="20"/>
                <w:szCs w:val="20"/>
                <w:color w:val="auto"/>
              </w:rPr>
            </w:pPr>
            <w:r>
              <w:rPr>
                <w:rFonts w:ascii="Arial" w:cs="Arial" w:eastAsia="Arial" w:hAnsi="Arial"/>
                <w:sz w:val="16"/>
                <w:szCs w:val="16"/>
                <w:color w:val="202E39"/>
                <w:w w:val="99"/>
              </w:rPr>
              <w:t>Technology</w:t>
            </w:r>
          </w:p>
        </w:tc>
        <w:tc>
          <w:tcPr>
            <w:tcW w:w="3640" w:type="dxa"/>
            <w:vAlign w:val="bottom"/>
            <w:tcBorders>
              <w:top w:val="single" w:sz="8" w:color="202E39"/>
              <w:bottom w:val="single" w:sz="8" w:color="202E39"/>
              <w:right w:val="single" w:sz="8" w:color="202E39"/>
            </w:tcBorders>
          </w:tcPr>
          <w:p>
            <w:pPr>
              <w:jc w:val="center"/>
              <w:spacing w:after="0"/>
              <w:rPr>
                <w:sz w:val="20"/>
                <w:szCs w:val="20"/>
                <w:color w:val="auto"/>
              </w:rPr>
            </w:pPr>
            <w:r>
              <w:rPr>
                <w:rFonts w:ascii="Arial" w:cs="Arial" w:eastAsia="Arial" w:hAnsi="Arial"/>
                <w:sz w:val="16"/>
                <w:szCs w:val="16"/>
                <w:color w:val="202E39"/>
              </w:rPr>
              <w:t>Network/Communications</w:t>
            </w:r>
          </w:p>
        </w:tc>
        <w:tc>
          <w:tcPr>
            <w:tcW w:w="3520" w:type="dxa"/>
            <w:vAlign w:val="bottom"/>
            <w:tcBorders>
              <w:top w:val="single" w:sz="8" w:color="202E39"/>
              <w:bottom w:val="single" w:sz="8" w:color="202E39"/>
            </w:tcBorders>
          </w:tcPr>
          <w:p>
            <w:pPr>
              <w:jc w:val="center"/>
              <w:spacing w:after="0"/>
              <w:rPr>
                <w:sz w:val="20"/>
                <w:szCs w:val="20"/>
                <w:color w:val="auto"/>
              </w:rPr>
            </w:pPr>
            <w:r>
              <w:rPr>
                <w:rFonts w:ascii="Arial" w:cs="Arial" w:eastAsia="Arial" w:hAnsi="Arial"/>
                <w:sz w:val="16"/>
                <w:szCs w:val="16"/>
                <w:color w:val="202E39"/>
              </w:rPr>
              <w:t>Aerospace</w:t>
            </w:r>
          </w:p>
        </w:tc>
      </w:tr>
      <w:tr>
        <w:trPr>
          <w:trHeight w:val="190"/>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Akamai Technologies Inc.</w:t>
            </w:r>
          </w:p>
        </w:tc>
        <w:tc>
          <w:tcPr>
            <w:tcW w:w="3640" w:type="dxa"/>
            <w:vAlign w:val="bottom"/>
            <w:tcBorders>
              <w:right w:val="single" w:sz="8" w:color="202E39"/>
            </w:tcBorders>
          </w:tcPr>
          <w:p>
            <w:pPr>
              <w:spacing w:after="0"/>
              <w:rPr>
                <w:sz w:val="16"/>
                <w:szCs w:val="16"/>
                <w:color w:val="auto"/>
              </w:rPr>
            </w:pPr>
          </w:p>
        </w:tc>
        <w:tc>
          <w:tcPr>
            <w:tcW w:w="3520" w:type="dxa"/>
            <w:vAlign w:val="bottom"/>
          </w:tcPr>
          <w:p>
            <w:pPr>
              <w:spacing w:after="0"/>
              <w:rPr>
                <w:sz w:val="16"/>
                <w:szCs w:val="16"/>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Coherent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Ciena Corporation</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Cree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Cogent Communications Holdings, Inc.</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Equinix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CenturyLink,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Spirit Aerosystems Holdings, Inc.</w:t>
            </w: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IAC/Interactivecorp</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Gogo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Transdigm Group Inc.</w:t>
            </w: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Logmein,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SBA Communications Corp</w:t>
            </w:r>
          </w:p>
        </w:tc>
        <w:tc>
          <w:tcPr>
            <w:tcW w:w="3520" w:type="dxa"/>
            <w:vAlign w:val="bottom"/>
          </w:tcPr>
          <w:p>
            <w:pPr>
              <w:jc w:val="center"/>
              <w:spacing w:after="0"/>
              <w:rPr>
                <w:sz w:val="20"/>
                <w:szCs w:val="20"/>
                <w:color w:val="auto"/>
              </w:rPr>
            </w:pPr>
            <w:r>
              <w:rPr>
                <w:rFonts w:ascii="Arial" w:cs="Arial" w:eastAsia="Arial" w:hAnsi="Arial"/>
                <w:sz w:val="16"/>
                <w:szCs w:val="16"/>
                <w:color w:val="202E39"/>
                <w:w w:val="99"/>
              </w:rPr>
              <w:t>L3 Technologies, Inc.</w:t>
            </w: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Nuance Communications,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T-Mobile US, Inc.</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Nutanix,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Vonage Holdings Corp</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PTC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Palo Alto Networks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73"/>
        </w:trPr>
        <w:tc>
          <w:tcPr>
            <w:tcW w:w="3860" w:type="dxa"/>
            <w:vAlign w:val="bottom"/>
            <w:tcBorders>
              <w:bottom w:val="single" w:sz="8" w:color="202E39"/>
              <w:right w:val="single" w:sz="8" w:color="202E39"/>
            </w:tcBorders>
          </w:tcPr>
          <w:p>
            <w:pPr>
              <w:spacing w:after="0"/>
              <w:rPr>
                <w:sz w:val="6"/>
                <w:szCs w:val="6"/>
                <w:color w:val="auto"/>
              </w:rPr>
            </w:pPr>
          </w:p>
        </w:tc>
        <w:tc>
          <w:tcPr>
            <w:tcW w:w="3640" w:type="dxa"/>
            <w:vAlign w:val="bottom"/>
            <w:tcBorders>
              <w:bottom w:val="single" w:sz="8" w:color="202E39"/>
              <w:right w:val="single" w:sz="8" w:color="202E39"/>
            </w:tcBorders>
          </w:tcPr>
          <w:p>
            <w:pPr>
              <w:spacing w:after="0"/>
              <w:rPr>
                <w:sz w:val="6"/>
                <w:szCs w:val="6"/>
                <w:color w:val="auto"/>
              </w:rPr>
            </w:pPr>
          </w:p>
        </w:tc>
        <w:tc>
          <w:tcPr>
            <w:tcW w:w="3520" w:type="dxa"/>
            <w:vAlign w:val="bottom"/>
            <w:tcBorders>
              <w:bottom w:val="single" w:sz="8" w:color="202E39"/>
            </w:tcBorders>
          </w:tcPr>
          <w:p>
            <w:pPr>
              <w:spacing w:after="0"/>
              <w:rPr>
                <w:sz w:val="6"/>
                <w:szCs w:val="6"/>
                <w:color w:val="auto"/>
              </w:rPr>
            </w:pPr>
          </w:p>
        </w:tc>
      </w:tr>
    </w:tbl>
    <w:p>
      <w:pPr>
        <w:spacing w:after="0" w:line="110" w:lineRule="exact"/>
        <w:rPr>
          <w:sz w:val="20"/>
          <w:szCs w:val="20"/>
          <w:color w:val="auto"/>
        </w:rPr>
      </w:pPr>
    </w:p>
    <w:p>
      <w:pPr>
        <w:ind w:left="120" w:right="180"/>
        <w:spacing w:after="0" w:line="225" w:lineRule="auto"/>
        <w:rPr>
          <w:sz w:val="20"/>
          <w:szCs w:val="20"/>
          <w:color w:val="auto"/>
        </w:rPr>
      </w:pPr>
      <w:r>
        <w:rPr>
          <w:rFonts w:ascii="Arial" w:cs="Arial" w:eastAsia="Arial" w:hAnsi="Arial"/>
          <w:sz w:val="16"/>
          <w:szCs w:val="16"/>
          <w:color w:val="202E39"/>
        </w:rPr>
        <w:t>With consideration to input received through continued stockholder engagement efforts, the Committee made additional changes to our fiscal year 2021 peer group. These changes included removing Gogo Inc., L3 Technologies, Inc., CenturyLink, Inc., and T-Mobile US, Inc., and adding Citrix Systems, Inc., GTT Communications, Inc., and Lumentum Holdings, Inc. to our fiscal year 2021 peer group. The Committee made these changes to increase our alignment with peer group companies from an industry and size perspective. The resulting peer group for fiscal year 2021 was comprised of companies with revenues generally ranging between 50% and 250% of Viasat’s revenues for the most recently completed fiscal year, with Viasat placing in approximately the 57</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percentile among the nineteen peer group companies based on the data available to the Committee at the time the peer group was selected.</w:t>
      </w:r>
    </w:p>
    <w:p>
      <w:pPr>
        <w:spacing w:after="0" w:line="89"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i w:val="1"/>
          <w:iCs w:val="1"/>
          <w:color w:val="009FE3"/>
        </w:rPr>
        <w:t xml:space="preserve">Individual Performance and Contributions. </w:t>
      </w:r>
      <w:r>
        <w:rPr>
          <w:rFonts w:ascii="Arial" w:cs="Arial" w:eastAsia="Arial" w:hAnsi="Arial"/>
          <w:sz w:val="16"/>
          <w:szCs w:val="16"/>
          <w:color w:val="202E39"/>
        </w:rPr>
        <w:t>The Committee makes an assessment of individual executive performance and contributions. The individual</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assessments made by the Committee are based in part on input from executive management. As part of our executive compensation process, our Chief Executive Officer and President each provide input to the Committee on the individual performance and contributions of our executive officers other than themselves. With respect to assessing the individual performance of our Chief Executive Officer, the Committee relies on an annual assessment completed by our Nomination, Evaluation and Corporate Governance Committee. In evaluating the performance of our President, the Committee relies on input from our Chief Executive Officer. While the Committee believes input from management and outside advisors is valuable, the Committee makes its recommendations and decisions based on its independent analysis and assessment.</w:t>
      </w:r>
    </w:p>
    <w:p>
      <w:pPr>
        <w:spacing w:after="0" w:line="79" w:lineRule="exact"/>
        <w:rPr>
          <w:sz w:val="20"/>
          <w:szCs w:val="20"/>
          <w:color w:val="auto"/>
        </w:rPr>
      </w:pPr>
    </w:p>
    <w:p>
      <w:pPr>
        <w:ind w:left="120" w:right="120"/>
        <w:spacing w:after="0" w:line="263" w:lineRule="auto"/>
        <w:rPr>
          <w:sz w:val="20"/>
          <w:szCs w:val="20"/>
          <w:color w:val="auto"/>
        </w:rPr>
      </w:pPr>
      <w:r>
        <w:rPr>
          <w:rFonts w:ascii="Arial" w:cs="Arial" w:eastAsia="Arial" w:hAnsi="Arial"/>
          <w:sz w:val="16"/>
          <w:szCs w:val="16"/>
          <w:i w:val="1"/>
          <w:iCs w:val="1"/>
          <w:color w:val="009FE3"/>
        </w:rPr>
        <w:t xml:space="preserve">Company Financial and Operational Performance. </w:t>
      </w:r>
      <w:r>
        <w:rPr>
          <w:rFonts w:ascii="Arial" w:cs="Arial" w:eastAsia="Arial" w:hAnsi="Arial"/>
          <w:sz w:val="16"/>
          <w:szCs w:val="16"/>
          <w:color w:val="202E39"/>
        </w:rPr>
        <w:t>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Committee in determining base salary, annual bonuses and equity awards.</w:t>
      </w:r>
    </w:p>
    <w:p>
      <w:pPr>
        <w:spacing w:after="0" w:line="70" w:lineRule="exact"/>
        <w:rPr>
          <w:sz w:val="20"/>
          <w:szCs w:val="20"/>
          <w:color w:val="auto"/>
        </w:rPr>
      </w:pPr>
    </w:p>
    <w:p>
      <w:pPr>
        <w:ind w:left="120" w:right="40"/>
        <w:spacing w:after="0" w:line="258" w:lineRule="auto"/>
        <w:rPr>
          <w:sz w:val="20"/>
          <w:szCs w:val="20"/>
          <w:color w:val="auto"/>
        </w:rPr>
      </w:pPr>
      <w:r>
        <w:rPr>
          <w:rFonts w:ascii="Arial" w:cs="Arial" w:eastAsia="Arial" w:hAnsi="Arial"/>
          <w:sz w:val="16"/>
          <w:szCs w:val="16"/>
          <w:i w:val="1"/>
          <w:iCs w:val="1"/>
          <w:color w:val="009FE3"/>
        </w:rPr>
        <w:t xml:space="preserve">Company Strategic Positioning. </w:t>
      </w:r>
      <w:r>
        <w:rPr>
          <w:rFonts w:ascii="Arial" w:cs="Arial" w:eastAsia="Arial" w:hAnsi="Arial"/>
          <w:sz w:val="16"/>
          <w:szCs w:val="16"/>
          <w:color w:val="202E39"/>
        </w:rPr>
        <w:t>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Committee takes into account the strategic positioning of the company as a basis for determining base salaries, annual bonuses, equity award allocations and other executive compensation.</w:t>
      </w:r>
    </w:p>
    <w:p>
      <w:pPr>
        <w:spacing w:after="0" w:line="73" w:lineRule="exact"/>
        <w:rPr>
          <w:sz w:val="20"/>
          <w:szCs w:val="20"/>
          <w:color w:val="auto"/>
        </w:rPr>
      </w:pPr>
    </w:p>
    <w:p>
      <w:pPr>
        <w:ind w:left="120" w:right="460"/>
        <w:spacing w:after="0" w:line="263" w:lineRule="auto"/>
        <w:rPr>
          <w:sz w:val="20"/>
          <w:szCs w:val="20"/>
          <w:color w:val="auto"/>
        </w:rPr>
      </w:pPr>
      <w:r>
        <w:rPr>
          <w:rFonts w:ascii="Arial" w:cs="Arial" w:eastAsia="Arial" w:hAnsi="Arial"/>
          <w:sz w:val="16"/>
          <w:szCs w:val="16"/>
          <w:i w:val="1"/>
          <w:iCs w:val="1"/>
          <w:color w:val="009FE3"/>
        </w:rPr>
        <w:t xml:space="preserve">Total Executive Compensation. </w:t>
      </w:r>
      <w:r>
        <w:rPr>
          <w:rFonts w:ascii="Arial" w:cs="Arial" w:eastAsia="Arial" w:hAnsi="Arial"/>
          <w:sz w:val="16"/>
          <w:szCs w:val="16"/>
          <w:color w:val="202E39"/>
        </w:rPr>
        <w:t>In addition to reviewing each component of executive compensation, the Committee also considers the total direct</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70"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i w:val="1"/>
          <w:iCs w:val="1"/>
          <w:color w:val="009FE3"/>
        </w:rPr>
        <w:t xml:space="preserve">Affordability. </w:t>
      </w:r>
      <w:r>
        <w:rPr>
          <w:rFonts w:ascii="Arial" w:cs="Arial" w:eastAsia="Arial" w:hAnsi="Arial"/>
          <w:sz w:val="16"/>
          <w:szCs w:val="16"/>
          <w:color w:val="202E39"/>
        </w:rPr>
        <w:t>Prior to completing its executive compensation review and evaluation, the Committee confirms that proposed cash compensation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affordable under and consistent with Viasat’s financial results. With respect to equity compensation,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 For example, in light of the impact of the COVID-19 pandemic on the global business environment, our Chief Executive Officer and President requested that their fiscal year 2020 annual performance bonus awards be no more than the awards they received for fiscal year 2019 performance, regardless of actual company and individual achievements, which the Committee approved.</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35</w:t>
            </w: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31"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i w:val="1"/>
          <w:iCs w:val="1"/>
          <w:color w:val="009FE3"/>
        </w:rPr>
        <w:t xml:space="preserve">The Role of Stockholder Feedback. </w:t>
      </w:r>
      <w:r>
        <w:rPr>
          <w:rFonts w:ascii="Arial" w:cs="Arial" w:eastAsia="Arial" w:hAnsi="Arial"/>
          <w:sz w:val="16"/>
          <w:szCs w:val="16"/>
          <w:color w:val="202E39"/>
        </w:rPr>
        <w:t>As described above, 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governance and compensation practices, and to address any concerns they may have. We also hold annual non-binding advisory say-on-pay votes on our Named Executive Officer compensation, with the most recent say-on-pay vote held in September 2019, with a substantial majority of shareholder votes cast in favor of our say-on-pay resolution. As the Committee evaluated our executive compensation policies and practices throughout fiscal year 2020, they were mindful of the level of support for the say-on-pay vote held at our annual meeting in September 2019 and input our stockholders expressed for our compensation philosophy and objectives. As described above, the Committee implemented certain changes to our fiscal 2020 executive compensation program in response to such stockholder input and feedback. The Committee will continue to consider the outcome of future say-on-pay votes and material stockholder feedback when making future compensation decisions for executive officers.</w:t>
      </w:r>
    </w:p>
    <w:p>
      <w:pPr>
        <w:spacing w:after="0" w:line="270" w:lineRule="exact"/>
        <w:rPr>
          <w:sz w:val="20"/>
          <w:szCs w:val="20"/>
          <w:color w:val="auto"/>
        </w:rPr>
      </w:pPr>
    </w:p>
    <w:p>
      <w:pPr>
        <w:ind w:left="120" w:right="220"/>
        <w:spacing w:after="0" w:line="263" w:lineRule="auto"/>
        <w:rPr>
          <w:sz w:val="20"/>
          <w:szCs w:val="20"/>
          <w:color w:val="auto"/>
        </w:rPr>
      </w:pPr>
      <w:r>
        <w:rPr>
          <w:rFonts w:ascii="Arial" w:cs="Arial" w:eastAsia="Arial" w:hAnsi="Arial"/>
          <w:sz w:val="16"/>
          <w:szCs w:val="16"/>
          <w:i w:val="1"/>
          <w:iCs w:val="1"/>
          <w:color w:val="009FE3"/>
        </w:rPr>
        <w:t xml:space="preserve">Determination of Compensation. </w:t>
      </w:r>
      <w:r>
        <w:rPr>
          <w:rFonts w:ascii="Arial" w:cs="Arial" w:eastAsia="Arial" w:hAnsi="Arial"/>
          <w:sz w:val="16"/>
          <w:szCs w:val="16"/>
          <w:color w:val="202E39"/>
        </w:rPr>
        <w:t>The Committee and the Board hold several meetings each year for the review, evaluation and determination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The Committee determines and recommends to the Board the appropriate compensation for each individual executive officer after considering the factors described in the preceding paragraphs.</w:t>
      </w:r>
    </w:p>
    <w:p>
      <w:pPr>
        <w:spacing w:after="0" w:line="86"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and the Board considers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99"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We strive to achieve an appropriate mix between equity incentive awards and cash payments in order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equity incentive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33"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equity-based compensation and certain other benefits that are generally available to all of our employees.</w:t>
      </w:r>
    </w:p>
    <w:p>
      <w:pPr>
        <w:spacing w:after="0" w:line="71"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i w:val="1"/>
          <w:iCs w:val="1"/>
          <w:color w:val="009FE3"/>
        </w:rPr>
        <w:t xml:space="preserve">Base Salary. </w:t>
      </w:r>
      <w:r>
        <w:rPr>
          <w:rFonts w:ascii="Arial" w:cs="Arial" w:eastAsia="Arial" w:hAnsi="Arial"/>
          <w:sz w:val="16"/>
          <w:szCs w:val="16"/>
          <w:color w:val="202E39"/>
        </w:rPr>
        <w:t>In determining base salary recommendations, the Committee primarily considers (1) executive compensation survey results from Radford,</w:t>
      </w:r>
      <w:r>
        <w:rPr>
          <w:rFonts w:ascii="Arial" w:cs="Arial" w:eastAsia="Arial" w:hAnsi="Arial"/>
          <w:sz w:val="16"/>
          <w:szCs w:val="16"/>
          <w:i w:val="1"/>
          <w:iCs w:val="1"/>
          <w:color w:val="009FE3"/>
        </w:rPr>
        <w:t xml:space="preserve"> </w:t>
      </w:r>
      <w:r>
        <w:rPr>
          <w:rFonts w:ascii="Arial" w:cs="Arial" w:eastAsia="Arial" w:hAnsi="Arial"/>
          <w:sz w:val="16"/>
          <w:szCs w:val="16"/>
          <w:color w:val="202E39"/>
        </w:rPr>
        <w:t>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w:t>
      </w:r>
    </w:p>
    <w:p>
      <w:pPr>
        <w:spacing w:after="0" w:line="102" w:lineRule="exact"/>
        <w:rPr>
          <w:sz w:val="20"/>
          <w:szCs w:val="20"/>
          <w:color w:val="auto"/>
        </w:rPr>
      </w:pPr>
    </w:p>
    <w:p>
      <w:pPr>
        <w:ind w:left="660" w:hanging="220"/>
        <w:spacing w:after="0"/>
        <w:tabs>
          <w:tab w:leader="none" w:pos="66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1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In assessing individual executive performance and contributions for fiscal year 2020 base salary determination purposes, the Committee considered the individual contributions toward the achievement of key strategic objectives, such as continued strong top and bottom line performance including achieving record revenues, a significantly lower net loss, record Adjusted EBITDA, continued progress toward the completion of the ViaSat-3 class satellite constellation, significant progress towards service launches in Latin American and European markets in our Satellite Services segment, and double digit sales growth from our Government Systems segment. In light of the foregoing, the Committee recommended to the Board, and the Board approved, new base salaries for each of our executive officers. The following table sets forth the base salaries for fiscal years 2019 and 2020 for each of our Named Executive Officers. Mr. Peterman received a base salary increase to $650,000, effective April 1, 2019. In recognition of his sustained high level of performance, strategic impact on the business, increase in scope of responsibilities, and to further increase alignment with industry compensation data, Mr. Peterman’s base salary was increased to $750,000, effective December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86995</wp:posOffset>
            </wp:positionV>
            <wp:extent cx="428625"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2019 and Fiscal Year 2020 Base Salary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320" w:type="dxa"/>
            <w:vAlign w:val="bottom"/>
            <w:tcBorders>
              <w:top w:val="single" w:sz="8" w:color="E8EAEB"/>
              <w:right w:val="single" w:sz="8" w:color="E8EAEB"/>
            </w:tcBorders>
          </w:tcPr>
          <w:p>
            <w:pPr>
              <w:spacing w:after="0"/>
              <w:rPr>
                <w:sz w:val="17"/>
                <w:szCs w:val="17"/>
                <w:color w:val="auto"/>
              </w:rPr>
            </w:pPr>
          </w:p>
        </w:tc>
        <w:tc>
          <w:tcPr>
            <w:tcW w:w="2220" w:type="dxa"/>
            <w:vAlign w:val="bottom"/>
            <w:tcBorders>
              <w:top w:val="single" w:sz="8" w:color="E8EAEB"/>
              <w:right w:val="single" w:sz="8" w:color="E8EAEB"/>
            </w:tcBorders>
          </w:tcPr>
          <w:p>
            <w:pPr>
              <w:jc w:val="right"/>
              <w:ind w:right="442"/>
              <w:spacing w:after="0"/>
              <w:rPr>
                <w:sz w:val="20"/>
                <w:szCs w:val="20"/>
                <w:color w:val="auto"/>
              </w:rPr>
            </w:pPr>
            <w:r>
              <w:rPr>
                <w:rFonts w:ascii="Arial" w:cs="Arial" w:eastAsia="Arial" w:hAnsi="Arial"/>
                <w:sz w:val="14"/>
                <w:szCs w:val="14"/>
                <w:b w:val="1"/>
                <w:bCs w:val="1"/>
                <w:color w:val="009FE3"/>
              </w:rPr>
              <w:t>Fiscal Year 2019</w:t>
            </w:r>
          </w:p>
        </w:tc>
        <w:tc>
          <w:tcPr>
            <w:tcW w:w="2200" w:type="dxa"/>
            <w:vAlign w:val="bottom"/>
            <w:tcBorders>
              <w:top w:val="single" w:sz="8" w:color="E8EAEB"/>
              <w:right w:val="single" w:sz="8" w:color="E8EAEB"/>
            </w:tcBorders>
          </w:tcPr>
          <w:p>
            <w:pPr>
              <w:jc w:val="right"/>
              <w:ind w:right="422"/>
              <w:spacing w:after="0"/>
              <w:rPr>
                <w:sz w:val="20"/>
                <w:szCs w:val="20"/>
                <w:color w:val="auto"/>
              </w:rPr>
            </w:pPr>
            <w:r>
              <w:rPr>
                <w:rFonts w:ascii="Arial" w:cs="Arial" w:eastAsia="Arial" w:hAnsi="Arial"/>
                <w:sz w:val="14"/>
                <w:szCs w:val="14"/>
                <w:b w:val="1"/>
                <w:bCs w:val="1"/>
                <w:color w:val="009FE3"/>
              </w:rPr>
              <w:t>Fiscal Year 2020</w:t>
            </w:r>
          </w:p>
        </w:tc>
        <w:tc>
          <w:tcPr>
            <w:tcW w:w="1280" w:type="dxa"/>
            <w:vAlign w:val="bottom"/>
            <w:tcBorders>
              <w:top w:val="single" w:sz="8" w:color="E8EAEB"/>
            </w:tcBorders>
          </w:tcPr>
          <w:p>
            <w:pPr>
              <w:jc w:val="center"/>
              <w:ind w:left="22"/>
              <w:spacing w:after="0"/>
              <w:rPr>
                <w:sz w:val="20"/>
                <w:szCs w:val="20"/>
                <w:color w:val="auto"/>
              </w:rPr>
            </w:pPr>
            <w:r>
              <w:rPr>
                <w:rFonts w:ascii="Arial" w:cs="Arial" w:eastAsia="Arial" w:hAnsi="Arial"/>
                <w:sz w:val="14"/>
                <w:szCs w:val="14"/>
                <w:b w:val="1"/>
                <w:bCs w:val="1"/>
                <w:color w:val="009FE3"/>
              </w:rPr>
              <w:t>Percentage</w:t>
            </w:r>
          </w:p>
        </w:tc>
      </w:tr>
      <w:tr>
        <w:trPr>
          <w:trHeight w:val="196"/>
        </w:trPr>
        <w:tc>
          <w:tcPr>
            <w:tcW w:w="53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2220" w:type="dxa"/>
            <w:vAlign w:val="bottom"/>
            <w:tcBorders>
              <w:bottom w:val="single" w:sz="8" w:color="009FE3"/>
              <w:right w:val="single" w:sz="8" w:color="E8EAEB"/>
            </w:tcBorders>
          </w:tcPr>
          <w:p>
            <w:pPr>
              <w:jc w:val="right"/>
              <w:ind w:right="482"/>
              <w:spacing w:after="0"/>
              <w:rPr>
                <w:sz w:val="20"/>
                <w:szCs w:val="20"/>
                <w:color w:val="auto"/>
              </w:rPr>
            </w:pPr>
            <w:r>
              <w:rPr>
                <w:rFonts w:ascii="Arial" w:cs="Arial" w:eastAsia="Arial" w:hAnsi="Arial"/>
                <w:sz w:val="14"/>
                <w:szCs w:val="14"/>
                <w:b w:val="1"/>
                <w:bCs w:val="1"/>
                <w:color w:val="009FE3"/>
              </w:rPr>
              <w:t>Base Salary ($)</w:t>
            </w:r>
          </w:p>
        </w:tc>
        <w:tc>
          <w:tcPr>
            <w:tcW w:w="2200" w:type="dxa"/>
            <w:vAlign w:val="bottom"/>
            <w:tcBorders>
              <w:bottom w:val="single" w:sz="8" w:color="009FE3"/>
              <w:right w:val="single" w:sz="8" w:color="E8EAEB"/>
            </w:tcBorders>
          </w:tcPr>
          <w:p>
            <w:pPr>
              <w:jc w:val="right"/>
              <w:ind w:right="462"/>
              <w:spacing w:after="0"/>
              <w:rPr>
                <w:sz w:val="20"/>
                <w:szCs w:val="20"/>
                <w:color w:val="auto"/>
              </w:rPr>
            </w:pPr>
            <w:r>
              <w:rPr>
                <w:rFonts w:ascii="Arial" w:cs="Arial" w:eastAsia="Arial" w:hAnsi="Arial"/>
                <w:sz w:val="14"/>
                <w:szCs w:val="14"/>
                <w:b w:val="1"/>
                <w:bCs w:val="1"/>
                <w:color w:val="009FE3"/>
              </w:rPr>
              <w:t>Base Salary ($)</w:t>
            </w:r>
          </w:p>
        </w:tc>
        <w:tc>
          <w:tcPr>
            <w:tcW w:w="1280" w:type="dxa"/>
            <w:vAlign w:val="bottom"/>
            <w:tcBorders>
              <w:bottom w:val="single" w:sz="8" w:color="009FE3"/>
            </w:tcBorders>
          </w:tcPr>
          <w:p>
            <w:pPr>
              <w:jc w:val="center"/>
              <w:ind w:left="2"/>
              <w:spacing w:after="0"/>
              <w:rPr>
                <w:sz w:val="20"/>
                <w:szCs w:val="20"/>
                <w:color w:val="auto"/>
              </w:rPr>
            </w:pPr>
            <w:r>
              <w:rPr>
                <w:rFonts w:ascii="Arial" w:cs="Arial" w:eastAsia="Arial" w:hAnsi="Arial"/>
                <w:sz w:val="14"/>
                <w:szCs w:val="14"/>
                <w:b w:val="1"/>
                <w:bCs w:val="1"/>
                <w:color w:val="009FE3"/>
              </w:rPr>
              <w:t>Increase (%)</w:t>
            </w:r>
          </w:p>
        </w:tc>
      </w:tr>
      <w:tr>
        <w:trPr>
          <w:trHeight w:val="250"/>
        </w:trPr>
        <w:tc>
          <w:tcPr>
            <w:tcW w:w="5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22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1,215,000</w:t>
            </w:r>
          </w:p>
        </w:tc>
        <w:tc>
          <w:tcPr>
            <w:tcW w:w="220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1,300,000</w:t>
            </w:r>
          </w:p>
        </w:tc>
        <w:tc>
          <w:tcPr>
            <w:tcW w:w="1280" w:type="dxa"/>
            <w:vAlign w:val="bottom"/>
            <w:tcBorders>
              <w:bottom w:val="single" w:sz="8" w:color="E8EAEB"/>
            </w:tcBorders>
          </w:tcPr>
          <w:p>
            <w:pPr>
              <w:jc w:val="center"/>
              <w:ind w:left="22"/>
              <w:spacing w:after="0"/>
              <w:rPr>
                <w:sz w:val="20"/>
                <w:szCs w:val="20"/>
                <w:color w:val="auto"/>
              </w:rPr>
            </w:pPr>
            <w:r>
              <w:rPr>
                <w:rFonts w:ascii="Arial" w:cs="Arial" w:eastAsia="Arial" w:hAnsi="Arial"/>
                <w:sz w:val="16"/>
                <w:szCs w:val="16"/>
                <w:color w:val="202E39"/>
                <w:w w:val="98"/>
              </w:rPr>
              <w:t>7.0</w:t>
            </w:r>
          </w:p>
        </w:tc>
      </w:tr>
      <w:tr>
        <w:trPr>
          <w:trHeight w:val="250"/>
        </w:trPr>
        <w:tc>
          <w:tcPr>
            <w:tcW w:w="5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22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1,035,000</w:t>
            </w:r>
          </w:p>
        </w:tc>
        <w:tc>
          <w:tcPr>
            <w:tcW w:w="220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1,100,000</w:t>
            </w:r>
          </w:p>
        </w:tc>
        <w:tc>
          <w:tcPr>
            <w:tcW w:w="1280" w:type="dxa"/>
            <w:vAlign w:val="bottom"/>
            <w:tcBorders>
              <w:bottom w:val="single" w:sz="8" w:color="E8EAEB"/>
            </w:tcBorders>
          </w:tcPr>
          <w:p>
            <w:pPr>
              <w:jc w:val="center"/>
              <w:ind w:left="22"/>
              <w:spacing w:after="0"/>
              <w:rPr>
                <w:sz w:val="20"/>
                <w:szCs w:val="20"/>
                <w:color w:val="auto"/>
              </w:rPr>
            </w:pPr>
            <w:r>
              <w:rPr>
                <w:rFonts w:ascii="Arial" w:cs="Arial" w:eastAsia="Arial" w:hAnsi="Arial"/>
                <w:sz w:val="16"/>
                <w:szCs w:val="16"/>
                <w:color w:val="202E39"/>
                <w:w w:val="98"/>
              </w:rPr>
              <w:t>6.3</w:t>
            </w:r>
          </w:p>
        </w:tc>
      </w:tr>
      <w:tr>
        <w:trPr>
          <w:trHeight w:val="250"/>
        </w:trPr>
        <w:tc>
          <w:tcPr>
            <w:tcW w:w="5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22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550,000</w:t>
            </w:r>
          </w:p>
        </w:tc>
        <w:tc>
          <w:tcPr>
            <w:tcW w:w="220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575,000</w:t>
            </w:r>
          </w:p>
        </w:tc>
        <w:tc>
          <w:tcPr>
            <w:tcW w:w="1280" w:type="dxa"/>
            <w:vAlign w:val="bottom"/>
            <w:tcBorders>
              <w:bottom w:val="single" w:sz="8" w:color="E8EAEB"/>
            </w:tcBorders>
          </w:tcPr>
          <w:p>
            <w:pPr>
              <w:jc w:val="center"/>
              <w:ind w:left="22"/>
              <w:spacing w:after="0"/>
              <w:rPr>
                <w:sz w:val="20"/>
                <w:szCs w:val="20"/>
                <w:color w:val="auto"/>
              </w:rPr>
            </w:pPr>
            <w:r>
              <w:rPr>
                <w:rFonts w:ascii="Arial" w:cs="Arial" w:eastAsia="Arial" w:hAnsi="Arial"/>
                <w:sz w:val="16"/>
                <w:szCs w:val="16"/>
                <w:color w:val="202E39"/>
                <w:w w:val="98"/>
              </w:rPr>
              <w:t>4.5</w:t>
            </w:r>
          </w:p>
        </w:tc>
      </w:tr>
      <w:tr>
        <w:trPr>
          <w:trHeight w:val="250"/>
        </w:trPr>
        <w:tc>
          <w:tcPr>
            <w:tcW w:w="5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222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550,000</w:t>
            </w:r>
          </w:p>
        </w:tc>
        <w:tc>
          <w:tcPr>
            <w:tcW w:w="2200" w:type="dxa"/>
            <w:vAlign w:val="bottom"/>
            <w:tcBorders>
              <w:bottom w:val="single" w:sz="8" w:color="E8EAEB"/>
              <w:right w:val="single" w:sz="8" w:color="E8EAEB"/>
            </w:tcBorders>
          </w:tcPr>
          <w:p>
            <w:pPr>
              <w:jc w:val="right"/>
              <w:ind w:right="602"/>
              <w:spacing w:after="0"/>
              <w:rPr>
                <w:sz w:val="20"/>
                <w:szCs w:val="20"/>
                <w:color w:val="auto"/>
              </w:rPr>
            </w:pPr>
            <w:r>
              <w:rPr>
                <w:rFonts w:ascii="Arial" w:cs="Arial" w:eastAsia="Arial" w:hAnsi="Arial"/>
                <w:sz w:val="16"/>
                <w:szCs w:val="16"/>
                <w:color w:val="202E39"/>
              </w:rPr>
              <w:t>575,000</w:t>
            </w:r>
          </w:p>
        </w:tc>
        <w:tc>
          <w:tcPr>
            <w:tcW w:w="1280" w:type="dxa"/>
            <w:vAlign w:val="bottom"/>
            <w:tcBorders>
              <w:bottom w:val="single" w:sz="8" w:color="E8EAEB"/>
            </w:tcBorders>
          </w:tcPr>
          <w:p>
            <w:pPr>
              <w:jc w:val="center"/>
              <w:ind w:left="22"/>
              <w:spacing w:after="0"/>
              <w:rPr>
                <w:sz w:val="20"/>
                <w:szCs w:val="20"/>
                <w:color w:val="auto"/>
              </w:rPr>
            </w:pPr>
            <w:r>
              <w:rPr>
                <w:rFonts w:ascii="Arial" w:cs="Arial" w:eastAsia="Arial" w:hAnsi="Arial"/>
                <w:sz w:val="16"/>
                <w:szCs w:val="16"/>
                <w:color w:val="202E39"/>
                <w:w w:val="98"/>
              </w:rPr>
              <w:t>4.5</w:t>
            </w:r>
          </w:p>
        </w:tc>
      </w:tr>
      <w:tr>
        <w:trPr>
          <w:trHeight w:val="250"/>
        </w:trPr>
        <w:tc>
          <w:tcPr>
            <w:tcW w:w="53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2220" w:type="dxa"/>
            <w:vAlign w:val="bottom"/>
            <w:tcBorders>
              <w:bottom w:val="single" w:sz="8" w:color="009FE3"/>
              <w:right w:val="single" w:sz="8" w:color="E8EAEB"/>
            </w:tcBorders>
          </w:tcPr>
          <w:p>
            <w:pPr>
              <w:jc w:val="right"/>
              <w:ind w:right="602"/>
              <w:spacing w:after="0"/>
              <w:rPr>
                <w:sz w:val="20"/>
                <w:szCs w:val="20"/>
                <w:color w:val="auto"/>
              </w:rPr>
            </w:pPr>
            <w:r>
              <w:rPr>
                <w:rFonts w:ascii="Arial" w:cs="Arial" w:eastAsia="Arial" w:hAnsi="Arial"/>
                <w:sz w:val="16"/>
                <w:szCs w:val="16"/>
                <w:color w:val="202E39"/>
              </w:rPr>
              <w:t>600,000</w:t>
            </w:r>
          </w:p>
        </w:tc>
        <w:tc>
          <w:tcPr>
            <w:tcW w:w="2200" w:type="dxa"/>
            <w:vAlign w:val="bottom"/>
            <w:tcBorders>
              <w:bottom w:val="single" w:sz="8" w:color="009FE3"/>
              <w:right w:val="single" w:sz="8" w:color="E8EAEB"/>
            </w:tcBorders>
          </w:tcPr>
          <w:p>
            <w:pPr>
              <w:jc w:val="right"/>
              <w:ind w:right="602"/>
              <w:spacing w:after="0"/>
              <w:rPr>
                <w:sz w:val="20"/>
                <w:szCs w:val="20"/>
                <w:color w:val="auto"/>
              </w:rPr>
            </w:pPr>
            <w:r>
              <w:rPr>
                <w:rFonts w:ascii="Arial" w:cs="Arial" w:eastAsia="Arial" w:hAnsi="Arial"/>
                <w:sz w:val="16"/>
                <w:szCs w:val="16"/>
                <w:color w:val="202E39"/>
              </w:rPr>
              <w:t>750,000</w:t>
            </w:r>
          </w:p>
        </w:tc>
        <w:tc>
          <w:tcPr>
            <w:tcW w:w="1280" w:type="dxa"/>
            <w:vAlign w:val="bottom"/>
            <w:tcBorders>
              <w:bottom w:val="single" w:sz="8" w:color="009FE3"/>
            </w:tcBorders>
          </w:tcPr>
          <w:p>
            <w:pPr>
              <w:jc w:val="center"/>
              <w:ind w:left="2"/>
              <w:spacing w:after="0"/>
              <w:rPr>
                <w:sz w:val="20"/>
                <w:szCs w:val="20"/>
                <w:color w:val="auto"/>
              </w:rPr>
            </w:pPr>
            <w:r>
              <w:rPr>
                <w:rFonts w:ascii="Arial" w:cs="Arial" w:eastAsia="Arial" w:hAnsi="Arial"/>
                <w:sz w:val="16"/>
                <w:szCs w:val="16"/>
                <w:color w:val="202E39"/>
              </w:rPr>
              <w:t>25.0</w:t>
            </w:r>
          </w:p>
        </w:tc>
      </w:tr>
    </w:tbl>
    <w:p>
      <w:pPr>
        <w:spacing w:after="0" w:line="110"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While the above table reflects base salary changes that were made effective in April 2019, after thoughtful discussion and in consideration of the impact of the COVID-19 pandemic on the global business environment, the Committee determined to delay any base salary adjustments for our executive officers for fiscal year 2021. The Committee may determine to implement adjustments to the base salaries of our Named Executive Officers for fiscal year 2021 in the future.</w:t>
      </w:r>
    </w:p>
    <w:p>
      <w:pPr>
        <w:spacing w:after="0" w:line="78"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Annual Bonuses. </w:t>
      </w:r>
      <w:r>
        <w:rPr>
          <w:rFonts w:ascii="Arial" w:cs="Arial" w:eastAsia="Arial" w:hAnsi="Arial"/>
          <w:sz w:val="16"/>
          <w:szCs w:val="16"/>
          <w:color w:val="202E39"/>
        </w:rPr>
        <w:t>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the Committee approved annual bonuses for fiscal year 2020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The Committee also considers the expected contributions of each executive toward the overall success of the company.</w:t>
      </w:r>
    </w:p>
    <w:p>
      <w:pPr>
        <w:spacing w:after="0" w:line="95"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202E39"/>
        </w:rPr>
        <w:t>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w:t>
      </w:r>
    </w:p>
    <w:p>
      <w:pPr>
        <w:spacing w:after="0" w:line="9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Following a thorough review of the executive compensation program, including an evaluation of feedback received through the Company’s stockholder engagement program, the Committee decided to shift to setting a specific target bonus as a percentage of base salary, rather than a target bonus range as a percentage of base salary. Furthermore, the Committee established a maximum bonus payout opportunity of 250% of each executive officer’s target bonus. These changes were approved during and applied to the annual bonus program in fiscal year 2020.</w:t>
      </w:r>
    </w:p>
    <w:p>
      <w:pPr>
        <w:spacing w:after="0" w:line="78" w:lineRule="exact"/>
        <w:rPr>
          <w:sz w:val="20"/>
          <w:szCs w:val="20"/>
          <w:color w:val="auto"/>
        </w:rPr>
      </w:pPr>
    </w:p>
    <w:p>
      <w:pPr>
        <w:ind w:left="120" w:right="140"/>
        <w:spacing w:after="0" w:line="263" w:lineRule="auto"/>
        <w:rPr>
          <w:sz w:val="20"/>
          <w:szCs w:val="20"/>
          <w:color w:val="auto"/>
        </w:rPr>
      </w:pPr>
      <w:r>
        <w:rPr>
          <w:rFonts w:ascii="Arial" w:cs="Arial" w:eastAsia="Arial" w:hAnsi="Arial"/>
          <w:sz w:val="16"/>
          <w:szCs w:val="16"/>
          <w:i w:val="1"/>
          <w:iCs w:val="1"/>
          <w:color w:val="009FE3"/>
        </w:rPr>
        <w:t xml:space="preserve">Named Executive Officers Annual Metric Selection and Bonus Determination. </w:t>
      </w:r>
      <w:r>
        <w:rPr>
          <w:rFonts w:ascii="Arial" w:cs="Arial" w:eastAsia="Arial" w:hAnsi="Arial"/>
          <w:sz w:val="16"/>
          <w:szCs w:val="16"/>
          <w:color w:val="202E39"/>
        </w:rPr>
        <w:t>For fiscal year 2020, the metrics considered for determining annual</w:t>
      </w:r>
      <w:r>
        <w:rPr>
          <w:rFonts w:ascii="Arial" w:cs="Arial" w:eastAsia="Arial" w:hAnsi="Arial"/>
          <w:sz w:val="16"/>
          <w:szCs w:val="16"/>
          <w:i w:val="1"/>
          <w:iCs w:val="1"/>
          <w:color w:val="009FE3"/>
        </w:rPr>
        <w:t xml:space="preserve"> </w:t>
      </w:r>
      <w:r>
        <w:rPr>
          <w:rFonts w:ascii="Arial" w:cs="Arial" w:eastAsia="Arial" w:hAnsi="Arial"/>
          <w:sz w:val="16"/>
          <w:szCs w:val="16"/>
          <w:color w:val="202E39"/>
        </w:rPr>
        <w:t>bonuses for our Named Executive Officers included Viasat’s annual financial performance and individual performance. The annual performance metrics, both financial and individual, are intended to be challenging and rigorous, but achievable through a sustained level of high performance.</w:t>
      </w:r>
    </w:p>
    <w:p>
      <w:pPr>
        <w:spacing w:after="0" w:line="100" w:lineRule="exact"/>
        <w:rPr>
          <w:sz w:val="20"/>
          <w:szCs w:val="20"/>
          <w:color w:val="auto"/>
        </w:rPr>
      </w:pPr>
    </w:p>
    <w:p>
      <w:pPr>
        <w:ind w:left="660" w:right="240" w:hanging="220"/>
        <w:spacing w:after="0" w:line="253" w:lineRule="auto"/>
        <w:tabs>
          <w:tab w:leader="none" w:pos="660" w:val="left"/>
        </w:tabs>
        <w:numPr>
          <w:ilvl w:val="0"/>
          <w:numId w:val="31"/>
        </w:numPr>
        <w:rPr>
          <w:rFonts w:ascii="Arial" w:cs="Arial" w:eastAsia="Arial" w:hAnsi="Arial"/>
          <w:sz w:val="16"/>
          <w:szCs w:val="16"/>
          <w:color w:val="009FE3"/>
        </w:rPr>
      </w:pPr>
      <w:r>
        <w:rPr>
          <w:rFonts w:ascii="Arial" w:cs="Arial" w:eastAsia="Arial" w:hAnsi="Arial"/>
          <w:sz w:val="16"/>
          <w:szCs w:val="16"/>
          <w:color w:val="009FE3"/>
        </w:rPr>
        <w:t xml:space="preserve">Financial performance objectives (50% of annual bonus determination): </w:t>
      </w:r>
      <w:r>
        <w:rPr>
          <w:rFonts w:ascii="Arial" w:cs="Arial" w:eastAsia="Arial" w:hAnsi="Arial"/>
          <w:sz w:val="16"/>
          <w:szCs w:val="16"/>
          <w:color w:val="202E39"/>
        </w:rPr>
        <w:t>Financial metrics were set based on an internally-developed financial</w:t>
      </w:r>
      <w:r>
        <w:rPr>
          <w:rFonts w:ascii="Arial" w:cs="Arial" w:eastAsia="Arial" w:hAnsi="Arial"/>
          <w:sz w:val="16"/>
          <w:szCs w:val="16"/>
          <w:color w:val="009FE3"/>
        </w:rPr>
        <w:t xml:space="preserve"> </w:t>
      </w:r>
      <w:r>
        <w:rPr>
          <w:rFonts w:ascii="Arial" w:cs="Arial" w:eastAsia="Arial" w:hAnsi="Arial"/>
          <w:sz w:val="16"/>
          <w:szCs w:val="16"/>
          <w:color w:val="202E39"/>
        </w:rPr>
        <w:t>plan approved by our Board at the beginning of the fiscal year. The financial metrics selected for the annual bonus are intended to balance incentivizing strong short-term performance while also retaining alignment to the execution of our long-term strategy.</w:t>
      </w:r>
    </w:p>
    <w:p>
      <w:pPr>
        <w:spacing w:after="0" w:line="52" w:lineRule="exact"/>
        <w:rPr>
          <w:rFonts w:ascii="Arial" w:cs="Arial" w:eastAsia="Arial" w:hAnsi="Arial"/>
          <w:sz w:val="16"/>
          <w:szCs w:val="16"/>
          <w:color w:val="009FE3"/>
        </w:rPr>
      </w:pPr>
    </w:p>
    <w:p>
      <w:pPr>
        <w:ind w:left="660" w:right="100" w:hanging="220"/>
        <w:spacing w:after="0" w:line="249" w:lineRule="auto"/>
        <w:tabs>
          <w:tab w:leader="none" w:pos="660" w:val="left"/>
        </w:tabs>
        <w:numPr>
          <w:ilvl w:val="0"/>
          <w:numId w:val="31"/>
        </w:numPr>
        <w:rPr>
          <w:rFonts w:ascii="Arial" w:cs="Arial" w:eastAsia="Arial" w:hAnsi="Arial"/>
          <w:sz w:val="16"/>
          <w:szCs w:val="16"/>
          <w:color w:val="009FE3"/>
        </w:rPr>
      </w:pPr>
      <w:r>
        <w:rPr>
          <w:rFonts w:ascii="Arial" w:cs="Arial" w:eastAsia="Arial" w:hAnsi="Arial"/>
          <w:sz w:val="16"/>
          <w:szCs w:val="16"/>
          <w:color w:val="009FE3"/>
        </w:rPr>
        <w:t xml:space="preserve">Individual performance objectives (50% of annual bonus determination): </w:t>
      </w:r>
      <w:r>
        <w:rPr>
          <w:rFonts w:ascii="Arial" w:cs="Arial" w:eastAsia="Arial" w:hAnsi="Arial"/>
          <w:sz w:val="16"/>
          <w:szCs w:val="16"/>
          <w:color w:val="202E39"/>
        </w:rPr>
        <w:t>Individual leadership and strategic objectives are determined by the</w:t>
      </w:r>
      <w:r>
        <w:rPr>
          <w:rFonts w:ascii="Arial" w:cs="Arial" w:eastAsia="Arial" w:hAnsi="Arial"/>
          <w:sz w:val="16"/>
          <w:szCs w:val="16"/>
          <w:color w:val="009FE3"/>
        </w:rPr>
        <w:t xml:space="preserve"> </w:t>
      </w:r>
      <w:r>
        <w:rPr>
          <w:rFonts w:ascii="Arial" w:cs="Arial" w:eastAsia="Arial" w:hAnsi="Arial"/>
          <w:sz w:val="16"/>
          <w:szCs w:val="16"/>
          <w:color w:val="202E39"/>
        </w:rPr>
        <w:t>Committee, with the objectives for the executive officers (other than our Chief Executive Officer and President) based on input and recommendations from our Chief Executive Officer and President. Individual leadership and strategic objectives for our Chief Executive Officer and President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w:t>
      </w:r>
    </w:p>
    <w:p>
      <w:pPr>
        <w:spacing w:after="0" w:line="12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37</w:t>
            </w: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202E39"/>
        </w:rPr>
        <w:t>The table below describes the company financial and individual performance objectives and weighting of each objective used for determining annual bonuses for all of our executive officers for fiscal year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2020 Bonus Objectives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6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Approximate</w:t>
            </w:r>
          </w:p>
        </w:tc>
        <w:tc>
          <w:tcPr>
            <w:tcW w:w="1960" w:type="dxa"/>
            <w:vAlign w:val="bottom"/>
            <w:tcBorders>
              <w:top w:val="single" w:sz="8" w:color="E8EAEB"/>
              <w:right w:val="single" w:sz="8" w:color="E8EAEB"/>
            </w:tcBorders>
          </w:tcPr>
          <w:p>
            <w:pPr>
              <w:jc w:val="right"/>
              <w:ind w:right="641"/>
              <w:spacing w:after="0"/>
              <w:rPr>
                <w:sz w:val="20"/>
                <w:szCs w:val="20"/>
                <w:color w:val="auto"/>
              </w:rPr>
            </w:pPr>
            <w:r>
              <w:rPr>
                <w:rFonts w:ascii="Arial" w:cs="Arial" w:eastAsia="Arial" w:hAnsi="Arial"/>
                <w:sz w:val="14"/>
                <w:szCs w:val="14"/>
                <w:b w:val="1"/>
                <w:bCs w:val="1"/>
                <w:color w:val="009FE3"/>
              </w:rPr>
              <w:t>FY 2020</w:t>
            </w:r>
          </w:p>
        </w:tc>
        <w:tc>
          <w:tcPr>
            <w:tcW w:w="2020" w:type="dxa"/>
            <w:vAlign w:val="bottom"/>
            <w:tcBorders>
              <w:top w:val="single" w:sz="8" w:color="E8EAEB"/>
            </w:tcBorders>
          </w:tcPr>
          <w:p>
            <w:pPr>
              <w:jc w:val="right"/>
              <w:ind w:right="661"/>
              <w:spacing w:after="0"/>
              <w:rPr>
                <w:sz w:val="20"/>
                <w:szCs w:val="20"/>
                <w:color w:val="auto"/>
              </w:rPr>
            </w:pPr>
            <w:r>
              <w:rPr>
                <w:rFonts w:ascii="Arial" w:cs="Arial" w:eastAsia="Arial" w:hAnsi="Arial"/>
                <w:sz w:val="14"/>
                <w:szCs w:val="14"/>
                <w:b w:val="1"/>
                <w:bCs w:val="1"/>
                <w:color w:val="009FE3"/>
              </w:rPr>
              <w:t>FY 2020</w:t>
            </w:r>
          </w:p>
        </w:tc>
      </w:tr>
      <w:tr>
        <w:trPr>
          <w:trHeight w:val="196"/>
        </w:trPr>
        <w:tc>
          <w:tcPr>
            <w:tcW w:w="60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Performance Metric</w:t>
            </w:r>
          </w:p>
        </w:tc>
        <w:tc>
          <w:tcPr>
            <w:tcW w:w="9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Weighting (%)</w:t>
            </w:r>
          </w:p>
        </w:tc>
        <w:tc>
          <w:tcPr>
            <w:tcW w:w="1960" w:type="dxa"/>
            <w:vAlign w:val="bottom"/>
            <w:tcBorders>
              <w:bottom w:val="single" w:sz="8" w:color="009FE3"/>
              <w:right w:val="single" w:sz="8" w:color="E8EAEB"/>
            </w:tcBorders>
          </w:tcPr>
          <w:p>
            <w:pPr>
              <w:jc w:val="right"/>
              <w:ind w:right="581"/>
              <w:spacing w:after="0"/>
              <w:rPr>
                <w:sz w:val="20"/>
                <w:szCs w:val="20"/>
                <w:color w:val="auto"/>
              </w:rPr>
            </w:pPr>
            <w:r>
              <w:rPr>
                <w:rFonts w:ascii="Arial" w:cs="Arial" w:eastAsia="Arial" w:hAnsi="Arial"/>
                <w:sz w:val="14"/>
                <w:szCs w:val="14"/>
                <w:b w:val="1"/>
                <w:bCs w:val="1"/>
                <w:color w:val="009FE3"/>
              </w:rPr>
              <w:t>Objective</w:t>
            </w:r>
          </w:p>
        </w:tc>
        <w:tc>
          <w:tcPr>
            <w:tcW w:w="2020" w:type="dxa"/>
            <w:vAlign w:val="bottom"/>
            <w:tcBorders>
              <w:bottom w:val="single" w:sz="8" w:color="009FE3"/>
            </w:tcBorders>
          </w:tcPr>
          <w:p>
            <w:pPr>
              <w:jc w:val="right"/>
              <w:ind w:right="441"/>
              <w:spacing w:after="0"/>
              <w:rPr>
                <w:sz w:val="20"/>
                <w:szCs w:val="20"/>
                <w:color w:val="auto"/>
              </w:rPr>
            </w:pPr>
            <w:r>
              <w:rPr>
                <w:rFonts w:ascii="Arial" w:cs="Arial" w:eastAsia="Arial" w:hAnsi="Arial"/>
                <w:sz w:val="14"/>
                <w:szCs w:val="14"/>
                <w:b w:val="1"/>
                <w:bCs w:val="1"/>
                <w:color w:val="009FE3"/>
              </w:rPr>
              <w:t>Actual Results</w:t>
            </w: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Non-GAAP Diluted Net Income Per Share Attributable to Viasat, Inc.</w:t>
            </w:r>
          </w:p>
        </w:tc>
        <w:tc>
          <w:tcPr>
            <w:tcW w:w="980" w:type="dxa"/>
            <w:vAlign w:val="bottom"/>
            <w:tcBorders>
              <w:right w:val="single" w:sz="8" w:color="E8EAEB"/>
            </w:tcBorders>
          </w:tcPr>
          <w:p>
            <w:pPr>
              <w:jc w:val="right"/>
              <w:ind w:right="261"/>
              <w:spacing w:after="0"/>
              <w:rPr>
                <w:sz w:val="20"/>
                <w:szCs w:val="20"/>
                <w:color w:val="auto"/>
              </w:rPr>
            </w:pPr>
            <w:r>
              <w:rPr>
                <w:rFonts w:ascii="Arial" w:cs="Arial" w:eastAsia="Arial" w:hAnsi="Arial"/>
                <w:sz w:val="16"/>
                <w:szCs w:val="16"/>
                <w:color w:val="202E39"/>
              </w:rPr>
              <w:t>10</w:t>
            </w:r>
          </w:p>
        </w:tc>
        <w:tc>
          <w:tcPr>
            <w:tcW w:w="19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$0.86</w:t>
            </w:r>
          </w:p>
        </w:tc>
        <w:tc>
          <w:tcPr>
            <w:tcW w:w="2020" w:type="dxa"/>
            <w:vAlign w:val="bottom"/>
          </w:tcPr>
          <w:p>
            <w:pPr>
              <w:jc w:val="right"/>
              <w:ind w:right="101"/>
              <w:spacing w:after="0"/>
              <w:rPr>
                <w:sz w:val="20"/>
                <w:szCs w:val="20"/>
                <w:color w:val="auto"/>
              </w:rPr>
            </w:pPr>
            <w:r>
              <w:rPr>
                <w:rFonts w:ascii="Arial" w:cs="Arial" w:eastAsia="Arial" w:hAnsi="Arial"/>
                <w:sz w:val="16"/>
                <w:szCs w:val="16"/>
                <w:color w:val="202E39"/>
              </w:rPr>
              <w:t>$1.14</w:t>
            </w:r>
          </w:p>
        </w:tc>
      </w:tr>
      <w:tr>
        <w:trPr>
          <w:trHeight w:val="208"/>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Common Stockholders (1)</w:t>
            </w:r>
          </w:p>
        </w:tc>
        <w:tc>
          <w:tcPr>
            <w:tcW w:w="980" w:type="dxa"/>
            <w:vAlign w:val="bottom"/>
            <w:tcBorders>
              <w:bottom w:val="single" w:sz="8" w:color="E8EAEB"/>
              <w:right w:val="single" w:sz="8" w:color="E8EAEB"/>
            </w:tcBorders>
          </w:tcPr>
          <w:p>
            <w:pPr>
              <w:spacing w:after="0"/>
              <w:rPr>
                <w:sz w:val="18"/>
                <w:szCs w:val="18"/>
                <w:color w:val="auto"/>
              </w:rPr>
            </w:pPr>
          </w:p>
        </w:tc>
        <w:tc>
          <w:tcPr>
            <w:tcW w:w="1960" w:type="dxa"/>
            <w:vAlign w:val="bottom"/>
            <w:tcBorders>
              <w:bottom w:val="single" w:sz="8" w:color="E8EAEB"/>
              <w:right w:val="single" w:sz="8" w:color="E8EAEB"/>
            </w:tcBorders>
          </w:tcPr>
          <w:p>
            <w:pPr>
              <w:spacing w:after="0"/>
              <w:rPr>
                <w:sz w:val="18"/>
                <w:szCs w:val="18"/>
                <w:color w:val="auto"/>
              </w:rPr>
            </w:pPr>
          </w:p>
        </w:tc>
        <w:tc>
          <w:tcPr>
            <w:tcW w:w="2020" w:type="dxa"/>
            <w:vAlign w:val="bottom"/>
            <w:tcBorders>
              <w:bottom w:val="single" w:sz="8" w:color="E8EAEB"/>
            </w:tcBorders>
          </w:tcPr>
          <w:p>
            <w:pPr>
              <w:spacing w:after="0"/>
              <w:rPr>
                <w:sz w:val="18"/>
                <w:szCs w:val="18"/>
                <w:color w:val="auto"/>
              </w:rPr>
            </w:pP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Adjusted EBITDA (2)</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12.5</w:t>
            </w:r>
          </w:p>
        </w:tc>
        <w:tc>
          <w:tcPr>
            <w:tcW w:w="196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$449.5 million</w:t>
            </w:r>
          </w:p>
        </w:tc>
        <w:tc>
          <w:tcPr>
            <w:tcW w:w="202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$457.6 million</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New Contract Awards</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7.5</w:t>
            </w:r>
          </w:p>
        </w:tc>
        <w:tc>
          <w:tcPr>
            <w:tcW w:w="196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$2,199.3 million</w:t>
            </w:r>
          </w:p>
        </w:tc>
        <w:tc>
          <w:tcPr>
            <w:tcW w:w="202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$2,327.1 million</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Total Revenues</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12.5</w:t>
            </w:r>
          </w:p>
        </w:tc>
        <w:tc>
          <w:tcPr>
            <w:tcW w:w="196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$2,328.5 million</w:t>
            </w:r>
          </w:p>
        </w:tc>
        <w:tc>
          <w:tcPr>
            <w:tcW w:w="202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$2,309.2 million</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Net Operating Asset Turnover</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7.5</w:t>
            </w:r>
          </w:p>
        </w:tc>
        <w:tc>
          <w:tcPr>
            <w:tcW w:w="1960" w:type="dxa"/>
            <w:vAlign w:val="bottom"/>
            <w:tcBorders>
              <w:bottom w:val="single" w:sz="8" w:color="E8EAEB"/>
              <w:right w:val="single" w:sz="8" w:color="E8EAEB"/>
            </w:tcBorders>
          </w:tcPr>
          <w:p>
            <w:pPr>
              <w:jc w:val="right"/>
              <w:ind w:right="101"/>
              <w:spacing w:after="0"/>
              <w:rPr>
                <w:sz w:val="20"/>
                <w:szCs w:val="20"/>
                <w:color w:val="auto"/>
              </w:rPr>
            </w:pPr>
            <w:r>
              <w:rPr>
                <w:rFonts w:ascii="Arial" w:cs="Arial" w:eastAsia="Arial" w:hAnsi="Arial"/>
                <w:sz w:val="16"/>
                <w:szCs w:val="16"/>
                <w:color w:val="202E39"/>
              </w:rPr>
              <w:t>8.76</w:t>
            </w:r>
          </w:p>
        </w:tc>
        <w:tc>
          <w:tcPr>
            <w:tcW w:w="202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7.25</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Individual — Strategic Performance</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25</w:t>
            </w:r>
          </w:p>
        </w:tc>
        <w:tc>
          <w:tcPr>
            <w:tcW w:w="1960" w:type="dxa"/>
            <w:vAlign w:val="bottom"/>
            <w:tcBorders>
              <w:bottom w:val="single" w:sz="8" w:color="E8EAEB"/>
              <w:right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c>
          <w:tcPr>
            <w:tcW w:w="2020" w:type="dxa"/>
            <w:vAlign w:val="bottom"/>
            <w:tcBorders>
              <w:bottom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r>
      <w:tr>
        <w:trPr>
          <w:trHeight w:val="250"/>
        </w:trPr>
        <w:tc>
          <w:tcPr>
            <w:tcW w:w="60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Individual — Leadership Performance</w:t>
            </w:r>
          </w:p>
        </w:tc>
        <w:tc>
          <w:tcPr>
            <w:tcW w:w="980" w:type="dxa"/>
            <w:vAlign w:val="bottom"/>
            <w:tcBorders>
              <w:bottom w:val="single" w:sz="8" w:color="009FE3"/>
              <w:right w:val="single" w:sz="8" w:color="E8EAEB"/>
            </w:tcBorders>
          </w:tcPr>
          <w:p>
            <w:pPr>
              <w:jc w:val="right"/>
              <w:ind w:right="261"/>
              <w:spacing w:after="0"/>
              <w:rPr>
                <w:sz w:val="20"/>
                <w:szCs w:val="20"/>
                <w:color w:val="auto"/>
              </w:rPr>
            </w:pPr>
            <w:r>
              <w:rPr>
                <w:rFonts w:ascii="Arial" w:cs="Arial" w:eastAsia="Arial" w:hAnsi="Arial"/>
                <w:sz w:val="16"/>
                <w:szCs w:val="16"/>
                <w:color w:val="202E39"/>
              </w:rPr>
              <w:t>25</w:t>
            </w:r>
          </w:p>
        </w:tc>
        <w:tc>
          <w:tcPr>
            <w:tcW w:w="1960" w:type="dxa"/>
            <w:vAlign w:val="bottom"/>
            <w:tcBorders>
              <w:bottom w:val="single" w:sz="8" w:color="009FE3"/>
              <w:right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c>
          <w:tcPr>
            <w:tcW w:w="2020" w:type="dxa"/>
            <w:vAlign w:val="bottom"/>
            <w:tcBorders>
              <w:bottom w:val="single" w:sz="8" w:color="009FE3"/>
            </w:tcBorders>
          </w:tcPr>
          <w:p>
            <w:pPr>
              <w:jc w:val="right"/>
              <w:ind w:right="201"/>
              <w:spacing w:after="0"/>
              <w:rPr>
                <w:sz w:val="20"/>
                <w:szCs w:val="20"/>
                <w:color w:val="auto"/>
              </w:rPr>
            </w:pPr>
            <w:r>
              <w:rPr>
                <w:rFonts w:ascii="Arial" w:cs="Arial" w:eastAsia="Arial" w:hAnsi="Arial"/>
                <w:sz w:val="16"/>
                <w:szCs w:val="16"/>
                <w:color w:val="202E39"/>
              </w:rPr>
              <w:t>—</w:t>
            </w:r>
          </w:p>
        </w:tc>
      </w:tr>
    </w:tbl>
    <w:p>
      <w:pPr>
        <w:spacing w:after="0" w:line="126" w:lineRule="exact"/>
        <w:rPr>
          <w:sz w:val="20"/>
          <w:szCs w:val="20"/>
          <w:color w:val="auto"/>
        </w:rPr>
      </w:pPr>
    </w:p>
    <w:p>
      <w:pPr>
        <w:ind w:left="540" w:right="40" w:hanging="424"/>
        <w:spacing w:after="0" w:line="258" w:lineRule="auto"/>
        <w:tabs>
          <w:tab w:leader="none" w:pos="540" w:val="left"/>
        </w:tabs>
        <w:numPr>
          <w:ilvl w:val="0"/>
          <w:numId w:val="32"/>
        </w:numPr>
        <w:rPr>
          <w:rFonts w:ascii="Arial" w:cs="Arial" w:eastAsia="Arial" w:hAnsi="Arial"/>
          <w:sz w:val="14"/>
          <w:szCs w:val="14"/>
          <w:color w:val="202E39"/>
        </w:rPr>
      </w:pPr>
      <w:r>
        <w:rPr>
          <w:rFonts w:ascii="Arial" w:cs="Arial" w:eastAsia="Arial" w:hAnsi="Arial"/>
          <w:sz w:val="14"/>
          <w:szCs w:val="14"/>
          <w:color w:val="202E39"/>
        </w:rPr>
        <w:t>An itemized reconciliation between net income (loss) attributable to Viasat, Inc. common stockholders on a GAAP and non-GAAP basis for fiscal year 2020 is set forth below:</w:t>
      </w:r>
    </w:p>
    <w:p>
      <w:pPr>
        <w:spacing w:after="0" w:line="75" w:lineRule="exact"/>
        <w:rPr>
          <w:sz w:val="20"/>
          <w:szCs w:val="20"/>
          <w:color w:val="auto"/>
        </w:rPr>
      </w:pPr>
    </w:p>
    <w:tbl>
      <w:tblPr>
        <w:tblLayout w:type="fixed"/>
        <w:tblInd w:w="2320" w:type="dxa"/>
        <w:tblCellMar>
          <w:top w:w="0" w:type="dxa"/>
          <w:left w:w="0" w:type="dxa"/>
          <w:bottom w:w="0" w:type="dxa"/>
          <w:right w:w="0" w:type="dxa"/>
        </w:tblCellMar>
      </w:tblPr>
      <w:tr>
        <w:trPr>
          <w:trHeight w:val="203"/>
        </w:trPr>
        <w:tc>
          <w:tcPr>
            <w:tcW w:w="3660" w:type="dxa"/>
            <w:vAlign w:val="bottom"/>
            <w:tcBorders>
              <w:top w:val="single" w:sz="8" w:color="E8EAEB"/>
              <w:right w:val="single" w:sz="8" w:color="E8EAEB"/>
            </w:tcBorders>
          </w:tcPr>
          <w:p>
            <w:pPr>
              <w:spacing w:after="0"/>
              <w:rPr>
                <w:sz w:val="17"/>
                <w:szCs w:val="17"/>
                <w:color w:val="auto"/>
              </w:rPr>
            </w:pPr>
          </w:p>
        </w:tc>
        <w:tc>
          <w:tcPr>
            <w:tcW w:w="2960" w:type="dxa"/>
            <w:vAlign w:val="bottom"/>
            <w:tcBorders>
              <w:top w:val="single" w:sz="8" w:color="E8EAEB"/>
            </w:tcBorders>
            <w:gridSpan w:val="2"/>
          </w:tcPr>
          <w:p>
            <w:pPr>
              <w:jc w:val="right"/>
              <w:ind w:right="22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660" w:type="dxa"/>
            <w:vAlign w:val="bottom"/>
            <w:tcBorders>
              <w:bottom w:val="single" w:sz="8" w:color="009FE3"/>
              <w:right w:val="single" w:sz="8" w:color="E8EAEB"/>
            </w:tcBorders>
          </w:tcPr>
          <w:p>
            <w:pPr>
              <w:spacing w:after="0"/>
              <w:rPr>
                <w:sz w:val="17"/>
                <w:szCs w:val="17"/>
                <w:color w:val="auto"/>
              </w:rPr>
            </w:pPr>
          </w:p>
        </w:tc>
        <w:tc>
          <w:tcPr>
            <w:tcW w:w="2960" w:type="dxa"/>
            <w:vAlign w:val="bottom"/>
            <w:tcBorders>
              <w:bottom w:val="single" w:sz="8" w:color="009FE3"/>
            </w:tcBorders>
            <w:gridSpan w:val="2"/>
          </w:tcPr>
          <w:p>
            <w:pPr>
              <w:jc w:val="right"/>
              <w:ind w:right="328"/>
              <w:spacing w:after="0"/>
              <w:rPr>
                <w:sz w:val="20"/>
                <w:szCs w:val="20"/>
                <w:color w:val="auto"/>
              </w:rPr>
            </w:pPr>
            <w:r>
              <w:rPr>
                <w:rFonts w:ascii="Arial" w:cs="Arial" w:eastAsia="Arial" w:hAnsi="Arial"/>
                <w:sz w:val="14"/>
                <w:szCs w:val="14"/>
                <w:b w:val="1"/>
                <w:bCs w:val="1"/>
                <w:color w:val="009FE3"/>
              </w:rPr>
              <w:t>March 31, 2020</w:t>
            </w:r>
          </w:p>
        </w:tc>
      </w:tr>
      <w:tr>
        <w:trPr>
          <w:trHeight w:val="223"/>
        </w:trPr>
        <w:tc>
          <w:tcPr>
            <w:tcW w:w="36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 except per share data)</w:t>
            </w:r>
          </w:p>
        </w:tc>
        <w:tc>
          <w:tcPr>
            <w:tcW w:w="1840" w:type="dxa"/>
            <w:vAlign w:val="bottom"/>
            <w:tcBorders>
              <w:bottom w:val="single" w:sz="8" w:color="E8EAEB"/>
            </w:tcBorders>
          </w:tcPr>
          <w:p>
            <w:pPr>
              <w:spacing w:after="0"/>
              <w:rPr>
                <w:sz w:val="19"/>
                <w:szCs w:val="19"/>
                <w:color w:val="auto"/>
              </w:rPr>
            </w:pPr>
          </w:p>
        </w:tc>
        <w:tc>
          <w:tcPr>
            <w:tcW w:w="1120" w:type="dxa"/>
            <w:vAlign w:val="bottom"/>
            <w:tcBorders>
              <w:bottom w:val="single" w:sz="8" w:color="E8EAEB"/>
            </w:tcBorders>
          </w:tcPr>
          <w:p>
            <w:pPr>
              <w:spacing w:after="0"/>
              <w:rPr>
                <w:sz w:val="19"/>
                <w:szCs w:val="19"/>
                <w:color w:val="auto"/>
              </w:rPr>
            </w:pPr>
          </w:p>
        </w:tc>
      </w:tr>
      <w:tr>
        <w:trPr>
          <w:trHeight w:val="223"/>
        </w:trPr>
        <w:tc>
          <w:tcPr>
            <w:tcW w:w="36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GAAP net loss attributable to Viasat, Inc.</w:t>
            </w:r>
          </w:p>
        </w:tc>
        <w:tc>
          <w:tcPr>
            <w:tcW w:w="184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120" w:type="dxa"/>
            <w:vAlign w:val="bottom"/>
            <w:tcBorders>
              <w:bottom w:val="single" w:sz="8" w:color="E8EAEB"/>
            </w:tcBorders>
          </w:tcPr>
          <w:p>
            <w:pPr>
              <w:jc w:val="right"/>
              <w:ind w:right="508"/>
              <w:spacing w:after="0"/>
              <w:rPr>
                <w:sz w:val="20"/>
                <w:szCs w:val="20"/>
                <w:color w:val="auto"/>
              </w:rPr>
            </w:pPr>
            <w:r>
              <w:rPr>
                <w:rFonts w:ascii="Arial" w:cs="Arial" w:eastAsia="Arial" w:hAnsi="Arial"/>
                <w:sz w:val="14"/>
                <w:szCs w:val="14"/>
                <w:color w:val="202E39"/>
              </w:rPr>
              <w:t>(212)</w:t>
            </w:r>
          </w:p>
        </w:tc>
      </w:tr>
      <w:tr>
        <w:trPr>
          <w:trHeight w:val="223"/>
        </w:trPr>
        <w:tc>
          <w:tcPr>
            <w:tcW w:w="36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Amortization of acquired intangible assets</w:t>
            </w:r>
          </w:p>
        </w:tc>
        <w:tc>
          <w:tcPr>
            <w:tcW w:w="1840" w:type="dxa"/>
            <w:vAlign w:val="bottom"/>
            <w:tcBorders>
              <w:bottom w:val="single" w:sz="8" w:color="E8EAEB"/>
            </w:tcBorders>
          </w:tcPr>
          <w:p>
            <w:pPr>
              <w:spacing w:after="0"/>
              <w:rPr>
                <w:sz w:val="19"/>
                <w:szCs w:val="19"/>
                <w:color w:val="auto"/>
              </w:rPr>
            </w:pPr>
          </w:p>
        </w:tc>
        <w:tc>
          <w:tcPr>
            <w:tcW w:w="112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7,611</w:t>
            </w:r>
          </w:p>
        </w:tc>
      </w:tr>
      <w:tr>
        <w:trPr>
          <w:trHeight w:val="223"/>
        </w:trPr>
        <w:tc>
          <w:tcPr>
            <w:tcW w:w="36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1840" w:type="dxa"/>
            <w:vAlign w:val="bottom"/>
            <w:tcBorders>
              <w:bottom w:val="single" w:sz="8" w:color="E8EAEB"/>
            </w:tcBorders>
          </w:tcPr>
          <w:p>
            <w:pPr>
              <w:spacing w:after="0"/>
              <w:rPr>
                <w:sz w:val="19"/>
                <w:szCs w:val="19"/>
                <w:color w:val="auto"/>
              </w:rPr>
            </w:pPr>
          </w:p>
        </w:tc>
        <w:tc>
          <w:tcPr>
            <w:tcW w:w="112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86,553</w:t>
            </w:r>
          </w:p>
        </w:tc>
      </w:tr>
      <w:tr>
        <w:trPr>
          <w:trHeight w:val="223"/>
        </w:trPr>
        <w:tc>
          <w:tcPr>
            <w:tcW w:w="36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Income tax effect</w:t>
            </w:r>
          </w:p>
        </w:tc>
        <w:tc>
          <w:tcPr>
            <w:tcW w:w="1840" w:type="dxa"/>
            <w:vAlign w:val="bottom"/>
            <w:tcBorders>
              <w:bottom w:val="single" w:sz="8" w:color="009FE3"/>
            </w:tcBorders>
          </w:tcPr>
          <w:p>
            <w:pPr>
              <w:spacing w:after="0"/>
              <w:rPr>
                <w:sz w:val="19"/>
                <w:szCs w:val="19"/>
                <w:color w:val="auto"/>
              </w:rPr>
            </w:pPr>
          </w:p>
        </w:tc>
        <w:tc>
          <w:tcPr>
            <w:tcW w:w="1120" w:type="dxa"/>
            <w:vAlign w:val="bottom"/>
            <w:tcBorders>
              <w:bottom w:val="single" w:sz="8" w:color="009FE3"/>
            </w:tcBorders>
          </w:tcPr>
          <w:p>
            <w:pPr>
              <w:jc w:val="right"/>
              <w:ind w:right="508"/>
              <w:spacing w:after="0"/>
              <w:rPr>
                <w:sz w:val="20"/>
                <w:szCs w:val="20"/>
                <w:color w:val="auto"/>
              </w:rPr>
            </w:pPr>
            <w:r>
              <w:rPr>
                <w:rFonts w:ascii="Arial" w:cs="Arial" w:eastAsia="Arial" w:hAnsi="Arial"/>
                <w:sz w:val="14"/>
                <w:szCs w:val="14"/>
                <w:color w:val="202E39"/>
                <w:w w:val="99"/>
              </w:rPr>
              <w:t>(21,930)</w:t>
            </w:r>
          </w:p>
        </w:tc>
      </w:tr>
      <w:tr>
        <w:trPr>
          <w:trHeight w:val="223"/>
        </w:trPr>
        <w:tc>
          <w:tcPr>
            <w:tcW w:w="36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Non-GAAP net income attributable to Viasat, Inc.</w:t>
            </w:r>
          </w:p>
        </w:tc>
        <w:tc>
          <w:tcPr>
            <w:tcW w:w="184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w:t>
            </w:r>
          </w:p>
        </w:tc>
        <w:tc>
          <w:tcPr>
            <w:tcW w:w="1120" w:type="dxa"/>
            <w:vAlign w:val="bottom"/>
            <w:tcBorders>
              <w:bottom w:val="single" w:sz="8" w:color="009FE3"/>
            </w:tcBorders>
          </w:tcPr>
          <w:p>
            <w:pPr>
              <w:jc w:val="right"/>
              <w:ind w:right="548"/>
              <w:spacing w:after="0"/>
              <w:rPr>
                <w:sz w:val="20"/>
                <w:szCs w:val="20"/>
                <w:color w:val="auto"/>
              </w:rPr>
            </w:pPr>
            <w:r>
              <w:rPr>
                <w:rFonts w:ascii="Arial" w:cs="Arial" w:eastAsia="Arial" w:hAnsi="Arial"/>
                <w:sz w:val="14"/>
                <w:szCs w:val="14"/>
                <w:color w:val="202E39"/>
              </w:rPr>
              <w:t>72,022</w:t>
            </w:r>
          </w:p>
        </w:tc>
      </w:tr>
      <w:tr>
        <w:trPr>
          <w:trHeight w:val="207"/>
        </w:trPr>
        <w:tc>
          <w:tcPr>
            <w:tcW w:w="366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Non-GAAP diluted net income per share attributable to</w:t>
            </w: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8"/>
        </w:trPr>
        <w:tc>
          <w:tcPr>
            <w:tcW w:w="36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Viasat, Inc. common stockholders</w:t>
            </w:r>
          </w:p>
        </w:tc>
        <w:tc>
          <w:tcPr>
            <w:tcW w:w="184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12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1.14</w:t>
            </w:r>
          </w:p>
        </w:tc>
      </w:tr>
      <w:tr>
        <w:trPr>
          <w:trHeight w:val="223"/>
        </w:trPr>
        <w:tc>
          <w:tcPr>
            <w:tcW w:w="36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Shares used in computing diluted net income per share</w:t>
            </w:r>
          </w:p>
        </w:tc>
        <w:tc>
          <w:tcPr>
            <w:tcW w:w="1840" w:type="dxa"/>
            <w:vAlign w:val="bottom"/>
            <w:tcBorders>
              <w:bottom w:val="single" w:sz="8" w:color="009FE3"/>
            </w:tcBorders>
          </w:tcPr>
          <w:p>
            <w:pPr>
              <w:spacing w:after="0"/>
              <w:rPr>
                <w:sz w:val="19"/>
                <w:szCs w:val="19"/>
                <w:color w:val="auto"/>
              </w:rPr>
            </w:pPr>
          </w:p>
        </w:tc>
        <w:tc>
          <w:tcPr>
            <w:tcW w:w="1120" w:type="dxa"/>
            <w:vAlign w:val="bottom"/>
            <w:tcBorders>
              <w:bottom w:val="single" w:sz="8" w:color="009FE3"/>
            </w:tcBorders>
          </w:tcPr>
          <w:p>
            <w:pPr>
              <w:jc w:val="right"/>
              <w:ind w:right="548"/>
              <w:spacing w:after="0"/>
              <w:rPr>
                <w:sz w:val="20"/>
                <w:szCs w:val="20"/>
                <w:color w:val="auto"/>
              </w:rPr>
            </w:pPr>
            <w:r>
              <w:rPr>
                <w:rFonts w:ascii="Arial" w:cs="Arial" w:eastAsia="Arial" w:hAnsi="Arial"/>
                <w:sz w:val="14"/>
                <w:szCs w:val="14"/>
                <w:color w:val="202E39"/>
              </w:rPr>
              <w:t>63,021</w:t>
            </w:r>
          </w:p>
        </w:tc>
      </w:tr>
    </w:tbl>
    <w:p>
      <w:pPr>
        <w:spacing w:after="0" w:line="126" w:lineRule="exact"/>
        <w:rPr>
          <w:sz w:val="20"/>
          <w:szCs w:val="20"/>
          <w:color w:val="auto"/>
        </w:rPr>
      </w:pPr>
    </w:p>
    <w:p>
      <w:pPr>
        <w:ind w:left="540" w:right="160" w:hanging="424"/>
        <w:spacing w:after="0" w:line="247" w:lineRule="auto"/>
        <w:tabs>
          <w:tab w:leader="none" w:pos="540" w:val="left"/>
        </w:tabs>
        <w:numPr>
          <w:ilvl w:val="0"/>
          <w:numId w:val="33"/>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2020 is set forth below:</w:t>
      </w:r>
    </w:p>
    <w:p>
      <w:pPr>
        <w:spacing w:after="0" w:line="82" w:lineRule="exact"/>
        <w:rPr>
          <w:sz w:val="20"/>
          <w:szCs w:val="20"/>
          <w:color w:val="auto"/>
        </w:rPr>
      </w:pPr>
    </w:p>
    <w:tbl>
      <w:tblPr>
        <w:tblLayout w:type="fixed"/>
        <w:tblInd w:w="2860" w:type="dxa"/>
        <w:tblCellMar>
          <w:top w:w="0" w:type="dxa"/>
          <w:left w:w="0" w:type="dxa"/>
          <w:bottom w:w="0" w:type="dxa"/>
          <w:right w:w="0" w:type="dxa"/>
        </w:tblCellMar>
      </w:tblPr>
      <w:tr>
        <w:trPr>
          <w:trHeight w:val="203"/>
        </w:trPr>
        <w:tc>
          <w:tcPr>
            <w:tcW w:w="3600" w:type="dxa"/>
            <w:vAlign w:val="bottom"/>
            <w:tcBorders>
              <w:top w:val="single" w:sz="8" w:color="E8EAEB"/>
              <w:right w:val="single" w:sz="8" w:color="E8EAEB"/>
            </w:tcBorders>
          </w:tcPr>
          <w:p>
            <w:pPr>
              <w:spacing w:after="0"/>
              <w:rPr>
                <w:sz w:val="17"/>
                <w:szCs w:val="17"/>
                <w:color w:val="auto"/>
              </w:rPr>
            </w:pPr>
          </w:p>
        </w:tc>
        <w:tc>
          <w:tcPr>
            <w:tcW w:w="320" w:type="dxa"/>
            <w:vAlign w:val="bottom"/>
            <w:tcBorders>
              <w:top w:val="single" w:sz="8" w:color="E8EAEB"/>
            </w:tcBorders>
          </w:tcPr>
          <w:p>
            <w:pPr>
              <w:spacing w:after="0"/>
              <w:rPr>
                <w:sz w:val="17"/>
                <w:szCs w:val="17"/>
                <w:color w:val="auto"/>
              </w:rPr>
            </w:pPr>
          </w:p>
        </w:tc>
        <w:tc>
          <w:tcPr>
            <w:tcW w:w="1600" w:type="dxa"/>
            <w:vAlign w:val="bottom"/>
            <w:tcBorders>
              <w:top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600" w:type="dxa"/>
            <w:vAlign w:val="bottom"/>
            <w:tcBorders>
              <w:bottom w:val="single" w:sz="8" w:color="009FE3"/>
              <w:right w:val="single" w:sz="8" w:color="E8EAEB"/>
            </w:tcBorders>
          </w:tcPr>
          <w:p>
            <w:pPr>
              <w:spacing w:after="0"/>
              <w:rPr>
                <w:sz w:val="17"/>
                <w:szCs w:val="17"/>
                <w:color w:val="auto"/>
              </w:rPr>
            </w:pPr>
          </w:p>
        </w:tc>
        <w:tc>
          <w:tcPr>
            <w:tcW w:w="320" w:type="dxa"/>
            <w:vAlign w:val="bottom"/>
            <w:tcBorders>
              <w:bottom w:val="single" w:sz="8" w:color="009FE3"/>
            </w:tcBorders>
          </w:tcPr>
          <w:p>
            <w:pPr>
              <w:spacing w:after="0"/>
              <w:rPr>
                <w:sz w:val="17"/>
                <w:szCs w:val="17"/>
                <w:color w:val="auto"/>
              </w:rPr>
            </w:pPr>
          </w:p>
        </w:tc>
        <w:tc>
          <w:tcPr>
            <w:tcW w:w="1600" w:type="dxa"/>
            <w:vAlign w:val="bottom"/>
            <w:tcBorders>
              <w:bottom w:val="single" w:sz="8" w:color="009FE3"/>
            </w:tcBorders>
          </w:tcPr>
          <w:p>
            <w:pPr>
              <w:jc w:val="right"/>
              <w:ind w:right="368"/>
              <w:spacing w:after="0"/>
              <w:rPr>
                <w:sz w:val="20"/>
                <w:szCs w:val="20"/>
                <w:color w:val="auto"/>
              </w:rPr>
            </w:pPr>
            <w:r>
              <w:rPr>
                <w:rFonts w:ascii="Arial" w:cs="Arial" w:eastAsia="Arial" w:hAnsi="Arial"/>
                <w:sz w:val="14"/>
                <w:szCs w:val="14"/>
                <w:b w:val="1"/>
                <w:bCs w:val="1"/>
                <w:color w:val="009FE3"/>
              </w:rPr>
              <w:t>March 31, 2020</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w:t>
            </w:r>
          </w:p>
        </w:tc>
        <w:tc>
          <w:tcPr>
            <w:tcW w:w="320" w:type="dxa"/>
            <w:vAlign w:val="bottom"/>
            <w:tcBorders>
              <w:bottom w:val="single" w:sz="8" w:color="E8EAEB"/>
            </w:tcBorders>
          </w:tcPr>
          <w:p>
            <w:pPr>
              <w:spacing w:after="0"/>
              <w:rPr>
                <w:sz w:val="19"/>
                <w:szCs w:val="19"/>
                <w:color w:val="auto"/>
              </w:rPr>
            </w:pPr>
          </w:p>
        </w:tc>
        <w:tc>
          <w:tcPr>
            <w:tcW w:w="1600" w:type="dxa"/>
            <w:vAlign w:val="bottom"/>
            <w:tcBorders>
              <w:bottom w:val="single" w:sz="8" w:color="E8EAEB"/>
            </w:tcBorders>
          </w:tcPr>
          <w:p>
            <w:pPr>
              <w:spacing w:after="0"/>
              <w:rPr>
                <w:sz w:val="19"/>
                <w:szCs w:val="19"/>
                <w:color w:val="auto"/>
              </w:rPr>
            </w:pP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GAAP net loss attributable to Viasat, Inc.</w:t>
            </w:r>
          </w:p>
        </w:tc>
        <w:tc>
          <w:tcPr>
            <w:tcW w:w="32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600" w:type="dxa"/>
            <w:vAlign w:val="bottom"/>
            <w:tcBorders>
              <w:bottom w:val="single" w:sz="8" w:color="E8EAEB"/>
            </w:tcBorders>
          </w:tcPr>
          <w:p>
            <w:pPr>
              <w:jc w:val="right"/>
              <w:ind w:right="48"/>
              <w:spacing w:after="0"/>
              <w:rPr>
                <w:sz w:val="20"/>
                <w:szCs w:val="20"/>
                <w:color w:val="auto"/>
              </w:rPr>
            </w:pPr>
            <w:r>
              <w:rPr>
                <w:rFonts w:ascii="Arial" w:cs="Arial" w:eastAsia="Arial" w:hAnsi="Arial"/>
                <w:sz w:val="14"/>
                <w:szCs w:val="14"/>
                <w:color w:val="202E39"/>
              </w:rPr>
              <w:t>(212)</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Benefit for income taxes</w:t>
            </w:r>
          </w:p>
        </w:tc>
        <w:tc>
          <w:tcPr>
            <w:tcW w:w="320" w:type="dxa"/>
            <w:vAlign w:val="bottom"/>
            <w:tcBorders>
              <w:bottom w:val="single" w:sz="8" w:color="E8EAEB"/>
            </w:tcBorders>
          </w:tcPr>
          <w:p>
            <w:pPr>
              <w:spacing w:after="0"/>
              <w:rPr>
                <w:sz w:val="19"/>
                <w:szCs w:val="19"/>
                <w:color w:val="auto"/>
              </w:rPr>
            </w:pPr>
          </w:p>
        </w:tc>
        <w:tc>
          <w:tcPr>
            <w:tcW w:w="1600" w:type="dxa"/>
            <w:vAlign w:val="bottom"/>
            <w:tcBorders>
              <w:bottom w:val="single" w:sz="8" w:color="E8EAEB"/>
            </w:tcBorders>
          </w:tcPr>
          <w:p>
            <w:pPr>
              <w:jc w:val="right"/>
              <w:ind w:right="48"/>
              <w:spacing w:after="0"/>
              <w:rPr>
                <w:sz w:val="20"/>
                <w:szCs w:val="20"/>
                <w:color w:val="auto"/>
              </w:rPr>
            </w:pPr>
            <w:r>
              <w:rPr>
                <w:rFonts w:ascii="Arial" w:cs="Arial" w:eastAsia="Arial" w:hAnsi="Arial"/>
                <w:sz w:val="14"/>
                <w:szCs w:val="14"/>
                <w:color w:val="202E39"/>
              </w:rPr>
              <w:t>(7,915)</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Interest expense, net</w:t>
            </w:r>
          </w:p>
        </w:tc>
        <w:tc>
          <w:tcPr>
            <w:tcW w:w="320" w:type="dxa"/>
            <w:vAlign w:val="bottom"/>
            <w:tcBorders>
              <w:bottom w:val="single" w:sz="8" w:color="E8EAEB"/>
            </w:tcBorders>
          </w:tcPr>
          <w:p>
            <w:pPr>
              <w:spacing w:after="0"/>
              <w:rPr>
                <w:sz w:val="19"/>
                <w:szCs w:val="19"/>
                <w:color w:val="auto"/>
              </w:rPr>
            </w:pPr>
          </w:p>
        </w:tc>
        <w:tc>
          <w:tcPr>
            <w:tcW w:w="16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36,993</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Depreciation and amortization</w:t>
            </w:r>
          </w:p>
        </w:tc>
        <w:tc>
          <w:tcPr>
            <w:tcW w:w="320" w:type="dxa"/>
            <w:vAlign w:val="bottom"/>
            <w:tcBorders>
              <w:bottom w:val="single" w:sz="8" w:color="E8EAEB"/>
            </w:tcBorders>
          </w:tcPr>
          <w:p>
            <w:pPr>
              <w:spacing w:after="0"/>
              <w:rPr>
                <w:sz w:val="19"/>
                <w:szCs w:val="19"/>
                <w:color w:val="auto"/>
              </w:rPr>
            </w:pPr>
          </w:p>
        </w:tc>
        <w:tc>
          <w:tcPr>
            <w:tcW w:w="160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342,178</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320" w:type="dxa"/>
            <w:vAlign w:val="bottom"/>
            <w:tcBorders>
              <w:bottom w:val="single" w:sz="8" w:color="009FE3"/>
            </w:tcBorders>
          </w:tcPr>
          <w:p>
            <w:pPr>
              <w:spacing w:after="0"/>
              <w:rPr>
                <w:sz w:val="19"/>
                <w:szCs w:val="19"/>
                <w:color w:val="auto"/>
              </w:rPr>
            </w:pPr>
          </w:p>
        </w:tc>
        <w:tc>
          <w:tcPr>
            <w:tcW w:w="160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86,553</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Adjusted EBITDA</w:t>
            </w:r>
          </w:p>
        </w:tc>
        <w:tc>
          <w:tcPr>
            <w:tcW w:w="32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w:t>
            </w:r>
          </w:p>
        </w:tc>
        <w:tc>
          <w:tcPr>
            <w:tcW w:w="160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457,597</w:t>
            </w:r>
          </w:p>
        </w:tc>
      </w:tr>
    </w:tbl>
    <w:p>
      <w:pPr>
        <w:spacing w:after="0" w:line="110"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202E39"/>
        </w:rPr>
        <w:t>Based on our fiscal year 2020 financial results, the Committee, acting under delegation of authority from the Board, determined that the company’s achievement relative to the pre-established financial objectives described above was approximately 106%.</w:t>
      </w:r>
    </w:p>
    <w:p>
      <w:pPr>
        <w:spacing w:after="0" w:line="71" w:lineRule="exact"/>
        <w:rPr>
          <w:sz w:val="20"/>
          <w:szCs w:val="20"/>
          <w:color w:val="auto"/>
        </w:rPr>
      </w:pPr>
    </w:p>
    <w:p>
      <w:pPr>
        <w:ind w:left="120" w:right="100"/>
        <w:spacing w:after="0" w:line="255" w:lineRule="auto"/>
        <w:rPr>
          <w:sz w:val="20"/>
          <w:szCs w:val="20"/>
          <w:color w:val="auto"/>
        </w:rPr>
      </w:pPr>
      <w:r>
        <w:rPr>
          <w:rFonts w:ascii="Arial" w:cs="Arial" w:eastAsia="Arial" w:hAnsi="Arial"/>
          <w:sz w:val="16"/>
          <w:szCs w:val="16"/>
          <w:i w:val="1"/>
          <w:iCs w:val="1"/>
          <w:color w:val="009FE3"/>
        </w:rPr>
        <w:t xml:space="preserve">Chief Executive Officer Annual Bonus Determination. </w:t>
      </w:r>
      <w:r>
        <w:rPr>
          <w:rFonts w:ascii="Arial" w:cs="Arial" w:eastAsia="Arial" w:hAnsi="Arial"/>
          <w:sz w:val="16"/>
          <w:szCs w:val="16"/>
          <w:color w:val="202E39"/>
        </w:rPr>
        <w:t>In response to stockholder feedback, the Committee increased the weighting of the objective,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financial criteria described above for purposes of determining the annual bonus for our Chief Executive Officer to 50% in fiscal year 2020 (compared to 33% in fiscal year 2019), and decreased the weighting for each of the leadership and strategic criteria to 25% (compared to 33% in fiscal year 2019). For purposes of determining our Chief Executive Officer’s performance achievement for the leadership and strategic objectives in fiscal year 2020, the Committee relied on an assessment of our Chief Executive Officer’s performance completed by the Nomination, Evaluation and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82550</wp:posOffset>
            </wp:positionV>
            <wp:extent cx="42862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202E39"/>
        </w:rPr>
        <w:t>Governance Committee. The criteria used by the Nomination, Evaluation and Corporate Governance Committee for our Chief Executive Officer’s fiscal year 2020 evaluation included the following:</w:t>
      </w:r>
    </w:p>
    <w:p>
      <w:pPr>
        <w:spacing w:after="0" w:line="101" w:lineRule="exact"/>
        <w:rPr>
          <w:sz w:val="20"/>
          <w:szCs w:val="20"/>
          <w:color w:val="auto"/>
        </w:rPr>
      </w:pPr>
    </w:p>
    <w:p>
      <w:pPr>
        <w:ind w:left="660" w:hanging="220"/>
        <w:spacing w:after="0"/>
        <w:tabs>
          <w:tab w:leader="none" w:pos="660" w:val="left"/>
        </w:tabs>
        <w:numPr>
          <w:ilvl w:val="0"/>
          <w:numId w:val="34"/>
        </w:numPr>
        <w:rPr>
          <w:rFonts w:ascii="Arial" w:cs="Arial" w:eastAsia="Arial" w:hAnsi="Arial"/>
          <w:sz w:val="16"/>
          <w:szCs w:val="16"/>
          <w:color w:val="009FE3"/>
        </w:rPr>
      </w:pPr>
      <w:r>
        <w:rPr>
          <w:rFonts w:ascii="Arial" w:cs="Arial" w:eastAsia="Arial" w:hAnsi="Arial"/>
          <w:sz w:val="16"/>
          <w:szCs w:val="16"/>
          <w:color w:val="009FE3"/>
        </w:rPr>
        <w:t xml:space="preserve">Leadership.  </w:t>
      </w:r>
      <w:r>
        <w:rPr>
          <w:rFonts w:ascii="Arial" w:cs="Arial" w:eastAsia="Arial" w:hAnsi="Arial"/>
          <w:sz w:val="16"/>
          <w:szCs w:val="16"/>
          <w:color w:val="202E39"/>
        </w:rPr>
        <w:t>Defining, managing and attaining corporate goals, and exemplifying and promoting ethics and integrity throughout the company.</w:t>
      </w:r>
    </w:p>
    <w:p>
      <w:pPr>
        <w:spacing w:after="0" w:line="72" w:lineRule="exact"/>
        <w:rPr>
          <w:rFonts w:ascii="Arial" w:cs="Arial" w:eastAsia="Arial" w:hAnsi="Arial"/>
          <w:sz w:val="16"/>
          <w:szCs w:val="16"/>
          <w:color w:val="009FE3"/>
        </w:rPr>
      </w:pPr>
    </w:p>
    <w:p>
      <w:pPr>
        <w:ind w:left="660" w:right="180" w:hanging="220"/>
        <w:spacing w:after="0" w:line="260" w:lineRule="auto"/>
        <w:tabs>
          <w:tab w:leader="none" w:pos="660" w:val="left"/>
        </w:tabs>
        <w:numPr>
          <w:ilvl w:val="0"/>
          <w:numId w:val="34"/>
        </w:numPr>
        <w:rPr>
          <w:rFonts w:ascii="Arial" w:cs="Arial" w:eastAsia="Arial" w:hAnsi="Arial"/>
          <w:sz w:val="16"/>
          <w:szCs w:val="16"/>
          <w:color w:val="009FE3"/>
        </w:rPr>
      </w:pPr>
      <w:r>
        <w:rPr>
          <w:rFonts w:ascii="Arial" w:cs="Arial" w:eastAsia="Arial" w:hAnsi="Arial"/>
          <w:sz w:val="16"/>
          <w:szCs w:val="16"/>
          <w:color w:val="009FE3"/>
        </w:rPr>
        <w:t xml:space="preserve">Strategic. </w:t>
      </w:r>
      <w:r>
        <w:rPr>
          <w:rFonts w:ascii="Arial" w:cs="Arial" w:eastAsia="Arial" w:hAnsi="Arial"/>
          <w:sz w:val="16"/>
          <w:szCs w:val="16"/>
          <w:color w:val="202E39"/>
        </w:rPr>
        <w:t>Industry positioning, short-term and long-term strategies, measurable progress in key business areas and effective pursuit of growth</w:t>
      </w:r>
      <w:r>
        <w:rPr>
          <w:rFonts w:ascii="Arial" w:cs="Arial" w:eastAsia="Arial" w:hAnsi="Arial"/>
          <w:sz w:val="16"/>
          <w:szCs w:val="16"/>
          <w:color w:val="009FE3"/>
        </w:rPr>
        <w:t xml:space="preserve"> </w:t>
      </w:r>
      <w:r>
        <w:rPr>
          <w:rFonts w:ascii="Arial" w:cs="Arial" w:eastAsia="Arial" w:hAnsi="Arial"/>
          <w:sz w:val="16"/>
          <w:szCs w:val="16"/>
          <w:color w:val="202E39"/>
        </w:rPr>
        <w:t>strategies.</w:t>
      </w:r>
    </w:p>
    <w:p>
      <w:pPr>
        <w:spacing w:after="0" w:line="87"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202E39"/>
        </w:rPr>
        <w:t>The Nomination, Evaluation and Corporate Governance Committee evaluated our Chief Executive Officer’s leadership and strategic performance during fiscal year 2020 in the context of the company’s strong financial results relative to the pre-established, objective financial criteria described above, and noted, among other things,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611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611630"/>
                    </a:xfrm>
                    <a:prstGeom prst="rect">
                      <a:avLst/>
                    </a:prstGeom>
                    <a:noFill/>
                  </pic:spPr>
                </pic:pic>
              </a:graphicData>
            </a:graphic>
          </wp:anchor>
        </w:drawing>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5620" w:type="dxa"/>
            <w:vAlign w:val="bottom"/>
            <w:shd w:val="clear" w:color="auto" w:fill="009FE3"/>
          </w:tcPr>
          <w:p>
            <w:pPr>
              <w:ind w:left="2080"/>
              <w:spacing w:after="0"/>
              <w:rPr>
                <w:sz w:val="20"/>
                <w:szCs w:val="20"/>
                <w:color w:val="auto"/>
              </w:rPr>
            </w:pPr>
            <w:r>
              <w:rPr>
                <w:rFonts w:ascii="Arial" w:cs="Arial" w:eastAsia="Arial" w:hAnsi="Arial"/>
                <w:sz w:val="14"/>
                <w:szCs w:val="14"/>
                <w:b w:val="1"/>
                <w:bCs w:val="1"/>
                <w:color w:val="FFFFFF"/>
              </w:rPr>
              <w:t>Leadership Performance</w:t>
            </w:r>
          </w:p>
        </w:tc>
        <w:tc>
          <w:tcPr>
            <w:tcW w:w="5400" w:type="dxa"/>
            <w:vAlign w:val="bottom"/>
            <w:shd w:val="clear" w:color="auto" w:fill="009FE3"/>
          </w:tcPr>
          <w:p>
            <w:pPr>
              <w:ind w:left="1980"/>
              <w:spacing w:after="0"/>
              <w:rPr>
                <w:sz w:val="20"/>
                <w:szCs w:val="20"/>
                <w:color w:val="auto"/>
              </w:rPr>
            </w:pPr>
            <w:r>
              <w:rPr>
                <w:rFonts w:ascii="Arial" w:cs="Arial" w:eastAsia="Arial" w:hAnsi="Arial"/>
                <w:sz w:val="14"/>
                <w:szCs w:val="14"/>
                <w:b w:val="1"/>
                <w:bCs w:val="1"/>
                <w:color w:val="FFFFFF"/>
              </w:rPr>
              <w:t>Strategic Performance</w:t>
            </w:r>
          </w:p>
        </w:tc>
      </w:tr>
      <w:tr>
        <w:trPr>
          <w:trHeight w:val="23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Named to Glassdoor’s 2020 Best Places to Work for U.S. Large Employers</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Continued progress on proprietary next-generation ViaSat-3 satellite</w:t>
            </w:r>
          </w:p>
        </w:tc>
      </w:tr>
      <w:tr>
        <w:trPr>
          <w:trHeight w:val="195"/>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payload and ground network</w:t>
            </w:r>
          </w:p>
        </w:tc>
      </w:tr>
      <w:tr>
        <w:trPr>
          <w:trHeight w:val="264"/>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Ranked #12 on Fortune Magazine’s 2019 list of companies changing the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Made significant progress in Latin American and European expansion</w:t>
            </w:r>
          </w:p>
        </w:tc>
      </w:tr>
      <w:tr>
        <w:trPr>
          <w:trHeight w:val="19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world</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efforts in advance of next-generation ViaSat-3 satellite launches</w:t>
            </w:r>
          </w:p>
        </w:tc>
      </w:tr>
      <w:tr>
        <w:trPr>
          <w:trHeight w:val="264"/>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Named Global Satellite Business of the Year at the 2019 World Satellite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Contracted by the U.S. Air Force to deliver the world’s first Link</w:t>
            </w:r>
          </w:p>
        </w:tc>
      </w:tr>
      <w:tr>
        <w:trPr>
          <w:trHeight w:val="19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Business Week conference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16-capable low earth orbit (LEO) spacecraft</w:t>
            </w:r>
          </w:p>
        </w:tc>
      </w:tr>
      <w:tr>
        <w:trPr>
          <w:trHeight w:val="264"/>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Named one of the 2019 Best Places to Work by Disability:IN and the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Entered first of its kind agreement for in-flight video distribution and</w:t>
            </w:r>
          </w:p>
        </w:tc>
      </w:tr>
      <w:tr>
        <w:trPr>
          <w:trHeight w:val="19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American Association of People with Disabilities (AAPD)</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technology with FuboTV</w:t>
            </w:r>
          </w:p>
        </w:tc>
      </w:tr>
      <w:tr>
        <w:trPr>
          <w:trHeight w:val="264"/>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Further strengthened leadership team, with the addition of three key</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Awarded sole-source IDIQ contract for small tactical terminals by the U.S.</w:t>
            </w:r>
          </w:p>
        </w:tc>
      </w:tr>
      <w:tr>
        <w:trPr>
          <w:trHeight w:val="208"/>
        </w:trPr>
        <w:tc>
          <w:tcPr>
            <w:tcW w:w="5620" w:type="dxa"/>
            <w:vAlign w:val="bottom"/>
            <w:tcBorders>
              <w:bottom w:val="single" w:sz="8" w:color="009FE3"/>
            </w:tcBorders>
            <w:shd w:val="clear" w:color="auto" w:fill="EDEEEF"/>
          </w:tcPr>
          <w:p>
            <w:pPr>
              <w:ind w:left="60"/>
              <w:spacing w:after="0"/>
              <w:rPr>
                <w:sz w:val="20"/>
                <w:szCs w:val="20"/>
                <w:color w:val="auto"/>
              </w:rPr>
            </w:pPr>
            <w:r>
              <w:rPr>
                <w:rFonts w:ascii="Arial" w:cs="Arial" w:eastAsia="Arial" w:hAnsi="Arial"/>
                <w:sz w:val="16"/>
                <w:szCs w:val="16"/>
                <w:color w:val="202E39"/>
              </w:rPr>
              <w:t>executive hires in critical business areas</w:t>
            </w:r>
          </w:p>
        </w:tc>
        <w:tc>
          <w:tcPr>
            <w:tcW w:w="5400" w:type="dxa"/>
            <w:vAlign w:val="bottom"/>
            <w:tcBorders>
              <w:bottom w:val="single" w:sz="8" w:color="009FE3"/>
            </w:tcBorders>
            <w:shd w:val="clear" w:color="auto" w:fill="EDEEEF"/>
          </w:tcPr>
          <w:p>
            <w:pPr>
              <w:ind w:left="120"/>
              <w:spacing w:after="0"/>
              <w:rPr>
                <w:sz w:val="20"/>
                <w:szCs w:val="20"/>
                <w:color w:val="auto"/>
              </w:rPr>
            </w:pPr>
            <w:r>
              <w:rPr>
                <w:rFonts w:ascii="Arial" w:cs="Arial" w:eastAsia="Arial" w:hAnsi="Arial"/>
                <w:sz w:val="16"/>
                <w:szCs w:val="16"/>
                <w:color w:val="202E39"/>
              </w:rPr>
              <w:t>Navy that enables sales to international military partners</w:t>
            </w:r>
          </w:p>
        </w:tc>
      </w:tr>
    </w:tbl>
    <w:p>
      <w:pPr>
        <w:spacing w:after="0" w:line="110"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202E39"/>
        </w:rPr>
        <w:t>Based on the accomplishments set forth above, as well as the achievement of other leadership and strategic objectives, the Nomination, Evaluation and Corporate Governance Committee awarded Mr. Dankberg 100% credit on each of the leadership and strategic performance objectives. The Committee relied on the foregoing evaluations in determining Mr. Dankberg’s final annual bonus award recommendation to the Board.</w:t>
      </w:r>
    </w:p>
    <w:p>
      <w:pPr>
        <w:spacing w:after="0" w:line="77"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i w:val="1"/>
          <w:iCs w:val="1"/>
          <w:color w:val="009FE3"/>
        </w:rPr>
        <w:t xml:space="preserve">Other Named Executive Officers Annual Bonus Results. </w:t>
      </w:r>
      <w:r>
        <w:rPr>
          <w:rFonts w:ascii="Arial" w:cs="Arial" w:eastAsia="Arial" w:hAnsi="Arial"/>
          <w:sz w:val="16"/>
          <w:szCs w:val="16"/>
          <w:color w:val="202E39"/>
        </w:rPr>
        <w:t>In making its overall determinations relative to the leadership and strategic components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other Named Executive Officers’ bonuses, the Committee assigned the same weightings to the financial (50% of annual bonus determination), leadership (25%) and strategic (25%) performance criteria that it used for our Chief Executive Officer. The Committee placed special emphasis on the leadership provided by each executive in the achievement of financial, critical non-financial, operational and strategic business objectives during fiscal year 2020. In particular, the Committee considered each individual’s contributions during fiscal year 2020 to the achievement of record revenues, a significantly lower net loss, and record Adjusted EBITDA; the continued advancement of our next-generation, high-capacity ViaSat-3 satellite program, including strategic positioning efforts in key geographies that will be covered by ViaSat-3 satellites; our continued disruption of the IFC market, including growing aircraft in service and average revenue per aircraft; our continued growth in the Government Systems segment; and the receipt of multiple awards related to workplace culture, innovation and social good:</w:t>
      </w:r>
    </w:p>
    <w:p>
      <w:pPr>
        <w:spacing w:after="0" w:line="114" w:lineRule="exact"/>
        <w:rPr>
          <w:sz w:val="20"/>
          <w:szCs w:val="20"/>
          <w:color w:val="auto"/>
        </w:rPr>
      </w:pPr>
    </w:p>
    <w:p>
      <w:pPr>
        <w:ind w:left="660" w:right="40" w:hanging="220"/>
        <w:spacing w:after="0" w:line="253" w:lineRule="auto"/>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Mr. Baldridge: </w:t>
      </w:r>
      <w:r>
        <w:rPr>
          <w:rFonts w:ascii="Arial" w:cs="Arial" w:eastAsia="Arial" w:hAnsi="Arial"/>
          <w:sz w:val="16"/>
          <w:szCs w:val="16"/>
          <w:color w:val="202E39"/>
        </w:rPr>
        <w:t>Leadership was instrumental in driving the execution of our fiscal year 2020 business strategy focused on execution to realize the</w:t>
      </w:r>
      <w:r>
        <w:rPr>
          <w:rFonts w:ascii="Arial" w:cs="Arial" w:eastAsia="Arial" w:hAnsi="Arial"/>
          <w:sz w:val="16"/>
          <w:szCs w:val="16"/>
          <w:color w:val="009FE3"/>
        </w:rPr>
        <w:t xml:space="preserve"> </w:t>
      </w:r>
      <w:r>
        <w:rPr>
          <w:rFonts w:ascii="Arial" w:cs="Arial" w:eastAsia="Arial" w:hAnsi="Arial"/>
          <w:sz w:val="16"/>
          <w:szCs w:val="16"/>
          <w:color w:val="202E39"/>
        </w:rPr>
        <w:t>value of prior year investments, while also keeping pace with continued investments in the ViaSat-3 constellation, which resulted in record revenue, a significantly lower net loss and record Adjusted EBITDA</w:t>
      </w:r>
    </w:p>
    <w:p>
      <w:pPr>
        <w:spacing w:after="0" w:line="52" w:lineRule="exact"/>
        <w:rPr>
          <w:rFonts w:ascii="Arial" w:cs="Arial" w:eastAsia="Arial" w:hAnsi="Arial"/>
          <w:sz w:val="16"/>
          <w:szCs w:val="16"/>
          <w:color w:val="009FE3"/>
        </w:rPr>
      </w:pPr>
    </w:p>
    <w:p>
      <w:pPr>
        <w:ind w:left="660" w:right="20" w:hanging="220"/>
        <w:spacing w:after="0" w:line="260" w:lineRule="auto"/>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Ms. Duffy: </w:t>
      </w:r>
      <w:r>
        <w:rPr>
          <w:rFonts w:ascii="Arial" w:cs="Arial" w:eastAsia="Arial" w:hAnsi="Arial"/>
          <w:sz w:val="16"/>
          <w:szCs w:val="16"/>
          <w:color w:val="202E39"/>
        </w:rPr>
        <w:t>Leadership over capital allocation strategies resulted in a sharp improvement in our net loss for the year and record Adjusted EBITDA</w:t>
      </w:r>
      <w:r>
        <w:rPr>
          <w:rFonts w:ascii="Arial" w:cs="Arial" w:eastAsia="Arial" w:hAnsi="Arial"/>
          <w:sz w:val="16"/>
          <w:szCs w:val="16"/>
          <w:color w:val="009FE3"/>
        </w:rPr>
        <w:t xml:space="preserve"> </w:t>
      </w:r>
      <w:r>
        <w:rPr>
          <w:rFonts w:ascii="Arial" w:cs="Arial" w:eastAsia="Arial" w:hAnsi="Arial"/>
          <w:sz w:val="16"/>
          <w:szCs w:val="16"/>
          <w:color w:val="202E39"/>
        </w:rPr>
        <w:t>performance, while continuing to keep on pace with our investments in long-term growth strategies</w:t>
      </w:r>
    </w:p>
    <w:p>
      <w:pPr>
        <w:spacing w:after="0" w:line="46" w:lineRule="exact"/>
        <w:rPr>
          <w:rFonts w:ascii="Arial" w:cs="Arial" w:eastAsia="Arial" w:hAnsi="Arial"/>
          <w:sz w:val="16"/>
          <w:szCs w:val="16"/>
          <w:color w:val="009FE3"/>
        </w:rPr>
      </w:pPr>
    </w:p>
    <w:p>
      <w:pPr>
        <w:ind w:left="660" w:right="320" w:hanging="220"/>
        <w:spacing w:after="0" w:line="251" w:lineRule="auto"/>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Mr. Harkenrider: </w:t>
      </w:r>
      <w:r>
        <w:rPr>
          <w:rFonts w:ascii="Arial" w:cs="Arial" w:eastAsia="Arial" w:hAnsi="Arial"/>
          <w:sz w:val="16"/>
          <w:szCs w:val="16"/>
          <w:color w:val="202E39"/>
        </w:rPr>
        <w:t>Leadership of our broadband services business generated increased demand for fixed broadband services and continued</w:t>
      </w:r>
      <w:r>
        <w:rPr>
          <w:rFonts w:ascii="Arial" w:cs="Arial" w:eastAsia="Arial" w:hAnsi="Arial"/>
          <w:sz w:val="16"/>
          <w:szCs w:val="16"/>
          <w:color w:val="009FE3"/>
        </w:rPr>
        <w:t xml:space="preserve"> </w:t>
      </w:r>
      <w:r>
        <w:rPr>
          <w:rFonts w:ascii="Arial" w:cs="Arial" w:eastAsia="Arial" w:hAnsi="Arial"/>
          <w:sz w:val="16"/>
          <w:szCs w:val="16"/>
          <w:color w:val="202E39"/>
        </w:rPr>
        <w:t>growth in average revenue per user (ARPU), while also driving our IFC business to continued strong growth with nearly 1,400 in-service commercial aircraft at the end of the fiscal year and 13% year-over-year revenue growth in the fourth quarter despite the impact of reduced air travel</w:t>
      </w:r>
    </w:p>
    <w:p>
      <w:pPr>
        <w:spacing w:after="0" w:line="53" w:lineRule="exact"/>
        <w:rPr>
          <w:rFonts w:ascii="Arial" w:cs="Arial" w:eastAsia="Arial" w:hAnsi="Arial"/>
          <w:sz w:val="16"/>
          <w:szCs w:val="16"/>
          <w:color w:val="009FE3"/>
        </w:rPr>
      </w:pPr>
    </w:p>
    <w:p>
      <w:pPr>
        <w:ind w:left="660" w:right="400" w:hanging="220"/>
        <w:spacing w:after="0" w:line="253" w:lineRule="auto"/>
        <w:tabs>
          <w:tab w:leader="none" w:pos="660" w:val="left"/>
        </w:tabs>
        <w:numPr>
          <w:ilvl w:val="0"/>
          <w:numId w:val="35"/>
        </w:numPr>
        <w:rPr>
          <w:rFonts w:ascii="Arial" w:cs="Arial" w:eastAsia="Arial" w:hAnsi="Arial"/>
          <w:sz w:val="16"/>
          <w:szCs w:val="16"/>
          <w:color w:val="009FE3"/>
        </w:rPr>
      </w:pPr>
      <w:r>
        <w:rPr>
          <w:rFonts w:ascii="Arial" w:cs="Arial" w:eastAsia="Arial" w:hAnsi="Arial"/>
          <w:sz w:val="16"/>
          <w:szCs w:val="16"/>
          <w:color w:val="009FE3"/>
        </w:rPr>
        <w:t xml:space="preserve">Mr. Peterman: </w:t>
      </w:r>
      <w:r>
        <w:rPr>
          <w:rFonts w:ascii="Arial" w:cs="Arial" w:eastAsia="Arial" w:hAnsi="Arial"/>
          <w:sz w:val="16"/>
          <w:szCs w:val="16"/>
          <w:color w:val="202E39"/>
        </w:rPr>
        <w:t>Leadership of our Government Systems segment and its exceptional execution of our vertical integration strategy resulted in</w:t>
      </w:r>
      <w:r>
        <w:rPr>
          <w:rFonts w:ascii="Arial" w:cs="Arial" w:eastAsia="Arial" w:hAnsi="Arial"/>
          <w:sz w:val="16"/>
          <w:szCs w:val="16"/>
          <w:color w:val="009FE3"/>
        </w:rPr>
        <w:t xml:space="preserve"> </w:t>
      </w:r>
      <w:r>
        <w:rPr>
          <w:rFonts w:ascii="Arial" w:cs="Arial" w:eastAsia="Arial" w:hAnsi="Arial"/>
          <w:sz w:val="16"/>
          <w:szCs w:val="16"/>
          <w:color w:val="202E39"/>
        </w:rPr>
        <w:t>another record year for both revenues and Adjusted EBITDA, all while positioning the business as a market leader with a sustained growth trajectory</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39</w:t>
            </w: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880"/>
        <w:spacing w:after="0" w:line="260" w:lineRule="auto"/>
        <w:rPr>
          <w:sz w:val="20"/>
          <w:szCs w:val="20"/>
          <w:color w:val="auto"/>
        </w:rPr>
      </w:pPr>
      <w:r>
        <w:rPr>
          <w:rFonts w:ascii="Arial" w:cs="Arial" w:eastAsia="Arial" w:hAnsi="Arial"/>
          <w:sz w:val="16"/>
          <w:szCs w:val="16"/>
          <w:color w:val="202E39"/>
        </w:rPr>
        <w:t>Additionally, the Committee assessed the total direct compensation positioning for each Named Executive Officer to ensure final decisions are appropriately market competitive relative to each executive officers’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217170</wp:posOffset>
            </wp:positionV>
            <wp:extent cx="5220335" cy="548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203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202E39"/>
        </w:rPr>
        <w:t>Based upon our financial results for fiscal year 2020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2020:</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2020 Bonuses</w:t>
      </w:r>
      <w:r>
        <w:rPr>
          <w:rFonts w:ascii="Arial" w:cs="Arial" w:eastAsia="Arial" w:hAnsi="Arial"/>
          <w:sz w:val="16"/>
          <w:szCs w:val="16"/>
          <w:b w:val="1"/>
          <w:bCs w:val="1"/>
          <w:color w:val="202E39"/>
        </w:rPr>
        <w:t>1</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60" w:type="dxa"/>
            <w:vAlign w:val="bottom"/>
            <w:tcBorders>
              <w:top w:val="single" w:sz="8" w:color="E8EAEB"/>
              <w:right w:val="single" w:sz="8" w:color="E8EAEB"/>
            </w:tcBorders>
          </w:tcPr>
          <w:p>
            <w:pPr>
              <w:spacing w:after="0"/>
              <w:rPr>
                <w:sz w:val="17"/>
                <w:szCs w:val="17"/>
                <w:color w:val="auto"/>
              </w:rPr>
            </w:pPr>
          </w:p>
        </w:tc>
        <w:tc>
          <w:tcPr>
            <w:tcW w:w="12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Target Bonus</w:t>
            </w:r>
          </w:p>
        </w:tc>
        <w:tc>
          <w:tcPr>
            <w:tcW w:w="1860" w:type="dxa"/>
            <w:vAlign w:val="bottom"/>
            <w:tcBorders>
              <w:top w:val="single" w:sz="8" w:color="E8EAEB"/>
              <w:right w:val="single" w:sz="8" w:color="E8EAEB"/>
            </w:tcBorders>
          </w:tcPr>
          <w:p>
            <w:pPr>
              <w:spacing w:after="0"/>
              <w:rPr>
                <w:sz w:val="17"/>
                <w:szCs w:val="17"/>
                <w:color w:val="auto"/>
              </w:rPr>
            </w:pPr>
          </w:p>
        </w:tc>
        <w:tc>
          <w:tcPr>
            <w:tcW w:w="18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Actual Bonus</w:t>
            </w:r>
          </w:p>
        </w:tc>
      </w:tr>
      <w:tr>
        <w:trPr>
          <w:trHeight w:val="162"/>
        </w:trPr>
        <w:tc>
          <w:tcPr>
            <w:tcW w:w="6060" w:type="dxa"/>
            <w:vAlign w:val="bottom"/>
            <w:tcBorders>
              <w:right w:val="single" w:sz="8" w:color="E8EAEB"/>
            </w:tcBorders>
          </w:tcPr>
          <w:p>
            <w:pPr>
              <w:spacing w:after="0"/>
              <w:rPr>
                <w:sz w:val="14"/>
                <w:szCs w:val="14"/>
                <w:color w:val="auto"/>
              </w:rPr>
            </w:pP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Percentage of</w:t>
            </w:r>
          </w:p>
        </w:tc>
        <w:tc>
          <w:tcPr>
            <w:tcW w:w="1860" w:type="dxa"/>
            <w:vAlign w:val="bottom"/>
            <w:tcBorders>
              <w:right w:val="single" w:sz="8" w:color="E8EAEB"/>
            </w:tcBorders>
          </w:tcPr>
          <w:p>
            <w:pPr>
              <w:jc w:val="right"/>
              <w:ind w:right="402"/>
              <w:spacing w:after="0"/>
              <w:rPr>
                <w:sz w:val="20"/>
                <w:szCs w:val="20"/>
                <w:color w:val="auto"/>
              </w:rPr>
            </w:pPr>
            <w:r>
              <w:rPr>
                <w:rFonts w:ascii="Arial" w:cs="Arial" w:eastAsia="Arial" w:hAnsi="Arial"/>
                <w:sz w:val="14"/>
                <w:szCs w:val="14"/>
                <w:b w:val="1"/>
                <w:bCs w:val="1"/>
                <w:color w:val="009FE3"/>
              </w:rPr>
              <w:t>Actual Bonus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9FE3"/>
              </w:rPr>
              <w:t>As Percentage of</w:t>
            </w:r>
          </w:p>
        </w:tc>
      </w:tr>
      <w:tr>
        <w:trPr>
          <w:trHeight w:val="202"/>
        </w:trPr>
        <w:tc>
          <w:tcPr>
            <w:tcW w:w="60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Base Salary (%)</w:t>
            </w:r>
          </w:p>
        </w:tc>
        <w:tc>
          <w:tcPr>
            <w:tcW w:w="1860" w:type="dxa"/>
            <w:vAlign w:val="bottom"/>
            <w:tcBorders>
              <w:bottom w:val="single" w:sz="8" w:color="009FE3"/>
              <w:right w:val="single" w:sz="8" w:color="E8EAEB"/>
            </w:tcBorders>
          </w:tcPr>
          <w:p>
            <w:pPr>
              <w:jc w:val="right"/>
              <w:ind w:right="782"/>
              <w:spacing w:after="0"/>
              <w:rPr>
                <w:sz w:val="20"/>
                <w:szCs w:val="20"/>
                <w:color w:val="auto"/>
              </w:rPr>
            </w:pPr>
            <w:r>
              <w:rPr>
                <w:rFonts w:ascii="Arial" w:cs="Arial" w:eastAsia="Arial" w:hAnsi="Arial"/>
                <w:sz w:val="14"/>
                <w:szCs w:val="14"/>
                <w:b w:val="1"/>
                <w:bCs w:val="1"/>
                <w:color w:val="009FE3"/>
              </w:rPr>
              <w:t>($)</w:t>
            </w:r>
          </w:p>
        </w:tc>
        <w:tc>
          <w:tcPr>
            <w:tcW w:w="18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Base Salary (%)</w:t>
            </w:r>
          </w:p>
        </w:tc>
      </w:tr>
      <w:tr>
        <w:trPr>
          <w:trHeight w:val="244"/>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2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140</w:t>
            </w:r>
          </w:p>
        </w:tc>
        <w:tc>
          <w:tcPr>
            <w:tcW w:w="1860" w:type="dxa"/>
            <w:vAlign w:val="bottom"/>
            <w:tcBorders>
              <w:bottom w:val="single" w:sz="8" w:color="E8EAEB"/>
              <w:right w:val="single" w:sz="8" w:color="E8EAEB"/>
            </w:tcBorders>
          </w:tcPr>
          <w:p>
            <w:pPr>
              <w:jc w:val="right"/>
              <w:ind w:right="202"/>
              <w:spacing w:after="0"/>
              <w:rPr>
                <w:sz w:val="20"/>
                <w:szCs w:val="20"/>
                <w:color w:val="auto"/>
              </w:rPr>
            </w:pPr>
            <w:r>
              <w:rPr>
                <w:rFonts w:ascii="Arial" w:cs="Arial" w:eastAsia="Arial" w:hAnsi="Arial"/>
                <w:sz w:val="16"/>
                <w:szCs w:val="16"/>
                <w:color w:val="202E39"/>
              </w:rPr>
              <w:t>1,700,000</w:t>
            </w:r>
          </w:p>
        </w:tc>
        <w:tc>
          <w:tcPr>
            <w:tcW w:w="1840" w:type="dxa"/>
            <w:vAlign w:val="bottom"/>
            <w:tcBorders>
              <w:bottom w:val="single" w:sz="8" w:color="E8EAEB"/>
            </w:tcBorders>
          </w:tcPr>
          <w:p>
            <w:pPr>
              <w:jc w:val="right"/>
              <w:ind w:right="542"/>
              <w:spacing w:after="0"/>
              <w:rPr>
                <w:sz w:val="20"/>
                <w:szCs w:val="20"/>
                <w:color w:val="auto"/>
              </w:rPr>
            </w:pPr>
            <w:r>
              <w:rPr>
                <w:rFonts w:ascii="Arial" w:cs="Arial" w:eastAsia="Arial" w:hAnsi="Arial"/>
                <w:sz w:val="16"/>
                <w:szCs w:val="16"/>
                <w:color w:val="202E39"/>
              </w:rPr>
              <w:t>131</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2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140</w:t>
            </w:r>
          </w:p>
        </w:tc>
        <w:tc>
          <w:tcPr>
            <w:tcW w:w="1860" w:type="dxa"/>
            <w:vAlign w:val="bottom"/>
            <w:tcBorders>
              <w:bottom w:val="single" w:sz="8" w:color="E8EAEB"/>
              <w:right w:val="single" w:sz="8" w:color="E8EAEB"/>
            </w:tcBorders>
          </w:tcPr>
          <w:p>
            <w:pPr>
              <w:jc w:val="right"/>
              <w:ind w:right="202"/>
              <w:spacing w:after="0"/>
              <w:rPr>
                <w:sz w:val="20"/>
                <w:szCs w:val="20"/>
                <w:color w:val="auto"/>
              </w:rPr>
            </w:pPr>
            <w:r>
              <w:rPr>
                <w:rFonts w:ascii="Arial" w:cs="Arial" w:eastAsia="Arial" w:hAnsi="Arial"/>
                <w:sz w:val="16"/>
                <w:szCs w:val="16"/>
                <w:color w:val="202E39"/>
              </w:rPr>
              <w:t>1,500,000</w:t>
            </w:r>
          </w:p>
        </w:tc>
        <w:tc>
          <w:tcPr>
            <w:tcW w:w="1840" w:type="dxa"/>
            <w:vAlign w:val="bottom"/>
            <w:tcBorders>
              <w:bottom w:val="single" w:sz="8" w:color="E8EAEB"/>
            </w:tcBorders>
          </w:tcPr>
          <w:p>
            <w:pPr>
              <w:jc w:val="right"/>
              <w:ind w:right="542"/>
              <w:spacing w:after="0"/>
              <w:rPr>
                <w:sz w:val="20"/>
                <w:szCs w:val="20"/>
                <w:color w:val="auto"/>
              </w:rPr>
            </w:pPr>
            <w:r>
              <w:rPr>
                <w:rFonts w:ascii="Arial" w:cs="Arial" w:eastAsia="Arial" w:hAnsi="Arial"/>
                <w:sz w:val="16"/>
                <w:szCs w:val="16"/>
                <w:color w:val="202E39"/>
              </w:rPr>
              <w:t>136</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2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90</w:t>
            </w:r>
          </w:p>
        </w:tc>
        <w:tc>
          <w:tcPr>
            <w:tcW w:w="1860" w:type="dxa"/>
            <w:vAlign w:val="bottom"/>
            <w:tcBorders>
              <w:bottom w:val="single" w:sz="8" w:color="E8EAEB"/>
              <w:right w:val="single" w:sz="8" w:color="E8EAEB"/>
            </w:tcBorders>
          </w:tcPr>
          <w:p>
            <w:pPr>
              <w:jc w:val="right"/>
              <w:ind w:right="202"/>
              <w:spacing w:after="0"/>
              <w:rPr>
                <w:sz w:val="20"/>
                <w:szCs w:val="20"/>
                <w:color w:val="auto"/>
              </w:rPr>
            </w:pPr>
            <w:r>
              <w:rPr>
                <w:rFonts w:ascii="Arial" w:cs="Arial" w:eastAsia="Arial" w:hAnsi="Arial"/>
                <w:sz w:val="16"/>
                <w:szCs w:val="16"/>
                <w:color w:val="202E39"/>
              </w:rPr>
              <w:t>590,000</w:t>
            </w:r>
          </w:p>
        </w:tc>
        <w:tc>
          <w:tcPr>
            <w:tcW w:w="1840" w:type="dxa"/>
            <w:vAlign w:val="bottom"/>
            <w:tcBorders>
              <w:bottom w:val="single" w:sz="8" w:color="E8EAEB"/>
            </w:tcBorders>
          </w:tcPr>
          <w:p>
            <w:pPr>
              <w:jc w:val="right"/>
              <w:ind w:right="542"/>
              <w:spacing w:after="0"/>
              <w:rPr>
                <w:sz w:val="20"/>
                <w:szCs w:val="20"/>
                <w:color w:val="auto"/>
              </w:rPr>
            </w:pPr>
            <w:r>
              <w:rPr>
                <w:rFonts w:ascii="Arial" w:cs="Arial" w:eastAsia="Arial" w:hAnsi="Arial"/>
                <w:sz w:val="16"/>
                <w:szCs w:val="16"/>
                <w:color w:val="202E39"/>
              </w:rPr>
              <w:t>103</w:t>
            </w:r>
          </w:p>
        </w:tc>
      </w:tr>
      <w:tr>
        <w:trPr>
          <w:trHeight w:val="250"/>
        </w:trPr>
        <w:tc>
          <w:tcPr>
            <w:tcW w:w="60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2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85</w:t>
            </w:r>
          </w:p>
        </w:tc>
        <w:tc>
          <w:tcPr>
            <w:tcW w:w="1860" w:type="dxa"/>
            <w:vAlign w:val="bottom"/>
            <w:tcBorders>
              <w:bottom w:val="single" w:sz="8" w:color="E8EAEB"/>
              <w:right w:val="single" w:sz="8" w:color="E8EAEB"/>
            </w:tcBorders>
          </w:tcPr>
          <w:p>
            <w:pPr>
              <w:jc w:val="right"/>
              <w:ind w:right="202"/>
              <w:spacing w:after="0"/>
              <w:rPr>
                <w:sz w:val="20"/>
                <w:szCs w:val="20"/>
                <w:color w:val="auto"/>
              </w:rPr>
            </w:pPr>
            <w:r>
              <w:rPr>
                <w:rFonts w:ascii="Arial" w:cs="Arial" w:eastAsia="Arial" w:hAnsi="Arial"/>
                <w:sz w:val="16"/>
                <w:szCs w:val="16"/>
                <w:color w:val="202E39"/>
              </w:rPr>
              <w:t>525,000</w:t>
            </w:r>
          </w:p>
        </w:tc>
        <w:tc>
          <w:tcPr>
            <w:tcW w:w="1840" w:type="dxa"/>
            <w:vAlign w:val="bottom"/>
            <w:tcBorders>
              <w:bottom w:val="single" w:sz="8" w:color="E8EAEB"/>
            </w:tcBorders>
          </w:tcPr>
          <w:p>
            <w:pPr>
              <w:jc w:val="right"/>
              <w:ind w:right="542"/>
              <w:spacing w:after="0"/>
              <w:rPr>
                <w:sz w:val="20"/>
                <w:szCs w:val="20"/>
                <w:color w:val="auto"/>
              </w:rPr>
            </w:pPr>
            <w:r>
              <w:rPr>
                <w:rFonts w:ascii="Arial" w:cs="Arial" w:eastAsia="Arial" w:hAnsi="Arial"/>
                <w:sz w:val="16"/>
                <w:szCs w:val="16"/>
                <w:color w:val="202E39"/>
              </w:rPr>
              <w:t>91</w:t>
            </w:r>
          </w:p>
        </w:tc>
      </w:tr>
      <w:tr>
        <w:trPr>
          <w:trHeight w:val="250"/>
        </w:trPr>
        <w:tc>
          <w:tcPr>
            <w:tcW w:w="60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rPr>
              <w:t>90</w:t>
            </w:r>
          </w:p>
        </w:tc>
        <w:tc>
          <w:tcPr>
            <w:tcW w:w="1860" w:type="dxa"/>
            <w:vAlign w:val="bottom"/>
            <w:tcBorders>
              <w:bottom w:val="single" w:sz="8" w:color="009FE3"/>
              <w:right w:val="single" w:sz="8" w:color="E8EAEB"/>
            </w:tcBorders>
          </w:tcPr>
          <w:p>
            <w:pPr>
              <w:jc w:val="right"/>
              <w:ind w:right="202"/>
              <w:spacing w:after="0"/>
              <w:rPr>
                <w:sz w:val="20"/>
                <w:szCs w:val="20"/>
                <w:color w:val="auto"/>
              </w:rPr>
            </w:pPr>
            <w:r>
              <w:rPr>
                <w:rFonts w:ascii="Arial" w:cs="Arial" w:eastAsia="Arial" w:hAnsi="Arial"/>
                <w:sz w:val="16"/>
                <w:szCs w:val="16"/>
                <w:color w:val="202E39"/>
              </w:rPr>
              <w:t>765,000</w:t>
            </w:r>
          </w:p>
        </w:tc>
        <w:tc>
          <w:tcPr>
            <w:tcW w:w="1840" w:type="dxa"/>
            <w:vAlign w:val="bottom"/>
            <w:tcBorders>
              <w:bottom w:val="single" w:sz="8" w:color="009FE3"/>
            </w:tcBorders>
          </w:tcPr>
          <w:p>
            <w:pPr>
              <w:jc w:val="right"/>
              <w:ind w:right="542"/>
              <w:spacing w:after="0"/>
              <w:rPr>
                <w:sz w:val="20"/>
                <w:szCs w:val="20"/>
                <w:color w:val="auto"/>
              </w:rPr>
            </w:pPr>
            <w:r>
              <w:rPr>
                <w:rFonts w:ascii="Arial" w:cs="Arial" w:eastAsia="Arial" w:hAnsi="Arial"/>
                <w:sz w:val="16"/>
                <w:szCs w:val="16"/>
                <w:color w:val="202E39"/>
              </w:rPr>
              <w:t>102</w:t>
            </w:r>
          </w:p>
        </w:tc>
      </w:tr>
    </w:tbl>
    <w:p>
      <w:pPr>
        <w:spacing w:after="0" w:line="126"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4"/>
          <w:szCs w:val="14"/>
          <w:color w:val="202E39"/>
        </w:rPr>
      </w:pPr>
      <w:r>
        <w:rPr>
          <w:rFonts w:ascii="Arial" w:cs="Arial" w:eastAsia="Arial" w:hAnsi="Arial"/>
          <w:sz w:val="14"/>
          <w:szCs w:val="14"/>
          <w:color w:val="202E39"/>
        </w:rPr>
        <w:t>In response to stockholder feedback, the Committee established a maximum bonus payout of 250% of each executive officer’s target bonus opportunity in 2020.</w:t>
      </w:r>
    </w:p>
    <w:p>
      <w:pPr>
        <w:spacing w:after="0" w:line="106"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6"/>
          <w:szCs w:val="16"/>
          <w:color w:val="202E39"/>
        </w:rPr>
        <w:t>In light of the impact of the COVID-19 pandemic on the global business environment, our Chief Executive Officer and President requested that their fiscal year 2020 annual performance bonus awards be no more than the awards they received for fiscal year 2019 performance, regardless of actual company and individual achievements.</w:t>
      </w:r>
    </w:p>
    <w:p>
      <w:pPr>
        <w:spacing w:after="0" w:line="7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009FE3"/>
        </w:rPr>
        <w:t xml:space="preserve">Equity-Based Compensation. </w:t>
      </w:r>
      <w:r>
        <w:rPr>
          <w:rFonts w:ascii="Arial" w:cs="Arial" w:eastAsia="Arial" w:hAnsi="Arial"/>
          <w:sz w:val="16"/>
          <w:szCs w:val="16"/>
          <w:color w:val="202E39"/>
        </w:rPr>
        <w:t>Consistent with our belief that equity-based compensation is a key component of an effective executive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at growth-oriented technology companies, particularly one with non-linear growth, our Board approved (upon recommendation of the Committee) long-term equity awards to our executive officers in fiscal year 2020. The Committee determined equity award levels for fiscal year 2020 in a manner consistent with the determination of base salary and annual bonuses. The Committee considered (1) the industry compensation data described above,</w:t>
      </w:r>
    </w:p>
    <w:p>
      <w:pPr>
        <w:spacing w:after="0" w:line="2" w:lineRule="exact"/>
        <w:rPr>
          <w:sz w:val="20"/>
          <w:szCs w:val="20"/>
          <w:color w:val="auto"/>
        </w:rPr>
      </w:pPr>
    </w:p>
    <w:p>
      <w:pPr>
        <w:ind w:left="360" w:hanging="244"/>
        <w:spacing w:after="0"/>
        <w:tabs>
          <w:tab w:leader="none" w:pos="360" w:val="left"/>
        </w:tabs>
        <w:numPr>
          <w:ilvl w:val="0"/>
          <w:numId w:val="37"/>
        </w:numPr>
        <w:rPr>
          <w:rFonts w:ascii="Arial" w:cs="Arial" w:eastAsia="Arial" w:hAnsi="Arial"/>
          <w:sz w:val="16"/>
          <w:szCs w:val="16"/>
          <w:color w:val="202E39"/>
        </w:rPr>
      </w:pPr>
      <w:r>
        <w:rPr>
          <w:rFonts w:ascii="Arial" w:cs="Arial" w:eastAsia="Arial" w:hAnsi="Arial"/>
          <w:sz w:val="16"/>
          <w:szCs w:val="16"/>
          <w:color w:val="202E39"/>
        </w:rPr>
        <w:t>individual performance and contributions, (3) total executive compensation, (4) stockholder feedback on our executive compensation program, and</w:t>
      </w:r>
    </w:p>
    <w:p>
      <w:pPr>
        <w:spacing w:after="0" w:line="5" w:lineRule="exact"/>
        <w:rPr>
          <w:rFonts w:ascii="Arial" w:cs="Arial" w:eastAsia="Arial" w:hAnsi="Arial"/>
          <w:sz w:val="16"/>
          <w:szCs w:val="16"/>
          <w:color w:val="202E39"/>
        </w:rPr>
      </w:pPr>
    </w:p>
    <w:p>
      <w:pPr>
        <w:ind w:left="120" w:right="80" w:hanging="4"/>
        <w:spacing w:after="0" w:line="260" w:lineRule="auto"/>
        <w:tabs>
          <w:tab w:leader="none" w:pos="363" w:val="left"/>
        </w:tabs>
        <w:numPr>
          <w:ilvl w:val="0"/>
          <w:numId w:val="38"/>
        </w:numPr>
        <w:rPr>
          <w:rFonts w:ascii="Arial" w:cs="Arial" w:eastAsia="Arial" w:hAnsi="Arial"/>
          <w:sz w:val="16"/>
          <w:szCs w:val="16"/>
          <w:color w:val="202E39"/>
        </w:rPr>
      </w:pPr>
      <w:r>
        <w:rPr>
          <w:rFonts w:ascii="Arial" w:cs="Arial" w:eastAsia="Arial" w:hAnsi="Arial"/>
          <w:sz w:val="16"/>
          <w:szCs w:val="16"/>
          <w:color w:val="202E39"/>
        </w:rPr>
        <w:t>the availability and affordability of shares for equity grants in determining equity compensation for our executive officers. In determining the availability and affordability of shares for the fiscal year 2020 equity awards for our executive officers, the Committee also considered:</w:t>
      </w:r>
    </w:p>
    <w:p>
      <w:pPr>
        <w:spacing w:after="0" w:line="100" w:lineRule="exact"/>
        <w:rPr>
          <w:rFonts w:ascii="Arial" w:cs="Arial" w:eastAsia="Arial" w:hAnsi="Arial"/>
          <w:sz w:val="16"/>
          <w:szCs w:val="16"/>
          <w:color w:val="202E39"/>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expected future retention of both executives and non-executives,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1"/>
          <w:numId w:val="38"/>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11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Based on the factors discussed above, our Board (upon recommendation from the Committee) approved equity awards in a combination of time-based restricted stock units and performance-based stock options for our Named Executive Officers in November 2019. Our Board determined that this combination of equity awards balances executive retention and motivation while also further promoting the alignment of executive compensation with the creation of long-term stockholder value.</w:t>
      </w:r>
    </w:p>
    <w:p>
      <w:pPr>
        <w:spacing w:after="0" w:line="7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i w:val="1"/>
          <w:iCs w:val="1"/>
          <w:color w:val="009FE3"/>
        </w:rPr>
        <w:t>Performance-Based Stock Options</w:t>
      </w:r>
      <w:r>
        <w:rPr>
          <w:rFonts w:ascii="Arial" w:cs="Arial" w:eastAsia="Arial" w:hAnsi="Arial"/>
          <w:sz w:val="16"/>
          <w:szCs w:val="16"/>
          <w:b w:val="1"/>
          <w:bCs w:val="1"/>
          <w:color w:val="009FE3"/>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Performance-based stock options were introduced during fiscal year 2018 to promote stockholder value creation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over a multi-year period by rewarding our executive officers for long-term stock price appreciation. Our Board selected TSR over a four-year period as the sole performance metric as our Board members believe TSR is the strongest indicator of long-term stockholder value creation. Delivering the award in the form of a performance-based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81280</wp:posOffset>
            </wp:positionV>
            <wp:extent cx="42862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w:t>
      </w:r>
    </w:p>
    <w:p>
      <w:pPr>
        <w:spacing w:after="0" w:line="77"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i w:val="1"/>
          <w:iCs w:val="1"/>
          <w:color w:val="202E39"/>
        </w:rPr>
        <w:t xml:space="preserve">Performance-Contingent Vesting Component. </w:t>
      </w:r>
      <w:r>
        <w:rPr>
          <w:rFonts w:ascii="Arial" w:cs="Arial" w:eastAsia="Arial" w:hAnsi="Arial"/>
          <w:sz w:val="16"/>
          <w:szCs w:val="16"/>
          <w:color w:val="202E39"/>
        </w:rPr>
        <w:t>Awards will vest based on Viasat’s four-year TSR performance relative to the S&amp;P MidCap 400 index</w:t>
      </w:r>
      <w:r>
        <w:rPr>
          <w:rFonts w:ascii="Arial" w:cs="Arial" w:eastAsia="Arial" w:hAnsi="Arial"/>
          <w:sz w:val="16"/>
          <w:szCs w:val="16"/>
          <w:i w:val="1"/>
          <w:iCs w:val="1"/>
          <w:color w:val="202E39"/>
        </w:rPr>
        <w:t xml:space="preserve"> </w:t>
      </w:r>
      <w:r>
        <w:rPr>
          <w:rFonts w:ascii="Arial" w:cs="Arial" w:eastAsia="Arial" w:hAnsi="Arial"/>
          <w:sz w:val="16"/>
          <w:szCs w:val="16"/>
          <w:color w:val="202E39"/>
        </w:rPr>
        <w:t>according to the following chart:</w:t>
      </w:r>
    </w:p>
    <w:p>
      <w:pPr>
        <w:spacing w:after="0" w:line="66" w:lineRule="exact"/>
        <w:rPr>
          <w:sz w:val="20"/>
          <w:szCs w:val="20"/>
          <w:color w:val="auto"/>
        </w:rPr>
      </w:pPr>
    </w:p>
    <w:p>
      <w:pPr>
        <w:ind w:left="660" w:right="100" w:hanging="220"/>
        <w:spacing w:after="0" w:line="181" w:lineRule="auto"/>
        <w:tabs>
          <w:tab w:leader="none" w:pos="660" w:val="left"/>
        </w:tabs>
        <w:numPr>
          <w:ilvl w:val="0"/>
          <w:numId w:val="39"/>
        </w:numPr>
        <w:rPr>
          <w:rFonts w:ascii="Arial" w:cs="Arial" w:eastAsia="Arial" w:hAnsi="Arial"/>
          <w:sz w:val="16"/>
          <w:szCs w:val="16"/>
          <w:color w:val="009FE3"/>
        </w:rPr>
      </w:pPr>
      <w:r>
        <w:rPr>
          <w:rFonts w:ascii="Arial" w:cs="Arial" w:eastAsia="Arial" w:hAnsi="Arial"/>
          <w:sz w:val="16"/>
          <w:szCs w:val="16"/>
          <w:i w:val="1"/>
          <w:iCs w:val="1"/>
          <w:color w:val="202E39"/>
        </w:rPr>
        <w:t>Above the 25</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and below the 90</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percentiles: </w:t>
      </w:r>
      <w:r>
        <w:rPr>
          <w:rFonts w:ascii="Arial" w:cs="Arial" w:eastAsia="Arial" w:hAnsi="Arial"/>
          <w:sz w:val="16"/>
          <w:szCs w:val="16"/>
          <w:color w:val="202E39"/>
        </w:rPr>
        <w:t>Awards will vest on a linear scale between a range of 50% and 175% of target, where the target is</w:t>
      </w:r>
      <w:r>
        <w:rPr>
          <w:rFonts w:ascii="Arial" w:cs="Arial" w:eastAsia="Arial" w:hAnsi="Arial"/>
          <w:sz w:val="16"/>
          <w:szCs w:val="16"/>
          <w:i w:val="1"/>
          <w:iCs w:val="1"/>
          <w:color w:val="202E39"/>
        </w:rPr>
        <w:t xml:space="preserve"> </w:t>
      </w:r>
      <w:r>
        <w:rPr>
          <w:rFonts w:ascii="Arial" w:cs="Arial" w:eastAsia="Arial" w:hAnsi="Arial"/>
          <w:sz w:val="16"/>
          <w:szCs w:val="16"/>
          <w:color w:val="202E39"/>
        </w:rPr>
        <w:t>achieved at the 50</w:t>
      </w:r>
      <w:r>
        <w:rPr>
          <w:rFonts w:ascii="Arial" w:cs="Arial" w:eastAsia="Arial" w:hAnsi="Arial"/>
          <w:sz w:val="26"/>
          <w:szCs w:val="26"/>
          <w:color w:val="202E39"/>
          <w:vertAlign w:val="superscript"/>
        </w:rPr>
        <w:t>th</w:t>
      </w:r>
      <w:r>
        <w:rPr>
          <w:rFonts w:ascii="Arial" w:cs="Arial" w:eastAsia="Arial" w:hAnsi="Arial"/>
          <w:sz w:val="16"/>
          <w:szCs w:val="16"/>
          <w:color w:val="202E39"/>
        </w:rPr>
        <w:t xml:space="preserve"> percentile (with the resulting number of stock options that ultimately vest at the end of the performance period referred to as the performance-adjusted options)</w:t>
      </w:r>
    </w:p>
    <w:p>
      <w:pPr>
        <w:spacing w:after="0" w:line="44" w:lineRule="exact"/>
        <w:rPr>
          <w:rFonts w:ascii="Arial" w:cs="Arial" w:eastAsia="Arial" w:hAnsi="Arial"/>
          <w:sz w:val="16"/>
          <w:szCs w:val="16"/>
          <w:color w:val="009FE3"/>
        </w:rPr>
      </w:pPr>
    </w:p>
    <w:p>
      <w:pPr>
        <w:ind w:left="660" w:hanging="220"/>
        <w:spacing w:after="0"/>
        <w:tabs>
          <w:tab w:leader="none" w:pos="660" w:val="left"/>
        </w:tabs>
        <w:numPr>
          <w:ilvl w:val="0"/>
          <w:numId w:val="39"/>
        </w:numPr>
        <w:rPr>
          <w:rFonts w:ascii="Arial" w:cs="Arial" w:eastAsia="Arial" w:hAnsi="Arial"/>
          <w:sz w:val="16"/>
          <w:szCs w:val="16"/>
          <w:color w:val="009FE3"/>
        </w:rPr>
      </w:pPr>
      <w:r>
        <w:rPr>
          <w:rFonts w:ascii="Arial" w:cs="Arial" w:eastAsia="Arial" w:hAnsi="Arial"/>
          <w:sz w:val="16"/>
          <w:szCs w:val="16"/>
          <w:i w:val="1"/>
          <w:iCs w:val="1"/>
          <w:color w:val="202E39"/>
        </w:rPr>
        <w:t>At or below 25</w:t>
      </w:r>
      <w:r>
        <w:rPr>
          <w:rFonts w:ascii="Arial" w:cs="Arial" w:eastAsia="Arial" w:hAnsi="Arial"/>
          <w:sz w:val="27"/>
          <w:szCs w:val="27"/>
          <w:i w:val="1"/>
          <w:iCs w:val="1"/>
          <w:color w:val="202E39"/>
          <w:vertAlign w:val="superscript"/>
        </w:rPr>
        <w:t>th</w:t>
      </w:r>
      <w:r>
        <w:rPr>
          <w:rFonts w:ascii="Arial" w:cs="Arial" w:eastAsia="Arial" w:hAnsi="Arial"/>
          <w:sz w:val="16"/>
          <w:szCs w:val="16"/>
          <w:i w:val="1"/>
          <w:iCs w:val="1"/>
          <w:color w:val="202E39"/>
        </w:rPr>
        <w:t xml:space="preserve"> percentile: </w:t>
      </w:r>
      <w:r>
        <w:rPr>
          <w:rFonts w:ascii="Arial" w:cs="Arial" w:eastAsia="Arial" w:hAnsi="Arial"/>
          <w:sz w:val="16"/>
          <w:szCs w:val="16"/>
          <w:color w:val="202E39"/>
        </w:rPr>
        <w:t>No performance-based stock options will vest and they will be forfeited by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10795</wp:posOffset>
            </wp:positionV>
            <wp:extent cx="2880360" cy="685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803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i w:val="1"/>
          <w:iCs w:val="1"/>
          <w:color w:val="202E39"/>
        </w:rPr>
        <w:t xml:space="preserve">Time-Based Vesting Component. </w:t>
      </w:r>
      <w:r>
        <w:rPr>
          <w:rFonts w:ascii="Arial" w:cs="Arial" w:eastAsia="Arial" w:hAnsi="Arial"/>
          <w:sz w:val="16"/>
          <w:szCs w:val="16"/>
          <w:color w:val="202E39"/>
        </w:rPr>
        <w:t>The performance-based stock options are also subject to a time-based vesting component. A Named Executive</w:t>
      </w:r>
      <w:r>
        <w:rPr>
          <w:rFonts w:ascii="Arial" w:cs="Arial" w:eastAsia="Arial" w:hAnsi="Arial"/>
          <w:sz w:val="16"/>
          <w:szCs w:val="16"/>
          <w:i w:val="1"/>
          <w:iCs w:val="1"/>
          <w:color w:val="202E39"/>
        </w:rPr>
        <w:t xml:space="preserve"> </w:t>
      </w:r>
      <w:r>
        <w:rPr>
          <w:rFonts w:ascii="Arial" w:cs="Arial" w:eastAsia="Arial" w:hAnsi="Arial"/>
          <w:sz w:val="16"/>
          <w:szCs w:val="16"/>
          <w:color w:val="202E39"/>
        </w:rPr>
        <w:t>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The performance-based stock options must be vested under both the time-based vesting schedule and the performance-based vesting conditions in order to become exercisable by a Named Executive Officer.</w:t>
      </w:r>
    </w:p>
    <w:p>
      <w:pPr>
        <w:spacing w:after="0" w:line="84" w:lineRule="exact"/>
        <w:rPr>
          <w:sz w:val="20"/>
          <w:szCs w:val="20"/>
          <w:color w:val="auto"/>
        </w:rPr>
      </w:pPr>
    </w:p>
    <w:p>
      <w:pPr>
        <w:ind w:left="120" w:right="40"/>
        <w:spacing w:after="0" w:line="231" w:lineRule="auto"/>
        <w:rPr>
          <w:sz w:val="20"/>
          <w:szCs w:val="20"/>
          <w:color w:val="auto"/>
        </w:rPr>
      </w:pPr>
      <w:r>
        <w:rPr>
          <w:rFonts w:ascii="Arial" w:cs="Arial" w:eastAsia="Arial" w:hAnsi="Arial"/>
          <w:sz w:val="16"/>
          <w:szCs w:val="16"/>
          <w:i w:val="1"/>
          <w:iCs w:val="1"/>
          <w:color w:val="202E39"/>
        </w:rPr>
        <w:t xml:space="preserve">Relationship Between Pay and Performance. </w:t>
      </w:r>
      <w:r>
        <w:rPr>
          <w:rFonts w:ascii="Arial" w:cs="Arial" w:eastAsia="Arial" w:hAnsi="Arial"/>
          <w:sz w:val="16"/>
          <w:szCs w:val="16"/>
          <w:color w:val="202E39"/>
        </w:rPr>
        <w:t>The performance-based stock options awarded to our executives are designed to further align executive</w:t>
      </w:r>
      <w:r>
        <w:rPr>
          <w:rFonts w:ascii="Arial" w:cs="Arial" w:eastAsia="Arial" w:hAnsi="Arial"/>
          <w:sz w:val="16"/>
          <w:szCs w:val="16"/>
          <w:i w:val="1"/>
          <w:iCs w:val="1"/>
          <w:color w:val="202E39"/>
        </w:rPr>
        <w:t xml:space="preserve"> </w:t>
      </w:r>
      <w:r>
        <w:rPr>
          <w:rFonts w:ascii="Arial" w:cs="Arial" w:eastAsia="Arial" w:hAnsi="Arial"/>
          <w:sz w:val="16"/>
          <w:szCs w:val="16"/>
          <w:color w:val="202E39"/>
        </w:rPr>
        <w:t>pay with shareholder value creation by only delivering value when Viasat’s TSR during the applicable measurement period outperforms the TSR of at least 25% of companies in the S&amp;P MidCap 400 and Viasat’s stock price exceeds the exercise price of such performance-based stock options. Illustrating that a significant portion of our executives’ pay is at risk, Viasat’s TSR performance from the applicable grant date through July 1, 2020 was below the 25</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percentile of companies in the S&amp;P MidCap 400 index for each of the performance-based stock option awards issued to our executives in fiscal years 2018, 2019 and 2020. While each of these awards remains outstanding, the actual performance through July 1, 2020 would have resulted in below threshold performance and all performance-based stock options would have been forfeited had the applicable measurement period ended on that date. Furthermore, our closing stock price of $36.77 on July 1, 2020 was below the exercise price for each performance-based stock option awards issued in fiscal years 2018, 2019 and 2020 and each retains no value until our stock price increases above each exercise price.</w:t>
      </w:r>
    </w:p>
    <w:p>
      <w:pPr>
        <w:spacing w:after="0" w:line="93"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i w:val="1"/>
          <w:iCs w:val="1"/>
          <w:color w:val="202E39"/>
        </w:rPr>
        <w:t xml:space="preserve">Change in Control Vesting. </w:t>
      </w:r>
      <w:r>
        <w:rPr>
          <w:rFonts w:ascii="Arial" w:cs="Arial" w:eastAsia="Arial" w:hAnsi="Arial"/>
          <w:sz w:val="16"/>
          <w:szCs w:val="16"/>
          <w:color w:val="202E39"/>
        </w:rPr>
        <w:t>In the event of a change in control prior to the end of the four-year performance period, the number of performance-adjusted</w:t>
      </w:r>
      <w:r>
        <w:rPr>
          <w:rFonts w:ascii="Arial" w:cs="Arial" w:eastAsia="Arial" w:hAnsi="Arial"/>
          <w:sz w:val="16"/>
          <w:szCs w:val="16"/>
          <w:i w:val="1"/>
          <w:iCs w:val="1"/>
          <w:color w:val="202E39"/>
        </w:rPr>
        <w:t xml:space="preserve"> </w:t>
      </w:r>
      <w:r>
        <w:rPr>
          <w:rFonts w:ascii="Arial" w:cs="Arial" w:eastAsia="Arial" w:hAnsi="Arial"/>
          <w:sz w:val="16"/>
          <w:szCs w:val="16"/>
          <w:color w:val="202E39"/>
        </w:rPr>
        <w:t>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w:t>
      </w:r>
    </w:p>
    <w:p>
      <w:pPr>
        <w:spacing w:after="0" w:line="95"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202E39"/>
        </w:rPr>
        <w:t>For more information on the restricted stock units and the performance-based stock options granted during fiscal year 2020, see the Grants of Plan-Based Awards in Fiscal Year 2020 table below.</w:t>
      </w:r>
    </w:p>
    <w:p>
      <w:pPr>
        <w:spacing w:after="0" w:line="71"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009FE3"/>
        </w:rPr>
        <w:t xml:space="preserve">Equity Grant Process. </w:t>
      </w:r>
      <w:r>
        <w:rPr>
          <w:rFonts w:ascii="Arial" w:cs="Arial" w:eastAsia="Arial" w:hAnsi="Arial"/>
          <w:sz w:val="16"/>
          <w:szCs w:val="16"/>
          <w:color w:val="202E39"/>
        </w:rPr>
        <w:t>The company’s general practice is to grant equity awards in approximately 12-month cycles. Grant approval for executive officers</w:t>
      </w:r>
      <w:r>
        <w:rPr>
          <w:rFonts w:ascii="Arial" w:cs="Arial" w:eastAsia="Arial" w:hAnsi="Arial"/>
          <w:sz w:val="16"/>
          <w:szCs w:val="16"/>
          <w:i w:val="1"/>
          <w:iCs w:val="1"/>
          <w:color w:val="009FE3"/>
        </w:rPr>
        <w:t xml:space="preserve"> </w:t>
      </w:r>
      <w:r>
        <w:rPr>
          <w:rFonts w:ascii="Arial" w:cs="Arial" w:eastAsia="Arial" w:hAnsi="Arial"/>
          <w:sz w:val="16"/>
          <w:szCs w:val="16"/>
          <w:color w:val="202E39"/>
        </w:rPr>
        <w:t>occurs at meetings of the Board. Because of the more extensive process for determining executive officer equity awards, these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117"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41</w:t>
            </w: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newly-hired employees as part of the in-hire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 We do not grant “re-load” options, make loans to executives for any purpose, including to exercise stock options, nor do we grant stock options at a discount.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33"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202E39"/>
        </w:rPr>
        <w:t>We currently provide for certain severance payments and benefits in the event that an executive officer’s employment is involuntarily or constructively terminated within two months prior to or within 18 months following a change in control of the company. Benefits can be found under the Potential Payments Upon Termination section of this proxy statement.</w:t>
      </w:r>
    </w:p>
    <w:p>
      <w:pPr>
        <w:spacing w:after="0" w:line="9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We also provide a comprehensive benefits package to all of our employees, including our executive officers, which includes medical, dental, vision care, disability insurance, life insurance benefits, flexible spending plan,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Certain executive officers also receive access to our sports and golf club memberships, and relocation expense reimbursement.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Additional Information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3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144780</wp:posOffset>
            </wp:positionV>
            <wp:extent cx="3497580" cy="754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7580" cy="754380"/>
                    </a:xfrm>
                    <a:prstGeom prst="rect">
                      <a:avLst/>
                    </a:prstGeom>
                    <a:noFill/>
                  </pic:spPr>
                </pic:pic>
              </a:graphicData>
            </a:graphic>
          </wp:anchor>
        </w:drawing>
      </w:r>
    </w:p>
    <w:p>
      <w:pPr>
        <w:spacing w:after="0" w:line="196"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950" w:type="dxa"/>
            <w:vAlign w:val="bottom"/>
            <w:shd w:val="clear" w:color="auto" w:fill="009FE3"/>
          </w:tcPr>
          <w:p>
            <w:pPr>
              <w:spacing w:after="0"/>
              <w:rPr>
                <w:sz w:val="14"/>
                <w:szCs w:val="14"/>
                <w:color w:val="auto"/>
              </w:rPr>
            </w:pPr>
          </w:p>
        </w:tc>
        <w:tc>
          <w:tcPr>
            <w:tcW w:w="2570" w:type="dxa"/>
            <w:vAlign w:val="bottom"/>
            <w:shd w:val="clear" w:color="auto" w:fill="009FE3"/>
          </w:tcPr>
          <w:p>
            <w:pPr>
              <w:jc w:val="center"/>
              <w:spacing w:after="0"/>
              <w:rPr>
                <w:sz w:val="20"/>
                <w:szCs w:val="20"/>
                <w:color w:val="auto"/>
              </w:rPr>
            </w:pPr>
            <w:r>
              <w:rPr>
                <w:rFonts w:ascii="Arial" w:cs="Arial" w:eastAsia="Arial" w:hAnsi="Arial"/>
                <w:sz w:val="14"/>
                <w:szCs w:val="14"/>
                <w:b w:val="1"/>
                <w:bCs w:val="1"/>
                <w:color w:val="FFFFFF"/>
              </w:rPr>
              <w:t>Stock Ownership Guideline</w:t>
            </w:r>
          </w:p>
        </w:tc>
      </w:tr>
      <w:tr>
        <w:trPr>
          <w:trHeight w:val="189"/>
        </w:trPr>
        <w:tc>
          <w:tcPr>
            <w:tcW w:w="2950" w:type="dxa"/>
            <w:vAlign w:val="bottom"/>
            <w:shd w:val="clear" w:color="auto" w:fill="009FE3"/>
          </w:tcPr>
          <w:p>
            <w:pPr>
              <w:ind w:left="980"/>
              <w:spacing w:after="0"/>
              <w:rPr>
                <w:sz w:val="20"/>
                <w:szCs w:val="20"/>
                <w:color w:val="auto"/>
              </w:rPr>
            </w:pPr>
            <w:r>
              <w:rPr>
                <w:rFonts w:ascii="Arial" w:cs="Arial" w:eastAsia="Arial" w:hAnsi="Arial"/>
                <w:sz w:val="14"/>
                <w:szCs w:val="14"/>
                <w:b w:val="1"/>
                <w:bCs w:val="1"/>
                <w:color w:val="FFFFFF"/>
              </w:rPr>
              <w:t>Executive Officer</w:t>
            </w:r>
          </w:p>
        </w:tc>
        <w:tc>
          <w:tcPr>
            <w:tcW w:w="2570" w:type="dxa"/>
            <w:vAlign w:val="bottom"/>
            <w:shd w:val="clear" w:color="auto" w:fill="009FE3"/>
          </w:tcPr>
          <w:p>
            <w:pPr>
              <w:jc w:val="center"/>
              <w:spacing w:after="0"/>
              <w:rPr>
                <w:sz w:val="20"/>
                <w:szCs w:val="20"/>
                <w:color w:val="auto"/>
              </w:rPr>
            </w:pPr>
            <w:r>
              <w:rPr>
                <w:rFonts w:ascii="Arial" w:cs="Arial" w:eastAsia="Arial" w:hAnsi="Arial"/>
                <w:sz w:val="14"/>
                <w:szCs w:val="14"/>
                <w:b w:val="1"/>
                <w:bCs w:val="1"/>
                <w:color w:val="FFFFFF"/>
              </w:rPr>
              <w:t>(as a multiple of base salary)</w:t>
            </w:r>
          </w:p>
        </w:tc>
      </w:tr>
      <w:tr>
        <w:trPr>
          <w:trHeight w:val="278"/>
        </w:trPr>
        <w:tc>
          <w:tcPr>
            <w:tcW w:w="295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Chief Executive Officer</w:t>
            </w:r>
          </w:p>
        </w:tc>
        <w:tc>
          <w:tcPr>
            <w:tcW w:w="257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Three times</w:t>
            </w:r>
          </w:p>
        </w:tc>
      </w:tr>
      <w:tr>
        <w:trPr>
          <w:trHeight w:val="270"/>
        </w:trPr>
        <w:tc>
          <w:tcPr>
            <w:tcW w:w="295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President and Chief Operating Officer</w:t>
            </w:r>
          </w:p>
        </w:tc>
        <w:tc>
          <w:tcPr>
            <w:tcW w:w="257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Three times</w:t>
            </w:r>
          </w:p>
        </w:tc>
      </w:tr>
      <w:tr>
        <w:trPr>
          <w:trHeight w:val="283"/>
        </w:trPr>
        <w:tc>
          <w:tcPr>
            <w:tcW w:w="295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rPr>
              <w:t>Other Executive Officers</w:t>
            </w:r>
          </w:p>
        </w:tc>
        <w:tc>
          <w:tcPr>
            <w:tcW w:w="257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rPr>
              <w:t>One time</w:t>
            </w:r>
          </w:p>
        </w:tc>
      </w:tr>
    </w:tbl>
    <w:p>
      <w:pPr>
        <w:spacing w:after="0" w:line="218"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02E39"/>
        </w:rPr>
        <w:t>As of the end of fiscal year 2020, all Named Executive Officers were in compliance with the applicable stock ownership guidelines, and all other executive officers were in compliance or subject to an applicable exemption based on personal circumstances.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Recovery (“Clawback”) Policy</w:t>
      </w:r>
    </w:p>
    <w:p>
      <w:pPr>
        <w:spacing w:after="0" w:line="133"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or may seek to recover incentive compensation paid to such executive officer.</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Anti-Hedging and Pledging Policy</w:t>
      </w:r>
    </w:p>
    <w:p>
      <w:pPr>
        <w:spacing w:after="0" w:line="13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Our insider trading compliance policies and procedures prohibit all of our directors and officers from engaging in hedging or monetization transactions, such as zero-cost collars and forward sale contracts, that allow a director or officer to lock in much of the value of his or her stock holdings, in exchange for all or part of the potential upside appreciation in Viasat stock. These transactions allow the director or officer to continue to own the covered securities, but without the full risks and rewards of ownership. When that occurs, or when a director or officer trades in put or call options, or engages in short sales, such director or officer may no longer have the same objectives as Viasat’s other stockholders. Therefore, such transactions involving Viasat’s equity securities are prohibited. We also strongly discourage any pledges of Viasat securities that could have any adverse impact on the company. Our policies require all pledges of Viasat common stock by our directors and officers, including the establishment of a margin account containing Viasat securities, to be pre-cleared by our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87630</wp:posOffset>
            </wp:positionV>
            <wp:extent cx="42862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33"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 and not on the basis of any unique or preferential financial tax or accounting treatment. In addition, Section 162(m) of the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 Section 162(m) deductibility of our compensation arrangements in fiscal year 2020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26"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43</w:t>
            </w:r>
          </w:p>
        </w:tc>
      </w:tr>
    </w:tbl>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Report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Report</w:t>
      </w:r>
    </w:p>
    <w:p>
      <w:pPr>
        <w:spacing w:after="0" w:line="145"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The Committee has reviewed and discussed the Compensation Discussion and Analysis with management and, based on such review and discussions, the Committee recommended to the Board of Directors that the Compensation Discussion and Analysis be included in this proxy statement.</w:t>
      </w:r>
    </w:p>
    <w:p>
      <w:pPr>
        <w:spacing w:after="0" w:line="71"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89"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Compensation and Human Resources Committee</w:t>
      </w:r>
    </w:p>
    <w:p>
      <w:pPr>
        <w:spacing w:after="0" w:line="2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 (Chair)</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Sean Pak</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Harvey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2862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9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Summary Compensation Table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Summary Compensation Table</w:t>
      </w:r>
    </w:p>
    <w:p>
      <w:pPr>
        <w:spacing w:after="0" w:line="145"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202E39"/>
        </w:rPr>
        <w:t>The following table sets forth the compensation earned during the fiscal years ended March 31, 2020, March 31, 2019 and March 31, 2018 by our Chief Executive Officer and Chief Financial Officer, as well as our three other most highly compensated executive officers (collectively, the Named Executive Officers):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3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64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tcBorders>
          </w:tcPr>
          <w:p>
            <w:pPr>
              <w:spacing w:after="0"/>
              <w:rPr>
                <w:sz w:val="17"/>
                <w:szCs w:val="17"/>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4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and</w:t>
            </w:r>
          </w:p>
        </w:tc>
        <w:tc>
          <w:tcPr>
            <w:tcW w:w="72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Fiscal</w:t>
            </w:r>
          </w:p>
        </w:tc>
        <w:tc>
          <w:tcPr>
            <w:tcW w:w="1060" w:type="dxa"/>
            <w:vAlign w:val="bottom"/>
            <w:tcBorders>
              <w:right w:val="single" w:sz="8" w:color="E8EAEB"/>
            </w:tcBorders>
          </w:tcPr>
          <w:p>
            <w:pPr>
              <w:jc w:val="right"/>
              <w:ind w:right="248"/>
              <w:spacing w:after="0"/>
              <w:rPr>
                <w:sz w:val="20"/>
                <w:szCs w:val="20"/>
                <w:color w:val="auto"/>
              </w:rPr>
            </w:pPr>
            <w:r>
              <w:rPr>
                <w:rFonts w:ascii="Arial" w:cs="Arial" w:eastAsia="Arial" w:hAnsi="Arial"/>
                <w:sz w:val="14"/>
                <w:szCs w:val="14"/>
                <w:b w:val="1"/>
                <w:bCs w:val="1"/>
                <w:color w:val="009FE3"/>
              </w:rPr>
              <w:t>Salary</w:t>
            </w:r>
          </w:p>
        </w:tc>
        <w:tc>
          <w:tcPr>
            <w:tcW w:w="64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Bonus</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189"/>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Principal Position</w:t>
            </w:r>
          </w:p>
        </w:tc>
        <w:tc>
          <w:tcPr>
            <w:tcW w:w="7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b w:val="1"/>
                <w:bCs w:val="1"/>
                <w:color w:val="009FE3"/>
              </w:rPr>
              <w:t>Year</w:t>
            </w:r>
          </w:p>
        </w:tc>
        <w:tc>
          <w:tcPr>
            <w:tcW w:w="1060" w:type="dxa"/>
            <w:vAlign w:val="bottom"/>
            <w:tcBorders>
              <w:bottom w:val="single" w:sz="8" w:color="009FE3"/>
              <w:right w:val="single" w:sz="8" w:color="E8EAEB"/>
            </w:tcBorders>
          </w:tcPr>
          <w:p>
            <w:pPr>
              <w:jc w:val="right"/>
              <w:ind w:right="388"/>
              <w:spacing w:after="0"/>
              <w:rPr>
                <w:sz w:val="20"/>
                <w:szCs w:val="20"/>
                <w:color w:val="auto"/>
              </w:rPr>
            </w:pPr>
            <w:r>
              <w:rPr>
                <w:rFonts w:ascii="Arial" w:cs="Arial" w:eastAsia="Arial" w:hAnsi="Arial"/>
                <w:sz w:val="14"/>
                <w:szCs w:val="14"/>
                <w:b w:val="1"/>
                <w:bCs w:val="1"/>
                <w:color w:val="009FE3"/>
              </w:rPr>
              <w:t>($)</w:t>
            </w:r>
          </w:p>
        </w:tc>
        <w:tc>
          <w:tcPr>
            <w:tcW w:w="64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b w:val="1"/>
                <w:bCs w:val="1"/>
                <w:color w:val="009FE3"/>
              </w:rPr>
              <w:t>($)</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120" w:type="dxa"/>
            <w:vAlign w:val="bottom"/>
            <w:tcBorders>
              <w:bottom w:val="single" w:sz="8" w:color="009FE3"/>
            </w:tcBorders>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214"/>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4,375,022</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4,375,634</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17,790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11,768,446</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Chairman of the Board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3,222,356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4,524,800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26,721</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10,688,877</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Executive Officer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2018</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1,175,000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3,442,625</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4,485,810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1,335,018</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50,872</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10,489,325</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3,718,783</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3,719,295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9,937</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10,048,015</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Director, President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1,035,000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1,726,250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2,424,000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12,486</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6,697,736</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Operating Officer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2018</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2,766,375</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3,604,669</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1,157,032</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13,086</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8,541,162</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575,000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1,250,057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1,250,186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17,730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3,682,973</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18,250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3,143,375</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Financial Officer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2018</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737,700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400,562</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20,457</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2,644,964</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Kevin Harkenrider</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575,000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1,000,017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1,000,154</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12,668</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3,112,839</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Vice President, Global Operations</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12,755</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3,137,880</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and Chief Operations Officer (4)</w:t>
            </w:r>
          </w:p>
        </w:tc>
        <w:tc>
          <w:tcPr>
            <w:tcW w:w="72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640" w:type="dxa"/>
            <w:vAlign w:val="bottom"/>
            <w:tcBorders>
              <w:bottom w:val="single" w:sz="8" w:color="E8EAEB"/>
              <w:right w:val="single" w:sz="8" w:color="E8EAEB"/>
            </w:tcBorders>
          </w:tcPr>
          <w:p>
            <w:pPr>
              <w:spacing w:after="0"/>
              <w:rPr>
                <w:sz w:val="15"/>
                <w:szCs w:val="15"/>
                <w:color w:val="auto"/>
              </w:rPr>
            </w:pPr>
          </w:p>
        </w:tc>
        <w:tc>
          <w:tcPr>
            <w:tcW w:w="104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1020" w:type="dxa"/>
            <w:vAlign w:val="bottom"/>
            <w:tcBorders>
              <w:bottom w:val="single" w:sz="8" w:color="E8EAEB"/>
              <w:right w:val="single" w:sz="8" w:color="E8EAEB"/>
            </w:tcBorders>
          </w:tcPr>
          <w:p>
            <w:pPr>
              <w:spacing w:after="0"/>
              <w:rPr>
                <w:sz w:val="15"/>
                <w:szCs w:val="15"/>
                <w:color w:val="auto"/>
              </w:rPr>
            </w:pPr>
          </w:p>
        </w:tc>
        <w:tc>
          <w:tcPr>
            <w:tcW w:w="1120" w:type="dxa"/>
            <w:vAlign w:val="bottom"/>
            <w:tcBorders>
              <w:bottom w:val="single" w:sz="8" w:color="E8EAEB"/>
            </w:tcBorders>
          </w:tcPr>
          <w:p>
            <w:pPr>
              <w:spacing w:after="0"/>
              <w:rPr>
                <w:sz w:val="15"/>
                <w:szCs w:val="15"/>
                <w:color w:val="auto"/>
              </w:rPr>
            </w:pP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680,769</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1,500,026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1,500,217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765,000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79,510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4,525,522</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35,783</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3,410,908</w:t>
            </w:r>
          </w:p>
        </w:tc>
      </w:tr>
      <w:tr>
        <w:trPr>
          <w:trHeight w:val="178"/>
        </w:trPr>
        <w:tc>
          <w:tcPr>
            <w:tcW w:w="330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color w:val="202E39"/>
              </w:rPr>
              <w:t>President, Government Systems</w:t>
            </w:r>
          </w:p>
        </w:tc>
        <w:tc>
          <w:tcPr>
            <w:tcW w:w="72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color w:val="202E39"/>
              </w:rPr>
              <w:t>2018</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475,000</w:t>
            </w:r>
          </w:p>
        </w:tc>
        <w:tc>
          <w:tcPr>
            <w:tcW w:w="64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009FE3"/>
              <w:right w:val="single" w:sz="8" w:color="E8EAEB"/>
            </w:tcBorders>
          </w:tcPr>
          <w:p>
            <w:pPr>
              <w:jc w:val="right"/>
              <w:ind w:right="108"/>
              <w:spacing w:after="0"/>
              <w:rPr>
                <w:sz w:val="20"/>
                <w:szCs w:val="20"/>
                <w:color w:val="auto"/>
              </w:rPr>
            </w:pPr>
            <w:r>
              <w:rPr>
                <w:rFonts w:ascii="Arial" w:cs="Arial" w:eastAsia="Arial" w:hAnsi="Arial"/>
                <w:sz w:val="14"/>
                <w:szCs w:val="14"/>
                <w:color w:val="202E39"/>
              </w:rPr>
              <w:t>737,700</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534,020</w:t>
            </w:r>
          </w:p>
        </w:tc>
        <w:tc>
          <w:tcPr>
            <w:tcW w:w="102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13,500</w:t>
            </w:r>
          </w:p>
        </w:tc>
        <w:tc>
          <w:tcPr>
            <w:tcW w:w="112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2,721,465</w:t>
            </w:r>
          </w:p>
        </w:tc>
      </w:tr>
    </w:tbl>
    <w:p>
      <w:pPr>
        <w:spacing w:after="0" w:line="126" w:lineRule="exact"/>
        <w:rPr>
          <w:sz w:val="20"/>
          <w:szCs w:val="20"/>
          <w:color w:val="auto"/>
        </w:rPr>
      </w:pPr>
    </w:p>
    <w:p>
      <w:pPr>
        <w:ind w:left="540" w:right="80" w:hanging="424"/>
        <w:spacing w:after="0" w:line="243" w:lineRule="auto"/>
        <w:tabs>
          <w:tab w:leader="none" w:pos="54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performance-based stock options and restricted stock unit awards granted in fiscal years 2020, 2019 and 2018. These amounts generally reflect the amount that we expect to expense in our financial statements over the award’s vesting schedule, and do not correspond to the actual value that will be realized by the Named Executive Officers. In November 2017, 2018 and 2019, the Named Executive Officers were granted performance-based stock options which vest, in part, dependent upon continued service over a four year vesting schedule and, in part, dependent upon the achievement of the company’s TSR compared to its peer group during the four-year performance period ending October 31, 2021, 2022 and 2023, respectively.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7 to the financial statements included in our annual report on Form 10-K for the fiscal year ended March 31, 2020, as filed with the SEC.</w:t>
      </w:r>
    </w:p>
    <w:p>
      <w:pPr>
        <w:spacing w:after="0" w:line="59" w:lineRule="exact"/>
        <w:rPr>
          <w:rFonts w:ascii="Arial" w:cs="Arial" w:eastAsia="Arial" w:hAnsi="Arial"/>
          <w:sz w:val="14"/>
          <w:szCs w:val="14"/>
          <w:color w:val="202E39"/>
        </w:rPr>
      </w:pPr>
    </w:p>
    <w:p>
      <w:pPr>
        <w:ind w:left="540" w:right="40" w:hanging="424"/>
        <w:spacing w:after="0" w:line="241" w:lineRule="auto"/>
        <w:tabs>
          <w:tab w:leader="none" w:pos="54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For purposes of the fiscal year 2018 annual bonuses, our Compensation and Human Resources Committee determined the total bonuses payable to the Named Executive Officers for fiscal year 2018 annual bonus purposes and then determined to pay all of such bonuses in the form of fully vested shares of our common stock issued under our 1996 Equity Participation Plan. The total bonus payable to each Named Executive Officer was converted into a number of shares based on the closing price per share of our common stock on June 1, 2018 ($63.25), and the shares were issued to the Named Executive Officers on that date (less a number of shares with a fair market value on the date of issuance sufficient to cover the applicable tax withholding obligations and withheld by us from the shares issued to the Named Executive Officer). The aggregate number of shares of our common stock issued to the Named Executive Officers in June 2018 in satisfaction of their fiscal year 2018 annual bonuses was as follows (prior to any tax withholding): Mr. Dankberg (21,107);</w:t>
      </w:r>
    </w:p>
    <w:p>
      <w:pPr>
        <w:spacing w:after="0" w:line="2"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Baldridge (18,293); Ms. Duffy (6,333); and Mr. Peterman (8,443).</w:t>
      </w:r>
    </w:p>
    <w:p>
      <w:pPr>
        <w:spacing w:after="0" w:line="68" w:lineRule="exact"/>
        <w:rPr>
          <w:rFonts w:ascii="Arial" w:cs="Arial" w:eastAsia="Arial" w:hAnsi="Arial"/>
          <w:sz w:val="14"/>
          <w:szCs w:val="14"/>
          <w:color w:val="202E39"/>
        </w:rPr>
      </w:pPr>
    </w:p>
    <w:p>
      <w:pPr>
        <w:ind w:left="540" w:right="80" w:hanging="424"/>
        <w:spacing w:after="0" w:line="247" w:lineRule="auto"/>
        <w:tabs>
          <w:tab w:leader="none" w:pos="54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The amounts for fiscal year 2020 include the following: reimbursement of club dues for Mr. Dankberg and Ms. Duffy in the amount of $4,290 and $8,028, respectively; relocation expense reimbursement for Mr. Peterman in the amount of $68,337 (which includes a gross up of $16,640 to satisfy tax obligations); patent awards for Mr. Dankberg, in the amount of $500; and company 401(k) contributions for Mr. Dankberg, Mr. Baldridge, Ms. Duffy, Mr. Harkenrider and Mr. Peterman in the amount of $13,000, $9,937, $9,702, $12,668 and $11,173, respectively.</w:t>
      </w:r>
    </w:p>
    <w:p>
      <w:pPr>
        <w:spacing w:after="0" w:line="52" w:lineRule="exact"/>
        <w:rPr>
          <w:rFonts w:ascii="Arial" w:cs="Arial" w:eastAsia="Arial" w:hAnsi="Arial"/>
          <w:sz w:val="14"/>
          <w:szCs w:val="14"/>
          <w:color w:val="202E39"/>
        </w:rPr>
      </w:pPr>
    </w:p>
    <w:p>
      <w:pPr>
        <w:ind w:left="540" w:hanging="424"/>
        <w:spacing w:after="0"/>
        <w:tabs>
          <w:tab w:leader="none" w:pos="54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Mr. Harkenrider was not a Named Executive Officer in fiscal year 2018.</w:t>
      </w:r>
    </w:p>
    <w:p>
      <w:pPr>
        <w:spacing w:after="0" w:line="13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45</w:t>
            </w: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Grants of Plan-Based Awards in Fiscal Year 2020</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Grants of Plan-Based Awards in Fiscal Year 2020</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840" w:type="dxa"/>
            <w:vAlign w:val="bottom"/>
            <w:tcBorders>
              <w:top w:val="single" w:sz="8" w:color="E8EAEB"/>
            </w:tcBorders>
          </w:tcPr>
          <w:p>
            <w:pPr>
              <w:spacing w:after="0"/>
              <w:rPr>
                <w:sz w:val="17"/>
                <w:szCs w:val="17"/>
                <w:color w:val="auto"/>
              </w:rPr>
            </w:pPr>
          </w:p>
        </w:tc>
        <w:tc>
          <w:tcPr>
            <w:tcW w:w="800" w:type="dxa"/>
            <w:vAlign w:val="bottom"/>
            <w:tcBorders>
              <w:top w:val="single" w:sz="8" w:color="E8EAEB"/>
            </w:tcBorders>
          </w:tcPr>
          <w:p>
            <w:pPr>
              <w:spacing w:after="0"/>
              <w:rPr>
                <w:sz w:val="17"/>
                <w:szCs w:val="17"/>
                <w:color w:val="auto"/>
              </w:rPr>
            </w:pPr>
          </w:p>
        </w:tc>
        <w:tc>
          <w:tcPr>
            <w:tcW w:w="820" w:type="dxa"/>
            <w:vAlign w:val="bottom"/>
            <w:tcBorders>
              <w:top w:val="single" w:sz="8" w:color="E8EAEB"/>
              <w:right w:val="single" w:sz="8" w:color="E8EAEB"/>
            </w:tcBorders>
          </w:tcPr>
          <w:p>
            <w:pPr>
              <w:spacing w:after="0"/>
              <w:rPr>
                <w:sz w:val="17"/>
                <w:szCs w:val="17"/>
                <w:color w:val="auto"/>
              </w:rPr>
            </w:pPr>
          </w:p>
        </w:tc>
        <w:tc>
          <w:tcPr>
            <w:tcW w:w="820" w:type="dxa"/>
            <w:vAlign w:val="bottom"/>
            <w:tcBorders>
              <w:top w:val="single" w:sz="8" w:color="E8EAEB"/>
            </w:tcBorders>
          </w:tcPr>
          <w:p>
            <w:pPr>
              <w:spacing w:after="0"/>
              <w:rPr>
                <w:sz w:val="17"/>
                <w:szCs w:val="17"/>
                <w:color w:val="auto"/>
              </w:rPr>
            </w:pPr>
          </w:p>
        </w:tc>
        <w:tc>
          <w:tcPr>
            <w:tcW w:w="680" w:type="dxa"/>
            <w:vAlign w:val="bottom"/>
            <w:tcBorders>
              <w:top w:val="single" w:sz="8" w:color="E8EAEB"/>
            </w:tcBorders>
          </w:tcPr>
          <w:p>
            <w:pPr>
              <w:spacing w:after="0"/>
              <w:rPr>
                <w:sz w:val="17"/>
                <w:szCs w:val="17"/>
                <w:color w:val="auto"/>
              </w:rPr>
            </w:pPr>
          </w:p>
        </w:tc>
        <w:tc>
          <w:tcPr>
            <w:tcW w:w="800" w:type="dxa"/>
            <w:vAlign w:val="bottom"/>
            <w:tcBorders>
              <w:top w:val="single" w:sz="8" w:color="E8EAEB"/>
              <w:right w:val="single" w:sz="8" w:color="E8EAEB"/>
            </w:tcBorders>
          </w:tcPr>
          <w:p>
            <w:pPr>
              <w:spacing w:after="0"/>
              <w:rPr>
                <w:sz w:val="17"/>
                <w:szCs w:val="17"/>
                <w:color w:val="auto"/>
              </w:rPr>
            </w:pPr>
          </w:p>
        </w:tc>
        <w:tc>
          <w:tcPr>
            <w:tcW w:w="8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900" w:type="dxa"/>
            <w:vAlign w:val="bottom"/>
            <w:tcBorders>
              <w:top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b w:val="1"/>
                <w:bCs w:val="1"/>
                <w:color w:val="009FE3"/>
              </w:rPr>
              <w:t>All Other</w:t>
            </w:r>
          </w:p>
        </w:tc>
        <w:tc>
          <w:tcPr>
            <w:tcW w:w="920" w:type="dxa"/>
            <w:vAlign w:val="bottom"/>
            <w:tcBorders>
              <w:top w:val="single" w:sz="8" w:color="E8EAEB"/>
              <w:right w:val="single" w:sz="8" w:color="E8EAEB"/>
            </w:tcBorders>
          </w:tcPr>
          <w:p>
            <w:pPr>
              <w:spacing w:after="0"/>
              <w:rPr>
                <w:sz w:val="17"/>
                <w:szCs w:val="17"/>
                <w:color w:val="auto"/>
              </w:rPr>
            </w:pPr>
          </w:p>
        </w:tc>
        <w:tc>
          <w:tcPr>
            <w:tcW w:w="860" w:type="dxa"/>
            <w:vAlign w:val="bottom"/>
            <w:tcBorders>
              <w:top w:val="single" w:sz="8" w:color="E8EAEB"/>
            </w:tcBorders>
          </w:tcPr>
          <w:p>
            <w:pPr>
              <w:spacing w:after="0"/>
              <w:rPr>
                <w:sz w:val="17"/>
                <w:szCs w:val="17"/>
                <w:color w:val="auto"/>
              </w:rPr>
            </w:pPr>
          </w:p>
        </w:tc>
      </w:tr>
      <w:tr>
        <w:trPr>
          <w:trHeight w:val="175"/>
        </w:trPr>
        <w:tc>
          <w:tcPr>
            <w:tcW w:w="2000" w:type="dxa"/>
            <w:vAlign w:val="bottom"/>
            <w:tcBorders>
              <w:right w:val="single" w:sz="8" w:color="E8EAEB"/>
            </w:tcBorders>
          </w:tcPr>
          <w:p>
            <w:pPr>
              <w:spacing w:after="0"/>
              <w:rPr>
                <w:sz w:val="15"/>
                <w:szCs w:val="15"/>
                <w:color w:val="auto"/>
              </w:rPr>
            </w:pPr>
          </w:p>
        </w:tc>
        <w:tc>
          <w:tcPr>
            <w:tcW w:w="720" w:type="dxa"/>
            <w:vAlign w:val="bottom"/>
            <w:tcBorders>
              <w:right w:val="single" w:sz="8" w:color="E8EAEB"/>
            </w:tcBorders>
          </w:tcPr>
          <w:p>
            <w:pPr>
              <w:spacing w:after="0"/>
              <w:rPr>
                <w:sz w:val="15"/>
                <w:szCs w:val="15"/>
                <w:color w:val="auto"/>
              </w:rPr>
            </w:pPr>
          </w:p>
        </w:tc>
        <w:tc>
          <w:tcPr>
            <w:tcW w:w="246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230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90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Option</w:t>
            </w:r>
          </w:p>
        </w:tc>
        <w:tc>
          <w:tcPr>
            <w:tcW w:w="920" w:type="dxa"/>
            <w:vAlign w:val="bottom"/>
            <w:tcBorders>
              <w:right w:val="single" w:sz="8" w:color="E8EAEB"/>
            </w:tcBorders>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9FE3"/>
              </w:rPr>
              <w:t>Grant Date</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246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Under Non-Equity Incentive</w:t>
            </w:r>
          </w:p>
        </w:tc>
        <w:tc>
          <w:tcPr>
            <w:tcW w:w="230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Under Equity Incentive</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b w:val="1"/>
                <w:bCs w:val="1"/>
                <w:color w:val="009FE3"/>
              </w:rPr>
              <w:t>Awards:</w:t>
            </w:r>
          </w:p>
        </w:tc>
        <w:tc>
          <w:tcPr>
            <w:tcW w:w="9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b w:val="1"/>
                <w:bCs w:val="1"/>
                <w:color w:val="009FE3"/>
              </w:rPr>
              <w:t>Awards:</w:t>
            </w:r>
          </w:p>
        </w:tc>
        <w:tc>
          <w:tcPr>
            <w:tcW w:w="920" w:type="dxa"/>
            <w:vAlign w:val="bottom"/>
            <w:tcBorders>
              <w:right w:val="single" w:sz="8" w:color="E8EAEB"/>
            </w:tcBorders>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9FE3"/>
              </w:rPr>
              <w:t>Fair Value</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246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Plan Awards (1)</w:t>
            </w:r>
          </w:p>
        </w:tc>
        <w:tc>
          <w:tcPr>
            <w:tcW w:w="2300" w:type="dxa"/>
            <w:vAlign w:val="bottom"/>
            <w:tcBorders>
              <w:right w:val="single" w:sz="8" w:color="E8EAEB"/>
            </w:tcBorders>
            <w:gridSpan w:val="3"/>
          </w:tcPr>
          <w:p>
            <w:pPr>
              <w:jc w:val="center"/>
              <w:spacing w:after="0"/>
              <w:rPr>
                <w:sz w:val="20"/>
                <w:szCs w:val="20"/>
                <w:color w:val="auto"/>
              </w:rPr>
            </w:pPr>
            <w:r>
              <w:rPr>
                <w:rFonts w:ascii="Arial" w:cs="Arial" w:eastAsia="Arial" w:hAnsi="Arial"/>
                <w:sz w:val="14"/>
                <w:szCs w:val="14"/>
                <w:b w:val="1"/>
                <w:bCs w:val="1"/>
                <w:color w:val="009FE3"/>
              </w:rPr>
              <w:t>Plan Awards (2)</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b w:val="1"/>
                <w:bCs w:val="1"/>
                <w:color w:val="009FE3"/>
              </w:rPr>
              <w:t>Number of</w:t>
            </w:r>
          </w:p>
        </w:tc>
        <w:tc>
          <w:tcPr>
            <w:tcW w:w="9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w:t>
            </w:r>
          </w:p>
        </w:tc>
        <w:tc>
          <w:tcPr>
            <w:tcW w:w="92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Exercise or</w:t>
            </w:r>
          </w:p>
        </w:tc>
        <w:tc>
          <w:tcPr>
            <w:tcW w:w="860" w:type="dxa"/>
            <w:vAlign w:val="bottom"/>
          </w:tcPr>
          <w:p>
            <w:pPr>
              <w:ind w:left="120"/>
              <w:spacing w:after="0"/>
              <w:rPr>
                <w:sz w:val="20"/>
                <w:szCs w:val="20"/>
                <w:color w:val="auto"/>
              </w:rPr>
            </w:pPr>
            <w:r>
              <w:rPr>
                <w:rFonts w:ascii="Arial" w:cs="Arial" w:eastAsia="Arial" w:hAnsi="Arial"/>
                <w:sz w:val="14"/>
                <w:szCs w:val="14"/>
                <w:b w:val="1"/>
                <w:bCs w:val="1"/>
                <w:color w:val="009FE3"/>
              </w:rPr>
              <w:t>of Stock</w:t>
            </w:r>
          </w:p>
        </w:tc>
      </w:tr>
      <w:tr>
        <w:trPr>
          <w:trHeight w:val="129"/>
        </w:trPr>
        <w:tc>
          <w:tcPr>
            <w:tcW w:w="2000" w:type="dxa"/>
            <w:vAlign w:val="bottom"/>
            <w:tcBorders>
              <w:right w:val="single" w:sz="8" w:color="E8EAEB"/>
            </w:tcBorders>
          </w:tcPr>
          <w:p>
            <w:pPr>
              <w:spacing w:after="0"/>
              <w:rPr>
                <w:sz w:val="11"/>
                <w:szCs w:val="11"/>
                <w:color w:val="auto"/>
              </w:rPr>
            </w:pPr>
          </w:p>
        </w:tc>
        <w:tc>
          <w:tcPr>
            <w:tcW w:w="720" w:type="dxa"/>
            <w:vAlign w:val="bottom"/>
            <w:tcBorders>
              <w:right w:val="single" w:sz="8" w:color="E8EAEB"/>
            </w:tcBorders>
          </w:tcPr>
          <w:p>
            <w:pPr>
              <w:spacing w:after="0"/>
              <w:rPr>
                <w:sz w:val="11"/>
                <w:szCs w:val="11"/>
                <w:color w:val="auto"/>
              </w:rPr>
            </w:pPr>
          </w:p>
        </w:tc>
        <w:tc>
          <w:tcPr>
            <w:tcW w:w="840" w:type="dxa"/>
            <w:vAlign w:val="bottom"/>
            <w:tcBorders>
              <w:bottom w:val="single" w:sz="8" w:color="009FE3"/>
            </w:tcBorders>
          </w:tcPr>
          <w:p>
            <w:pPr>
              <w:spacing w:after="0"/>
              <w:rPr>
                <w:sz w:val="11"/>
                <w:szCs w:val="11"/>
                <w:color w:val="auto"/>
              </w:rPr>
            </w:pPr>
          </w:p>
        </w:tc>
        <w:tc>
          <w:tcPr>
            <w:tcW w:w="800" w:type="dxa"/>
            <w:vAlign w:val="bottom"/>
            <w:tcBorders>
              <w:bottom w:val="single" w:sz="8" w:color="009FE3"/>
            </w:tcBorders>
          </w:tcPr>
          <w:p>
            <w:pPr>
              <w:spacing w:after="0"/>
              <w:rPr>
                <w:sz w:val="11"/>
                <w:szCs w:val="11"/>
                <w:color w:val="auto"/>
              </w:rPr>
            </w:pPr>
          </w:p>
        </w:tc>
        <w:tc>
          <w:tcPr>
            <w:tcW w:w="820" w:type="dxa"/>
            <w:vAlign w:val="bottom"/>
            <w:tcBorders>
              <w:bottom w:val="single" w:sz="8" w:color="009FE3"/>
              <w:right w:val="single" w:sz="8" w:color="E8EAEB"/>
            </w:tcBorders>
          </w:tcPr>
          <w:p>
            <w:pPr>
              <w:spacing w:after="0"/>
              <w:rPr>
                <w:sz w:val="11"/>
                <w:szCs w:val="11"/>
                <w:color w:val="auto"/>
              </w:rPr>
            </w:pPr>
          </w:p>
        </w:tc>
        <w:tc>
          <w:tcPr>
            <w:tcW w:w="820" w:type="dxa"/>
            <w:vAlign w:val="bottom"/>
            <w:tcBorders>
              <w:bottom w:val="single" w:sz="8" w:color="009FE3"/>
            </w:tcBorders>
          </w:tcPr>
          <w:p>
            <w:pPr>
              <w:spacing w:after="0"/>
              <w:rPr>
                <w:sz w:val="11"/>
                <w:szCs w:val="11"/>
                <w:color w:val="auto"/>
              </w:rPr>
            </w:pPr>
          </w:p>
        </w:tc>
        <w:tc>
          <w:tcPr>
            <w:tcW w:w="680" w:type="dxa"/>
            <w:vAlign w:val="bottom"/>
            <w:tcBorders>
              <w:bottom w:val="single" w:sz="8" w:color="009FE3"/>
            </w:tcBorders>
          </w:tcPr>
          <w:p>
            <w:pPr>
              <w:spacing w:after="0"/>
              <w:rPr>
                <w:sz w:val="11"/>
                <w:szCs w:val="11"/>
                <w:color w:val="auto"/>
              </w:rPr>
            </w:pPr>
          </w:p>
        </w:tc>
        <w:tc>
          <w:tcPr>
            <w:tcW w:w="800" w:type="dxa"/>
            <w:vAlign w:val="bottom"/>
            <w:tcBorders>
              <w:bottom w:val="single" w:sz="8" w:color="009FE3"/>
              <w:right w:val="single" w:sz="8" w:color="E8EAEB"/>
            </w:tcBorders>
          </w:tcPr>
          <w:p>
            <w:pPr>
              <w:spacing w:after="0"/>
              <w:rPr>
                <w:sz w:val="11"/>
                <w:szCs w:val="11"/>
                <w:color w:val="auto"/>
              </w:rPr>
            </w:pPr>
          </w:p>
        </w:tc>
        <w:tc>
          <w:tcPr>
            <w:tcW w:w="860" w:type="dxa"/>
            <w:vAlign w:val="bottom"/>
            <w:tcBorders>
              <w:right w:val="single" w:sz="8" w:color="E8EAEB"/>
            </w:tcBorders>
          </w:tcPr>
          <w:p>
            <w:pPr>
              <w:jc w:val="right"/>
              <w:ind w:right="68"/>
              <w:spacing w:after="0" w:line="129" w:lineRule="exact"/>
              <w:rPr>
                <w:sz w:val="20"/>
                <w:szCs w:val="20"/>
                <w:color w:val="auto"/>
              </w:rPr>
            </w:pPr>
            <w:r>
              <w:rPr>
                <w:rFonts w:ascii="Arial" w:cs="Arial" w:eastAsia="Arial" w:hAnsi="Arial"/>
                <w:sz w:val="14"/>
                <w:szCs w:val="14"/>
                <w:b w:val="1"/>
                <w:bCs w:val="1"/>
                <w:color w:val="009FE3"/>
              </w:rPr>
              <w:t>Shares of</w:t>
            </w:r>
          </w:p>
        </w:tc>
        <w:tc>
          <w:tcPr>
            <w:tcW w:w="900" w:type="dxa"/>
            <w:vAlign w:val="bottom"/>
            <w:tcBorders>
              <w:right w:val="single" w:sz="8" w:color="E8EAEB"/>
            </w:tcBorders>
          </w:tcPr>
          <w:p>
            <w:pPr>
              <w:jc w:val="center"/>
              <w:spacing w:after="0" w:line="129" w:lineRule="exact"/>
              <w:rPr>
                <w:sz w:val="20"/>
                <w:szCs w:val="20"/>
                <w:color w:val="auto"/>
              </w:rPr>
            </w:pPr>
            <w:r>
              <w:rPr>
                <w:rFonts w:ascii="Arial" w:cs="Arial" w:eastAsia="Arial" w:hAnsi="Arial"/>
                <w:sz w:val="14"/>
                <w:szCs w:val="14"/>
                <w:b w:val="1"/>
                <w:bCs w:val="1"/>
                <w:color w:val="009FE3"/>
              </w:rPr>
              <w:t>Securities</w:t>
            </w:r>
          </w:p>
        </w:tc>
        <w:tc>
          <w:tcPr>
            <w:tcW w:w="920" w:type="dxa"/>
            <w:vAlign w:val="bottom"/>
            <w:tcBorders>
              <w:right w:val="single" w:sz="8" w:color="E8EAEB"/>
            </w:tcBorders>
          </w:tcPr>
          <w:p>
            <w:pPr>
              <w:jc w:val="center"/>
              <w:spacing w:after="0" w:line="129" w:lineRule="exact"/>
              <w:rPr>
                <w:sz w:val="20"/>
                <w:szCs w:val="20"/>
                <w:color w:val="auto"/>
              </w:rPr>
            </w:pPr>
            <w:r>
              <w:rPr>
                <w:rFonts w:ascii="Arial" w:cs="Arial" w:eastAsia="Arial" w:hAnsi="Arial"/>
                <w:sz w:val="14"/>
                <w:szCs w:val="14"/>
                <w:b w:val="1"/>
                <w:bCs w:val="1"/>
                <w:color w:val="009FE3"/>
              </w:rPr>
              <w:t>Base Price</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009FE3"/>
                <w:w w:val="96"/>
              </w:rPr>
              <w:t>and</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68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b w:val="1"/>
                <w:bCs w:val="1"/>
                <w:color w:val="009FE3"/>
              </w:rPr>
              <w:t>Stock or</w:t>
            </w:r>
          </w:p>
        </w:tc>
        <w:tc>
          <w:tcPr>
            <w:tcW w:w="9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Underlying</w:t>
            </w:r>
          </w:p>
        </w:tc>
        <w:tc>
          <w:tcPr>
            <w:tcW w:w="92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of Option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9FE3"/>
              </w:rPr>
              <w:t>Option</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Grant</w:t>
            </w:r>
          </w:p>
        </w:tc>
        <w:tc>
          <w:tcPr>
            <w:tcW w:w="840" w:type="dxa"/>
            <w:vAlign w:val="bottom"/>
            <w:tcBorders>
              <w:right w:val="single" w:sz="8" w:color="E8EAEB"/>
            </w:tcBorders>
          </w:tcPr>
          <w:p>
            <w:pPr>
              <w:ind w:left="40"/>
              <w:spacing w:after="0"/>
              <w:rPr>
                <w:sz w:val="20"/>
                <w:szCs w:val="20"/>
                <w:color w:val="auto"/>
              </w:rPr>
            </w:pPr>
            <w:r>
              <w:rPr>
                <w:rFonts w:ascii="Arial" w:cs="Arial" w:eastAsia="Arial" w:hAnsi="Arial"/>
                <w:sz w:val="14"/>
                <w:szCs w:val="14"/>
                <w:b w:val="1"/>
                <w:bCs w:val="1"/>
                <w:color w:val="009FE3"/>
              </w:rPr>
              <w:t>Threshold</w:t>
            </w:r>
          </w:p>
        </w:tc>
        <w:tc>
          <w:tcPr>
            <w:tcW w:w="8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Target</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Maximum</w:t>
            </w:r>
          </w:p>
        </w:tc>
        <w:tc>
          <w:tcPr>
            <w:tcW w:w="820" w:type="dxa"/>
            <w:vAlign w:val="bottom"/>
            <w:tcBorders>
              <w:right w:val="single" w:sz="8" w:color="E8EAEB"/>
            </w:tcBorders>
          </w:tcPr>
          <w:p>
            <w:pPr>
              <w:ind w:left="40"/>
              <w:spacing w:after="0"/>
              <w:rPr>
                <w:sz w:val="20"/>
                <w:szCs w:val="20"/>
                <w:color w:val="auto"/>
              </w:rPr>
            </w:pPr>
            <w:r>
              <w:rPr>
                <w:rFonts w:ascii="Arial" w:cs="Arial" w:eastAsia="Arial" w:hAnsi="Arial"/>
                <w:sz w:val="14"/>
                <w:szCs w:val="14"/>
                <w:b w:val="1"/>
                <w:bCs w:val="1"/>
                <w:color w:val="009FE3"/>
              </w:rPr>
              <w:t>Threshold</w:t>
            </w:r>
          </w:p>
        </w:tc>
        <w:tc>
          <w:tcPr>
            <w:tcW w:w="6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Target</w:t>
            </w:r>
          </w:p>
        </w:tc>
        <w:tc>
          <w:tcPr>
            <w:tcW w:w="80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b w:val="1"/>
                <w:bCs w:val="1"/>
                <w:color w:val="009FE3"/>
              </w:rPr>
              <w:t>Maximum</w:t>
            </w:r>
          </w:p>
        </w:tc>
        <w:tc>
          <w:tcPr>
            <w:tcW w:w="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w:t>
            </w:r>
          </w:p>
        </w:tc>
        <w:tc>
          <w:tcPr>
            <w:tcW w:w="90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b w:val="1"/>
                <w:bCs w:val="1"/>
                <w:color w:val="009FE3"/>
              </w:rPr>
              <w:t>Options</w:t>
            </w:r>
          </w:p>
        </w:tc>
        <w:tc>
          <w:tcPr>
            <w:tcW w:w="92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Awards</w:t>
            </w:r>
          </w:p>
        </w:tc>
        <w:tc>
          <w:tcPr>
            <w:tcW w:w="860" w:type="dxa"/>
            <w:vAlign w:val="bottom"/>
          </w:tcPr>
          <w:p>
            <w:pPr>
              <w:ind w:left="140"/>
              <w:spacing w:after="0"/>
              <w:rPr>
                <w:sz w:val="20"/>
                <w:szCs w:val="20"/>
                <w:color w:val="auto"/>
              </w:rPr>
            </w:pPr>
            <w:r>
              <w:rPr>
                <w:rFonts w:ascii="Arial" w:cs="Arial" w:eastAsia="Arial" w:hAnsi="Arial"/>
                <w:sz w:val="14"/>
                <w:szCs w:val="14"/>
                <w:b w:val="1"/>
                <w:bCs w:val="1"/>
                <w:color w:val="009FE3"/>
              </w:rPr>
              <w:t>Awards</w:t>
            </w:r>
          </w:p>
        </w:tc>
      </w:tr>
      <w:tr>
        <w:trPr>
          <w:trHeight w:val="196"/>
        </w:trPr>
        <w:tc>
          <w:tcPr>
            <w:tcW w:w="20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Date</w:t>
            </w:r>
          </w:p>
        </w:tc>
        <w:tc>
          <w:tcPr>
            <w:tcW w:w="84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w:t>
            </w:r>
          </w:p>
        </w:tc>
        <w:tc>
          <w:tcPr>
            <w:tcW w:w="8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8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82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w:t>
            </w:r>
          </w:p>
        </w:tc>
        <w:tc>
          <w:tcPr>
            <w:tcW w:w="6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800" w:type="dxa"/>
            <w:vAlign w:val="bottom"/>
            <w:tcBorders>
              <w:bottom w:val="single" w:sz="8" w:color="009FE3"/>
              <w:right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w:t>
            </w:r>
          </w:p>
        </w:tc>
        <w:tc>
          <w:tcPr>
            <w:tcW w:w="8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(3)</w:t>
            </w:r>
          </w:p>
        </w:tc>
        <w:tc>
          <w:tcPr>
            <w:tcW w:w="900" w:type="dxa"/>
            <w:vAlign w:val="bottom"/>
            <w:tcBorders>
              <w:bottom w:val="single" w:sz="8" w:color="009FE3"/>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w:t>
            </w:r>
          </w:p>
        </w:tc>
        <w:tc>
          <w:tcPr>
            <w:tcW w:w="920" w:type="dxa"/>
            <w:vAlign w:val="bottom"/>
            <w:tcBorders>
              <w:bottom w:val="single" w:sz="8" w:color="009FE3"/>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($/Sh) (4)</w:t>
            </w:r>
          </w:p>
        </w:tc>
        <w:tc>
          <w:tcPr>
            <w:tcW w:w="86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(5)</w:t>
            </w:r>
          </w:p>
        </w:tc>
      </w:tr>
      <w:tr>
        <w:trPr>
          <w:trHeight w:val="166"/>
        </w:trPr>
        <w:tc>
          <w:tcPr>
            <w:tcW w:w="20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
              <w:spacing w:after="0"/>
              <w:rPr>
                <w:sz w:val="20"/>
                <w:szCs w:val="20"/>
                <w:color w:val="auto"/>
              </w:rPr>
            </w:pPr>
            <w:r>
              <w:rPr>
                <w:rFonts w:ascii="Arial" w:cs="Arial" w:eastAsia="Arial" w:hAnsi="Arial"/>
                <w:sz w:val="14"/>
                <w:szCs w:val="14"/>
                <w:color w:val="202E39"/>
              </w:rPr>
              <w:t>1,820,000</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4,550,000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540"/>
              <w:spacing w:after="0"/>
              <w:rPr>
                <w:sz w:val="20"/>
                <w:szCs w:val="20"/>
                <w:color w:val="auto"/>
              </w:rPr>
            </w:pPr>
            <w:r>
              <w:rPr>
                <w:rFonts w:ascii="Arial" w:cs="Arial" w:eastAsia="Arial" w:hAnsi="Arial"/>
                <w:sz w:val="14"/>
                <w:szCs w:val="14"/>
                <w:color w:val="202E39"/>
              </w:rPr>
              <w:t>—</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60,908</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140"/>
              <w:spacing w:after="0"/>
              <w:rPr>
                <w:sz w:val="20"/>
                <w:szCs w:val="20"/>
                <w:color w:val="auto"/>
              </w:rPr>
            </w:pPr>
            <w:r>
              <w:rPr>
                <w:rFonts w:ascii="Arial" w:cs="Arial" w:eastAsia="Arial" w:hAnsi="Arial"/>
                <w:sz w:val="14"/>
                <w:szCs w:val="14"/>
                <w:color w:val="202E39"/>
              </w:rPr>
              <w:t>4,375,022</w:t>
            </w:r>
          </w:p>
        </w:tc>
      </w:tr>
      <w:tr>
        <w:trPr>
          <w:trHeight w:val="178"/>
        </w:trPr>
        <w:tc>
          <w:tcPr>
            <w:tcW w:w="2000" w:type="dxa"/>
            <w:vAlign w:val="bottom"/>
            <w:tcBorders>
              <w:bottom w:val="single" w:sz="8" w:color="E8EAEB"/>
              <w:right w:val="single" w:sz="8" w:color="E8EAEB"/>
            </w:tcBorders>
          </w:tcPr>
          <w:p>
            <w:pPr>
              <w:spacing w:after="0"/>
              <w:rPr>
                <w:sz w:val="15"/>
                <w:szCs w:val="15"/>
                <w:color w:val="auto"/>
              </w:rPr>
            </w:pPr>
          </w:p>
        </w:tc>
        <w:tc>
          <w:tcPr>
            <w:tcW w:w="7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4"/>
                <w:szCs w:val="14"/>
                <w:color w:val="202E39"/>
              </w:rPr>
              <w:t>71,944</w:t>
            </w:r>
          </w:p>
        </w:tc>
        <w:tc>
          <w:tcPr>
            <w:tcW w:w="68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143,888</w:t>
            </w:r>
          </w:p>
        </w:tc>
        <w:tc>
          <w:tcPr>
            <w:tcW w:w="80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251,804</w:t>
            </w:r>
          </w:p>
        </w:tc>
        <w:tc>
          <w:tcPr>
            <w:tcW w:w="86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right w:val="single" w:sz="8" w:color="E8EAEB"/>
            </w:tcBorders>
          </w:tcPr>
          <w:p>
            <w:pPr>
              <w:jc w:val="center"/>
              <w:ind w:left="288"/>
              <w:spacing w:after="0"/>
              <w:rPr>
                <w:sz w:val="20"/>
                <w:szCs w:val="20"/>
                <w:color w:val="auto"/>
              </w:rPr>
            </w:pPr>
            <w:r>
              <w:rPr>
                <w:rFonts w:ascii="Arial" w:cs="Arial" w:eastAsia="Arial" w:hAnsi="Arial"/>
                <w:sz w:val="14"/>
                <w:szCs w:val="14"/>
                <w:color w:val="202E39"/>
              </w:rPr>
              <w:t>71.83</w:t>
            </w:r>
          </w:p>
        </w:tc>
        <w:tc>
          <w:tcPr>
            <w:tcW w:w="860" w:type="dxa"/>
            <w:vAlign w:val="bottom"/>
            <w:tcBorders>
              <w:bottom w:val="single" w:sz="8" w:color="E8EAEB"/>
            </w:tcBorders>
          </w:tcPr>
          <w:p>
            <w:pPr>
              <w:ind w:left="140"/>
              <w:spacing w:after="0"/>
              <w:rPr>
                <w:sz w:val="20"/>
                <w:szCs w:val="20"/>
                <w:color w:val="auto"/>
              </w:rPr>
            </w:pPr>
            <w:r>
              <w:rPr>
                <w:rFonts w:ascii="Arial" w:cs="Arial" w:eastAsia="Arial" w:hAnsi="Arial"/>
                <w:sz w:val="14"/>
                <w:szCs w:val="14"/>
                <w:color w:val="202E39"/>
              </w:rPr>
              <w:t>4,375,634</w:t>
            </w:r>
          </w:p>
        </w:tc>
      </w:tr>
      <w:tr>
        <w:trPr>
          <w:trHeight w:val="166"/>
        </w:trPr>
        <w:tc>
          <w:tcPr>
            <w:tcW w:w="20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2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
              <w:spacing w:after="0"/>
              <w:rPr>
                <w:sz w:val="20"/>
                <w:szCs w:val="20"/>
                <w:color w:val="auto"/>
              </w:rPr>
            </w:pPr>
            <w:r>
              <w:rPr>
                <w:rFonts w:ascii="Arial" w:cs="Arial" w:eastAsia="Arial" w:hAnsi="Arial"/>
                <w:sz w:val="14"/>
                <w:szCs w:val="14"/>
                <w:color w:val="202E39"/>
              </w:rPr>
              <w:t>1,540,000</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3,850,000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540"/>
              <w:spacing w:after="0"/>
              <w:rPr>
                <w:sz w:val="20"/>
                <w:szCs w:val="20"/>
                <w:color w:val="auto"/>
              </w:rPr>
            </w:pPr>
            <w:r>
              <w:rPr>
                <w:rFonts w:ascii="Arial" w:cs="Arial" w:eastAsia="Arial" w:hAnsi="Arial"/>
                <w:sz w:val="14"/>
                <w:szCs w:val="14"/>
                <w:color w:val="202E39"/>
              </w:rPr>
              <w:t>—</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51,772</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140"/>
              <w:spacing w:after="0"/>
              <w:rPr>
                <w:sz w:val="20"/>
                <w:szCs w:val="20"/>
                <w:color w:val="auto"/>
              </w:rPr>
            </w:pPr>
            <w:r>
              <w:rPr>
                <w:rFonts w:ascii="Arial" w:cs="Arial" w:eastAsia="Arial" w:hAnsi="Arial"/>
                <w:sz w:val="14"/>
                <w:szCs w:val="14"/>
                <w:color w:val="202E39"/>
              </w:rPr>
              <w:t>3,718,783</w:t>
            </w:r>
          </w:p>
        </w:tc>
      </w:tr>
      <w:tr>
        <w:trPr>
          <w:trHeight w:val="178"/>
        </w:trPr>
        <w:tc>
          <w:tcPr>
            <w:tcW w:w="2000" w:type="dxa"/>
            <w:vAlign w:val="bottom"/>
            <w:tcBorders>
              <w:bottom w:val="single" w:sz="8" w:color="E8EAEB"/>
              <w:right w:val="single" w:sz="8" w:color="E8EAEB"/>
            </w:tcBorders>
          </w:tcPr>
          <w:p>
            <w:pPr>
              <w:spacing w:after="0"/>
              <w:rPr>
                <w:sz w:val="15"/>
                <w:szCs w:val="15"/>
                <w:color w:val="auto"/>
              </w:rPr>
            </w:pPr>
          </w:p>
        </w:tc>
        <w:tc>
          <w:tcPr>
            <w:tcW w:w="7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4"/>
                <w:szCs w:val="14"/>
                <w:color w:val="202E39"/>
              </w:rPr>
              <w:t>61,453</w:t>
            </w:r>
          </w:p>
        </w:tc>
        <w:tc>
          <w:tcPr>
            <w:tcW w:w="68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122,305</w:t>
            </w:r>
          </w:p>
        </w:tc>
        <w:tc>
          <w:tcPr>
            <w:tcW w:w="80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214,034</w:t>
            </w:r>
          </w:p>
        </w:tc>
        <w:tc>
          <w:tcPr>
            <w:tcW w:w="86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right w:val="single" w:sz="8" w:color="E8EAEB"/>
            </w:tcBorders>
          </w:tcPr>
          <w:p>
            <w:pPr>
              <w:jc w:val="center"/>
              <w:ind w:left="288"/>
              <w:spacing w:after="0"/>
              <w:rPr>
                <w:sz w:val="20"/>
                <w:szCs w:val="20"/>
                <w:color w:val="auto"/>
              </w:rPr>
            </w:pPr>
            <w:r>
              <w:rPr>
                <w:rFonts w:ascii="Arial" w:cs="Arial" w:eastAsia="Arial" w:hAnsi="Arial"/>
                <w:sz w:val="14"/>
                <w:szCs w:val="14"/>
                <w:color w:val="202E39"/>
              </w:rPr>
              <w:t>71.83</w:t>
            </w:r>
          </w:p>
        </w:tc>
        <w:tc>
          <w:tcPr>
            <w:tcW w:w="860" w:type="dxa"/>
            <w:vAlign w:val="bottom"/>
            <w:tcBorders>
              <w:bottom w:val="single" w:sz="8" w:color="E8EAEB"/>
            </w:tcBorders>
          </w:tcPr>
          <w:p>
            <w:pPr>
              <w:ind w:left="140"/>
              <w:spacing w:after="0"/>
              <w:rPr>
                <w:sz w:val="20"/>
                <w:szCs w:val="20"/>
                <w:color w:val="auto"/>
              </w:rPr>
            </w:pPr>
            <w:r>
              <w:rPr>
                <w:rFonts w:ascii="Arial" w:cs="Arial" w:eastAsia="Arial" w:hAnsi="Arial"/>
                <w:sz w:val="14"/>
                <w:szCs w:val="14"/>
                <w:color w:val="202E39"/>
              </w:rPr>
              <w:t>3,719,295</w:t>
            </w:r>
          </w:p>
        </w:tc>
      </w:tr>
      <w:tr>
        <w:trPr>
          <w:trHeight w:val="166"/>
        </w:trPr>
        <w:tc>
          <w:tcPr>
            <w:tcW w:w="20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
              <w:spacing w:after="0"/>
              <w:rPr>
                <w:sz w:val="20"/>
                <w:szCs w:val="20"/>
                <w:color w:val="auto"/>
              </w:rPr>
            </w:pPr>
            <w:r>
              <w:rPr>
                <w:rFonts w:ascii="Arial" w:cs="Arial" w:eastAsia="Arial" w:hAnsi="Arial"/>
                <w:sz w:val="14"/>
                <w:szCs w:val="14"/>
                <w:color w:val="202E39"/>
              </w:rPr>
              <w:t>517,500</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1,293,750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540"/>
              <w:spacing w:after="0"/>
              <w:rPr>
                <w:sz w:val="20"/>
                <w:szCs w:val="20"/>
                <w:color w:val="auto"/>
              </w:rPr>
            </w:pPr>
            <w:r>
              <w:rPr>
                <w:rFonts w:ascii="Arial" w:cs="Arial" w:eastAsia="Arial" w:hAnsi="Arial"/>
                <w:sz w:val="14"/>
                <w:szCs w:val="14"/>
                <w:color w:val="202E39"/>
              </w:rPr>
              <w:t>—</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17,403</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140"/>
              <w:spacing w:after="0"/>
              <w:rPr>
                <w:sz w:val="20"/>
                <w:szCs w:val="20"/>
                <w:color w:val="auto"/>
              </w:rPr>
            </w:pPr>
            <w:r>
              <w:rPr>
                <w:rFonts w:ascii="Arial" w:cs="Arial" w:eastAsia="Arial" w:hAnsi="Arial"/>
                <w:sz w:val="14"/>
                <w:szCs w:val="14"/>
                <w:color w:val="202E39"/>
              </w:rPr>
              <w:t>1,250,057</w:t>
            </w:r>
          </w:p>
        </w:tc>
      </w:tr>
      <w:tr>
        <w:trPr>
          <w:trHeight w:val="178"/>
        </w:trPr>
        <w:tc>
          <w:tcPr>
            <w:tcW w:w="2000" w:type="dxa"/>
            <w:vAlign w:val="bottom"/>
            <w:tcBorders>
              <w:bottom w:val="single" w:sz="8" w:color="E8EAEB"/>
              <w:right w:val="single" w:sz="8" w:color="E8EAEB"/>
            </w:tcBorders>
          </w:tcPr>
          <w:p>
            <w:pPr>
              <w:spacing w:after="0"/>
              <w:rPr>
                <w:sz w:val="15"/>
                <w:szCs w:val="15"/>
                <w:color w:val="auto"/>
              </w:rPr>
            </w:pPr>
          </w:p>
        </w:tc>
        <w:tc>
          <w:tcPr>
            <w:tcW w:w="7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4"/>
                <w:szCs w:val="14"/>
                <w:color w:val="202E39"/>
              </w:rPr>
              <w:t>20,556</w:t>
            </w:r>
          </w:p>
        </w:tc>
        <w:tc>
          <w:tcPr>
            <w:tcW w:w="68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41,111</w:t>
            </w:r>
          </w:p>
        </w:tc>
        <w:tc>
          <w:tcPr>
            <w:tcW w:w="80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71,944</w:t>
            </w:r>
          </w:p>
        </w:tc>
        <w:tc>
          <w:tcPr>
            <w:tcW w:w="86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right w:val="single" w:sz="8" w:color="E8EAEB"/>
            </w:tcBorders>
          </w:tcPr>
          <w:p>
            <w:pPr>
              <w:jc w:val="center"/>
              <w:ind w:left="288"/>
              <w:spacing w:after="0"/>
              <w:rPr>
                <w:sz w:val="20"/>
                <w:szCs w:val="20"/>
                <w:color w:val="auto"/>
              </w:rPr>
            </w:pPr>
            <w:r>
              <w:rPr>
                <w:rFonts w:ascii="Arial" w:cs="Arial" w:eastAsia="Arial" w:hAnsi="Arial"/>
                <w:sz w:val="14"/>
                <w:szCs w:val="14"/>
                <w:color w:val="202E39"/>
              </w:rPr>
              <w:t>71.83</w:t>
            </w:r>
          </w:p>
        </w:tc>
        <w:tc>
          <w:tcPr>
            <w:tcW w:w="860" w:type="dxa"/>
            <w:vAlign w:val="bottom"/>
            <w:tcBorders>
              <w:bottom w:val="single" w:sz="8" w:color="E8EAEB"/>
            </w:tcBorders>
          </w:tcPr>
          <w:p>
            <w:pPr>
              <w:ind w:left="140"/>
              <w:spacing w:after="0"/>
              <w:rPr>
                <w:sz w:val="20"/>
                <w:szCs w:val="20"/>
                <w:color w:val="auto"/>
              </w:rPr>
            </w:pPr>
            <w:r>
              <w:rPr>
                <w:rFonts w:ascii="Arial" w:cs="Arial" w:eastAsia="Arial" w:hAnsi="Arial"/>
                <w:sz w:val="14"/>
                <w:szCs w:val="14"/>
                <w:color w:val="202E39"/>
              </w:rPr>
              <w:t>1,250,186</w:t>
            </w:r>
          </w:p>
        </w:tc>
      </w:tr>
      <w:tr>
        <w:trPr>
          <w:trHeight w:val="166"/>
        </w:trPr>
        <w:tc>
          <w:tcPr>
            <w:tcW w:w="20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Kevin Harkenrider</w:t>
            </w:r>
          </w:p>
        </w:tc>
        <w:tc>
          <w:tcPr>
            <w:tcW w:w="72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
              <w:spacing w:after="0"/>
              <w:rPr>
                <w:sz w:val="20"/>
                <w:szCs w:val="20"/>
                <w:color w:val="auto"/>
              </w:rPr>
            </w:pPr>
            <w:r>
              <w:rPr>
                <w:rFonts w:ascii="Arial" w:cs="Arial" w:eastAsia="Arial" w:hAnsi="Arial"/>
                <w:sz w:val="14"/>
                <w:szCs w:val="14"/>
                <w:color w:val="202E39"/>
              </w:rPr>
              <w:t>488,750</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1,221,875</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540"/>
              <w:spacing w:after="0"/>
              <w:rPr>
                <w:sz w:val="20"/>
                <w:szCs w:val="20"/>
                <w:color w:val="auto"/>
              </w:rPr>
            </w:pPr>
            <w:r>
              <w:rPr>
                <w:rFonts w:ascii="Arial" w:cs="Arial" w:eastAsia="Arial" w:hAnsi="Arial"/>
                <w:sz w:val="14"/>
                <w:szCs w:val="14"/>
                <w:color w:val="202E39"/>
              </w:rPr>
              <w:t>—</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13,922</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140"/>
              <w:spacing w:after="0"/>
              <w:rPr>
                <w:sz w:val="20"/>
                <w:szCs w:val="20"/>
                <w:color w:val="auto"/>
              </w:rPr>
            </w:pPr>
            <w:r>
              <w:rPr>
                <w:rFonts w:ascii="Arial" w:cs="Arial" w:eastAsia="Arial" w:hAnsi="Arial"/>
                <w:sz w:val="14"/>
                <w:szCs w:val="14"/>
                <w:color w:val="202E39"/>
              </w:rPr>
              <w:t>1,000,017</w:t>
            </w:r>
          </w:p>
        </w:tc>
      </w:tr>
      <w:tr>
        <w:trPr>
          <w:trHeight w:val="178"/>
        </w:trPr>
        <w:tc>
          <w:tcPr>
            <w:tcW w:w="2000" w:type="dxa"/>
            <w:vAlign w:val="bottom"/>
            <w:tcBorders>
              <w:bottom w:val="single" w:sz="8" w:color="E8EAEB"/>
              <w:right w:val="single" w:sz="8" w:color="E8EAEB"/>
            </w:tcBorders>
          </w:tcPr>
          <w:p>
            <w:pPr>
              <w:spacing w:after="0"/>
              <w:rPr>
                <w:sz w:val="15"/>
                <w:szCs w:val="15"/>
                <w:color w:val="auto"/>
              </w:rPr>
            </w:pPr>
          </w:p>
        </w:tc>
        <w:tc>
          <w:tcPr>
            <w:tcW w:w="7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4"/>
                <w:szCs w:val="14"/>
                <w:color w:val="202E39"/>
              </w:rPr>
              <w:t>16,445</w:t>
            </w:r>
          </w:p>
        </w:tc>
        <w:tc>
          <w:tcPr>
            <w:tcW w:w="68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32,889</w:t>
            </w:r>
          </w:p>
        </w:tc>
        <w:tc>
          <w:tcPr>
            <w:tcW w:w="80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57,556</w:t>
            </w:r>
          </w:p>
        </w:tc>
        <w:tc>
          <w:tcPr>
            <w:tcW w:w="86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E8EAEB"/>
              <w:right w:val="single" w:sz="8" w:color="E8EAEB"/>
            </w:tcBorders>
          </w:tcPr>
          <w:p>
            <w:pPr>
              <w:jc w:val="center"/>
              <w:ind w:left="288"/>
              <w:spacing w:after="0"/>
              <w:rPr>
                <w:sz w:val="20"/>
                <w:szCs w:val="20"/>
                <w:color w:val="auto"/>
              </w:rPr>
            </w:pPr>
            <w:r>
              <w:rPr>
                <w:rFonts w:ascii="Arial" w:cs="Arial" w:eastAsia="Arial" w:hAnsi="Arial"/>
                <w:sz w:val="14"/>
                <w:szCs w:val="14"/>
                <w:color w:val="202E39"/>
              </w:rPr>
              <w:t>71.83</w:t>
            </w:r>
          </w:p>
        </w:tc>
        <w:tc>
          <w:tcPr>
            <w:tcW w:w="860" w:type="dxa"/>
            <w:vAlign w:val="bottom"/>
            <w:tcBorders>
              <w:bottom w:val="single" w:sz="8" w:color="E8EAEB"/>
            </w:tcBorders>
          </w:tcPr>
          <w:p>
            <w:pPr>
              <w:ind w:left="140"/>
              <w:spacing w:after="0"/>
              <w:rPr>
                <w:sz w:val="20"/>
                <w:szCs w:val="20"/>
                <w:color w:val="auto"/>
              </w:rPr>
            </w:pPr>
            <w:r>
              <w:rPr>
                <w:rFonts w:ascii="Arial" w:cs="Arial" w:eastAsia="Arial" w:hAnsi="Arial"/>
                <w:sz w:val="14"/>
                <w:szCs w:val="14"/>
                <w:color w:val="202E39"/>
              </w:rPr>
              <w:t>1,000,154</w:t>
            </w:r>
          </w:p>
        </w:tc>
      </w:tr>
      <w:tr>
        <w:trPr>
          <w:trHeight w:val="166"/>
        </w:trPr>
        <w:tc>
          <w:tcPr>
            <w:tcW w:w="20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20" w:type="dxa"/>
            <w:vAlign w:val="bottom"/>
            <w:tcBorders>
              <w:right w:val="single" w:sz="8" w:color="E8EAEB"/>
            </w:tcBorders>
          </w:tcPr>
          <w:p>
            <w:pPr>
              <w:ind w:left="42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
              <w:spacing w:after="0"/>
              <w:rPr>
                <w:sz w:val="20"/>
                <w:szCs w:val="20"/>
                <w:color w:val="auto"/>
              </w:rPr>
            </w:pPr>
            <w:r>
              <w:rPr>
                <w:rFonts w:ascii="Arial" w:cs="Arial" w:eastAsia="Arial" w:hAnsi="Arial"/>
                <w:sz w:val="14"/>
                <w:szCs w:val="14"/>
                <w:color w:val="202E39"/>
              </w:rPr>
              <w:t>675,000</w:t>
            </w:r>
          </w:p>
        </w:tc>
        <w:tc>
          <w:tcPr>
            <w:tcW w:w="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1,687,500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540"/>
              <w:spacing w:after="0"/>
              <w:rPr>
                <w:sz w:val="20"/>
                <w:szCs w:val="20"/>
                <w:color w:val="auto"/>
              </w:rPr>
            </w:pPr>
            <w:r>
              <w:rPr>
                <w:rFonts w:ascii="Arial" w:cs="Arial" w:eastAsia="Arial" w:hAnsi="Arial"/>
                <w:sz w:val="14"/>
                <w:szCs w:val="14"/>
                <w:color w:val="202E39"/>
              </w:rPr>
              <w:t>—</w:t>
            </w:r>
          </w:p>
        </w:tc>
      </w:tr>
      <w:tr>
        <w:trPr>
          <w:trHeight w:val="162"/>
        </w:trPr>
        <w:tc>
          <w:tcPr>
            <w:tcW w:w="20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6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20,883</w:t>
            </w:r>
          </w:p>
        </w:tc>
        <w:tc>
          <w:tcPr>
            <w:tcW w:w="9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right w:val="single" w:sz="8" w:color="E8EAEB"/>
            </w:tcBorders>
          </w:tcPr>
          <w:p>
            <w:pPr>
              <w:jc w:val="center"/>
              <w:ind w:left="348"/>
              <w:spacing w:after="0"/>
              <w:rPr>
                <w:sz w:val="20"/>
                <w:szCs w:val="20"/>
                <w:color w:val="auto"/>
              </w:rPr>
            </w:pPr>
            <w:r>
              <w:rPr>
                <w:rFonts w:ascii="Arial" w:cs="Arial" w:eastAsia="Arial" w:hAnsi="Arial"/>
                <w:sz w:val="14"/>
                <w:szCs w:val="14"/>
                <w:color w:val="202E39"/>
                <w:w w:val="99"/>
              </w:rPr>
              <w:t>—</w:t>
            </w:r>
          </w:p>
        </w:tc>
        <w:tc>
          <w:tcPr>
            <w:tcW w:w="860" w:type="dxa"/>
            <w:vAlign w:val="bottom"/>
          </w:tcPr>
          <w:p>
            <w:pPr>
              <w:ind w:left="140"/>
              <w:spacing w:after="0"/>
              <w:rPr>
                <w:sz w:val="20"/>
                <w:szCs w:val="20"/>
                <w:color w:val="auto"/>
              </w:rPr>
            </w:pPr>
            <w:r>
              <w:rPr>
                <w:rFonts w:ascii="Arial" w:cs="Arial" w:eastAsia="Arial" w:hAnsi="Arial"/>
                <w:sz w:val="14"/>
                <w:szCs w:val="14"/>
                <w:color w:val="202E39"/>
              </w:rPr>
              <w:t>1,500,026</w:t>
            </w:r>
          </w:p>
        </w:tc>
      </w:tr>
      <w:tr>
        <w:trPr>
          <w:trHeight w:val="178"/>
        </w:trPr>
        <w:tc>
          <w:tcPr>
            <w:tcW w:w="2000" w:type="dxa"/>
            <w:vAlign w:val="bottom"/>
            <w:tcBorders>
              <w:bottom w:val="single" w:sz="8" w:color="009FE3"/>
              <w:right w:val="single" w:sz="8" w:color="E8EAEB"/>
            </w:tcBorders>
          </w:tcPr>
          <w:p>
            <w:pPr>
              <w:spacing w:after="0"/>
              <w:rPr>
                <w:sz w:val="15"/>
                <w:szCs w:val="15"/>
                <w:color w:val="auto"/>
              </w:rPr>
            </w:pPr>
          </w:p>
        </w:tc>
        <w:tc>
          <w:tcPr>
            <w:tcW w:w="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11/15/19</w:t>
            </w:r>
          </w:p>
        </w:tc>
        <w:tc>
          <w:tcPr>
            <w:tcW w:w="840" w:type="dxa"/>
            <w:vAlign w:val="bottom"/>
            <w:tcBorders>
              <w:bottom w:val="single" w:sz="8" w:color="009FE3"/>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00" w:type="dxa"/>
            <w:vAlign w:val="bottom"/>
            <w:tcBorders>
              <w:bottom w:val="single" w:sz="8" w:color="009FE3"/>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009FE3"/>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009FE3"/>
              <w:right w:val="single" w:sz="8" w:color="E8EAEB"/>
            </w:tcBorders>
          </w:tcPr>
          <w:p>
            <w:pPr>
              <w:ind w:left="280"/>
              <w:spacing w:after="0"/>
              <w:rPr>
                <w:sz w:val="20"/>
                <w:szCs w:val="20"/>
                <w:color w:val="auto"/>
              </w:rPr>
            </w:pPr>
            <w:r>
              <w:rPr>
                <w:rFonts w:ascii="Arial" w:cs="Arial" w:eastAsia="Arial" w:hAnsi="Arial"/>
                <w:sz w:val="14"/>
                <w:szCs w:val="14"/>
                <w:color w:val="202E39"/>
              </w:rPr>
              <w:t>24,667</w:t>
            </w:r>
          </w:p>
        </w:tc>
        <w:tc>
          <w:tcPr>
            <w:tcW w:w="680" w:type="dxa"/>
            <w:vAlign w:val="bottom"/>
            <w:tcBorders>
              <w:bottom w:val="single" w:sz="8" w:color="009FE3"/>
              <w:right w:val="single" w:sz="8" w:color="E8EAEB"/>
            </w:tcBorders>
          </w:tcPr>
          <w:p>
            <w:pPr>
              <w:jc w:val="right"/>
              <w:ind w:right="8"/>
              <w:spacing w:after="0"/>
              <w:rPr>
                <w:sz w:val="20"/>
                <w:szCs w:val="20"/>
                <w:color w:val="auto"/>
              </w:rPr>
            </w:pPr>
            <w:r>
              <w:rPr>
                <w:rFonts w:ascii="Arial" w:cs="Arial" w:eastAsia="Arial" w:hAnsi="Arial"/>
                <w:sz w:val="14"/>
                <w:szCs w:val="14"/>
                <w:color w:val="202E39"/>
              </w:rPr>
              <w:t>49,333</w:t>
            </w:r>
          </w:p>
        </w:tc>
        <w:tc>
          <w:tcPr>
            <w:tcW w:w="800" w:type="dxa"/>
            <w:vAlign w:val="bottom"/>
            <w:tcBorders>
              <w:bottom w:val="single" w:sz="8" w:color="009FE3"/>
              <w:right w:val="single" w:sz="8" w:color="E8EAEB"/>
            </w:tcBorders>
          </w:tcPr>
          <w:p>
            <w:pPr>
              <w:jc w:val="right"/>
              <w:ind w:right="8"/>
              <w:spacing w:after="0"/>
              <w:rPr>
                <w:sz w:val="20"/>
                <w:szCs w:val="20"/>
                <w:color w:val="auto"/>
              </w:rPr>
            </w:pPr>
            <w:r>
              <w:rPr>
                <w:rFonts w:ascii="Arial" w:cs="Arial" w:eastAsia="Arial" w:hAnsi="Arial"/>
                <w:sz w:val="14"/>
                <w:szCs w:val="14"/>
                <w:color w:val="202E39"/>
              </w:rPr>
              <w:t>86,333</w:t>
            </w:r>
          </w:p>
        </w:tc>
        <w:tc>
          <w:tcPr>
            <w:tcW w:w="860" w:type="dxa"/>
            <w:vAlign w:val="bottom"/>
            <w:tcBorders>
              <w:bottom w:val="single" w:sz="8" w:color="009FE3"/>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009FE3"/>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20" w:type="dxa"/>
            <w:vAlign w:val="bottom"/>
            <w:tcBorders>
              <w:bottom w:val="single" w:sz="8" w:color="009FE3"/>
              <w:right w:val="single" w:sz="8" w:color="E8EAEB"/>
            </w:tcBorders>
          </w:tcPr>
          <w:p>
            <w:pPr>
              <w:jc w:val="center"/>
              <w:ind w:left="288"/>
              <w:spacing w:after="0"/>
              <w:rPr>
                <w:sz w:val="20"/>
                <w:szCs w:val="20"/>
                <w:color w:val="auto"/>
              </w:rPr>
            </w:pPr>
            <w:r>
              <w:rPr>
                <w:rFonts w:ascii="Arial" w:cs="Arial" w:eastAsia="Arial" w:hAnsi="Arial"/>
                <w:sz w:val="14"/>
                <w:szCs w:val="14"/>
                <w:color w:val="202E39"/>
              </w:rPr>
              <w:t>71.83</w:t>
            </w:r>
          </w:p>
        </w:tc>
        <w:tc>
          <w:tcPr>
            <w:tcW w:w="860" w:type="dxa"/>
            <w:vAlign w:val="bottom"/>
            <w:tcBorders>
              <w:bottom w:val="single" w:sz="8" w:color="009FE3"/>
            </w:tcBorders>
          </w:tcPr>
          <w:p>
            <w:pPr>
              <w:ind w:left="140"/>
              <w:spacing w:after="0"/>
              <w:rPr>
                <w:sz w:val="20"/>
                <w:szCs w:val="20"/>
                <w:color w:val="auto"/>
              </w:rPr>
            </w:pPr>
            <w:r>
              <w:rPr>
                <w:rFonts w:ascii="Arial" w:cs="Arial" w:eastAsia="Arial" w:hAnsi="Arial"/>
                <w:sz w:val="14"/>
                <w:szCs w:val="14"/>
                <w:color w:val="202E39"/>
              </w:rPr>
              <w:t>1,500,217</w:t>
            </w:r>
          </w:p>
        </w:tc>
      </w:tr>
    </w:tbl>
    <w:p>
      <w:pPr>
        <w:spacing w:after="0" w:line="126" w:lineRule="exact"/>
        <w:rPr>
          <w:sz w:val="20"/>
          <w:szCs w:val="20"/>
          <w:color w:val="auto"/>
        </w:rPr>
      </w:pPr>
    </w:p>
    <w:p>
      <w:pPr>
        <w:ind w:left="540" w:right="440" w:hanging="424"/>
        <w:spacing w:after="0" w:line="249"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Represents target and maximum amounts payable under our annual bonus program for fiscal year 2020.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52" w:lineRule="exact"/>
        <w:rPr>
          <w:rFonts w:ascii="Arial" w:cs="Arial" w:eastAsia="Arial" w:hAnsi="Arial"/>
          <w:sz w:val="14"/>
          <w:szCs w:val="14"/>
          <w:color w:val="202E39"/>
        </w:rPr>
      </w:pPr>
    </w:p>
    <w:p>
      <w:pPr>
        <w:ind w:left="540" w:right="20" w:hanging="424"/>
        <w:spacing w:after="0" w:line="244"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2023 of our TSR to the TSR of the companies included in the S&amp;P Mid Cap 400 Index. The number of options that will ultimately become vested and exercisable at the end of the four year vesting schedule will range from 0% to 175% of the target number of options based on our relative TSR ranking for the four-year performance period ending October 31, 2023. The performance-based stock options must be vested under both the time-based vesting schedule and the performance-based vesting conditions in order to become exercisable by the Named Executive Officer.</w:t>
      </w:r>
    </w:p>
    <w:p>
      <w:pPr>
        <w:spacing w:after="0" w:line="219" w:lineRule="exact"/>
        <w:rPr>
          <w:rFonts w:ascii="Arial" w:cs="Arial" w:eastAsia="Arial" w:hAnsi="Arial"/>
          <w:sz w:val="14"/>
          <w:szCs w:val="14"/>
          <w:color w:val="202E39"/>
        </w:rPr>
      </w:pPr>
    </w:p>
    <w:p>
      <w:pPr>
        <w:ind w:left="540" w:hanging="424"/>
        <w:spacing w:after="0"/>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right="120" w:hanging="424"/>
        <w:spacing w:after="0" w:line="258"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our common stock, which is defined under our 1996 Equity Participation Plan as the closing price per share on the grant date.</w:t>
      </w:r>
    </w:p>
    <w:p>
      <w:pPr>
        <w:spacing w:after="0" w:line="45" w:lineRule="exact"/>
        <w:rPr>
          <w:rFonts w:ascii="Arial" w:cs="Arial" w:eastAsia="Arial" w:hAnsi="Arial"/>
          <w:sz w:val="14"/>
          <w:szCs w:val="14"/>
          <w:color w:val="202E39"/>
        </w:rPr>
      </w:pPr>
    </w:p>
    <w:p>
      <w:pPr>
        <w:ind w:left="540" w:right="40" w:hanging="424"/>
        <w:spacing w:after="0" w:line="245" w:lineRule="auto"/>
        <w:tabs>
          <w:tab w:leader="none" w:pos="54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7 to the financial statements included in our annual report on Form 10-K for the fiscal year ended March 31, 2020,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83820</wp:posOffset>
            </wp:positionV>
            <wp:extent cx="4286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62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Outstanding Equity Awards at 2020 Fiscal Year End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Outstanding Equity Awards at 2020 Fiscal Year End</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56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740" w:type="dxa"/>
            <w:vAlign w:val="bottom"/>
            <w:tcBorders>
              <w:top w:val="single" w:sz="8" w:color="E8EAEB"/>
            </w:tcBorders>
          </w:tcPr>
          <w:p>
            <w:pPr>
              <w:spacing w:after="0"/>
              <w:rPr>
                <w:sz w:val="17"/>
                <w:szCs w:val="17"/>
                <w:color w:val="auto"/>
              </w:rPr>
            </w:pPr>
          </w:p>
        </w:tc>
        <w:tc>
          <w:tcPr>
            <w:tcW w:w="120" w:type="dxa"/>
            <w:vAlign w:val="bottom"/>
            <w:tcBorders>
              <w:top w:val="single" w:sz="8" w:color="E8EAEB"/>
            </w:tcBorders>
          </w:tcPr>
          <w:p>
            <w:pPr>
              <w:spacing w:after="0"/>
              <w:rPr>
                <w:sz w:val="17"/>
                <w:szCs w:val="17"/>
                <w:color w:val="auto"/>
              </w:rPr>
            </w:pPr>
          </w:p>
        </w:tc>
        <w:tc>
          <w:tcPr>
            <w:tcW w:w="800" w:type="dxa"/>
            <w:vAlign w:val="bottom"/>
            <w:tcBorders>
              <w:top w:val="single" w:sz="8" w:color="E8EAEB"/>
            </w:tcBorders>
          </w:tcPr>
          <w:p>
            <w:pPr>
              <w:spacing w:after="0"/>
              <w:rPr>
                <w:sz w:val="17"/>
                <w:szCs w:val="17"/>
                <w:color w:val="auto"/>
              </w:rPr>
            </w:pPr>
          </w:p>
        </w:tc>
        <w:tc>
          <w:tcPr>
            <w:tcW w:w="940" w:type="dxa"/>
            <w:vAlign w:val="bottom"/>
            <w:tcBorders>
              <w:top w:val="single" w:sz="8" w:color="E8EAEB"/>
            </w:tcBorders>
            <w:gridSpan w:val="2"/>
          </w:tcPr>
          <w:p>
            <w:pPr>
              <w:ind w:left="60"/>
              <w:spacing w:after="0"/>
              <w:rPr>
                <w:sz w:val="20"/>
                <w:szCs w:val="20"/>
                <w:color w:val="auto"/>
              </w:rPr>
            </w:pPr>
            <w:r>
              <w:rPr>
                <w:rFonts w:ascii="Arial" w:cs="Arial" w:eastAsia="Arial" w:hAnsi="Arial"/>
                <w:sz w:val="12"/>
                <w:szCs w:val="12"/>
                <w:b w:val="1"/>
                <w:bCs w:val="1"/>
                <w:color w:val="009FE3"/>
              </w:rPr>
              <w:t>Option Awards</w:t>
            </w:r>
          </w:p>
        </w:tc>
        <w:tc>
          <w:tcPr>
            <w:tcW w:w="660" w:type="dxa"/>
            <w:vAlign w:val="bottom"/>
            <w:tcBorders>
              <w:top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360" w:type="dxa"/>
            <w:vAlign w:val="bottom"/>
            <w:tcBorders>
              <w:top w:val="single" w:sz="8" w:color="E8EAEB"/>
              <w:right w:val="single" w:sz="8" w:color="E8EAEB"/>
            </w:tcBorders>
          </w:tcPr>
          <w:p>
            <w:pPr>
              <w:spacing w:after="0"/>
              <w:rPr>
                <w:sz w:val="17"/>
                <w:szCs w:val="17"/>
                <w:color w:val="auto"/>
              </w:rPr>
            </w:pPr>
          </w:p>
        </w:tc>
        <w:tc>
          <w:tcPr>
            <w:tcW w:w="1760" w:type="dxa"/>
            <w:vAlign w:val="bottom"/>
            <w:tcBorders>
              <w:top w:val="single" w:sz="8" w:color="E8EAEB"/>
            </w:tcBorders>
            <w:gridSpan w:val="2"/>
            <w:vMerge w:val="restart"/>
          </w:tcPr>
          <w:p>
            <w:pPr>
              <w:jc w:val="right"/>
              <w:ind w:right="438"/>
              <w:spacing w:after="0"/>
              <w:rPr>
                <w:sz w:val="20"/>
                <w:szCs w:val="20"/>
                <w:color w:val="auto"/>
              </w:rPr>
            </w:pPr>
            <w:r>
              <w:rPr>
                <w:rFonts w:ascii="Arial" w:cs="Arial" w:eastAsia="Arial" w:hAnsi="Arial"/>
                <w:sz w:val="12"/>
                <w:szCs w:val="12"/>
                <w:b w:val="1"/>
                <w:bCs w:val="1"/>
                <w:color w:val="009FE3"/>
              </w:rPr>
              <w:t>Stock Awards</w:t>
            </w:r>
          </w:p>
        </w:tc>
        <w:tc>
          <w:tcPr>
            <w:tcW w:w="0" w:type="dxa"/>
            <w:vAlign w:val="bottom"/>
          </w:tcPr>
          <w:p>
            <w:pPr>
              <w:spacing w:after="0"/>
              <w:rPr>
                <w:sz w:val="1"/>
                <w:szCs w:val="1"/>
                <w:color w:val="auto"/>
              </w:rPr>
            </w:pPr>
          </w:p>
        </w:tc>
      </w:tr>
      <w:tr>
        <w:trPr>
          <w:trHeight w:val="47"/>
        </w:trPr>
        <w:tc>
          <w:tcPr>
            <w:tcW w:w="3560" w:type="dxa"/>
            <w:vAlign w:val="bottom"/>
            <w:tcBorders>
              <w:right w:val="single" w:sz="8" w:color="E8EAEB"/>
            </w:tcBorders>
          </w:tcPr>
          <w:p>
            <w:pPr>
              <w:spacing w:after="0"/>
              <w:rPr>
                <w:sz w:val="4"/>
                <w:szCs w:val="4"/>
                <w:color w:val="auto"/>
              </w:rPr>
            </w:pPr>
          </w:p>
        </w:tc>
        <w:tc>
          <w:tcPr>
            <w:tcW w:w="1040" w:type="dxa"/>
            <w:vAlign w:val="bottom"/>
            <w:tcBorders>
              <w:right w:val="single" w:sz="8" w:color="E8EAEB"/>
            </w:tcBorders>
          </w:tcPr>
          <w:p>
            <w:pPr>
              <w:spacing w:after="0"/>
              <w:rPr>
                <w:sz w:val="4"/>
                <w:szCs w:val="4"/>
                <w:color w:val="auto"/>
              </w:rPr>
            </w:pPr>
          </w:p>
        </w:tc>
        <w:tc>
          <w:tcPr>
            <w:tcW w:w="740" w:type="dxa"/>
            <w:vAlign w:val="bottom"/>
            <w:tcBorders>
              <w:bottom w:val="single" w:sz="8" w:color="009FE3"/>
            </w:tcBorders>
          </w:tcPr>
          <w:p>
            <w:pPr>
              <w:spacing w:after="0"/>
              <w:rPr>
                <w:sz w:val="4"/>
                <w:szCs w:val="4"/>
                <w:color w:val="auto"/>
              </w:rPr>
            </w:pPr>
          </w:p>
        </w:tc>
        <w:tc>
          <w:tcPr>
            <w:tcW w:w="120" w:type="dxa"/>
            <w:vAlign w:val="bottom"/>
            <w:tcBorders>
              <w:bottom w:val="single" w:sz="8" w:color="009FE3"/>
            </w:tcBorders>
          </w:tcPr>
          <w:p>
            <w:pPr>
              <w:spacing w:after="0"/>
              <w:rPr>
                <w:sz w:val="4"/>
                <w:szCs w:val="4"/>
                <w:color w:val="auto"/>
              </w:rPr>
            </w:pPr>
          </w:p>
        </w:tc>
        <w:tc>
          <w:tcPr>
            <w:tcW w:w="800" w:type="dxa"/>
            <w:vAlign w:val="bottom"/>
            <w:tcBorders>
              <w:bottom w:val="single" w:sz="8" w:color="009FE3"/>
            </w:tcBorders>
          </w:tcPr>
          <w:p>
            <w:pPr>
              <w:spacing w:after="0"/>
              <w:rPr>
                <w:sz w:val="4"/>
                <w:szCs w:val="4"/>
                <w:color w:val="auto"/>
              </w:rPr>
            </w:pPr>
          </w:p>
        </w:tc>
        <w:tc>
          <w:tcPr>
            <w:tcW w:w="880" w:type="dxa"/>
            <w:vAlign w:val="bottom"/>
            <w:tcBorders>
              <w:bottom w:val="single" w:sz="8" w:color="009FE3"/>
            </w:tcBorders>
          </w:tcPr>
          <w:p>
            <w:pPr>
              <w:spacing w:after="0"/>
              <w:rPr>
                <w:sz w:val="4"/>
                <w:szCs w:val="4"/>
                <w:color w:val="auto"/>
              </w:rPr>
            </w:pPr>
          </w:p>
        </w:tc>
        <w:tc>
          <w:tcPr>
            <w:tcW w:w="60" w:type="dxa"/>
            <w:vAlign w:val="bottom"/>
            <w:tcBorders>
              <w:bottom w:val="single" w:sz="8" w:color="009FE3"/>
            </w:tcBorders>
          </w:tcPr>
          <w:p>
            <w:pPr>
              <w:spacing w:after="0"/>
              <w:rPr>
                <w:sz w:val="4"/>
                <w:szCs w:val="4"/>
                <w:color w:val="auto"/>
              </w:rPr>
            </w:pPr>
          </w:p>
        </w:tc>
        <w:tc>
          <w:tcPr>
            <w:tcW w:w="660" w:type="dxa"/>
            <w:vAlign w:val="bottom"/>
            <w:tcBorders>
              <w:bottom w:val="single" w:sz="8" w:color="009FE3"/>
            </w:tcBorders>
          </w:tcPr>
          <w:p>
            <w:pPr>
              <w:spacing w:after="0"/>
              <w:rPr>
                <w:sz w:val="4"/>
                <w:szCs w:val="4"/>
                <w:color w:val="auto"/>
              </w:rPr>
            </w:pPr>
          </w:p>
        </w:tc>
        <w:tc>
          <w:tcPr>
            <w:tcW w:w="1040" w:type="dxa"/>
            <w:vAlign w:val="bottom"/>
            <w:tcBorders>
              <w:bottom w:val="single" w:sz="8" w:color="009FE3"/>
              <w:right w:val="single" w:sz="8" w:color="E8EAEB"/>
            </w:tcBorders>
          </w:tcPr>
          <w:p>
            <w:pPr>
              <w:spacing w:after="0"/>
              <w:rPr>
                <w:sz w:val="4"/>
                <w:szCs w:val="4"/>
                <w:color w:val="auto"/>
              </w:rPr>
            </w:pPr>
          </w:p>
        </w:tc>
        <w:tc>
          <w:tcPr>
            <w:tcW w:w="360" w:type="dxa"/>
            <w:vAlign w:val="bottom"/>
            <w:tcBorders>
              <w:right w:val="single" w:sz="8" w:color="E8EAEB"/>
            </w:tcBorders>
          </w:tcPr>
          <w:p>
            <w:pPr>
              <w:spacing w:after="0"/>
              <w:rPr>
                <w:sz w:val="4"/>
                <w:szCs w:val="4"/>
                <w:color w:val="auto"/>
              </w:rPr>
            </w:pPr>
          </w:p>
        </w:tc>
        <w:tc>
          <w:tcPr>
            <w:tcW w:w="1760" w:type="dxa"/>
            <w:vAlign w:val="bottom"/>
            <w:tcBorders>
              <w:bottom w:val="single" w:sz="8" w:color="009FE3"/>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56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660" w:type="dxa"/>
            <w:vAlign w:val="bottom"/>
            <w:tcBorders>
              <w:right w:val="single" w:sz="8" w:color="E8EAEB"/>
            </w:tcBorders>
            <w:gridSpan w:val="3"/>
          </w:tcPr>
          <w:p>
            <w:pPr>
              <w:jc w:val="right"/>
              <w:ind w:right="197"/>
              <w:spacing w:after="0"/>
              <w:rPr>
                <w:sz w:val="20"/>
                <w:szCs w:val="20"/>
                <w:color w:val="auto"/>
              </w:rPr>
            </w:pPr>
            <w:r>
              <w:rPr>
                <w:rFonts w:ascii="Arial" w:cs="Arial" w:eastAsia="Arial" w:hAnsi="Arial"/>
                <w:sz w:val="12"/>
                <w:szCs w:val="12"/>
                <w:b w:val="1"/>
                <w:bCs w:val="1"/>
                <w:color w:val="009FE3"/>
              </w:rPr>
              <w:t>Number of Securities</w:t>
            </w:r>
          </w:p>
        </w:tc>
        <w:tc>
          <w:tcPr>
            <w:tcW w:w="880" w:type="dxa"/>
            <w:vAlign w:val="bottom"/>
            <w:tcBorders>
              <w:right w:val="single" w:sz="8" w:color="E8EAEB"/>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360" w:type="dxa"/>
            <w:vAlign w:val="bottom"/>
            <w:tcBorders>
              <w:right w:val="single" w:sz="8" w:color="E8EAEB"/>
            </w:tcBorders>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6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7"/>
              </w:rPr>
              <w:t>Underlying Unexercised</w:t>
            </w:r>
          </w:p>
        </w:tc>
        <w:tc>
          <w:tcPr>
            <w:tcW w:w="88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6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88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740" w:type="dxa"/>
            <w:vAlign w:val="bottom"/>
            <w:tcBorders>
              <w:bottom w:val="single" w:sz="8" w:color="009FE3"/>
            </w:tcBorders>
          </w:tcPr>
          <w:p>
            <w:pPr>
              <w:spacing w:after="0"/>
              <w:rPr>
                <w:sz w:val="14"/>
                <w:szCs w:val="14"/>
                <w:color w:val="auto"/>
              </w:rPr>
            </w:pPr>
          </w:p>
        </w:tc>
        <w:tc>
          <w:tcPr>
            <w:tcW w:w="920" w:type="dxa"/>
            <w:vAlign w:val="bottom"/>
            <w:tcBorders>
              <w:bottom w:val="single" w:sz="8" w:color="009FE3"/>
              <w:right w:val="single" w:sz="8" w:color="E8EAEB"/>
            </w:tcBorders>
            <w:gridSpan w:val="2"/>
          </w:tcPr>
          <w:p>
            <w:pPr>
              <w:jc w:val="center"/>
              <w:ind w:right="717"/>
              <w:spacing w:after="0"/>
              <w:rPr>
                <w:sz w:val="20"/>
                <w:szCs w:val="20"/>
                <w:color w:val="auto"/>
              </w:rPr>
            </w:pPr>
            <w:r>
              <w:rPr>
                <w:rFonts w:ascii="Arial" w:cs="Arial" w:eastAsia="Arial" w:hAnsi="Arial"/>
                <w:sz w:val="12"/>
                <w:szCs w:val="12"/>
                <w:b w:val="1"/>
                <w:bCs w:val="1"/>
                <w:color w:val="009FE3"/>
                <w:w w:val="95"/>
              </w:rPr>
              <w:t>(#)</w:t>
            </w:r>
          </w:p>
        </w:tc>
        <w:tc>
          <w:tcPr>
            <w:tcW w:w="880" w:type="dxa"/>
            <w:vAlign w:val="bottom"/>
            <w:tcBorders>
              <w:right w:val="single" w:sz="8" w:color="E8EAEB"/>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36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560" w:type="dxa"/>
            <w:vAlign w:val="bottom"/>
            <w:tcBorders>
              <w:right w:val="single" w:sz="8" w:color="E8EAEB"/>
            </w:tcBorders>
          </w:tcPr>
          <w:p>
            <w:pPr>
              <w:spacing w:after="0"/>
              <w:rPr>
                <w:sz w:val="9"/>
                <w:szCs w:val="9"/>
                <w:color w:val="auto"/>
              </w:rPr>
            </w:pPr>
          </w:p>
        </w:tc>
        <w:tc>
          <w:tcPr>
            <w:tcW w:w="1040" w:type="dxa"/>
            <w:vAlign w:val="bottom"/>
            <w:tcBorders>
              <w:right w:val="single" w:sz="8" w:color="E8EAEB"/>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right w:val="single" w:sz="8" w:color="E8EAEB"/>
            </w:tcBorders>
          </w:tcPr>
          <w:p>
            <w:pPr>
              <w:spacing w:after="0"/>
              <w:rPr>
                <w:sz w:val="9"/>
                <w:szCs w:val="9"/>
                <w:color w:val="auto"/>
              </w:rPr>
            </w:pPr>
          </w:p>
        </w:tc>
        <w:tc>
          <w:tcPr>
            <w:tcW w:w="800" w:type="dxa"/>
            <w:vAlign w:val="bottom"/>
            <w:tcBorders>
              <w:right w:val="single" w:sz="8" w:color="E8EAEB"/>
            </w:tcBorders>
          </w:tcPr>
          <w:p>
            <w:pPr>
              <w:spacing w:after="0"/>
              <w:rPr>
                <w:sz w:val="9"/>
                <w:szCs w:val="9"/>
                <w:color w:val="auto"/>
              </w:rPr>
            </w:pPr>
          </w:p>
        </w:tc>
        <w:tc>
          <w:tcPr>
            <w:tcW w:w="880" w:type="dxa"/>
            <w:vAlign w:val="bottom"/>
            <w:tcBorders>
              <w:right w:val="single" w:sz="8" w:color="E8EAEB"/>
            </w:tcBorders>
          </w:tcPr>
          <w:p>
            <w:pPr>
              <w:jc w:val="right"/>
              <w:ind w:right="218"/>
              <w:spacing w:after="0" w:line="110" w:lineRule="exact"/>
              <w:rPr>
                <w:sz w:val="20"/>
                <w:szCs w:val="20"/>
                <w:color w:val="auto"/>
              </w:rPr>
            </w:pPr>
            <w:r>
              <w:rPr>
                <w:rFonts w:ascii="Arial" w:cs="Arial" w:eastAsia="Arial" w:hAnsi="Arial"/>
                <w:sz w:val="12"/>
                <w:szCs w:val="12"/>
                <w:b w:val="1"/>
                <w:bCs w:val="1"/>
                <w:color w:val="009FE3"/>
              </w:rPr>
              <w:t>Equity</w:t>
            </w:r>
          </w:p>
        </w:tc>
        <w:tc>
          <w:tcPr>
            <w:tcW w:w="60" w:type="dxa"/>
            <w:vAlign w:val="bottom"/>
          </w:tcPr>
          <w:p>
            <w:pPr>
              <w:spacing w:after="0"/>
              <w:rPr>
                <w:sz w:val="9"/>
                <w:szCs w:val="9"/>
                <w:color w:val="auto"/>
              </w:rPr>
            </w:pPr>
          </w:p>
        </w:tc>
        <w:tc>
          <w:tcPr>
            <w:tcW w:w="660" w:type="dxa"/>
            <w:vAlign w:val="bottom"/>
            <w:tcBorders>
              <w:right w:val="single" w:sz="8" w:color="E8EAEB"/>
            </w:tcBorders>
          </w:tcPr>
          <w:p>
            <w:pPr>
              <w:spacing w:after="0"/>
              <w:rPr>
                <w:sz w:val="9"/>
                <w:szCs w:val="9"/>
                <w:color w:val="auto"/>
              </w:rPr>
            </w:pPr>
          </w:p>
        </w:tc>
        <w:tc>
          <w:tcPr>
            <w:tcW w:w="1040" w:type="dxa"/>
            <w:vAlign w:val="bottom"/>
            <w:tcBorders>
              <w:right w:val="single" w:sz="8" w:color="E8EAEB"/>
            </w:tcBorders>
          </w:tcPr>
          <w:p>
            <w:pPr>
              <w:spacing w:after="0"/>
              <w:rPr>
                <w:sz w:val="9"/>
                <w:szCs w:val="9"/>
                <w:color w:val="auto"/>
              </w:rPr>
            </w:pPr>
          </w:p>
        </w:tc>
        <w:tc>
          <w:tcPr>
            <w:tcW w:w="360" w:type="dxa"/>
            <w:vAlign w:val="bottom"/>
            <w:tcBorders>
              <w:right w:val="single" w:sz="8" w:color="E8EAEB"/>
            </w:tcBorders>
          </w:tcPr>
          <w:p>
            <w:pPr>
              <w:spacing w:after="0"/>
              <w:rPr>
                <w:sz w:val="9"/>
                <w:szCs w:val="9"/>
                <w:color w:val="auto"/>
              </w:rPr>
            </w:pPr>
          </w:p>
        </w:tc>
        <w:tc>
          <w:tcPr>
            <w:tcW w:w="800" w:type="dxa"/>
            <w:vAlign w:val="bottom"/>
            <w:tcBorders>
              <w:right w:val="single" w:sz="8" w:color="E8EAEB"/>
            </w:tcBorders>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Incentive</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009FE3"/>
                <w:w w:val="98"/>
              </w:rPr>
              <w:t>Market</w:t>
            </w:r>
          </w:p>
        </w:tc>
        <w:tc>
          <w:tcPr>
            <w:tcW w:w="0" w:type="dxa"/>
            <w:vAlign w:val="bottom"/>
          </w:tcPr>
          <w:p>
            <w:pPr>
              <w:spacing w:after="0"/>
              <w:rPr>
                <w:sz w:val="1"/>
                <w:szCs w:val="1"/>
                <w:color w:val="auto"/>
              </w:rPr>
            </w:pPr>
          </w:p>
        </w:tc>
      </w:tr>
      <w:tr>
        <w:trPr>
          <w:trHeight w:val="120"/>
        </w:trPr>
        <w:tc>
          <w:tcPr>
            <w:tcW w:w="3560" w:type="dxa"/>
            <w:vAlign w:val="bottom"/>
            <w:tcBorders>
              <w:right w:val="single" w:sz="8" w:color="E8EAEB"/>
            </w:tcBorders>
          </w:tcPr>
          <w:p>
            <w:pPr>
              <w:spacing w:after="0"/>
              <w:rPr>
                <w:sz w:val="10"/>
                <w:szCs w:val="10"/>
                <w:color w:val="auto"/>
              </w:rPr>
            </w:pPr>
          </w:p>
        </w:tc>
        <w:tc>
          <w:tcPr>
            <w:tcW w:w="1040" w:type="dxa"/>
            <w:vAlign w:val="bottom"/>
            <w:tcBorders>
              <w:right w:val="single" w:sz="8" w:color="E8EAEB"/>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spacing w:after="0"/>
              <w:rPr>
                <w:sz w:val="10"/>
                <w:szCs w:val="10"/>
                <w:color w:val="auto"/>
              </w:rPr>
            </w:pPr>
          </w:p>
        </w:tc>
        <w:tc>
          <w:tcPr>
            <w:tcW w:w="880" w:type="dxa"/>
            <w:vAlign w:val="bottom"/>
            <w:tcBorders>
              <w:right w:val="single" w:sz="8" w:color="E8EAEB"/>
            </w:tcBorders>
          </w:tcPr>
          <w:p>
            <w:pPr>
              <w:jc w:val="center"/>
              <w:spacing w:after="0" w:line="120" w:lineRule="exact"/>
              <w:rPr>
                <w:sz w:val="20"/>
                <w:szCs w:val="20"/>
                <w:color w:val="auto"/>
              </w:rPr>
            </w:pPr>
            <w:r>
              <w:rPr>
                <w:rFonts w:ascii="Arial" w:cs="Arial" w:eastAsia="Arial" w:hAnsi="Arial"/>
                <w:sz w:val="12"/>
                <w:szCs w:val="12"/>
                <w:b w:val="1"/>
                <w:bCs w:val="1"/>
                <w:color w:val="009FE3"/>
                <w:w w:val="94"/>
              </w:rPr>
              <w:t>Plan</w:t>
            </w:r>
          </w:p>
        </w:tc>
        <w:tc>
          <w:tcPr>
            <w:tcW w:w="60" w:type="dxa"/>
            <w:vAlign w:val="bottom"/>
          </w:tcPr>
          <w:p>
            <w:pPr>
              <w:spacing w:after="0"/>
              <w:rPr>
                <w:sz w:val="10"/>
                <w:szCs w:val="10"/>
                <w:color w:val="auto"/>
              </w:rPr>
            </w:pPr>
          </w:p>
        </w:tc>
        <w:tc>
          <w:tcPr>
            <w:tcW w:w="660" w:type="dxa"/>
            <w:vAlign w:val="bottom"/>
            <w:tcBorders>
              <w:right w:val="single" w:sz="8" w:color="E8EAEB"/>
            </w:tcBorders>
          </w:tcPr>
          <w:p>
            <w:pPr>
              <w:spacing w:after="0"/>
              <w:rPr>
                <w:sz w:val="10"/>
                <w:szCs w:val="10"/>
                <w:color w:val="auto"/>
              </w:rPr>
            </w:pPr>
          </w:p>
        </w:tc>
        <w:tc>
          <w:tcPr>
            <w:tcW w:w="1040" w:type="dxa"/>
            <w:vAlign w:val="bottom"/>
            <w:tcBorders>
              <w:right w:val="single" w:sz="8" w:color="E8EAEB"/>
            </w:tcBorders>
          </w:tcPr>
          <w:p>
            <w:pPr>
              <w:spacing w:after="0"/>
              <w:rPr>
                <w:sz w:val="10"/>
                <w:szCs w:val="10"/>
                <w:color w:val="auto"/>
              </w:rPr>
            </w:pP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Awards:</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Number</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Value of</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Number of</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of Shares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Shares or</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Securities</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or Units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Units of</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Underlying</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of Stock</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Stock</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Unexercised</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ind w:right="17"/>
              <w:spacing w:after="0" w:line="135" w:lineRule="exact"/>
              <w:rPr>
                <w:sz w:val="20"/>
                <w:szCs w:val="20"/>
                <w:color w:val="auto"/>
              </w:rPr>
            </w:pPr>
            <w:r>
              <w:rPr>
                <w:rFonts w:ascii="Arial" w:cs="Arial" w:eastAsia="Arial" w:hAnsi="Arial"/>
                <w:sz w:val="12"/>
                <w:szCs w:val="12"/>
                <w:b w:val="1"/>
                <w:bCs w:val="1"/>
                <w:color w:val="009FE3"/>
                <w:w w:val="98"/>
              </w:rPr>
              <w:t>Option</w:t>
            </w: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That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That Have</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Unearned</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ind w:right="37"/>
              <w:spacing w:after="0" w:line="135" w:lineRule="exact"/>
              <w:rPr>
                <w:sz w:val="20"/>
                <w:szCs w:val="20"/>
                <w:color w:val="auto"/>
              </w:rPr>
            </w:pPr>
            <w:r>
              <w:rPr>
                <w:rFonts w:ascii="Arial" w:cs="Arial" w:eastAsia="Arial" w:hAnsi="Arial"/>
                <w:sz w:val="12"/>
                <w:szCs w:val="12"/>
                <w:b w:val="1"/>
                <w:bCs w:val="1"/>
                <w:color w:val="009FE3"/>
                <w:w w:val="97"/>
              </w:rPr>
              <w:t>Exercise</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Option</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Have Not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9"/>
              </w:rPr>
              <w:t>Not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9"/>
              </w:rPr>
              <w:t>Grant</w:t>
            </w:r>
          </w:p>
        </w:tc>
        <w:tc>
          <w:tcPr>
            <w:tcW w:w="74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spacing w:after="0" w:line="135" w:lineRule="exact"/>
              <w:rPr>
                <w:sz w:val="20"/>
                <w:szCs w:val="20"/>
                <w:color w:val="auto"/>
              </w:rPr>
            </w:pPr>
            <w:r>
              <w:rPr>
                <w:rFonts w:ascii="Arial" w:cs="Arial" w:eastAsia="Arial" w:hAnsi="Arial"/>
                <w:sz w:val="12"/>
                <w:szCs w:val="12"/>
                <w:b w:val="1"/>
                <w:bCs w:val="1"/>
                <w:color w:val="009FE3"/>
                <w:w w:val="93"/>
              </w:rPr>
              <w:t>Unexercisable</w:t>
            </w:r>
          </w:p>
        </w:tc>
        <w:tc>
          <w:tcPr>
            <w:tcW w:w="88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ind w:right="37"/>
              <w:spacing w:after="0" w:line="135" w:lineRule="exact"/>
              <w:rPr>
                <w:sz w:val="20"/>
                <w:szCs w:val="20"/>
                <w:color w:val="auto"/>
              </w:rPr>
            </w:pPr>
            <w:r>
              <w:rPr>
                <w:rFonts w:ascii="Arial" w:cs="Arial" w:eastAsia="Arial" w:hAnsi="Arial"/>
                <w:sz w:val="12"/>
                <w:szCs w:val="12"/>
                <w:b w:val="1"/>
                <w:bCs w:val="1"/>
                <w:color w:val="009FE3"/>
                <w:w w:val="95"/>
              </w:rPr>
              <w:t>Price</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Expiration</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0" w:type="dxa"/>
            <w:vAlign w:val="bottom"/>
          </w:tcPr>
          <w:p>
            <w:pPr>
              <w:spacing w:after="0"/>
              <w:rPr>
                <w:sz w:val="1"/>
                <w:szCs w:val="1"/>
                <w:color w:val="auto"/>
              </w:rPr>
            </w:pPr>
          </w:p>
        </w:tc>
      </w:tr>
      <w:tr>
        <w:trPr>
          <w:trHeight w:val="162"/>
        </w:trPr>
        <w:tc>
          <w:tcPr>
            <w:tcW w:w="35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2"/>
                <w:szCs w:val="12"/>
                <w:b w:val="1"/>
                <w:bCs w:val="1"/>
                <w:color w:val="009FE3"/>
              </w:rPr>
              <w:t>Name</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2"/>
              </w:rPr>
              <w:t>Date</w:t>
            </w:r>
          </w:p>
        </w:tc>
        <w:tc>
          <w:tcPr>
            <w:tcW w:w="740" w:type="dxa"/>
            <w:vAlign w:val="bottom"/>
            <w:tcBorders>
              <w:bottom w:val="single" w:sz="8" w:color="009FE3"/>
            </w:tcBorders>
          </w:tcPr>
          <w:p>
            <w:pPr>
              <w:jc w:val="right"/>
              <w:spacing w:after="0"/>
              <w:rPr>
                <w:sz w:val="20"/>
                <w:szCs w:val="20"/>
                <w:color w:val="auto"/>
              </w:rPr>
            </w:pPr>
            <w:r>
              <w:rPr>
                <w:rFonts w:ascii="Arial" w:cs="Arial" w:eastAsia="Arial" w:hAnsi="Arial"/>
                <w:sz w:val="12"/>
                <w:szCs w:val="12"/>
                <w:b w:val="1"/>
                <w:bCs w:val="1"/>
                <w:color w:val="009FE3"/>
              </w:rPr>
              <w:t>Exercisable</w:t>
            </w:r>
          </w:p>
        </w:tc>
        <w:tc>
          <w:tcPr>
            <w:tcW w:w="120" w:type="dxa"/>
            <w:vAlign w:val="bottom"/>
            <w:tcBorders>
              <w:bottom w:val="single" w:sz="8" w:color="009FE3"/>
              <w:right w:val="single" w:sz="8" w:color="E8EAEB"/>
            </w:tcBorders>
          </w:tcPr>
          <w:p>
            <w:pPr>
              <w:spacing w:after="0"/>
              <w:rPr>
                <w:sz w:val="14"/>
                <w:szCs w:val="14"/>
                <w:color w:val="auto"/>
              </w:rPr>
            </w:pPr>
          </w:p>
        </w:tc>
        <w:tc>
          <w:tcPr>
            <w:tcW w:w="800" w:type="dxa"/>
            <w:vAlign w:val="bottom"/>
            <w:tcBorders>
              <w:bottom w:val="single" w:sz="8" w:color="009FE3"/>
              <w:right w:val="single" w:sz="8" w:color="E8EAEB"/>
            </w:tcBorders>
          </w:tcPr>
          <w:p>
            <w:pPr>
              <w:jc w:val="right"/>
              <w:ind w:right="277"/>
              <w:spacing w:after="0"/>
              <w:rPr>
                <w:sz w:val="20"/>
                <w:szCs w:val="20"/>
                <w:color w:val="auto"/>
              </w:rPr>
            </w:pPr>
            <w:r>
              <w:rPr>
                <w:rFonts w:ascii="Arial" w:cs="Arial" w:eastAsia="Arial" w:hAnsi="Arial"/>
                <w:sz w:val="12"/>
                <w:szCs w:val="12"/>
                <w:b w:val="1"/>
                <w:bCs w:val="1"/>
                <w:color w:val="009FE3"/>
              </w:rPr>
              <w:t>(1)</w:t>
            </w:r>
          </w:p>
        </w:tc>
        <w:tc>
          <w:tcPr>
            <w:tcW w:w="880" w:type="dxa"/>
            <w:vAlign w:val="bottom"/>
            <w:tcBorders>
              <w:bottom w:val="single" w:sz="8" w:color="009FE3"/>
              <w:right w:val="single" w:sz="8" w:color="E8EAEB"/>
            </w:tcBorders>
          </w:tcPr>
          <w:p>
            <w:pPr>
              <w:jc w:val="right"/>
              <w:ind w:right="238"/>
              <w:spacing w:after="0"/>
              <w:rPr>
                <w:sz w:val="20"/>
                <w:szCs w:val="20"/>
                <w:color w:val="auto"/>
              </w:rPr>
            </w:pPr>
            <w:r>
              <w:rPr>
                <w:rFonts w:ascii="Arial" w:cs="Arial" w:eastAsia="Arial" w:hAnsi="Arial"/>
                <w:sz w:val="12"/>
                <w:szCs w:val="12"/>
                <w:b w:val="1"/>
                <w:bCs w:val="1"/>
                <w:color w:val="009FE3"/>
              </w:rPr>
              <w:t>(#) (2)</w:t>
            </w:r>
          </w:p>
        </w:tc>
        <w:tc>
          <w:tcPr>
            <w:tcW w:w="60" w:type="dxa"/>
            <w:vAlign w:val="bottom"/>
            <w:tcBorders>
              <w:bottom w:val="single" w:sz="8" w:color="009FE3"/>
            </w:tcBorders>
          </w:tcPr>
          <w:p>
            <w:pPr>
              <w:spacing w:after="0"/>
              <w:rPr>
                <w:sz w:val="14"/>
                <w:szCs w:val="14"/>
                <w:color w:val="auto"/>
              </w:rPr>
            </w:pPr>
          </w:p>
        </w:tc>
        <w:tc>
          <w:tcPr>
            <w:tcW w:w="660" w:type="dxa"/>
            <w:vAlign w:val="bottom"/>
            <w:tcBorders>
              <w:bottom w:val="single" w:sz="8" w:color="009FE3"/>
              <w:right w:val="single" w:sz="8" w:color="E8EAEB"/>
            </w:tcBorders>
          </w:tcPr>
          <w:p>
            <w:pPr>
              <w:jc w:val="center"/>
              <w:ind w:right="17"/>
              <w:spacing w:after="0"/>
              <w:rPr>
                <w:sz w:val="20"/>
                <w:szCs w:val="20"/>
                <w:color w:val="auto"/>
              </w:rPr>
            </w:pPr>
            <w:r>
              <w:rPr>
                <w:rFonts w:ascii="Arial" w:cs="Arial" w:eastAsia="Arial" w:hAnsi="Arial"/>
                <w:sz w:val="12"/>
                <w:szCs w:val="12"/>
                <w:b w:val="1"/>
                <w:bCs w:val="1"/>
                <w:color w:val="009FE3"/>
                <w:w w:val="95"/>
              </w:rPr>
              <w:t>($)</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9"/>
              </w:rPr>
              <w:t>Date</w:t>
            </w:r>
          </w:p>
        </w:tc>
        <w:tc>
          <w:tcPr>
            <w:tcW w:w="360" w:type="dxa"/>
            <w:vAlign w:val="bottom"/>
            <w:tcBorders>
              <w:bottom w:val="single" w:sz="8" w:color="009FE3"/>
              <w:right w:val="single" w:sz="8" w:color="E8EAEB"/>
            </w:tcBorders>
          </w:tcPr>
          <w:p>
            <w:pPr>
              <w:spacing w:after="0"/>
              <w:rPr>
                <w:sz w:val="14"/>
                <w:szCs w:val="14"/>
                <w:color w:val="auto"/>
              </w:rPr>
            </w:pPr>
          </w:p>
        </w:tc>
        <w:tc>
          <w:tcPr>
            <w:tcW w:w="800" w:type="dxa"/>
            <w:vAlign w:val="bottom"/>
            <w:tcBorders>
              <w:bottom w:val="single" w:sz="8" w:color="009FE3"/>
              <w:right w:val="single" w:sz="8" w:color="E8EAEB"/>
            </w:tcBorders>
          </w:tcPr>
          <w:p>
            <w:pPr>
              <w:jc w:val="right"/>
              <w:ind w:right="198"/>
              <w:spacing w:after="0"/>
              <w:rPr>
                <w:sz w:val="20"/>
                <w:szCs w:val="20"/>
                <w:color w:val="auto"/>
              </w:rPr>
            </w:pPr>
            <w:r>
              <w:rPr>
                <w:rFonts w:ascii="Arial" w:cs="Arial" w:eastAsia="Arial" w:hAnsi="Arial"/>
                <w:sz w:val="12"/>
                <w:szCs w:val="12"/>
                <w:b w:val="1"/>
                <w:bCs w:val="1"/>
                <w:color w:val="009FE3"/>
              </w:rPr>
              <w:t>(#) (3)</w:t>
            </w:r>
          </w:p>
        </w:tc>
        <w:tc>
          <w:tcPr>
            <w:tcW w:w="960" w:type="dxa"/>
            <w:vAlign w:val="bottom"/>
            <w:tcBorders>
              <w:bottom w:val="single" w:sz="8" w:color="009FE3"/>
            </w:tcBorders>
          </w:tcPr>
          <w:p>
            <w:pPr>
              <w:jc w:val="center"/>
              <w:spacing w:after="0"/>
              <w:rPr>
                <w:sz w:val="20"/>
                <w:szCs w:val="20"/>
                <w:color w:val="auto"/>
              </w:rPr>
            </w:pPr>
            <w:r>
              <w:rPr>
                <w:rFonts w:ascii="Arial" w:cs="Arial" w:eastAsia="Arial" w:hAnsi="Arial"/>
                <w:sz w:val="12"/>
                <w:szCs w:val="12"/>
                <w:b w:val="1"/>
                <w:bCs w:val="1"/>
                <w:color w:val="009FE3"/>
                <w:w w:val="97"/>
              </w:rPr>
              <w:t>($) (4)</w:t>
            </w:r>
          </w:p>
        </w:tc>
        <w:tc>
          <w:tcPr>
            <w:tcW w:w="0" w:type="dxa"/>
            <w:vAlign w:val="bottom"/>
          </w:tcPr>
          <w:p>
            <w:pPr>
              <w:spacing w:after="0"/>
              <w:rPr>
                <w:sz w:val="1"/>
                <w:szCs w:val="1"/>
                <w:color w:val="auto"/>
              </w:rPr>
            </w:pPr>
          </w:p>
        </w:tc>
      </w:tr>
      <w:tr>
        <w:trPr>
          <w:trHeight w:val="123"/>
        </w:trPr>
        <w:tc>
          <w:tcPr>
            <w:tcW w:w="356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Mark Dankberg</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11/17/2014</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110,000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6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65.86</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5"/>
              </w:rPr>
              <w:t>11/17/2020</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125,000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105,000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17"/>
              <w:spacing w:after="0" w:line="135" w:lineRule="exact"/>
              <w:rPr>
                <w:sz w:val="20"/>
                <w:szCs w:val="20"/>
                <w:color w:val="auto"/>
              </w:rPr>
            </w:pPr>
            <w:r>
              <w:rPr>
                <w:rFonts w:ascii="Arial" w:cs="Arial" w:eastAsia="Arial" w:hAnsi="Arial"/>
                <w:sz w:val="13"/>
                <w:szCs w:val="13"/>
                <w:color w:val="202E39"/>
              </w:rPr>
              <w:t>35,000</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11/15/2019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143,888</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11,666</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419,043</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23,333</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838,121</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35,000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1,257,200</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8"/>
              </w:rPr>
              <w:t>11/15/2019</w:t>
            </w:r>
          </w:p>
        </w:tc>
        <w:tc>
          <w:tcPr>
            <w:tcW w:w="740" w:type="dxa"/>
            <w:vAlign w:val="bottom"/>
            <w:tcBorders>
              <w:bottom w:val="single" w:sz="8" w:color="E8EAEB"/>
            </w:tcBorders>
          </w:tcPr>
          <w:p>
            <w:pPr>
              <w:jc w:val="right"/>
              <w:ind w:right="7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jc w:val="right"/>
              <w:ind w:right="21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60,908</w:t>
            </w:r>
          </w:p>
        </w:tc>
        <w:tc>
          <w:tcPr>
            <w:tcW w:w="960" w:type="dxa"/>
            <w:vAlign w:val="bottom"/>
            <w:tcBorders>
              <w:bottom w:val="single" w:sz="8" w:color="E8EAEB"/>
            </w:tcBorders>
          </w:tcPr>
          <w:p>
            <w:pPr>
              <w:jc w:val="right"/>
              <w:ind w:right="118"/>
              <w:spacing w:after="0" w:line="141" w:lineRule="exact"/>
              <w:rPr>
                <w:sz w:val="20"/>
                <w:szCs w:val="20"/>
                <w:color w:val="auto"/>
              </w:rPr>
            </w:pPr>
            <w:r>
              <w:rPr>
                <w:rFonts w:ascii="Arial" w:cs="Arial" w:eastAsia="Arial" w:hAnsi="Arial"/>
                <w:sz w:val="13"/>
                <w:szCs w:val="13"/>
                <w:color w:val="202E39"/>
              </w:rPr>
              <w:t>2,187,815</w:t>
            </w:r>
          </w:p>
        </w:tc>
        <w:tc>
          <w:tcPr>
            <w:tcW w:w="0" w:type="dxa"/>
            <w:vAlign w:val="bottom"/>
          </w:tcPr>
          <w:p>
            <w:pPr>
              <w:spacing w:after="0"/>
              <w:rPr>
                <w:sz w:val="1"/>
                <w:szCs w:val="1"/>
                <w:color w:val="auto"/>
              </w:rPr>
            </w:pPr>
          </w:p>
        </w:tc>
      </w:tr>
      <w:tr>
        <w:trPr>
          <w:trHeight w:val="177"/>
        </w:trPr>
        <w:tc>
          <w:tcPr>
            <w:tcW w:w="356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Richard Baldridge</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3"/>
                <w:szCs w:val="13"/>
                <w:color w:val="202E39"/>
                <w:w w:val="98"/>
              </w:rPr>
              <w:t>11/17/2014</w:t>
            </w:r>
          </w:p>
        </w:tc>
        <w:tc>
          <w:tcPr>
            <w:tcW w:w="740" w:type="dxa"/>
            <w:vAlign w:val="bottom"/>
          </w:tcPr>
          <w:p>
            <w:pPr>
              <w:jc w:val="right"/>
              <w:ind w:right="17"/>
              <w:spacing w:after="0"/>
              <w:rPr>
                <w:sz w:val="20"/>
                <w:szCs w:val="20"/>
                <w:color w:val="auto"/>
              </w:rPr>
            </w:pPr>
            <w:r>
              <w:rPr>
                <w:rFonts w:ascii="Arial" w:cs="Arial" w:eastAsia="Arial" w:hAnsi="Arial"/>
                <w:sz w:val="13"/>
                <w:szCs w:val="13"/>
                <w:color w:val="202E39"/>
              </w:rPr>
              <w:t>65,000</w:t>
            </w:r>
          </w:p>
        </w:tc>
        <w:tc>
          <w:tcPr>
            <w:tcW w:w="120" w:type="dxa"/>
            <w:vAlign w:val="bottom"/>
            <w:tcBorders>
              <w:right w:val="single" w:sz="8" w:color="E8EAEB"/>
            </w:tcBorders>
          </w:tcPr>
          <w:p>
            <w:pPr>
              <w:spacing w:after="0"/>
              <w:rPr>
                <w:sz w:val="15"/>
                <w:szCs w:val="15"/>
                <w:color w:val="auto"/>
              </w:rPr>
            </w:pPr>
          </w:p>
        </w:tc>
        <w:tc>
          <w:tcPr>
            <w:tcW w:w="800" w:type="dxa"/>
            <w:vAlign w:val="bottom"/>
            <w:tcBorders>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rPr>
                <w:sz w:val="20"/>
                <w:szCs w:val="20"/>
                <w:color w:val="auto"/>
              </w:rPr>
            </w:pPr>
            <w:r>
              <w:rPr>
                <w:rFonts w:ascii="Arial" w:cs="Arial" w:eastAsia="Arial" w:hAnsi="Arial"/>
                <w:sz w:val="13"/>
                <w:szCs w:val="13"/>
                <w:color w:val="202E39"/>
              </w:rPr>
              <w:t>—</w:t>
            </w:r>
          </w:p>
        </w:tc>
        <w:tc>
          <w:tcPr>
            <w:tcW w:w="60" w:type="dxa"/>
            <w:vAlign w:val="bottom"/>
          </w:tcPr>
          <w:p>
            <w:pPr>
              <w:spacing w:after="0"/>
              <w:rPr>
                <w:sz w:val="15"/>
                <w:szCs w:val="15"/>
                <w:color w:val="auto"/>
              </w:rPr>
            </w:pPr>
          </w:p>
        </w:tc>
        <w:tc>
          <w:tcPr>
            <w:tcW w:w="660" w:type="dxa"/>
            <w:vAlign w:val="bottom"/>
            <w:tcBorders>
              <w:right w:val="single" w:sz="8" w:color="E8EAEB"/>
            </w:tcBorders>
          </w:tcPr>
          <w:p>
            <w:pPr>
              <w:jc w:val="center"/>
              <w:spacing w:after="0"/>
              <w:rPr>
                <w:sz w:val="20"/>
                <w:szCs w:val="20"/>
                <w:color w:val="auto"/>
              </w:rPr>
            </w:pPr>
            <w:r>
              <w:rPr>
                <w:rFonts w:ascii="Arial" w:cs="Arial" w:eastAsia="Arial" w:hAnsi="Arial"/>
                <w:sz w:val="13"/>
                <w:szCs w:val="13"/>
                <w:color w:val="202E39"/>
                <w:w w:val="98"/>
              </w:rPr>
              <w:t>65.86</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360" w:type="dxa"/>
            <w:vAlign w:val="bottom"/>
            <w:tcBorders>
              <w:right w:val="single" w:sz="8" w:color="E8EAEB"/>
            </w:tcBorders>
          </w:tcPr>
          <w:p>
            <w:pPr>
              <w:spacing w:after="0"/>
              <w:rPr>
                <w:sz w:val="15"/>
                <w:szCs w:val="15"/>
                <w:color w:val="auto"/>
              </w:rPr>
            </w:pPr>
          </w:p>
        </w:tc>
        <w:tc>
          <w:tcPr>
            <w:tcW w:w="800" w:type="dxa"/>
            <w:vAlign w:val="bottom"/>
            <w:tcBorders>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95,000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84,375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17"/>
              <w:spacing w:after="0" w:line="135" w:lineRule="exact"/>
              <w:rPr>
                <w:sz w:val="20"/>
                <w:szCs w:val="20"/>
                <w:color w:val="auto"/>
              </w:rPr>
            </w:pPr>
            <w:r>
              <w:rPr>
                <w:rFonts w:ascii="Arial" w:cs="Arial" w:eastAsia="Arial" w:hAnsi="Arial"/>
                <w:sz w:val="13"/>
                <w:szCs w:val="13"/>
                <w:color w:val="202E39"/>
              </w:rPr>
              <w:t>28,125</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112,500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75,000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11/15/2019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122,305</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9,375</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336,750</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18,750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673,500</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18,750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673,500</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8"/>
              </w:rPr>
              <w:t>11/15/2019</w:t>
            </w:r>
          </w:p>
        </w:tc>
        <w:tc>
          <w:tcPr>
            <w:tcW w:w="740" w:type="dxa"/>
            <w:vAlign w:val="bottom"/>
            <w:tcBorders>
              <w:bottom w:val="single" w:sz="8" w:color="E8EAEB"/>
            </w:tcBorders>
          </w:tcPr>
          <w:p>
            <w:pPr>
              <w:jc w:val="right"/>
              <w:ind w:right="7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jc w:val="right"/>
              <w:ind w:right="21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51,772</w:t>
            </w:r>
          </w:p>
        </w:tc>
        <w:tc>
          <w:tcPr>
            <w:tcW w:w="960" w:type="dxa"/>
            <w:vAlign w:val="bottom"/>
            <w:tcBorders>
              <w:bottom w:val="single" w:sz="8" w:color="E8EAEB"/>
            </w:tcBorders>
          </w:tcPr>
          <w:p>
            <w:pPr>
              <w:jc w:val="right"/>
              <w:ind w:right="118"/>
              <w:spacing w:after="0" w:line="141" w:lineRule="exact"/>
              <w:rPr>
                <w:sz w:val="20"/>
                <w:szCs w:val="20"/>
                <w:color w:val="auto"/>
              </w:rPr>
            </w:pPr>
            <w:r>
              <w:rPr>
                <w:rFonts w:ascii="Arial" w:cs="Arial" w:eastAsia="Arial" w:hAnsi="Arial"/>
                <w:sz w:val="13"/>
                <w:szCs w:val="13"/>
                <w:color w:val="202E39"/>
              </w:rPr>
              <w:t>1,859,650</w:t>
            </w:r>
          </w:p>
        </w:tc>
        <w:tc>
          <w:tcPr>
            <w:tcW w:w="0" w:type="dxa"/>
            <w:vAlign w:val="bottom"/>
          </w:tcPr>
          <w:p>
            <w:pPr>
              <w:spacing w:after="0"/>
              <w:rPr>
                <w:sz w:val="1"/>
                <w:szCs w:val="1"/>
                <w:color w:val="auto"/>
              </w:rPr>
            </w:pPr>
          </w:p>
        </w:tc>
      </w:tr>
      <w:tr>
        <w:trPr>
          <w:trHeight w:val="123"/>
        </w:trPr>
        <w:tc>
          <w:tcPr>
            <w:tcW w:w="356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Shawn Duffy</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11/17/2014</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22,500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6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65.86</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5"/>
              </w:rPr>
              <w:t>11/17/2020</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27,500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20,625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17"/>
              <w:spacing w:after="0" w:line="135" w:lineRule="exact"/>
              <w:rPr>
                <w:sz w:val="20"/>
                <w:szCs w:val="20"/>
                <w:color w:val="auto"/>
              </w:rPr>
            </w:pPr>
            <w:r>
              <w:rPr>
                <w:rFonts w:ascii="Arial" w:cs="Arial" w:eastAsia="Arial" w:hAnsi="Arial"/>
                <w:sz w:val="13"/>
                <w:szCs w:val="13"/>
                <w:color w:val="202E39"/>
              </w:rPr>
              <w:t>6,875</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11/15/2019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41,111</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2,291</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82,293</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5,000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179,600</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9,375</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336,750</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8"/>
              </w:rPr>
              <w:t>11/15/2019</w:t>
            </w:r>
          </w:p>
        </w:tc>
        <w:tc>
          <w:tcPr>
            <w:tcW w:w="740" w:type="dxa"/>
            <w:vAlign w:val="bottom"/>
            <w:tcBorders>
              <w:bottom w:val="single" w:sz="8" w:color="E8EAEB"/>
            </w:tcBorders>
          </w:tcPr>
          <w:p>
            <w:pPr>
              <w:jc w:val="right"/>
              <w:ind w:right="7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jc w:val="right"/>
              <w:ind w:right="21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17,403</w:t>
            </w:r>
          </w:p>
        </w:tc>
        <w:tc>
          <w:tcPr>
            <w:tcW w:w="960" w:type="dxa"/>
            <w:vAlign w:val="bottom"/>
            <w:tcBorders>
              <w:bottom w:val="single" w:sz="8" w:color="E8EAEB"/>
            </w:tcBorders>
          </w:tcPr>
          <w:p>
            <w:pPr>
              <w:jc w:val="right"/>
              <w:ind w:right="118"/>
              <w:spacing w:after="0" w:line="141" w:lineRule="exact"/>
              <w:rPr>
                <w:sz w:val="20"/>
                <w:szCs w:val="20"/>
                <w:color w:val="auto"/>
              </w:rPr>
            </w:pPr>
            <w:r>
              <w:rPr>
                <w:rFonts w:ascii="Arial" w:cs="Arial" w:eastAsia="Arial" w:hAnsi="Arial"/>
                <w:sz w:val="13"/>
                <w:szCs w:val="13"/>
                <w:color w:val="202E39"/>
              </w:rPr>
              <w:t>625,116</w:t>
            </w:r>
          </w:p>
        </w:tc>
        <w:tc>
          <w:tcPr>
            <w:tcW w:w="0" w:type="dxa"/>
            <w:vAlign w:val="bottom"/>
          </w:tcPr>
          <w:p>
            <w:pPr>
              <w:spacing w:after="0"/>
              <w:rPr>
                <w:sz w:val="1"/>
                <w:szCs w:val="1"/>
                <w:color w:val="auto"/>
              </w:rPr>
            </w:pPr>
          </w:p>
        </w:tc>
      </w:tr>
      <w:tr>
        <w:trPr>
          <w:trHeight w:val="123"/>
        </w:trPr>
        <w:tc>
          <w:tcPr>
            <w:tcW w:w="356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Kevin Harkenrider</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11/17/2014</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20,000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6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65.86</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5"/>
              </w:rPr>
              <w:t>11/17/2020</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11/17/2015</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22,500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16,125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17"/>
              <w:spacing w:after="0" w:line="135" w:lineRule="exact"/>
              <w:rPr>
                <w:sz w:val="20"/>
                <w:szCs w:val="20"/>
                <w:color w:val="auto"/>
              </w:rPr>
            </w:pPr>
            <w:r>
              <w:rPr>
                <w:rFonts w:ascii="Arial" w:cs="Arial" w:eastAsia="Arial" w:hAnsi="Arial"/>
                <w:sz w:val="13"/>
                <w:szCs w:val="13"/>
                <w:color w:val="202E39"/>
              </w:rPr>
              <w:t>5,375</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22,250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11/15/2019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32,889</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1,791</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64,333</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134,700</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9,375</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336,750</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8"/>
              </w:rPr>
              <w:t>11/15/2019</w:t>
            </w:r>
          </w:p>
        </w:tc>
        <w:tc>
          <w:tcPr>
            <w:tcW w:w="740" w:type="dxa"/>
            <w:vAlign w:val="bottom"/>
            <w:tcBorders>
              <w:bottom w:val="single" w:sz="8" w:color="E8EAEB"/>
            </w:tcBorders>
          </w:tcPr>
          <w:p>
            <w:pPr>
              <w:jc w:val="right"/>
              <w:ind w:right="7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80" w:type="dxa"/>
            <w:vAlign w:val="bottom"/>
            <w:tcBorders>
              <w:bottom w:val="single" w:sz="8" w:color="E8EAEB"/>
              <w:right w:val="single" w:sz="8" w:color="E8EAEB"/>
            </w:tcBorders>
          </w:tcPr>
          <w:p>
            <w:pPr>
              <w:jc w:val="right"/>
              <w:ind w:right="21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13,922</w:t>
            </w:r>
          </w:p>
        </w:tc>
        <w:tc>
          <w:tcPr>
            <w:tcW w:w="960" w:type="dxa"/>
            <w:vAlign w:val="bottom"/>
            <w:tcBorders>
              <w:bottom w:val="single" w:sz="8" w:color="E8EAEB"/>
            </w:tcBorders>
          </w:tcPr>
          <w:p>
            <w:pPr>
              <w:jc w:val="right"/>
              <w:ind w:right="118"/>
              <w:spacing w:after="0" w:line="141" w:lineRule="exact"/>
              <w:rPr>
                <w:sz w:val="20"/>
                <w:szCs w:val="20"/>
                <w:color w:val="auto"/>
              </w:rPr>
            </w:pPr>
            <w:r>
              <w:rPr>
                <w:rFonts w:ascii="Arial" w:cs="Arial" w:eastAsia="Arial" w:hAnsi="Arial"/>
                <w:sz w:val="13"/>
                <w:szCs w:val="13"/>
                <w:color w:val="202E39"/>
              </w:rPr>
              <w:t>500,078</w:t>
            </w:r>
          </w:p>
        </w:tc>
        <w:tc>
          <w:tcPr>
            <w:tcW w:w="0" w:type="dxa"/>
            <w:vAlign w:val="bottom"/>
          </w:tcPr>
          <w:p>
            <w:pPr>
              <w:spacing w:after="0"/>
              <w:rPr>
                <w:sz w:val="1"/>
                <w:szCs w:val="1"/>
                <w:color w:val="auto"/>
              </w:rPr>
            </w:pPr>
          </w:p>
        </w:tc>
      </w:tr>
      <w:tr>
        <w:trPr>
          <w:trHeight w:val="123"/>
        </w:trPr>
        <w:tc>
          <w:tcPr>
            <w:tcW w:w="356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Ken Peterman</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11/17/2015</w:t>
            </w:r>
          </w:p>
        </w:tc>
        <w:tc>
          <w:tcPr>
            <w:tcW w:w="74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5,625</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6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23" w:lineRule="exact"/>
              <w:rPr>
                <w:sz w:val="20"/>
                <w:szCs w:val="20"/>
                <w:color w:val="auto"/>
              </w:rPr>
            </w:pPr>
            <w:r>
              <w:rPr>
                <w:rFonts w:ascii="Arial" w:cs="Arial" w:eastAsia="Arial" w:hAnsi="Arial"/>
                <w:sz w:val="13"/>
                <w:szCs w:val="13"/>
                <w:color w:val="202E39"/>
                <w:w w:val="95"/>
              </w:rPr>
              <w:t>11/17/2021</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5,375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17"/>
              <w:spacing w:after="0" w:line="135" w:lineRule="exact"/>
              <w:rPr>
                <w:sz w:val="20"/>
                <w:szCs w:val="20"/>
                <w:color w:val="auto"/>
              </w:rPr>
            </w:pPr>
            <w:r>
              <w:rPr>
                <w:rFonts w:ascii="Arial" w:cs="Arial" w:eastAsia="Arial" w:hAnsi="Arial"/>
                <w:sz w:val="13"/>
                <w:szCs w:val="13"/>
                <w:color w:val="202E39"/>
              </w:rPr>
              <w:t>5,375</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11/15/2019</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49,333</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11/15/2025</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11/17/2016</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1,791</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64,333</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11/17/2017</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5,000</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179,600</w:t>
            </w:r>
          </w:p>
        </w:tc>
        <w:tc>
          <w:tcPr>
            <w:tcW w:w="0" w:type="dxa"/>
            <w:vAlign w:val="bottom"/>
          </w:tcPr>
          <w:p>
            <w:pPr>
              <w:spacing w:after="0"/>
              <w:rPr>
                <w:sz w:val="1"/>
                <w:szCs w:val="1"/>
                <w:color w:val="auto"/>
              </w:rPr>
            </w:pPr>
          </w:p>
        </w:tc>
      </w:tr>
      <w:tr>
        <w:trPr>
          <w:trHeight w:val="135"/>
        </w:trPr>
        <w:tc>
          <w:tcPr>
            <w:tcW w:w="35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11/19/2018</w:t>
            </w:r>
          </w:p>
        </w:tc>
        <w:tc>
          <w:tcPr>
            <w:tcW w:w="740" w:type="dxa"/>
            <w:vAlign w:val="bottom"/>
          </w:tcPr>
          <w:p>
            <w:pPr>
              <w:jc w:val="right"/>
              <w:ind w:right="7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8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9,375</w:t>
            </w:r>
          </w:p>
        </w:tc>
        <w:tc>
          <w:tcPr>
            <w:tcW w:w="960" w:type="dxa"/>
            <w:vAlign w:val="bottom"/>
          </w:tcPr>
          <w:p>
            <w:pPr>
              <w:jc w:val="right"/>
              <w:ind w:right="118"/>
              <w:spacing w:after="0" w:line="135" w:lineRule="exact"/>
              <w:rPr>
                <w:sz w:val="20"/>
                <w:szCs w:val="20"/>
                <w:color w:val="auto"/>
              </w:rPr>
            </w:pPr>
            <w:r>
              <w:rPr>
                <w:rFonts w:ascii="Arial" w:cs="Arial" w:eastAsia="Arial" w:hAnsi="Arial"/>
                <w:sz w:val="13"/>
                <w:szCs w:val="13"/>
                <w:color w:val="202E39"/>
              </w:rPr>
              <w:t>336,750</w:t>
            </w:r>
          </w:p>
        </w:tc>
        <w:tc>
          <w:tcPr>
            <w:tcW w:w="0" w:type="dxa"/>
            <w:vAlign w:val="bottom"/>
          </w:tcPr>
          <w:p>
            <w:pPr>
              <w:spacing w:after="0"/>
              <w:rPr>
                <w:sz w:val="1"/>
                <w:szCs w:val="1"/>
                <w:color w:val="auto"/>
              </w:rPr>
            </w:pPr>
          </w:p>
        </w:tc>
      </w:tr>
      <w:tr>
        <w:trPr>
          <w:trHeight w:val="141"/>
        </w:trPr>
        <w:tc>
          <w:tcPr>
            <w:tcW w:w="3560" w:type="dxa"/>
            <w:vAlign w:val="bottom"/>
            <w:tcBorders>
              <w:bottom w:val="single" w:sz="8" w:color="009FE3"/>
              <w:right w:val="single" w:sz="8" w:color="E8EAEB"/>
            </w:tcBorders>
          </w:tcPr>
          <w:p>
            <w:pPr>
              <w:spacing w:after="0"/>
              <w:rPr>
                <w:sz w:val="12"/>
                <w:szCs w:val="12"/>
                <w:color w:val="auto"/>
              </w:rPr>
            </w:pPr>
          </w:p>
        </w:tc>
        <w:tc>
          <w:tcPr>
            <w:tcW w:w="1040" w:type="dxa"/>
            <w:vAlign w:val="bottom"/>
            <w:tcBorders>
              <w:bottom w:val="single" w:sz="8" w:color="009FE3"/>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8"/>
              </w:rPr>
              <w:t>11/15/2019</w:t>
            </w:r>
          </w:p>
        </w:tc>
        <w:tc>
          <w:tcPr>
            <w:tcW w:w="740" w:type="dxa"/>
            <w:vAlign w:val="bottom"/>
            <w:tcBorders>
              <w:bottom w:val="single" w:sz="8" w:color="009FE3"/>
            </w:tcBorders>
          </w:tcPr>
          <w:p>
            <w:pPr>
              <w:jc w:val="right"/>
              <w:ind w:right="7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009FE3"/>
              <w:right w:val="single" w:sz="8" w:color="E8EAEB"/>
            </w:tcBorders>
          </w:tcPr>
          <w:p>
            <w:pPr>
              <w:spacing w:after="0"/>
              <w:rPr>
                <w:sz w:val="12"/>
                <w:szCs w:val="12"/>
                <w:color w:val="auto"/>
              </w:rPr>
            </w:pPr>
          </w:p>
        </w:tc>
        <w:tc>
          <w:tcPr>
            <w:tcW w:w="800" w:type="dxa"/>
            <w:vAlign w:val="bottom"/>
            <w:tcBorders>
              <w:bottom w:val="single" w:sz="8" w:color="009FE3"/>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80" w:type="dxa"/>
            <w:vAlign w:val="bottom"/>
            <w:tcBorders>
              <w:bottom w:val="single" w:sz="8" w:color="009FE3"/>
              <w:right w:val="single" w:sz="8" w:color="E8EAEB"/>
            </w:tcBorders>
          </w:tcPr>
          <w:p>
            <w:pPr>
              <w:jc w:val="right"/>
              <w:ind w:right="21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009FE3"/>
            </w:tcBorders>
          </w:tcPr>
          <w:p>
            <w:pPr>
              <w:spacing w:after="0"/>
              <w:rPr>
                <w:sz w:val="12"/>
                <w:szCs w:val="12"/>
                <w:color w:val="auto"/>
              </w:rPr>
            </w:pPr>
          </w:p>
        </w:tc>
        <w:tc>
          <w:tcPr>
            <w:tcW w:w="660" w:type="dxa"/>
            <w:vAlign w:val="bottom"/>
            <w:tcBorders>
              <w:bottom w:val="single" w:sz="8" w:color="009FE3"/>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009FE3"/>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009FE3"/>
              <w:right w:val="single" w:sz="8" w:color="E8EAEB"/>
            </w:tcBorders>
          </w:tcPr>
          <w:p>
            <w:pPr>
              <w:spacing w:after="0"/>
              <w:rPr>
                <w:sz w:val="12"/>
                <w:szCs w:val="12"/>
                <w:color w:val="auto"/>
              </w:rPr>
            </w:pPr>
          </w:p>
        </w:tc>
        <w:tc>
          <w:tcPr>
            <w:tcW w:w="800" w:type="dxa"/>
            <w:vAlign w:val="bottom"/>
            <w:tcBorders>
              <w:bottom w:val="single" w:sz="8" w:color="009FE3"/>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20,883</w:t>
            </w:r>
          </w:p>
        </w:tc>
        <w:tc>
          <w:tcPr>
            <w:tcW w:w="960" w:type="dxa"/>
            <w:vAlign w:val="bottom"/>
            <w:tcBorders>
              <w:bottom w:val="single" w:sz="8" w:color="009FE3"/>
            </w:tcBorders>
          </w:tcPr>
          <w:p>
            <w:pPr>
              <w:jc w:val="right"/>
              <w:ind w:right="118"/>
              <w:spacing w:after="0" w:line="141" w:lineRule="exact"/>
              <w:rPr>
                <w:sz w:val="20"/>
                <w:szCs w:val="20"/>
                <w:color w:val="auto"/>
              </w:rPr>
            </w:pPr>
            <w:r>
              <w:rPr>
                <w:rFonts w:ascii="Arial" w:cs="Arial" w:eastAsia="Arial" w:hAnsi="Arial"/>
                <w:sz w:val="13"/>
                <w:szCs w:val="13"/>
                <w:color w:val="202E39"/>
              </w:rPr>
              <w:t>750,117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Options vest and become exercisable in four equal annual installments over the course of four years measured from the grant date.</w:t>
      </w:r>
    </w:p>
    <w:p>
      <w:pPr>
        <w:spacing w:after="0" w:line="13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47</w:t>
            </w: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Option Exercises and Stock Vested in Fiscal Year 2020</w:t>
      </w:r>
    </w:p>
    <w:p>
      <w:pPr>
        <w:spacing w:after="0" w:line="150" w:lineRule="exact"/>
        <w:rPr>
          <w:sz w:val="20"/>
          <w:szCs w:val="20"/>
          <w:color w:val="auto"/>
        </w:rPr>
      </w:pPr>
    </w:p>
    <w:p>
      <w:pPr>
        <w:ind w:left="540" w:right="20" w:hanging="424"/>
        <w:spacing w:after="0" w:line="243"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The performance-based stock options must be vested under both the time-based vesting schedule and the performance-based vesting conditions in order to become exercisable by the Named Executive Officer. The performance-based stock options are reflected in the table above at “target” performance levels.</w:t>
      </w:r>
    </w:p>
    <w:p>
      <w:pPr>
        <w:spacing w:after="0" w:line="59" w:lineRule="exact"/>
        <w:rPr>
          <w:rFonts w:ascii="Arial" w:cs="Arial" w:eastAsia="Arial" w:hAnsi="Arial"/>
          <w:sz w:val="14"/>
          <w:szCs w:val="14"/>
          <w:color w:val="202E39"/>
        </w:rPr>
      </w:pPr>
    </w:p>
    <w:p>
      <w:pPr>
        <w:ind w:left="540" w:hanging="424"/>
        <w:spacing w:after="0"/>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31, 2020 ($35.92 per share) by the number of shares subject to such stock award.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Option Exercises and Stock Vested in Fiscal Year 2020</w:t>
      </w:r>
    </w:p>
    <w:p>
      <w:pPr>
        <w:spacing w:after="0" w:line="145"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2020:</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3400" w:type="dxa"/>
            <w:vAlign w:val="bottom"/>
            <w:tcBorders>
              <w:top w:val="single" w:sz="8" w:color="E8EAEB"/>
            </w:tcBorders>
          </w:tcPr>
          <w:p>
            <w:pPr>
              <w:spacing w:after="0"/>
              <w:rPr>
                <w:sz w:val="20"/>
                <w:szCs w:val="20"/>
                <w:color w:val="auto"/>
              </w:rPr>
            </w:pPr>
          </w:p>
        </w:tc>
        <w:tc>
          <w:tcPr>
            <w:tcW w:w="40" w:type="dxa"/>
            <w:vAlign w:val="bottom"/>
            <w:tcBorders>
              <w:top w:val="single" w:sz="8" w:color="E8EAEB"/>
              <w:bottom w:val="single" w:sz="8" w:color="009FE3"/>
              <w:right w:val="single" w:sz="8" w:color="E8EAEB"/>
            </w:tcBorders>
          </w:tcPr>
          <w:p>
            <w:pPr>
              <w:spacing w:after="0"/>
              <w:rPr>
                <w:sz w:val="20"/>
                <w:szCs w:val="20"/>
                <w:color w:val="auto"/>
              </w:rPr>
            </w:pPr>
          </w:p>
        </w:tc>
        <w:tc>
          <w:tcPr>
            <w:tcW w:w="3440" w:type="dxa"/>
            <w:vAlign w:val="bottom"/>
            <w:tcBorders>
              <w:top w:val="single" w:sz="8" w:color="E8EAEB"/>
              <w:bottom w:val="single" w:sz="8" w:color="009FE3"/>
              <w:right w:val="single" w:sz="8" w:color="E8EAEB"/>
            </w:tcBorders>
            <w:gridSpan w:val="2"/>
          </w:tcPr>
          <w:p>
            <w:pPr>
              <w:jc w:val="right"/>
              <w:ind w:right="1162"/>
              <w:spacing w:after="0"/>
              <w:rPr>
                <w:sz w:val="20"/>
                <w:szCs w:val="20"/>
                <w:color w:val="auto"/>
              </w:rPr>
            </w:pPr>
            <w:r>
              <w:rPr>
                <w:rFonts w:ascii="Arial" w:cs="Arial" w:eastAsia="Arial" w:hAnsi="Arial"/>
                <w:sz w:val="14"/>
                <w:szCs w:val="14"/>
                <w:b w:val="1"/>
                <w:bCs w:val="1"/>
                <w:color w:val="009FE3"/>
              </w:rPr>
              <w:t>Option Awards</w:t>
            </w:r>
          </w:p>
        </w:tc>
        <w:tc>
          <w:tcPr>
            <w:tcW w:w="220" w:type="dxa"/>
            <w:vAlign w:val="bottom"/>
            <w:tcBorders>
              <w:top w:val="single" w:sz="8" w:color="E8EAEB"/>
              <w:right w:val="single" w:sz="8" w:color="E8EAEB"/>
            </w:tcBorders>
          </w:tcPr>
          <w:p>
            <w:pPr>
              <w:spacing w:after="0"/>
              <w:rPr>
                <w:sz w:val="20"/>
                <w:szCs w:val="20"/>
                <w:color w:val="auto"/>
              </w:rPr>
            </w:pPr>
          </w:p>
        </w:tc>
        <w:tc>
          <w:tcPr>
            <w:tcW w:w="3920" w:type="dxa"/>
            <w:vAlign w:val="bottom"/>
            <w:tcBorders>
              <w:top w:val="single" w:sz="8" w:color="E8EAEB"/>
              <w:bottom w:val="single" w:sz="8" w:color="009FE3"/>
            </w:tcBorders>
            <w:gridSpan w:val="2"/>
          </w:tcPr>
          <w:p>
            <w:pPr>
              <w:jc w:val="right"/>
              <w:ind w:right="1422"/>
              <w:spacing w:after="0"/>
              <w:rPr>
                <w:sz w:val="20"/>
                <w:szCs w:val="20"/>
                <w:color w:val="auto"/>
              </w:rPr>
            </w:pPr>
            <w:r>
              <w:rPr>
                <w:rFonts w:ascii="Arial" w:cs="Arial" w:eastAsia="Arial" w:hAnsi="Arial"/>
                <w:sz w:val="14"/>
                <w:szCs w:val="14"/>
                <w:b w:val="1"/>
                <w:bCs w:val="1"/>
                <w:color w:val="009FE3"/>
              </w:rPr>
              <w:t>Stock Awards</w:t>
            </w:r>
          </w:p>
        </w:tc>
      </w:tr>
      <w:tr>
        <w:trPr>
          <w:trHeight w:val="148"/>
        </w:trPr>
        <w:tc>
          <w:tcPr>
            <w:tcW w:w="3400" w:type="dxa"/>
            <w:vAlign w:val="bottom"/>
          </w:tcPr>
          <w:p>
            <w:pPr>
              <w:spacing w:after="0"/>
              <w:rPr>
                <w:sz w:val="12"/>
                <w:szCs w:val="12"/>
                <w:color w:val="auto"/>
              </w:rPr>
            </w:pPr>
          </w:p>
        </w:tc>
        <w:tc>
          <w:tcPr>
            <w:tcW w:w="40" w:type="dxa"/>
            <w:vAlign w:val="bottom"/>
            <w:tcBorders>
              <w:right w:val="single" w:sz="8" w:color="E8EAEB"/>
            </w:tcBorders>
          </w:tcPr>
          <w:p>
            <w:pPr>
              <w:spacing w:after="0"/>
              <w:rPr>
                <w:sz w:val="12"/>
                <w:szCs w:val="12"/>
                <w:color w:val="auto"/>
              </w:rPr>
            </w:pPr>
          </w:p>
        </w:tc>
        <w:tc>
          <w:tcPr>
            <w:tcW w:w="1820" w:type="dxa"/>
            <w:vAlign w:val="bottom"/>
            <w:tcBorders>
              <w:right w:val="single" w:sz="8" w:color="E8EAEB"/>
            </w:tcBorders>
          </w:tcPr>
          <w:p>
            <w:pPr>
              <w:jc w:val="center"/>
              <w:spacing w:after="0" w:line="149" w:lineRule="exact"/>
              <w:rPr>
                <w:sz w:val="20"/>
                <w:szCs w:val="20"/>
                <w:color w:val="auto"/>
              </w:rPr>
            </w:pPr>
            <w:r>
              <w:rPr>
                <w:rFonts w:ascii="Arial" w:cs="Arial" w:eastAsia="Arial" w:hAnsi="Arial"/>
                <w:sz w:val="14"/>
                <w:szCs w:val="14"/>
                <w:b w:val="1"/>
                <w:bCs w:val="1"/>
                <w:color w:val="009FE3"/>
              </w:rPr>
              <w:t>Number of Shares</w:t>
            </w:r>
          </w:p>
        </w:tc>
        <w:tc>
          <w:tcPr>
            <w:tcW w:w="1620" w:type="dxa"/>
            <w:vAlign w:val="bottom"/>
            <w:tcBorders>
              <w:right w:val="single" w:sz="8" w:color="E8EAEB"/>
            </w:tcBorders>
          </w:tcPr>
          <w:p>
            <w:pPr>
              <w:jc w:val="center"/>
              <w:spacing w:after="0" w:line="149" w:lineRule="exact"/>
              <w:rPr>
                <w:sz w:val="20"/>
                <w:szCs w:val="20"/>
                <w:color w:val="auto"/>
              </w:rPr>
            </w:pPr>
            <w:r>
              <w:rPr>
                <w:rFonts w:ascii="Arial" w:cs="Arial" w:eastAsia="Arial" w:hAnsi="Arial"/>
                <w:sz w:val="14"/>
                <w:szCs w:val="14"/>
                <w:b w:val="1"/>
                <w:bCs w:val="1"/>
                <w:color w:val="009FE3"/>
              </w:rPr>
              <w:t>Value Realized</w:t>
            </w:r>
          </w:p>
        </w:tc>
        <w:tc>
          <w:tcPr>
            <w:tcW w:w="220" w:type="dxa"/>
            <w:vAlign w:val="bottom"/>
            <w:tcBorders>
              <w:right w:val="single" w:sz="8" w:color="E8EAEB"/>
            </w:tcBorders>
          </w:tcPr>
          <w:p>
            <w:pPr>
              <w:spacing w:after="0"/>
              <w:rPr>
                <w:sz w:val="12"/>
                <w:szCs w:val="12"/>
                <w:color w:val="auto"/>
              </w:rPr>
            </w:pPr>
          </w:p>
        </w:tc>
        <w:tc>
          <w:tcPr>
            <w:tcW w:w="2020" w:type="dxa"/>
            <w:vAlign w:val="bottom"/>
            <w:tcBorders>
              <w:right w:val="single" w:sz="8" w:color="E8EAEB"/>
            </w:tcBorders>
          </w:tcPr>
          <w:p>
            <w:pPr>
              <w:jc w:val="center"/>
              <w:spacing w:after="0" w:line="149" w:lineRule="exact"/>
              <w:rPr>
                <w:sz w:val="20"/>
                <w:szCs w:val="20"/>
                <w:color w:val="auto"/>
              </w:rPr>
            </w:pPr>
            <w:r>
              <w:rPr>
                <w:rFonts w:ascii="Arial" w:cs="Arial" w:eastAsia="Arial" w:hAnsi="Arial"/>
                <w:sz w:val="14"/>
                <w:szCs w:val="14"/>
                <w:b w:val="1"/>
                <w:bCs w:val="1"/>
                <w:color w:val="009FE3"/>
              </w:rPr>
              <w:t>Number of Shares</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009FE3"/>
              </w:rPr>
              <w:t>Value Realized on</w:t>
            </w:r>
          </w:p>
        </w:tc>
      </w:tr>
      <w:tr>
        <w:trPr>
          <w:trHeight w:val="162"/>
        </w:trPr>
        <w:tc>
          <w:tcPr>
            <w:tcW w:w="3400" w:type="dxa"/>
            <w:vAlign w:val="bottom"/>
          </w:tcPr>
          <w:p>
            <w:pPr>
              <w:spacing w:after="0"/>
              <w:rPr>
                <w:sz w:val="14"/>
                <w:szCs w:val="14"/>
                <w:color w:val="auto"/>
              </w:rPr>
            </w:pPr>
          </w:p>
        </w:tc>
        <w:tc>
          <w:tcPr>
            <w:tcW w:w="40" w:type="dxa"/>
            <w:vAlign w:val="bottom"/>
            <w:tcBorders>
              <w:right w:val="single" w:sz="8" w:color="E8EAEB"/>
            </w:tcBorders>
          </w:tcPr>
          <w:p>
            <w:pPr>
              <w:spacing w:after="0"/>
              <w:rPr>
                <w:sz w:val="14"/>
                <w:szCs w:val="14"/>
                <w:color w:val="auto"/>
              </w:rPr>
            </w:pPr>
          </w:p>
        </w:tc>
        <w:tc>
          <w:tcPr>
            <w:tcW w:w="1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Exercise</w:t>
            </w:r>
          </w:p>
        </w:tc>
        <w:tc>
          <w:tcPr>
            <w:tcW w:w="16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on Exercise</w:t>
            </w:r>
          </w:p>
        </w:tc>
        <w:tc>
          <w:tcPr>
            <w:tcW w:w="220" w:type="dxa"/>
            <w:vAlign w:val="bottom"/>
            <w:tcBorders>
              <w:right w:val="single" w:sz="8" w:color="E8EAEB"/>
            </w:tcBorders>
          </w:tcPr>
          <w:p>
            <w:pPr>
              <w:spacing w:after="0"/>
              <w:rPr>
                <w:sz w:val="14"/>
                <w:szCs w:val="14"/>
                <w:color w:val="auto"/>
              </w:rPr>
            </w:pPr>
          </w:p>
        </w:tc>
        <w:tc>
          <w:tcPr>
            <w:tcW w:w="2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Vesting</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9FE3"/>
              </w:rPr>
              <w:t>Vesting</w:t>
            </w:r>
          </w:p>
        </w:tc>
      </w:tr>
      <w:tr>
        <w:trPr>
          <w:trHeight w:val="190"/>
        </w:trPr>
        <w:tc>
          <w:tcPr>
            <w:tcW w:w="3440" w:type="dxa"/>
            <w:vAlign w:val="bottom"/>
            <w:tcBorders>
              <w:right w:val="single" w:sz="8" w:color="E8EAEB"/>
            </w:tcBorders>
            <w:gridSpan w:val="2"/>
          </w:tcPr>
          <w:p>
            <w:pPr>
              <w:ind w:left="60"/>
              <w:spacing w:after="0"/>
              <w:rPr>
                <w:sz w:val="20"/>
                <w:szCs w:val="20"/>
                <w:color w:val="auto"/>
              </w:rPr>
            </w:pPr>
            <w:r>
              <w:rPr>
                <w:rFonts w:ascii="Arial" w:cs="Arial" w:eastAsia="Arial" w:hAnsi="Arial"/>
                <w:sz w:val="14"/>
                <w:szCs w:val="14"/>
                <w:b w:val="1"/>
                <w:bCs w:val="1"/>
                <w:color w:val="009FE3"/>
              </w:rPr>
              <w:t>Name</w:t>
            </w:r>
          </w:p>
        </w:tc>
        <w:tc>
          <w:tcPr>
            <w:tcW w:w="18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6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220" w:type="dxa"/>
            <w:vAlign w:val="bottom"/>
            <w:tcBorders>
              <w:right w:val="single" w:sz="8" w:color="E8EAEB"/>
            </w:tcBorders>
          </w:tcPr>
          <w:p>
            <w:pPr>
              <w:spacing w:after="0"/>
              <w:rPr>
                <w:sz w:val="16"/>
                <w:szCs w:val="16"/>
                <w:color w:val="auto"/>
              </w:rPr>
            </w:pPr>
          </w:p>
        </w:tc>
        <w:tc>
          <w:tcPr>
            <w:tcW w:w="2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9FE3"/>
              </w:rPr>
              <w:t>($) (1)</w:t>
            </w:r>
          </w:p>
        </w:tc>
      </w:tr>
      <w:tr>
        <w:trPr>
          <w:trHeight w:val="39"/>
        </w:trPr>
        <w:tc>
          <w:tcPr>
            <w:tcW w:w="3400" w:type="dxa"/>
            <w:vAlign w:val="bottom"/>
            <w:tcBorders>
              <w:bottom w:val="single" w:sz="8" w:color="009FE3"/>
            </w:tcBorders>
          </w:tcPr>
          <w:p>
            <w:pPr>
              <w:spacing w:after="0"/>
              <w:rPr>
                <w:sz w:val="3"/>
                <w:szCs w:val="3"/>
                <w:color w:val="auto"/>
              </w:rPr>
            </w:pPr>
          </w:p>
        </w:tc>
        <w:tc>
          <w:tcPr>
            <w:tcW w:w="40" w:type="dxa"/>
            <w:vAlign w:val="bottom"/>
            <w:tcBorders>
              <w:bottom w:val="single" w:sz="8" w:color="009FE3"/>
              <w:right w:val="single" w:sz="8" w:color="E8EAEB"/>
            </w:tcBorders>
          </w:tcPr>
          <w:p>
            <w:pPr>
              <w:spacing w:after="0"/>
              <w:rPr>
                <w:sz w:val="3"/>
                <w:szCs w:val="3"/>
                <w:color w:val="auto"/>
              </w:rPr>
            </w:pPr>
          </w:p>
        </w:tc>
        <w:tc>
          <w:tcPr>
            <w:tcW w:w="1820" w:type="dxa"/>
            <w:vAlign w:val="bottom"/>
            <w:tcBorders>
              <w:bottom w:val="single" w:sz="8" w:color="009FE3"/>
              <w:right w:val="single" w:sz="8" w:color="E8EAEB"/>
            </w:tcBorders>
          </w:tcPr>
          <w:p>
            <w:pPr>
              <w:spacing w:after="0"/>
              <w:rPr>
                <w:sz w:val="3"/>
                <w:szCs w:val="3"/>
                <w:color w:val="auto"/>
              </w:rPr>
            </w:pPr>
          </w:p>
        </w:tc>
        <w:tc>
          <w:tcPr>
            <w:tcW w:w="1620" w:type="dxa"/>
            <w:vAlign w:val="bottom"/>
            <w:tcBorders>
              <w:bottom w:val="single" w:sz="8" w:color="009FE3"/>
              <w:right w:val="single" w:sz="8" w:color="E8EAEB"/>
            </w:tcBorders>
          </w:tcPr>
          <w:p>
            <w:pPr>
              <w:spacing w:after="0"/>
              <w:rPr>
                <w:sz w:val="3"/>
                <w:szCs w:val="3"/>
                <w:color w:val="auto"/>
              </w:rPr>
            </w:pPr>
          </w:p>
        </w:tc>
        <w:tc>
          <w:tcPr>
            <w:tcW w:w="220" w:type="dxa"/>
            <w:vAlign w:val="bottom"/>
            <w:tcBorders>
              <w:bottom w:val="single" w:sz="8" w:color="009FE3"/>
              <w:right w:val="single" w:sz="8" w:color="E8EAEB"/>
            </w:tcBorders>
          </w:tcPr>
          <w:p>
            <w:pPr>
              <w:spacing w:after="0"/>
              <w:rPr>
                <w:sz w:val="3"/>
                <w:szCs w:val="3"/>
                <w:color w:val="auto"/>
              </w:rPr>
            </w:pPr>
          </w:p>
        </w:tc>
        <w:tc>
          <w:tcPr>
            <w:tcW w:w="2020" w:type="dxa"/>
            <w:vAlign w:val="bottom"/>
            <w:tcBorders>
              <w:bottom w:val="single" w:sz="8" w:color="009FE3"/>
              <w:right w:val="single" w:sz="8" w:color="E8EAEB"/>
            </w:tcBorders>
          </w:tcPr>
          <w:p>
            <w:pPr>
              <w:spacing w:after="0"/>
              <w:rPr>
                <w:sz w:val="3"/>
                <w:szCs w:val="3"/>
                <w:color w:val="auto"/>
              </w:rPr>
            </w:pPr>
          </w:p>
        </w:tc>
        <w:tc>
          <w:tcPr>
            <w:tcW w:w="1900" w:type="dxa"/>
            <w:vAlign w:val="bottom"/>
            <w:tcBorders>
              <w:bottom w:val="single" w:sz="8" w:color="009FE3"/>
            </w:tcBorders>
          </w:tcPr>
          <w:p>
            <w:pPr>
              <w:spacing w:after="0"/>
              <w:rPr>
                <w:sz w:val="3"/>
                <w:szCs w:val="3"/>
                <w:color w:val="auto"/>
              </w:rPr>
            </w:pPr>
          </w:p>
        </w:tc>
      </w:tr>
      <w:tr>
        <w:trPr>
          <w:trHeight w:val="190"/>
        </w:trPr>
        <w:tc>
          <w:tcPr>
            <w:tcW w:w="3440" w:type="dxa"/>
            <w:vAlign w:val="bottom"/>
            <w:tcBorders>
              <w:right w:val="single" w:sz="8" w:color="E8EAEB"/>
            </w:tcBorders>
            <w:gridSpan w:val="2"/>
          </w:tcPr>
          <w:p>
            <w:pPr>
              <w:ind w:left="80"/>
              <w:spacing w:after="0"/>
              <w:rPr>
                <w:sz w:val="20"/>
                <w:szCs w:val="20"/>
                <w:color w:val="auto"/>
              </w:rPr>
            </w:pPr>
            <w:r>
              <w:rPr>
                <w:rFonts w:ascii="Arial" w:cs="Arial" w:eastAsia="Arial" w:hAnsi="Arial"/>
                <w:sz w:val="16"/>
                <w:szCs w:val="16"/>
                <w:color w:val="202E39"/>
              </w:rPr>
              <w:t>Mark Dankberg</w:t>
            </w:r>
          </w:p>
        </w:tc>
        <w:tc>
          <w:tcPr>
            <w:tcW w:w="182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100,000</w:t>
            </w:r>
          </w:p>
        </w:tc>
        <w:tc>
          <w:tcPr>
            <w:tcW w:w="162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2,978,800</w:t>
            </w:r>
          </w:p>
        </w:tc>
        <w:tc>
          <w:tcPr>
            <w:tcW w:w="220" w:type="dxa"/>
            <w:vAlign w:val="bottom"/>
            <w:tcBorders>
              <w:right w:val="single" w:sz="8" w:color="E8EAEB"/>
            </w:tcBorders>
          </w:tcPr>
          <w:p>
            <w:pPr>
              <w:spacing w:after="0"/>
              <w:rPr>
                <w:sz w:val="16"/>
                <w:szCs w:val="16"/>
                <w:color w:val="auto"/>
              </w:rPr>
            </w:pPr>
          </w:p>
        </w:tc>
        <w:tc>
          <w:tcPr>
            <w:tcW w:w="2020" w:type="dxa"/>
            <w:vAlign w:val="bottom"/>
            <w:tcBorders>
              <w:right w:val="single" w:sz="8" w:color="E8EAEB"/>
            </w:tcBorders>
          </w:tcPr>
          <w:p>
            <w:pPr>
              <w:jc w:val="right"/>
              <w:ind w:right="443"/>
              <w:spacing w:after="0"/>
              <w:rPr>
                <w:sz w:val="20"/>
                <w:szCs w:val="20"/>
                <w:color w:val="auto"/>
              </w:rPr>
            </w:pPr>
            <w:r>
              <w:rPr>
                <w:rFonts w:ascii="Arial" w:cs="Arial" w:eastAsia="Arial" w:hAnsi="Arial"/>
                <w:sz w:val="16"/>
                <w:szCs w:val="16"/>
                <w:color w:val="202E39"/>
              </w:rPr>
              <w:t>45,417</w:t>
            </w:r>
          </w:p>
        </w:tc>
        <w:tc>
          <w:tcPr>
            <w:tcW w:w="1900" w:type="dxa"/>
            <w:vAlign w:val="bottom"/>
          </w:tcPr>
          <w:p>
            <w:pPr>
              <w:jc w:val="right"/>
              <w:ind w:right="302"/>
              <w:spacing w:after="0"/>
              <w:rPr>
                <w:sz w:val="20"/>
                <w:szCs w:val="20"/>
                <w:color w:val="auto"/>
              </w:rPr>
            </w:pPr>
            <w:r>
              <w:rPr>
                <w:rFonts w:ascii="Arial" w:cs="Arial" w:eastAsia="Arial" w:hAnsi="Arial"/>
                <w:sz w:val="16"/>
                <w:szCs w:val="16"/>
                <w:color w:val="202E39"/>
              </w:rPr>
              <w:t>3,337,991</w:t>
            </w:r>
          </w:p>
        </w:tc>
      </w:tr>
      <w:tr>
        <w:trPr>
          <w:trHeight w:val="60"/>
        </w:trPr>
        <w:tc>
          <w:tcPr>
            <w:tcW w:w="3400" w:type="dxa"/>
            <w:vAlign w:val="bottom"/>
            <w:tcBorders>
              <w:bottom w:val="single" w:sz="8" w:color="E8EAEB"/>
            </w:tcBorders>
          </w:tcPr>
          <w:p>
            <w:pPr>
              <w:spacing w:after="0"/>
              <w:rPr>
                <w:sz w:val="5"/>
                <w:szCs w:val="5"/>
                <w:color w:val="auto"/>
              </w:rPr>
            </w:pPr>
          </w:p>
        </w:tc>
        <w:tc>
          <w:tcPr>
            <w:tcW w:w="40" w:type="dxa"/>
            <w:vAlign w:val="bottom"/>
            <w:tcBorders>
              <w:bottom w:val="single" w:sz="8" w:color="E8EAEB"/>
              <w:right w:val="single" w:sz="8" w:color="E8EAEB"/>
            </w:tcBorders>
          </w:tcPr>
          <w:p>
            <w:pPr>
              <w:spacing w:after="0"/>
              <w:rPr>
                <w:sz w:val="5"/>
                <w:szCs w:val="5"/>
                <w:color w:val="auto"/>
              </w:rPr>
            </w:pPr>
          </w:p>
        </w:tc>
        <w:tc>
          <w:tcPr>
            <w:tcW w:w="1820" w:type="dxa"/>
            <w:vAlign w:val="bottom"/>
            <w:tcBorders>
              <w:bottom w:val="single" w:sz="8" w:color="E8EAEB"/>
              <w:right w:val="single" w:sz="8" w:color="E8EAEB"/>
            </w:tcBorders>
          </w:tcPr>
          <w:p>
            <w:pPr>
              <w:spacing w:after="0"/>
              <w:rPr>
                <w:sz w:val="5"/>
                <w:szCs w:val="5"/>
                <w:color w:val="auto"/>
              </w:rPr>
            </w:pPr>
          </w:p>
        </w:tc>
        <w:tc>
          <w:tcPr>
            <w:tcW w:w="1620" w:type="dxa"/>
            <w:vAlign w:val="bottom"/>
            <w:tcBorders>
              <w:bottom w:val="single" w:sz="8" w:color="E8EAEB"/>
              <w:right w:val="single" w:sz="8" w:color="E8EAEB"/>
            </w:tcBorders>
          </w:tcPr>
          <w:p>
            <w:pPr>
              <w:spacing w:after="0"/>
              <w:rPr>
                <w:sz w:val="5"/>
                <w:szCs w:val="5"/>
                <w:color w:val="auto"/>
              </w:rPr>
            </w:pPr>
          </w:p>
        </w:tc>
        <w:tc>
          <w:tcPr>
            <w:tcW w:w="220" w:type="dxa"/>
            <w:vAlign w:val="bottom"/>
            <w:tcBorders>
              <w:bottom w:val="single" w:sz="8" w:color="E8EAEB"/>
              <w:right w:val="single" w:sz="8" w:color="E8EAEB"/>
            </w:tcBorders>
          </w:tcPr>
          <w:p>
            <w:pPr>
              <w:spacing w:after="0"/>
              <w:rPr>
                <w:sz w:val="5"/>
                <w:szCs w:val="5"/>
                <w:color w:val="auto"/>
              </w:rPr>
            </w:pPr>
          </w:p>
        </w:tc>
        <w:tc>
          <w:tcPr>
            <w:tcW w:w="202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190"/>
        </w:trPr>
        <w:tc>
          <w:tcPr>
            <w:tcW w:w="3440" w:type="dxa"/>
            <w:vAlign w:val="bottom"/>
            <w:gridSpan w:val="2"/>
          </w:tcPr>
          <w:p>
            <w:pPr>
              <w:ind w:left="80"/>
              <w:spacing w:after="0"/>
              <w:rPr>
                <w:sz w:val="20"/>
                <w:szCs w:val="20"/>
                <w:color w:val="auto"/>
              </w:rPr>
            </w:pPr>
            <w:r>
              <w:rPr>
                <w:rFonts w:ascii="Arial" w:cs="Arial" w:eastAsia="Arial" w:hAnsi="Arial"/>
                <w:sz w:val="16"/>
                <w:szCs w:val="16"/>
                <w:color w:val="202E39"/>
              </w:rPr>
              <w:t>Richard Baldridge</w:t>
            </w:r>
          </w:p>
        </w:tc>
        <w:tc>
          <w:tcPr>
            <w:tcW w:w="182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55,000</w:t>
            </w:r>
          </w:p>
        </w:tc>
        <w:tc>
          <w:tcPr>
            <w:tcW w:w="162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1,539,010</w:t>
            </w:r>
          </w:p>
        </w:tc>
        <w:tc>
          <w:tcPr>
            <w:tcW w:w="220" w:type="dxa"/>
            <w:vAlign w:val="bottom"/>
            <w:tcBorders>
              <w:right w:val="single" w:sz="8" w:color="E8EAEB"/>
            </w:tcBorders>
          </w:tcPr>
          <w:p>
            <w:pPr>
              <w:spacing w:after="0"/>
              <w:rPr>
                <w:sz w:val="16"/>
                <w:szCs w:val="16"/>
                <w:color w:val="auto"/>
              </w:rPr>
            </w:pPr>
          </w:p>
        </w:tc>
        <w:tc>
          <w:tcPr>
            <w:tcW w:w="2020" w:type="dxa"/>
            <w:vAlign w:val="bottom"/>
            <w:tcBorders>
              <w:right w:val="single" w:sz="8" w:color="E8EAEB"/>
            </w:tcBorders>
          </w:tcPr>
          <w:p>
            <w:pPr>
              <w:jc w:val="right"/>
              <w:ind w:right="443"/>
              <w:spacing w:after="0"/>
              <w:rPr>
                <w:sz w:val="20"/>
                <w:szCs w:val="20"/>
                <w:color w:val="auto"/>
              </w:rPr>
            </w:pPr>
            <w:r>
              <w:rPr>
                <w:rFonts w:ascii="Arial" w:cs="Arial" w:eastAsia="Arial" w:hAnsi="Arial"/>
                <w:sz w:val="16"/>
                <w:szCs w:val="16"/>
                <w:color w:val="202E39"/>
              </w:rPr>
              <w:t>32,916</w:t>
            </w:r>
          </w:p>
        </w:tc>
        <w:tc>
          <w:tcPr>
            <w:tcW w:w="1900" w:type="dxa"/>
            <w:vAlign w:val="bottom"/>
          </w:tcPr>
          <w:p>
            <w:pPr>
              <w:jc w:val="right"/>
              <w:ind w:right="302"/>
              <w:spacing w:after="0"/>
              <w:rPr>
                <w:sz w:val="20"/>
                <w:szCs w:val="20"/>
                <w:color w:val="auto"/>
              </w:rPr>
            </w:pPr>
            <w:r>
              <w:rPr>
                <w:rFonts w:ascii="Arial" w:cs="Arial" w:eastAsia="Arial" w:hAnsi="Arial"/>
                <w:sz w:val="16"/>
                <w:szCs w:val="16"/>
                <w:color w:val="202E39"/>
              </w:rPr>
              <w:t>2,423,534</w:t>
            </w:r>
          </w:p>
        </w:tc>
      </w:tr>
      <w:tr>
        <w:trPr>
          <w:trHeight w:val="60"/>
        </w:trPr>
        <w:tc>
          <w:tcPr>
            <w:tcW w:w="3400" w:type="dxa"/>
            <w:vAlign w:val="bottom"/>
            <w:tcBorders>
              <w:bottom w:val="single" w:sz="8" w:color="E8EAEB"/>
            </w:tcBorders>
          </w:tcPr>
          <w:p>
            <w:pPr>
              <w:spacing w:after="0"/>
              <w:rPr>
                <w:sz w:val="5"/>
                <w:szCs w:val="5"/>
                <w:color w:val="auto"/>
              </w:rPr>
            </w:pPr>
          </w:p>
        </w:tc>
        <w:tc>
          <w:tcPr>
            <w:tcW w:w="40" w:type="dxa"/>
            <w:vAlign w:val="bottom"/>
            <w:tcBorders>
              <w:bottom w:val="single" w:sz="8" w:color="E8EAEB"/>
            </w:tcBorders>
          </w:tcPr>
          <w:p>
            <w:pPr>
              <w:spacing w:after="0"/>
              <w:rPr>
                <w:sz w:val="5"/>
                <w:szCs w:val="5"/>
                <w:color w:val="auto"/>
              </w:rPr>
            </w:pPr>
          </w:p>
        </w:tc>
        <w:tc>
          <w:tcPr>
            <w:tcW w:w="1820" w:type="dxa"/>
            <w:vAlign w:val="bottom"/>
            <w:tcBorders>
              <w:bottom w:val="single" w:sz="8" w:color="E8EAEB"/>
              <w:right w:val="single" w:sz="8" w:color="E8EAEB"/>
            </w:tcBorders>
          </w:tcPr>
          <w:p>
            <w:pPr>
              <w:spacing w:after="0"/>
              <w:rPr>
                <w:sz w:val="5"/>
                <w:szCs w:val="5"/>
                <w:color w:val="auto"/>
              </w:rPr>
            </w:pPr>
          </w:p>
        </w:tc>
        <w:tc>
          <w:tcPr>
            <w:tcW w:w="1620" w:type="dxa"/>
            <w:vAlign w:val="bottom"/>
            <w:tcBorders>
              <w:bottom w:val="single" w:sz="8" w:color="E8EAEB"/>
              <w:right w:val="single" w:sz="8" w:color="E8EAEB"/>
            </w:tcBorders>
          </w:tcPr>
          <w:p>
            <w:pPr>
              <w:spacing w:after="0"/>
              <w:rPr>
                <w:sz w:val="5"/>
                <w:szCs w:val="5"/>
                <w:color w:val="auto"/>
              </w:rPr>
            </w:pPr>
          </w:p>
        </w:tc>
        <w:tc>
          <w:tcPr>
            <w:tcW w:w="220" w:type="dxa"/>
            <w:vAlign w:val="bottom"/>
            <w:tcBorders>
              <w:bottom w:val="single" w:sz="8" w:color="E8EAEB"/>
              <w:right w:val="single" w:sz="8" w:color="E8EAEB"/>
            </w:tcBorders>
          </w:tcPr>
          <w:p>
            <w:pPr>
              <w:spacing w:after="0"/>
              <w:rPr>
                <w:sz w:val="5"/>
                <w:szCs w:val="5"/>
                <w:color w:val="auto"/>
              </w:rPr>
            </w:pPr>
          </w:p>
        </w:tc>
        <w:tc>
          <w:tcPr>
            <w:tcW w:w="202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190"/>
        </w:trPr>
        <w:tc>
          <w:tcPr>
            <w:tcW w:w="3440" w:type="dxa"/>
            <w:vAlign w:val="bottom"/>
            <w:tcBorders>
              <w:right w:val="single" w:sz="8" w:color="E8EAEB"/>
            </w:tcBorders>
            <w:gridSpan w:val="2"/>
          </w:tcPr>
          <w:p>
            <w:pPr>
              <w:ind w:left="80"/>
              <w:spacing w:after="0"/>
              <w:rPr>
                <w:sz w:val="20"/>
                <w:szCs w:val="20"/>
                <w:color w:val="auto"/>
              </w:rPr>
            </w:pPr>
            <w:r>
              <w:rPr>
                <w:rFonts w:ascii="Arial" w:cs="Arial" w:eastAsia="Arial" w:hAnsi="Arial"/>
                <w:sz w:val="16"/>
                <w:szCs w:val="16"/>
                <w:color w:val="202E39"/>
              </w:rPr>
              <w:t>Shawn Duffy</w:t>
            </w:r>
          </w:p>
        </w:tc>
        <w:tc>
          <w:tcPr>
            <w:tcW w:w="182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17,500</w:t>
            </w:r>
          </w:p>
        </w:tc>
        <w:tc>
          <w:tcPr>
            <w:tcW w:w="162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496,478</w:t>
            </w:r>
          </w:p>
        </w:tc>
        <w:tc>
          <w:tcPr>
            <w:tcW w:w="220" w:type="dxa"/>
            <w:vAlign w:val="bottom"/>
            <w:tcBorders>
              <w:right w:val="single" w:sz="8" w:color="E8EAEB"/>
            </w:tcBorders>
          </w:tcPr>
          <w:p>
            <w:pPr>
              <w:spacing w:after="0"/>
              <w:rPr>
                <w:sz w:val="16"/>
                <w:szCs w:val="16"/>
                <w:color w:val="auto"/>
              </w:rPr>
            </w:pPr>
          </w:p>
        </w:tc>
        <w:tc>
          <w:tcPr>
            <w:tcW w:w="2020" w:type="dxa"/>
            <w:vAlign w:val="bottom"/>
            <w:tcBorders>
              <w:right w:val="single" w:sz="8" w:color="E8EAEB"/>
            </w:tcBorders>
          </w:tcPr>
          <w:p>
            <w:pPr>
              <w:jc w:val="right"/>
              <w:ind w:right="443"/>
              <w:spacing w:after="0"/>
              <w:rPr>
                <w:sz w:val="20"/>
                <w:szCs w:val="20"/>
                <w:color w:val="auto"/>
              </w:rPr>
            </w:pPr>
            <w:r>
              <w:rPr>
                <w:rFonts w:ascii="Arial" w:cs="Arial" w:eastAsia="Arial" w:hAnsi="Arial"/>
                <w:sz w:val="16"/>
                <w:szCs w:val="16"/>
                <w:color w:val="202E39"/>
              </w:rPr>
              <w:t>10,208</w:t>
            </w:r>
          </w:p>
        </w:tc>
        <w:tc>
          <w:tcPr>
            <w:tcW w:w="1900" w:type="dxa"/>
            <w:vAlign w:val="bottom"/>
          </w:tcPr>
          <w:p>
            <w:pPr>
              <w:jc w:val="right"/>
              <w:ind w:right="302"/>
              <w:spacing w:after="0"/>
              <w:rPr>
                <w:sz w:val="20"/>
                <w:szCs w:val="20"/>
                <w:color w:val="auto"/>
              </w:rPr>
            </w:pPr>
            <w:r>
              <w:rPr>
                <w:rFonts w:ascii="Arial" w:cs="Arial" w:eastAsia="Arial" w:hAnsi="Arial"/>
                <w:sz w:val="16"/>
                <w:szCs w:val="16"/>
                <w:color w:val="202E39"/>
              </w:rPr>
              <w:t>749,267</w:t>
            </w:r>
          </w:p>
        </w:tc>
      </w:tr>
      <w:tr>
        <w:trPr>
          <w:trHeight w:val="60"/>
        </w:trPr>
        <w:tc>
          <w:tcPr>
            <w:tcW w:w="3400" w:type="dxa"/>
            <w:vAlign w:val="bottom"/>
            <w:tcBorders>
              <w:bottom w:val="single" w:sz="8" w:color="E8EAEB"/>
            </w:tcBorders>
          </w:tcPr>
          <w:p>
            <w:pPr>
              <w:spacing w:after="0"/>
              <w:rPr>
                <w:sz w:val="5"/>
                <w:szCs w:val="5"/>
                <w:color w:val="auto"/>
              </w:rPr>
            </w:pPr>
          </w:p>
        </w:tc>
        <w:tc>
          <w:tcPr>
            <w:tcW w:w="40" w:type="dxa"/>
            <w:vAlign w:val="bottom"/>
            <w:tcBorders>
              <w:bottom w:val="single" w:sz="8" w:color="E8EAEB"/>
              <w:right w:val="single" w:sz="8" w:color="E8EAEB"/>
            </w:tcBorders>
          </w:tcPr>
          <w:p>
            <w:pPr>
              <w:spacing w:after="0"/>
              <w:rPr>
                <w:sz w:val="5"/>
                <w:szCs w:val="5"/>
                <w:color w:val="auto"/>
              </w:rPr>
            </w:pPr>
          </w:p>
        </w:tc>
        <w:tc>
          <w:tcPr>
            <w:tcW w:w="1820" w:type="dxa"/>
            <w:vAlign w:val="bottom"/>
            <w:tcBorders>
              <w:bottom w:val="single" w:sz="8" w:color="E8EAEB"/>
              <w:right w:val="single" w:sz="8" w:color="E8EAEB"/>
            </w:tcBorders>
          </w:tcPr>
          <w:p>
            <w:pPr>
              <w:spacing w:after="0"/>
              <w:rPr>
                <w:sz w:val="5"/>
                <w:szCs w:val="5"/>
                <w:color w:val="auto"/>
              </w:rPr>
            </w:pPr>
          </w:p>
        </w:tc>
        <w:tc>
          <w:tcPr>
            <w:tcW w:w="1620" w:type="dxa"/>
            <w:vAlign w:val="bottom"/>
            <w:tcBorders>
              <w:bottom w:val="single" w:sz="8" w:color="E8EAEB"/>
              <w:right w:val="single" w:sz="8" w:color="E8EAEB"/>
            </w:tcBorders>
          </w:tcPr>
          <w:p>
            <w:pPr>
              <w:spacing w:after="0"/>
              <w:rPr>
                <w:sz w:val="5"/>
                <w:szCs w:val="5"/>
                <w:color w:val="auto"/>
              </w:rPr>
            </w:pPr>
          </w:p>
        </w:tc>
        <w:tc>
          <w:tcPr>
            <w:tcW w:w="220" w:type="dxa"/>
            <w:vAlign w:val="bottom"/>
            <w:tcBorders>
              <w:bottom w:val="single" w:sz="8" w:color="E8EAEB"/>
              <w:right w:val="single" w:sz="8" w:color="E8EAEB"/>
            </w:tcBorders>
          </w:tcPr>
          <w:p>
            <w:pPr>
              <w:spacing w:after="0"/>
              <w:rPr>
                <w:sz w:val="5"/>
                <w:szCs w:val="5"/>
                <w:color w:val="auto"/>
              </w:rPr>
            </w:pPr>
          </w:p>
        </w:tc>
        <w:tc>
          <w:tcPr>
            <w:tcW w:w="202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190"/>
        </w:trPr>
        <w:tc>
          <w:tcPr>
            <w:tcW w:w="3440" w:type="dxa"/>
            <w:vAlign w:val="bottom"/>
            <w:tcBorders>
              <w:right w:val="single" w:sz="8" w:color="E8EAEB"/>
            </w:tcBorders>
            <w:gridSpan w:val="2"/>
          </w:tcPr>
          <w:p>
            <w:pPr>
              <w:ind w:left="80"/>
              <w:spacing w:after="0"/>
              <w:rPr>
                <w:sz w:val="20"/>
                <w:szCs w:val="20"/>
                <w:color w:val="auto"/>
              </w:rPr>
            </w:pPr>
            <w:r>
              <w:rPr>
                <w:rFonts w:ascii="Arial" w:cs="Arial" w:eastAsia="Arial" w:hAnsi="Arial"/>
                <w:sz w:val="16"/>
                <w:szCs w:val="16"/>
                <w:color w:val="202E39"/>
              </w:rPr>
              <w:t>Kevin Harkenrider</w:t>
            </w:r>
          </w:p>
        </w:tc>
        <w:tc>
          <w:tcPr>
            <w:tcW w:w="182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17,500</w:t>
            </w:r>
          </w:p>
        </w:tc>
        <w:tc>
          <w:tcPr>
            <w:tcW w:w="162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365,435</w:t>
            </w:r>
          </w:p>
        </w:tc>
        <w:tc>
          <w:tcPr>
            <w:tcW w:w="220" w:type="dxa"/>
            <w:vAlign w:val="bottom"/>
            <w:tcBorders>
              <w:right w:val="single" w:sz="8" w:color="E8EAEB"/>
            </w:tcBorders>
          </w:tcPr>
          <w:p>
            <w:pPr>
              <w:spacing w:after="0"/>
              <w:rPr>
                <w:sz w:val="16"/>
                <w:szCs w:val="16"/>
                <w:color w:val="auto"/>
              </w:rPr>
            </w:pPr>
          </w:p>
        </w:tc>
        <w:tc>
          <w:tcPr>
            <w:tcW w:w="2020" w:type="dxa"/>
            <w:vAlign w:val="bottom"/>
            <w:tcBorders>
              <w:right w:val="single" w:sz="8" w:color="E8EAEB"/>
            </w:tcBorders>
          </w:tcPr>
          <w:p>
            <w:pPr>
              <w:jc w:val="right"/>
              <w:ind w:right="243"/>
              <w:spacing w:after="0"/>
              <w:rPr>
                <w:sz w:val="20"/>
                <w:szCs w:val="20"/>
                <w:color w:val="auto"/>
              </w:rPr>
            </w:pPr>
            <w:r>
              <w:rPr>
                <w:rFonts w:ascii="Arial" w:cs="Arial" w:eastAsia="Arial" w:hAnsi="Arial"/>
                <w:sz w:val="16"/>
                <w:szCs w:val="16"/>
                <w:color w:val="202E39"/>
              </w:rPr>
              <w:t>8,667(2)</w:t>
            </w:r>
          </w:p>
        </w:tc>
        <w:tc>
          <w:tcPr>
            <w:tcW w:w="1900" w:type="dxa"/>
            <w:vAlign w:val="bottom"/>
          </w:tcPr>
          <w:p>
            <w:pPr>
              <w:jc w:val="right"/>
              <w:ind w:right="102"/>
              <w:spacing w:after="0"/>
              <w:rPr>
                <w:sz w:val="20"/>
                <w:szCs w:val="20"/>
                <w:color w:val="auto"/>
              </w:rPr>
            </w:pPr>
            <w:r>
              <w:rPr>
                <w:rFonts w:ascii="Arial" w:cs="Arial" w:eastAsia="Arial" w:hAnsi="Arial"/>
                <w:sz w:val="16"/>
                <w:szCs w:val="16"/>
                <w:color w:val="202E39"/>
              </w:rPr>
              <w:t>635,233(2)</w:t>
            </w:r>
          </w:p>
        </w:tc>
      </w:tr>
      <w:tr>
        <w:trPr>
          <w:trHeight w:val="60"/>
        </w:trPr>
        <w:tc>
          <w:tcPr>
            <w:tcW w:w="3400" w:type="dxa"/>
            <w:vAlign w:val="bottom"/>
            <w:tcBorders>
              <w:bottom w:val="single" w:sz="8" w:color="E8EAEB"/>
            </w:tcBorders>
          </w:tcPr>
          <w:p>
            <w:pPr>
              <w:spacing w:after="0"/>
              <w:rPr>
                <w:sz w:val="5"/>
                <w:szCs w:val="5"/>
                <w:color w:val="auto"/>
              </w:rPr>
            </w:pPr>
          </w:p>
        </w:tc>
        <w:tc>
          <w:tcPr>
            <w:tcW w:w="40" w:type="dxa"/>
            <w:vAlign w:val="bottom"/>
            <w:tcBorders>
              <w:bottom w:val="single" w:sz="8" w:color="E8EAEB"/>
              <w:right w:val="single" w:sz="8" w:color="E8EAEB"/>
            </w:tcBorders>
          </w:tcPr>
          <w:p>
            <w:pPr>
              <w:spacing w:after="0"/>
              <w:rPr>
                <w:sz w:val="5"/>
                <w:szCs w:val="5"/>
                <w:color w:val="auto"/>
              </w:rPr>
            </w:pPr>
          </w:p>
        </w:tc>
        <w:tc>
          <w:tcPr>
            <w:tcW w:w="1820" w:type="dxa"/>
            <w:vAlign w:val="bottom"/>
            <w:tcBorders>
              <w:bottom w:val="single" w:sz="8" w:color="E8EAEB"/>
              <w:right w:val="single" w:sz="8" w:color="E8EAEB"/>
            </w:tcBorders>
          </w:tcPr>
          <w:p>
            <w:pPr>
              <w:spacing w:after="0"/>
              <w:rPr>
                <w:sz w:val="5"/>
                <w:szCs w:val="5"/>
                <w:color w:val="auto"/>
              </w:rPr>
            </w:pPr>
          </w:p>
        </w:tc>
        <w:tc>
          <w:tcPr>
            <w:tcW w:w="1620" w:type="dxa"/>
            <w:vAlign w:val="bottom"/>
            <w:tcBorders>
              <w:bottom w:val="single" w:sz="8" w:color="E8EAEB"/>
              <w:right w:val="single" w:sz="8" w:color="E8EAEB"/>
            </w:tcBorders>
          </w:tcPr>
          <w:p>
            <w:pPr>
              <w:spacing w:after="0"/>
              <w:rPr>
                <w:sz w:val="5"/>
                <w:szCs w:val="5"/>
                <w:color w:val="auto"/>
              </w:rPr>
            </w:pPr>
          </w:p>
        </w:tc>
        <w:tc>
          <w:tcPr>
            <w:tcW w:w="220" w:type="dxa"/>
            <w:vAlign w:val="bottom"/>
            <w:tcBorders>
              <w:bottom w:val="single" w:sz="8" w:color="E8EAEB"/>
              <w:right w:val="single" w:sz="8" w:color="E8EAEB"/>
            </w:tcBorders>
          </w:tcPr>
          <w:p>
            <w:pPr>
              <w:spacing w:after="0"/>
              <w:rPr>
                <w:sz w:val="5"/>
                <w:szCs w:val="5"/>
                <w:color w:val="auto"/>
              </w:rPr>
            </w:pPr>
          </w:p>
        </w:tc>
        <w:tc>
          <w:tcPr>
            <w:tcW w:w="202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3440" w:type="dxa"/>
            <w:vAlign w:val="bottom"/>
            <w:tcBorders>
              <w:right w:val="single" w:sz="8" w:color="E8EAEB"/>
            </w:tcBorders>
            <w:gridSpan w:val="2"/>
          </w:tcPr>
          <w:p>
            <w:pPr>
              <w:ind w:left="80"/>
              <w:spacing w:after="0"/>
              <w:rPr>
                <w:sz w:val="20"/>
                <w:szCs w:val="20"/>
                <w:color w:val="auto"/>
              </w:rPr>
            </w:pPr>
            <w:r>
              <w:rPr>
                <w:rFonts w:ascii="Arial" w:cs="Arial" w:eastAsia="Arial" w:hAnsi="Arial"/>
                <w:sz w:val="16"/>
                <w:szCs w:val="16"/>
                <w:color w:val="202E39"/>
              </w:rPr>
              <w:t>Ken Peterman</w:t>
            </w:r>
          </w:p>
        </w:tc>
        <w:tc>
          <w:tcPr>
            <w:tcW w:w="1820" w:type="dxa"/>
            <w:vAlign w:val="bottom"/>
            <w:tcBorders>
              <w:right w:val="single" w:sz="8" w:color="E8EAEB"/>
            </w:tcBorders>
          </w:tcPr>
          <w:p>
            <w:pPr>
              <w:jc w:val="right"/>
              <w:ind w:right="123"/>
              <w:spacing w:after="0"/>
              <w:rPr>
                <w:sz w:val="20"/>
                <w:szCs w:val="20"/>
                <w:color w:val="auto"/>
              </w:rPr>
            </w:pPr>
            <w:r>
              <w:rPr>
                <w:rFonts w:ascii="Arial" w:cs="Arial" w:eastAsia="Arial" w:hAnsi="Arial"/>
                <w:sz w:val="16"/>
                <w:szCs w:val="16"/>
                <w:color w:val="202E39"/>
              </w:rPr>
              <w:t>47,625</w:t>
            </w:r>
          </w:p>
        </w:tc>
        <w:tc>
          <w:tcPr>
            <w:tcW w:w="1620" w:type="dxa"/>
            <w:vAlign w:val="bottom"/>
            <w:tcBorders>
              <w:right w:val="single" w:sz="8" w:color="E8EAEB"/>
            </w:tcBorders>
          </w:tcPr>
          <w:p>
            <w:pPr>
              <w:jc w:val="right"/>
              <w:ind w:right="122"/>
              <w:spacing w:after="0"/>
              <w:rPr>
                <w:sz w:val="20"/>
                <w:szCs w:val="20"/>
                <w:color w:val="auto"/>
              </w:rPr>
            </w:pPr>
            <w:r>
              <w:rPr>
                <w:rFonts w:ascii="Arial" w:cs="Arial" w:eastAsia="Arial" w:hAnsi="Arial"/>
                <w:sz w:val="16"/>
                <w:szCs w:val="16"/>
                <w:color w:val="202E39"/>
              </w:rPr>
              <w:t>618,747</w:t>
            </w:r>
          </w:p>
        </w:tc>
        <w:tc>
          <w:tcPr>
            <w:tcW w:w="220" w:type="dxa"/>
            <w:vAlign w:val="bottom"/>
            <w:tcBorders>
              <w:right w:val="single" w:sz="8" w:color="E8EAEB"/>
            </w:tcBorders>
          </w:tcPr>
          <w:p>
            <w:pPr>
              <w:spacing w:after="0"/>
              <w:rPr>
                <w:sz w:val="17"/>
                <w:szCs w:val="17"/>
                <w:color w:val="auto"/>
              </w:rPr>
            </w:pPr>
          </w:p>
        </w:tc>
        <w:tc>
          <w:tcPr>
            <w:tcW w:w="2020" w:type="dxa"/>
            <w:vAlign w:val="bottom"/>
            <w:tcBorders>
              <w:right w:val="single" w:sz="8" w:color="E8EAEB"/>
            </w:tcBorders>
          </w:tcPr>
          <w:p>
            <w:pPr>
              <w:jc w:val="right"/>
              <w:ind w:right="443"/>
              <w:spacing w:after="0"/>
              <w:rPr>
                <w:sz w:val="20"/>
                <w:szCs w:val="20"/>
                <w:color w:val="auto"/>
              </w:rPr>
            </w:pPr>
            <w:r>
              <w:rPr>
                <w:rFonts w:ascii="Arial" w:cs="Arial" w:eastAsia="Arial" w:hAnsi="Arial"/>
                <w:sz w:val="16"/>
                <w:szCs w:val="16"/>
                <w:color w:val="202E39"/>
              </w:rPr>
              <w:t>9,292</w:t>
            </w:r>
          </w:p>
        </w:tc>
        <w:tc>
          <w:tcPr>
            <w:tcW w:w="1900" w:type="dxa"/>
            <w:vAlign w:val="bottom"/>
          </w:tcPr>
          <w:p>
            <w:pPr>
              <w:jc w:val="right"/>
              <w:ind w:right="302"/>
              <w:spacing w:after="0"/>
              <w:rPr>
                <w:sz w:val="20"/>
                <w:szCs w:val="20"/>
                <w:color w:val="auto"/>
              </w:rPr>
            </w:pPr>
            <w:r>
              <w:rPr>
                <w:rFonts w:ascii="Arial" w:cs="Arial" w:eastAsia="Arial" w:hAnsi="Arial"/>
                <w:sz w:val="16"/>
                <w:szCs w:val="16"/>
                <w:color w:val="202E39"/>
              </w:rPr>
              <w:t>681,483</w:t>
            </w:r>
          </w:p>
        </w:tc>
      </w:tr>
      <w:tr>
        <w:trPr>
          <w:trHeight w:val="60"/>
        </w:trPr>
        <w:tc>
          <w:tcPr>
            <w:tcW w:w="3400" w:type="dxa"/>
            <w:vAlign w:val="bottom"/>
            <w:tcBorders>
              <w:bottom w:val="single" w:sz="8" w:color="009FE3"/>
            </w:tcBorders>
          </w:tcPr>
          <w:p>
            <w:pPr>
              <w:spacing w:after="0"/>
              <w:rPr>
                <w:sz w:val="5"/>
                <w:szCs w:val="5"/>
                <w:color w:val="auto"/>
              </w:rPr>
            </w:pPr>
          </w:p>
        </w:tc>
        <w:tc>
          <w:tcPr>
            <w:tcW w:w="40" w:type="dxa"/>
            <w:vAlign w:val="bottom"/>
            <w:tcBorders>
              <w:bottom w:val="single" w:sz="8" w:color="009FE3"/>
              <w:right w:val="single" w:sz="8" w:color="E8EAEB"/>
            </w:tcBorders>
          </w:tcPr>
          <w:p>
            <w:pPr>
              <w:spacing w:after="0"/>
              <w:rPr>
                <w:sz w:val="5"/>
                <w:szCs w:val="5"/>
                <w:color w:val="auto"/>
              </w:rPr>
            </w:pPr>
          </w:p>
        </w:tc>
        <w:tc>
          <w:tcPr>
            <w:tcW w:w="1820" w:type="dxa"/>
            <w:vAlign w:val="bottom"/>
            <w:tcBorders>
              <w:bottom w:val="single" w:sz="8" w:color="009FE3"/>
              <w:right w:val="single" w:sz="8" w:color="E8EAEB"/>
            </w:tcBorders>
          </w:tcPr>
          <w:p>
            <w:pPr>
              <w:spacing w:after="0"/>
              <w:rPr>
                <w:sz w:val="5"/>
                <w:szCs w:val="5"/>
                <w:color w:val="auto"/>
              </w:rPr>
            </w:pPr>
          </w:p>
        </w:tc>
        <w:tc>
          <w:tcPr>
            <w:tcW w:w="1620" w:type="dxa"/>
            <w:vAlign w:val="bottom"/>
            <w:tcBorders>
              <w:bottom w:val="single" w:sz="8" w:color="009FE3"/>
              <w:right w:val="single" w:sz="8" w:color="E8EAEB"/>
            </w:tcBorders>
          </w:tcPr>
          <w:p>
            <w:pPr>
              <w:spacing w:after="0"/>
              <w:rPr>
                <w:sz w:val="5"/>
                <w:szCs w:val="5"/>
                <w:color w:val="auto"/>
              </w:rPr>
            </w:pPr>
          </w:p>
        </w:tc>
        <w:tc>
          <w:tcPr>
            <w:tcW w:w="220" w:type="dxa"/>
            <w:vAlign w:val="bottom"/>
            <w:tcBorders>
              <w:bottom w:val="single" w:sz="8" w:color="009FE3"/>
              <w:right w:val="single" w:sz="8" w:color="E8EAEB"/>
            </w:tcBorders>
          </w:tcPr>
          <w:p>
            <w:pPr>
              <w:spacing w:after="0"/>
              <w:rPr>
                <w:sz w:val="5"/>
                <w:szCs w:val="5"/>
                <w:color w:val="auto"/>
              </w:rPr>
            </w:pPr>
          </w:p>
        </w:tc>
        <w:tc>
          <w:tcPr>
            <w:tcW w:w="2020" w:type="dxa"/>
            <w:vAlign w:val="bottom"/>
            <w:tcBorders>
              <w:bottom w:val="single" w:sz="8" w:color="009FE3"/>
              <w:right w:val="single" w:sz="8" w:color="E8EAEB"/>
            </w:tcBorders>
          </w:tcPr>
          <w:p>
            <w:pPr>
              <w:spacing w:after="0"/>
              <w:rPr>
                <w:sz w:val="5"/>
                <w:szCs w:val="5"/>
                <w:color w:val="auto"/>
              </w:rPr>
            </w:pPr>
          </w:p>
        </w:tc>
        <w:tc>
          <w:tcPr>
            <w:tcW w:w="1900" w:type="dxa"/>
            <w:vAlign w:val="bottom"/>
            <w:tcBorders>
              <w:bottom w:val="single" w:sz="8" w:color="009FE3"/>
            </w:tcBorders>
          </w:tcPr>
          <w:p>
            <w:pPr>
              <w:spacing w:after="0"/>
              <w:rPr>
                <w:sz w:val="5"/>
                <w:szCs w:val="5"/>
                <w:color w:val="auto"/>
              </w:rPr>
            </w:pPr>
          </w:p>
        </w:tc>
      </w:tr>
    </w:tbl>
    <w:p>
      <w:pPr>
        <w:spacing w:after="0" w:line="126" w:lineRule="exact"/>
        <w:rPr>
          <w:sz w:val="20"/>
          <w:szCs w:val="20"/>
          <w:color w:val="auto"/>
        </w:rPr>
      </w:pPr>
    </w:p>
    <w:p>
      <w:pPr>
        <w:ind w:left="540" w:right="100" w:hanging="424"/>
        <w:spacing w:after="0" w:line="249" w:lineRule="auto"/>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w:t>
      </w:r>
    </w:p>
    <w:p>
      <w:pPr>
        <w:spacing w:after="0" w:line="52" w:lineRule="exact"/>
        <w:rPr>
          <w:rFonts w:ascii="Arial" w:cs="Arial" w:eastAsia="Arial" w:hAnsi="Arial"/>
          <w:sz w:val="14"/>
          <w:szCs w:val="14"/>
          <w:color w:val="202E39"/>
        </w:rPr>
      </w:pPr>
    </w:p>
    <w:p>
      <w:pPr>
        <w:ind w:left="540" w:hanging="424"/>
        <w:spacing w:after="0"/>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Mr. Harkenrider deferred 8,667 shares of his restricted stock unit awards that vested in fiscal year 2020. All restricted stock units noted in the table above for</w:t>
      </w:r>
    </w:p>
    <w:p>
      <w:pPr>
        <w:spacing w:after="0" w:line="1" w:lineRule="exact"/>
        <w:rPr>
          <w:rFonts w:ascii="Arial" w:cs="Arial" w:eastAsia="Arial" w:hAnsi="Arial"/>
          <w:sz w:val="14"/>
          <w:szCs w:val="14"/>
          <w:color w:val="202E39"/>
        </w:rPr>
      </w:pPr>
    </w:p>
    <w:p>
      <w:pPr>
        <w:ind w:left="540" w:right="60"/>
        <w:spacing w:after="0" w:line="258" w:lineRule="auto"/>
        <w:rPr>
          <w:rFonts w:ascii="Arial" w:cs="Arial" w:eastAsia="Arial" w:hAnsi="Arial"/>
          <w:sz w:val="14"/>
          <w:szCs w:val="14"/>
          <w:color w:val="202E39"/>
        </w:rPr>
      </w:pPr>
      <w:r>
        <w:rPr>
          <w:rFonts w:ascii="Arial" w:cs="Arial" w:eastAsia="Arial" w:hAnsi="Arial"/>
          <w:sz w:val="14"/>
          <w:szCs w:val="14"/>
          <w:color w:val="202E39"/>
        </w:rPr>
        <w:t>Mr. Harkenrider vested during fiscal year 2020, but the underlying shares for the deferred restricted stock unit awards had not yet been delivered to or acquired by the executive as of the end of fiscal year 2020.</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Pension Benefits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Non-Qualified Deferred Compensation</w:t>
      </w:r>
    </w:p>
    <w:p>
      <w:pPr>
        <w:spacing w:after="0" w:line="14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In accordance with Section 409A of the Code, we allow our executive officers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420" w:type="dxa"/>
            <w:vAlign w:val="bottom"/>
            <w:tcBorders>
              <w:top w:val="single" w:sz="8" w:color="E8EAEB"/>
              <w:right w:val="single" w:sz="8" w:color="E8EAEB"/>
            </w:tcBorders>
          </w:tcPr>
          <w:p>
            <w:pPr>
              <w:spacing w:after="0"/>
              <w:rPr>
                <w:sz w:val="17"/>
                <w:szCs w:val="17"/>
                <w:color w:val="auto"/>
              </w:rPr>
            </w:pPr>
          </w:p>
        </w:tc>
        <w:tc>
          <w:tcPr>
            <w:tcW w:w="1460" w:type="dxa"/>
            <w:vAlign w:val="bottom"/>
            <w:tcBorders>
              <w:top w:val="single" w:sz="8" w:color="E8EAEB"/>
              <w:right w:val="single" w:sz="8" w:color="E8EAEB"/>
            </w:tcBorders>
          </w:tcPr>
          <w:p>
            <w:pPr>
              <w:jc w:val="right"/>
              <w:ind w:right="344"/>
              <w:spacing w:after="0"/>
              <w:rPr>
                <w:sz w:val="20"/>
                <w:szCs w:val="20"/>
                <w:color w:val="auto"/>
              </w:rPr>
            </w:pPr>
            <w:r>
              <w:rPr>
                <w:rFonts w:ascii="Arial" w:cs="Arial" w:eastAsia="Arial" w:hAnsi="Arial"/>
                <w:sz w:val="14"/>
                <w:szCs w:val="14"/>
                <w:b w:val="1"/>
                <w:bCs w:val="1"/>
                <w:color w:val="009FE3"/>
              </w:rPr>
              <w:t>Executive</w:t>
            </w: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Registrant</w:t>
            </w:r>
          </w:p>
        </w:tc>
        <w:tc>
          <w:tcPr>
            <w:tcW w:w="18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480" w:type="dxa"/>
            <w:vAlign w:val="bottom"/>
            <w:tcBorders>
              <w:top w:val="single" w:sz="8" w:color="E8EAEB"/>
              <w:right w:val="single" w:sz="8" w:color="E8EAEB"/>
            </w:tcBorders>
          </w:tcPr>
          <w:p>
            <w:pPr>
              <w:spacing w:after="0"/>
              <w:rPr>
                <w:sz w:val="17"/>
                <w:szCs w:val="17"/>
                <w:color w:val="auto"/>
              </w:rPr>
            </w:pPr>
          </w:p>
        </w:tc>
        <w:tc>
          <w:tcPr>
            <w:tcW w:w="17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r>
      <w:tr>
        <w:trPr>
          <w:trHeight w:val="162"/>
        </w:trPr>
        <w:tc>
          <w:tcPr>
            <w:tcW w:w="3420" w:type="dxa"/>
            <w:vAlign w:val="bottom"/>
            <w:tcBorders>
              <w:right w:val="single" w:sz="8" w:color="E8EAEB"/>
            </w:tcBorders>
          </w:tcPr>
          <w:p>
            <w:pPr>
              <w:spacing w:after="0"/>
              <w:rPr>
                <w:sz w:val="14"/>
                <w:szCs w:val="14"/>
                <w:color w:val="auto"/>
              </w:rPr>
            </w:pPr>
          </w:p>
        </w:tc>
        <w:tc>
          <w:tcPr>
            <w:tcW w:w="1460" w:type="dxa"/>
            <w:vAlign w:val="bottom"/>
            <w:tcBorders>
              <w:right w:val="single" w:sz="8" w:color="E8EAEB"/>
            </w:tcBorders>
          </w:tcPr>
          <w:p>
            <w:pPr>
              <w:jc w:val="right"/>
              <w:ind w:right="204"/>
              <w:spacing w:after="0"/>
              <w:rPr>
                <w:sz w:val="20"/>
                <w:szCs w:val="20"/>
                <w:color w:val="auto"/>
              </w:rPr>
            </w:pPr>
            <w:r>
              <w:rPr>
                <w:rFonts w:ascii="Arial" w:cs="Arial" w:eastAsia="Arial" w:hAnsi="Arial"/>
                <w:sz w:val="14"/>
                <w:szCs w:val="14"/>
                <w:b w:val="1"/>
                <w:bCs w:val="1"/>
                <w:color w:val="009FE3"/>
              </w:rPr>
              <w:t>Contributions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1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 (Losses)</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9FE3"/>
              </w:rPr>
              <w:t>Balance at</w:t>
            </w:r>
          </w:p>
        </w:tc>
      </w:tr>
      <w:tr>
        <w:trPr>
          <w:trHeight w:val="162"/>
        </w:trPr>
        <w:tc>
          <w:tcPr>
            <w:tcW w:w="3420" w:type="dxa"/>
            <w:vAlign w:val="bottom"/>
            <w:tcBorders>
              <w:right w:val="single" w:sz="8" w:color="E8EAEB"/>
            </w:tcBorders>
          </w:tcPr>
          <w:p>
            <w:pPr>
              <w:spacing w:after="0"/>
              <w:rPr>
                <w:sz w:val="14"/>
                <w:szCs w:val="14"/>
                <w:color w:val="auto"/>
              </w:rPr>
            </w:pPr>
          </w:p>
        </w:tc>
        <w:tc>
          <w:tcPr>
            <w:tcW w:w="1460" w:type="dxa"/>
            <w:vAlign w:val="bottom"/>
            <w:tcBorders>
              <w:right w:val="single" w:sz="8" w:color="E8EAEB"/>
            </w:tcBorders>
          </w:tcPr>
          <w:p>
            <w:pPr>
              <w:jc w:val="right"/>
              <w:ind w:right="204"/>
              <w:spacing w:after="0"/>
              <w:rPr>
                <w:sz w:val="20"/>
                <w:szCs w:val="20"/>
                <w:color w:val="auto"/>
              </w:rPr>
            </w:pPr>
            <w:r>
              <w:rPr>
                <w:rFonts w:ascii="Arial" w:cs="Arial" w:eastAsia="Arial" w:hAnsi="Arial"/>
                <w:sz w:val="14"/>
                <w:szCs w:val="14"/>
                <w:b w:val="1"/>
                <w:bCs w:val="1"/>
                <w:color w:val="009FE3"/>
              </w:rPr>
              <w:t>in Fiscal Year</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18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Withdrawals /</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9FE3"/>
              </w:rPr>
              <w:t>2020 Fiscal</w:t>
            </w:r>
          </w:p>
        </w:tc>
      </w:tr>
      <w:tr>
        <w:trPr>
          <w:trHeight w:val="162"/>
        </w:trPr>
        <w:tc>
          <w:tcPr>
            <w:tcW w:w="3420" w:type="dxa"/>
            <w:vAlign w:val="bottom"/>
            <w:tcBorders>
              <w:right w:val="single" w:sz="8" w:color="E8EAEB"/>
            </w:tcBorders>
          </w:tcPr>
          <w:p>
            <w:pPr>
              <w:spacing w:after="0"/>
              <w:rPr>
                <w:sz w:val="14"/>
                <w:szCs w:val="14"/>
                <w:color w:val="auto"/>
              </w:rPr>
            </w:pPr>
          </w:p>
        </w:tc>
        <w:tc>
          <w:tcPr>
            <w:tcW w:w="1460" w:type="dxa"/>
            <w:vAlign w:val="bottom"/>
            <w:tcBorders>
              <w:right w:val="single" w:sz="8" w:color="E8EAEB"/>
            </w:tcBorders>
          </w:tcPr>
          <w:p>
            <w:pPr>
              <w:jc w:val="right"/>
              <w:ind w:right="504"/>
              <w:spacing w:after="0"/>
              <w:rPr>
                <w:sz w:val="20"/>
                <w:szCs w:val="20"/>
                <w:color w:val="auto"/>
              </w:rPr>
            </w:pPr>
            <w:r>
              <w:rPr>
                <w:rFonts w:ascii="Arial" w:cs="Arial" w:eastAsia="Arial" w:hAnsi="Arial"/>
                <w:sz w:val="14"/>
                <w:szCs w:val="14"/>
                <w:b w:val="1"/>
                <w:bCs w:val="1"/>
                <w:color w:val="009FE3"/>
              </w:rPr>
              <w:t>2020</w:t>
            </w:r>
          </w:p>
        </w:tc>
        <w:tc>
          <w:tcPr>
            <w:tcW w:w="1060" w:type="dxa"/>
            <w:vAlign w:val="bottom"/>
            <w:tcBorders>
              <w:right w:val="single" w:sz="8" w:color="E8EAEB"/>
            </w:tcBorders>
          </w:tcPr>
          <w:p>
            <w:pPr>
              <w:jc w:val="right"/>
              <w:ind w:right="304"/>
              <w:spacing w:after="0"/>
              <w:rPr>
                <w:sz w:val="20"/>
                <w:szCs w:val="20"/>
                <w:color w:val="auto"/>
              </w:rPr>
            </w:pPr>
            <w:r>
              <w:rPr>
                <w:rFonts w:ascii="Arial" w:cs="Arial" w:eastAsia="Arial" w:hAnsi="Arial"/>
                <w:sz w:val="14"/>
                <w:szCs w:val="14"/>
                <w:b w:val="1"/>
                <w:bCs w:val="1"/>
                <w:color w:val="009FE3"/>
              </w:rPr>
              <w:t>2020</w:t>
            </w:r>
          </w:p>
        </w:tc>
        <w:tc>
          <w:tcPr>
            <w:tcW w:w="1860" w:type="dxa"/>
            <w:vAlign w:val="bottom"/>
            <w:tcBorders>
              <w:right w:val="single" w:sz="8" w:color="E8EAEB"/>
            </w:tcBorders>
          </w:tcPr>
          <w:p>
            <w:pPr>
              <w:jc w:val="right"/>
              <w:ind w:right="704"/>
              <w:spacing w:after="0"/>
              <w:rPr>
                <w:sz w:val="20"/>
                <w:szCs w:val="20"/>
                <w:color w:val="auto"/>
              </w:rPr>
            </w:pPr>
            <w:r>
              <w:rPr>
                <w:rFonts w:ascii="Arial" w:cs="Arial" w:eastAsia="Arial" w:hAnsi="Arial"/>
                <w:sz w:val="14"/>
                <w:szCs w:val="14"/>
                <w:b w:val="1"/>
                <w:bCs w:val="1"/>
                <w:color w:val="009FE3"/>
              </w:rPr>
              <w:t>2020</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Distributions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9FE3"/>
                <w:w w:val="98"/>
              </w:rPr>
              <w:t>Year End</w:t>
            </w:r>
          </w:p>
        </w:tc>
      </w:tr>
      <w:tr>
        <w:trPr>
          <w:trHeight w:val="196"/>
        </w:trPr>
        <w:tc>
          <w:tcPr>
            <w:tcW w:w="34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460" w:type="dxa"/>
            <w:vAlign w:val="bottom"/>
            <w:tcBorders>
              <w:bottom w:val="single" w:sz="8" w:color="009FE3"/>
              <w:right w:val="single" w:sz="8" w:color="E8EAEB"/>
            </w:tcBorders>
          </w:tcPr>
          <w:p>
            <w:pPr>
              <w:jc w:val="right"/>
              <w:ind w:right="504"/>
              <w:spacing w:after="0"/>
              <w:rPr>
                <w:sz w:val="20"/>
                <w:szCs w:val="20"/>
                <w:color w:val="auto"/>
              </w:rPr>
            </w:pPr>
            <w:r>
              <w:rPr>
                <w:rFonts w:ascii="Arial" w:cs="Arial" w:eastAsia="Arial" w:hAnsi="Arial"/>
                <w:sz w:val="14"/>
                <w:szCs w:val="14"/>
                <w:b w:val="1"/>
                <w:bCs w:val="1"/>
                <w:color w:val="009FE3"/>
              </w:rPr>
              <w:t>($)(1)</w:t>
            </w:r>
          </w:p>
        </w:tc>
        <w:tc>
          <w:tcPr>
            <w:tcW w:w="1060" w:type="dxa"/>
            <w:vAlign w:val="bottom"/>
            <w:tcBorders>
              <w:bottom w:val="single" w:sz="8" w:color="009FE3"/>
              <w:right w:val="single" w:sz="8" w:color="E8EAEB"/>
            </w:tcBorders>
          </w:tcPr>
          <w:p>
            <w:pPr>
              <w:jc w:val="right"/>
              <w:ind w:right="384"/>
              <w:spacing w:after="0"/>
              <w:rPr>
                <w:sz w:val="20"/>
                <w:szCs w:val="20"/>
                <w:color w:val="auto"/>
              </w:rPr>
            </w:pPr>
            <w:r>
              <w:rPr>
                <w:rFonts w:ascii="Arial" w:cs="Arial" w:eastAsia="Arial" w:hAnsi="Arial"/>
                <w:sz w:val="14"/>
                <w:szCs w:val="14"/>
                <w:b w:val="1"/>
                <w:bCs w:val="1"/>
                <w:color w:val="009FE3"/>
              </w:rPr>
              <w:t>($)</w:t>
            </w:r>
          </w:p>
        </w:tc>
        <w:tc>
          <w:tcPr>
            <w:tcW w:w="1860" w:type="dxa"/>
            <w:vAlign w:val="bottom"/>
            <w:tcBorders>
              <w:bottom w:val="single" w:sz="8" w:color="009FE3"/>
              <w:right w:val="single" w:sz="8" w:color="E8EAEB"/>
            </w:tcBorders>
          </w:tcPr>
          <w:p>
            <w:pPr>
              <w:jc w:val="right"/>
              <w:ind w:right="704"/>
              <w:spacing w:after="0"/>
              <w:rPr>
                <w:sz w:val="20"/>
                <w:szCs w:val="20"/>
                <w:color w:val="auto"/>
              </w:rPr>
            </w:pPr>
            <w:r>
              <w:rPr>
                <w:rFonts w:ascii="Arial" w:cs="Arial" w:eastAsia="Arial" w:hAnsi="Arial"/>
                <w:sz w:val="14"/>
                <w:szCs w:val="14"/>
                <w:b w:val="1"/>
                <w:bCs w:val="1"/>
                <w:color w:val="009FE3"/>
              </w:rPr>
              <w:t>($)(2)</w:t>
            </w:r>
          </w:p>
        </w:tc>
        <w:tc>
          <w:tcPr>
            <w:tcW w:w="14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($)(3)</w:t>
            </w:r>
          </w:p>
        </w:tc>
        <w:tc>
          <w:tcPr>
            <w:tcW w:w="17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($)(4)</w:t>
            </w:r>
          </w:p>
        </w:tc>
      </w:tr>
      <w:tr>
        <w:trPr>
          <w:trHeight w:val="253"/>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6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w:t>
            </w:r>
          </w:p>
        </w:tc>
        <w:tc>
          <w:tcPr>
            <w:tcW w:w="106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6"/>
                <w:szCs w:val="16"/>
                <w:color w:val="202E39"/>
              </w:rPr>
              <w:t>—</w:t>
            </w:r>
          </w:p>
        </w:tc>
        <w:tc>
          <w:tcPr>
            <w:tcW w:w="1860" w:type="dxa"/>
            <w:vAlign w:val="bottom"/>
            <w:tcBorders>
              <w:bottom w:val="single" w:sz="8" w:color="E8EAEB"/>
              <w:right w:val="single" w:sz="8" w:color="E8EAEB"/>
            </w:tcBorders>
          </w:tcPr>
          <w:p>
            <w:pPr>
              <w:ind w:left="1400"/>
              <w:spacing w:after="0"/>
              <w:rPr>
                <w:sz w:val="20"/>
                <w:szCs w:val="20"/>
                <w:color w:val="auto"/>
              </w:rPr>
            </w:pPr>
            <w:r>
              <w:rPr>
                <w:rFonts w:ascii="Arial" w:cs="Arial" w:eastAsia="Arial" w:hAnsi="Arial"/>
                <w:sz w:val="16"/>
                <w:szCs w:val="16"/>
                <w:color w:val="202E39"/>
              </w:rPr>
              <w:t>—</w:t>
            </w:r>
          </w:p>
        </w:tc>
        <w:tc>
          <w:tcPr>
            <w:tcW w:w="1480" w:type="dxa"/>
            <w:vAlign w:val="bottom"/>
            <w:tcBorders>
              <w:bottom w:val="single" w:sz="8" w:color="E8EAEB"/>
              <w:right w:val="single" w:sz="8" w:color="E8EAEB"/>
            </w:tcBorders>
          </w:tcPr>
          <w:p>
            <w:pPr>
              <w:ind w:left="1020"/>
              <w:spacing w:after="0"/>
              <w:rPr>
                <w:sz w:val="20"/>
                <w:szCs w:val="20"/>
                <w:color w:val="auto"/>
              </w:rPr>
            </w:pPr>
            <w:r>
              <w:rPr>
                <w:rFonts w:ascii="Arial" w:cs="Arial" w:eastAsia="Arial" w:hAnsi="Arial"/>
                <w:sz w:val="16"/>
                <w:szCs w:val="16"/>
                <w:color w:val="202E39"/>
              </w:rPr>
              <w:t>—</w:t>
            </w:r>
          </w:p>
        </w:tc>
        <w:tc>
          <w:tcPr>
            <w:tcW w:w="1740" w:type="dxa"/>
            <w:vAlign w:val="bottom"/>
            <w:tcBorders>
              <w:bottom w:val="single" w:sz="8" w:color="E8EAEB"/>
            </w:tcBorders>
          </w:tcPr>
          <w:p>
            <w:pPr>
              <w:ind w:left="1300"/>
              <w:spacing w:after="0"/>
              <w:rPr>
                <w:sz w:val="20"/>
                <w:szCs w:val="20"/>
                <w:color w:val="auto"/>
              </w:rPr>
            </w:pPr>
            <w:r>
              <w:rPr>
                <w:rFonts w:ascii="Arial" w:cs="Arial" w:eastAsia="Arial" w:hAnsi="Arial"/>
                <w:sz w:val="16"/>
                <w:szCs w:val="16"/>
                <w:color w:val="202E39"/>
              </w:rPr>
              <w:t>—</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6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w:t>
            </w:r>
          </w:p>
        </w:tc>
        <w:tc>
          <w:tcPr>
            <w:tcW w:w="106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6"/>
                <w:szCs w:val="16"/>
                <w:color w:val="202E39"/>
              </w:rPr>
              <w:t>—</w:t>
            </w:r>
          </w:p>
        </w:tc>
        <w:tc>
          <w:tcPr>
            <w:tcW w:w="1860" w:type="dxa"/>
            <w:vAlign w:val="bottom"/>
            <w:tcBorders>
              <w:bottom w:val="single" w:sz="8" w:color="E8EAEB"/>
              <w:right w:val="single" w:sz="8" w:color="E8EAEB"/>
            </w:tcBorders>
          </w:tcPr>
          <w:p>
            <w:pPr>
              <w:ind w:left="1400"/>
              <w:spacing w:after="0"/>
              <w:rPr>
                <w:sz w:val="20"/>
                <w:szCs w:val="20"/>
                <w:color w:val="auto"/>
              </w:rPr>
            </w:pPr>
            <w:r>
              <w:rPr>
                <w:rFonts w:ascii="Arial" w:cs="Arial" w:eastAsia="Arial" w:hAnsi="Arial"/>
                <w:sz w:val="16"/>
                <w:szCs w:val="16"/>
                <w:color w:val="202E39"/>
              </w:rPr>
              <w:t>—</w:t>
            </w:r>
          </w:p>
        </w:tc>
        <w:tc>
          <w:tcPr>
            <w:tcW w:w="1480" w:type="dxa"/>
            <w:vAlign w:val="bottom"/>
            <w:tcBorders>
              <w:bottom w:val="single" w:sz="8" w:color="E8EAEB"/>
              <w:right w:val="single" w:sz="8" w:color="E8EAEB"/>
            </w:tcBorders>
          </w:tcPr>
          <w:p>
            <w:pPr>
              <w:ind w:left="1020"/>
              <w:spacing w:after="0"/>
              <w:rPr>
                <w:sz w:val="20"/>
                <w:szCs w:val="20"/>
                <w:color w:val="auto"/>
              </w:rPr>
            </w:pPr>
            <w:r>
              <w:rPr>
                <w:rFonts w:ascii="Arial" w:cs="Arial" w:eastAsia="Arial" w:hAnsi="Arial"/>
                <w:sz w:val="16"/>
                <w:szCs w:val="16"/>
                <w:color w:val="202E39"/>
              </w:rPr>
              <w:t>—</w:t>
            </w:r>
          </w:p>
        </w:tc>
        <w:tc>
          <w:tcPr>
            <w:tcW w:w="1740" w:type="dxa"/>
            <w:vAlign w:val="bottom"/>
            <w:tcBorders>
              <w:bottom w:val="single" w:sz="8" w:color="E8EAEB"/>
            </w:tcBorders>
          </w:tcPr>
          <w:p>
            <w:pPr>
              <w:ind w:left="1300"/>
              <w:spacing w:after="0"/>
              <w:rPr>
                <w:sz w:val="20"/>
                <w:szCs w:val="20"/>
                <w:color w:val="auto"/>
              </w:rPr>
            </w:pPr>
            <w:r>
              <w:rPr>
                <w:rFonts w:ascii="Arial" w:cs="Arial" w:eastAsia="Arial" w:hAnsi="Arial"/>
                <w:sz w:val="16"/>
                <w:szCs w:val="16"/>
                <w:color w:val="202E39"/>
              </w:rPr>
              <w:t>—</w:t>
            </w:r>
          </w:p>
        </w:tc>
      </w:tr>
      <w:tr>
        <w:trPr>
          <w:trHeight w:val="250"/>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60" w:type="dxa"/>
            <w:vAlign w:val="bottom"/>
            <w:tcBorders>
              <w:bottom w:val="single" w:sz="8" w:color="E8EAEB"/>
              <w:right w:val="single" w:sz="8" w:color="E8EAEB"/>
            </w:tcBorders>
          </w:tcPr>
          <w:p>
            <w:pPr>
              <w:jc w:val="right"/>
              <w:ind w:right="204"/>
              <w:spacing w:after="0"/>
              <w:rPr>
                <w:sz w:val="20"/>
                <w:szCs w:val="20"/>
                <w:color w:val="auto"/>
              </w:rPr>
            </w:pPr>
            <w:r>
              <w:rPr>
                <w:rFonts w:ascii="Arial" w:cs="Arial" w:eastAsia="Arial" w:hAnsi="Arial"/>
                <w:sz w:val="16"/>
                <w:szCs w:val="16"/>
                <w:color w:val="202E39"/>
              </w:rPr>
              <w:t>—</w:t>
            </w:r>
          </w:p>
        </w:tc>
        <w:tc>
          <w:tcPr>
            <w:tcW w:w="106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6"/>
                <w:szCs w:val="16"/>
                <w:color w:val="202E39"/>
              </w:rPr>
              <w:t>—</w:t>
            </w:r>
          </w:p>
        </w:tc>
        <w:tc>
          <w:tcPr>
            <w:tcW w:w="1860" w:type="dxa"/>
            <w:vAlign w:val="bottom"/>
            <w:tcBorders>
              <w:bottom w:val="single" w:sz="8" w:color="E8EAEB"/>
              <w:right w:val="single" w:sz="8" w:color="E8EAEB"/>
            </w:tcBorders>
          </w:tcPr>
          <w:p>
            <w:pPr>
              <w:ind w:left="1400"/>
              <w:spacing w:after="0"/>
              <w:rPr>
                <w:sz w:val="20"/>
                <w:szCs w:val="20"/>
                <w:color w:val="auto"/>
              </w:rPr>
            </w:pPr>
            <w:r>
              <w:rPr>
                <w:rFonts w:ascii="Arial" w:cs="Arial" w:eastAsia="Arial" w:hAnsi="Arial"/>
                <w:sz w:val="16"/>
                <w:szCs w:val="16"/>
                <w:color w:val="202E39"/>
              </w:rPr>
              <w:t>—</w:t>
            </w:r>
          </w:p>
        </w:tc>
        <w:tc>
          <w:tcPr>
            <w:tcW w:w="1480" w:type="dxa"/>
            <w:vAlign w:val="bottom"/>
            <w:tcBorders>
              <w:bottom w:val="single" w:sz="8" w:color="E8EAEB"/>
              <w:right w:val="single" w:sz="8" w:color="E8EAEB"/>
            </w:tcBorders>
          </w:tcPr>
          <w:p>
            <w:pPr>
              <w:ind w:left="1020"/>
              <w:spacing w:after="0"/>
              <w:rPr>
                <w:sz w:val="20"/>
                <w:szCs w:val="20"/>
                <w:color w:val="auto"/>
              </w:rPr>
            </w:pPr>
            <w:r>
              <w:rPr>
                <w:rFonts w:ascii="Arial" w:cs="Arial" w:eastAsia="Arial" w:hAnsi="Arial"/>
                <w:sz w:val="16"/>
                <w:szCs w:val="16"/>
                <w:color w:val="202E39"/>
              </w:rPr>
              <w:t>—</w:t>
            </w:r>
          </w:p>
        </w:tc>
        <w:tc>
          <w:tcPr>
            <w:tcW w:w="1740" w:type="dxa"/>
            <w:vAlign w:val="bottom"/>
            <w:tcBorders>
              <w:bottom w:val="single" w:sz="8" w:color="E8EAEB"/>
            </w:tcBorders>
          </w:tcPr>
          <w:p>
            <w:pPr>
              <w:ind w:left="1300"/>
              <w:spacing w:after="0"/>
              <w:rPr>
                <w:sz w:val="20"/>
                <w:szCs w:val="20"/>
                <w:color w:val="auto"/>
              </w:rPr>
            </w:pPr>
            <w:r>
              <w:rPr>
                <w:rFonts w:ascii="Arial" w:cs="Arial" w:eastAsia="Arial" w:hAnsi="Arial"/>
                <w:sz w:val="16"/>
                <w:szCs w:val="16"/>
                <w:color w:val="202E39"/>
              </w:rPr>
              <w:t>—</w:t>
            </w:r>
          </w:p>
        </w:tc>
      </w:tr>
      <w:tr>
        <w:trPr>
          <w:trHeight w:val="253"/>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 (5)</w:t>
            </w:r>
          </w:p>
        </w:tc>
        <w:tc>
          <w:tcPr>
            <w:tcW w:w="146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635,233</w:t>
            </w:r>
          </w:p>
        </w:tc>
        <w:tc>
          <w:tcPr>
            <w:tcW w:w="106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6"/>
                <w:szCs w:val="16"/>
                <w:color w:val="202E39"/>
              </w:rPr>
              <w:t>—</w:t>
            </w:r>
          </w:p>
        </w:tc>
        <w:tc>
          <w:tcPr>
            <w:tcW w:w="186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(3,377,781)</w:t>
            </w:r>
          </w:p>
        </w:tc>
        <w:tc>
          <w:tcPr>
            <w:tcW w:w="1480" w:type="dxa"/>
            <w:vAlign w:val="bottom"/>
            <w:tcBorders>
              <w:bottom w:val="single" w:sz="8" w:color="E8EAEB"/>
              <w:right w:val="single" w:sz="8" w:color="E8EAEB"/>
            </w:tcBorders>
          </w:tcPr>
          <w:p>
            <w:pPr>
              <w:ind w:left="700"/>
              <w:spacing w:after="0"/>
              <w:rPr>
                <w:sz w:val="20"/>
                <w:szCs w:val="20"/>
                <w:color w:val="auto"/>
              </w:rPr>
            </w:pPr>
            <w:r>
              <w:rPr>
                <w:rFonts w:ascii="Arial" w:cs="Arial" w:eastAsia="Arial" w:hAnsi="Arial"/>
                <w:sz w:val="16"/>
                <w:szCs w:val="16"/>
                <w:color w:val="202E39"/>
              </w:rPr>
              <w:t>242,460</w:t>
            </w:r>
          </w:p>
        </w:tc>
        <w:tc>
          <w:tcPr>
            <w:tcW w:w="1740" w:type="dxa"/>
            <w:vAlign w:val="bottom"/>
            <w:tcBorders>
              <w:bottom w:val="single" w:sz="8" w:color="E8EAEB"/>
            </w:tcBorders>
          </w:tcPr>
          <w:p>
            <w:pPr>
              <w:ind w:left="840"/>
              <w:spacing w:after="0"/>
              <w:rPr>
                <w:sz w:val="20"/>
                <w:szCs w:val="20"/>
                <w:color w:val="auto"/>
              </w:rPr>
            </w:pPr>
            <w:r>
              <w:rPr>
                <w:rFonts w:ascii="Arial" w:cs="Arial" w:eastAsia="Arial" w:hAnsi="Arial"/>
                <w:sz w:val="16"/>
                <w:szCs w:val="16"/>
                <w:color w:val="202E39"/>
              </w:rPr>
              <w:t>2,912,573</w:t>
            </w:r>
          </w:p>
        </w:tc>
      </w:tr>
      <w:tr>
        <w:trPr>
          <w:trHeight w:val="244"/>
        </w:trPr>
        <w:tc>
          <w:tcPr>
            <w:tcW w:w="34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60" w:type="dxa"/>
            <w:vAlign w:val="bottom"/>
            <w:tcBorders>
              <w:bottom w:val="single" w:sz="8" w:color="009FE3"/>
              <w:right w:val="single" w:sz="8" w:color="E8EAEB"/>
            </w:tcBorders>
          </w:tcPr>
          <w:p>
            <w:pPr>
              <w:jc w:val="right"/>
              <w:ind w:right="204"/>
              <w:spacing w:after="0"/>
              <w:rPr>
                <w:sz w:val="20"/>
                <w:szCs w:val="20"/>
                <w:color w:val="auto"/>
              </w:rPr>
            </w:pPr>
            <w:r>
              <w:rPr>
                <w:rFonts w:ascii="Arial" w:cs="Arial" w:eastAsia="Arial" w:hAnsi="Arial"/>
                <w:sz w:val="16"/>
                <w:szCs w:val="16"/>
                <w:color w:val="202E39"/>
              </w:rPr>
              <w:t>—</w:t>
            </w:r>
          </w:p>
        </w:tc>
        <w:tc>
          <w:tcPr>
            <w:tcW w:w="1060" w:type="dxa"/>
            <w:vAlign w:val="bottom"/>
            <w:tcBorders>
              <w:bottom w:val="single" w:sz="8" w:color="009FE3"/>
              <w:right w:val="single" w:sz="8" w:color="E8EAEB"/>
            </w:tcBorders>
          </w:tcPr>
          <w:p>
            <w:pPr>
              <w:ind w:left="620"/>
              <w:spacing w:after="0"/>
              <w:rPr>
                <w:sz w:val="20"/>
                <w:szCs w:val="20"/>
                <w:color w:val="auto"/>
              </w:rPr>
            </w:pPr>
            <w:r>
              <w:rPr>
                <w:rFonts w:ascii="Arial" w:cs="Arial" w:eastAsia="Arial" w:hAnsi="Arial"/>
                <w:sz w:val="16"/>
                <w:szCs w:val="16"/>
                <w:color w:val="202E39"/>
              </w:rPr>
              <w:t>—</w:t>
            </w:r>
          </w:p>
        </w:tc>
        <w:tc>
          <w:tcPr>
            <w:tcW w:w="1860" w:type="dxa"/>
            <w:vAlign w:val="bottom"/>
            <w:tcBorders>
              <w:bottom w:val="single" w:sz="8" w:color="009FE3"/>
              <w:right w:val="single" w:sz="8" w:color="E8EAEB"/>
            </w:tcBorders>
          </w:tcPr>
          <w:p>
            <w:pPr>
              <w:ind w:left="1400"/>
              <w:spacing w:after="0"/>
              <w:rPr>
                <w:sz w:val="20"/>
                <w:szCs w:val="20"/>
                <w:color w:val="auto"/>
              </w:rPr>
            </w:pPr>
            <w:r>
              <w:rPr>
                <w:rFonts w:ascii="Arial" w:cs="Arial" w:eastAsia="Arial" w:hAnsi="Arial"/>
                <w:sz w:val="16"/>
                <w:szCs w:val="16"/>
                <w:color w:val="202E39"/>
              </w:rPr>
              <w:t>—</w:t>
            </w:r>
          </w:p>
        </w:tc>
        <w:tc>
          <w:tcPr>
            <w:tcW w:w="1480" w:type="dxa"/>
            <w:vAlign w:val="bottom"/>
            <w:tcBorders>
              <w:bottom w:val="single" w:sz="8" w:color="009FE3"/>
              <w:right w:val="single" w:sz="8" w:color="E8EAEB"/>
            </w:tcBorders>
          </w:tcPr>
          <w:p>
            <w:pPr>
              <w:ind w:left="1020"/>
              <w:spacing w:after="0"/>
              <w:rPr>
                <w:sz w:val="20"/>
                <w:szCs w:val="20"/>
                <w:color w:val="auto"/>
              </w:rPr>
            </w:pPr>
            <w:r>
              <w:rPr>
                <w:rFonts w:ascii="Arial" w:cs="Arial" w:eastAsia="Arial" w:hAnsi="Arial"/>
                <w:sz w:val="16"/>
                <w:szCs w:val="16"/>
                <w:color w:val="202E39"/>
              </w:rPr>
              <w:t>—</w:t>
            </w:r>
          </w:p>
        </w:tc>
        <w:tc>
          <w:tcPr>
            <w:tcW w:w="1740" w:type="dxa"/>
            <w:vAlign w:val="bottom"/>
            <w:tcBorders>
              <w:bottom w:val="single" w:sz="8" w:color="009FE3"/>
            </w:tcBorders>
          </w:tcPr>
          <w:p>
            <w:pPr>
              <w:ind w:left="1300"/>
              <w:spacing w:after="0"/>
              <w:rPr>
                <w:sz w:val="20"/>
                <w:szCs w:val="20"/>
                <w:color w:val="auto"/>
              </w:rPr>
            </w:pPr>
            <w:r>
              <w:rPr>
                <w:rFonts w:ascii="Arial" w:cs="Arial" w:eastAsia="Arial" w:hAnsi="Arial"/>
                <w:sz w:val="16"/>
                <w:szCs w:val="16"/>
                <w:color w:val="202E39"/>
              </w:rPr>
              <w:t>—</w:t>
            </w:r>
          </w:p>
        </w:tc>
      </w:tr>
      <w:tr>
        <w:trPr>
          <w:trHeight w:val="406"/>
        </w:trPr>
        <w:tc>
          <w:tcPr>
            <w:tcW w:w="3420" w:type="dxa"/>
            <w:vAlign w:val="bottom"/>
          </w:tcPr>
          <w:p>
            <w:pPr>
              <w:spacing w:after="0"/>
              <w:rPr>
                <w:sz w:val="20"/>
                <w:szCs w:val="20"/>
                <w:color w:val="auto"/>
              </w:rPr>
            </w:pPr>
            <w:r>
              <w:rPr>
                <w:rFonts w:ascii="Arial" w:cs="Arial" w:eastAsia="Arial" w:hAnsi="Arial"/>
                <w:sz w:val="14"/>
                <w:szCs w:val="14"/>
                <w:b w:val="1"/>
                <w:bCs w:val="1"/>
                <w:color w:val="202E39"/>
              </w:rPr>
              <w:t>48</w:t>
            </w:r>
          </w:p>
        </w:tc>
        <w:tc>
          <w:tcPr>
            <w:tcW w:w="1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-163195</wp:posOffset>
            </wp:positionV>
            <wp:extent cx="42862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Potential Payments Upon Termination</w:t>
      </w:r>
    </w:p>
    <w:p>
      <w:pPr>
        <w:spacing w:after="0" w:line="150" w:lineRule="exact"/>
        <w:rPr>
          <w:sz w:val="20"/>
          <w:szCs w:val="20"/>
          <w:color w:val="auto"/>
        </w:rPr>
      </w:pPr>
    </w:p>
    <w:p>
      <w:pPr>
        <w:ind w:left="540" w:right="80" w:hanging="424"/>
        <w:spacing w:after="0" w:line="249"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The amount reported in this column represents the value of the shares underlying the deferred restricted stock units that vested during fiscal year 2020, calculated based on the market price on the applicable vesting date. The grant date fair value attributable to these restricted stock units was previously reported in the Summary Compensation Table for the fiscal year in which they were granted.</w:t>
      </w:r>
    </w:p>
    <w:p>
      <w:pPr>
        <w:spacing w:after="0" w:line="52" w:lineRule="exact"/>
        <w:rPr>
          <w:rFonts w:ascii="Arial" w:cs="Arial" w:eastAsia="Arial" w:hAnsi="Arial"/>
          <w:sz w:val="14"/>
          <w:szCs w:val="14"/>
          <w:color w:val="202E39"/>
        </w:rPr>
      </w:pPr>
    </w:p>
    <w:p>
      <w:pPr>
        <w:ind w:left="540" w:right="20" w:hanging="424"/>
        <w:spacing w:after="0" w:line="246"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Represents the change in market value of the shares of our common stock underlying the deferred restricted stock units held by the Named Executive Officer as of the last day of fiscal year 2020, calculated as the difference between (a) the closing price of our common stock on the applicable vesting date (for restricted stock units vesting during fiscal year 2020) or the first day of fiscal year 2020 (for restricted stock units that vested during prior fiscal years) and (b) the closing price on March 31, 2020, the last day of fiscal year 2020. No additional earnings (either in the form of accrued dividends or dividend equivalents) are paid on deferred restricted stock units.</w:t>
      </w:r>
    </w:p>
    <w:p>
      <w:pPr>
        <w:spacing w:after="0" w:line="217" w:lineRule="exact"/>
        <w:rPr>
          <w:rFonts w:ascii="Arial" w:cs="Arial" w:eastAsia="Arial" w:hAnsi="Arial"/>
          <w:sz w:val="14"/>
          <w:szCs w:val="14"/>
          <w:color w:val="202E39"/>
        </w:rPr>
      </w:pPr>
    </w:p>
    <w:p>
      <w:pPr>
        <w:ind w:left="540" w:right="260" w:hanging="424"/>
        <w:spacing w:after="0" w:line="258"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The amount represents the value of shares underlying 3,000 deferred restricted stock units distributed to Mr. Harkenrider on June 28, 2019 pursuant to his deferral elections based on the closing price on the date of distribution.</w:t>
      </w:r>
    </w:p>
    <w:p>
      <w:pPr>
        <w:spacing w:after="0" w:line="45" w:lineRule="exact"/>
        <w:rPr>
          <w:rFonts w:ascii="Arial" w:cs="Arial" w:eastAsia="Arial" w:hAnsi="Arial"/>
          <w:sz w:val="14"/>
          <w:szCs w:val="14"/>
          <w:color w:val="202E39"/>
        </w:rPr>
      </w:pPr>
    </w:p>
    <w:p>
      <w:pPr>
        <w:ind w:left="540" w:right="120" w:hanging="424"/>
        <w:spacing w:after="0" w:line="258"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The amount represents the value of shares of our common stock underlying the deferred restricted stock units based on the closing price on March 31, 2020 ($35.92 per share), the last trading day of fiscal year 2020.</w:t>
      </w:r>
    </w:p>
    <w:p>
      <w:pPr>
        <w:spacing w:after="0" w:line="99" w:lineRule="exact"/>
        <w:rPr>
          <w:rFonts w:ascii="Arial" w:cs="Arial" w:eastAsia="Arial" w:hAnsi="Arial"/>
          <w:sz w:val="14"/>
          <w:szCs w:val="14"/>
          <w:color w:val="202E39"/>
        </w:rPr>
      </w:pPr>
    </w:p>
    <w:p>
      <w:pPr>
        <w:ind w:left="540" w:right="180" w:hanging="424"/>
        <w:spacing w:after="0" w:line="258"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Mr. Harkenrider’s deferred restricted stock units will be distributed to him on fixed distribution dates elected by him at the time of grant or, if earlier, upon a change in control of Viasat or his death.</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Potential Payments Upon Termination</w:t>
      </w:r>
    </w:p>
    <w:p>
      <w:pPr>
        <w:spacing w:after="0" w:line="145"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Viasat provides for certain severance payments and benefits in the event that an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key executive officers to their duties of employment without personal distraction or conflict of interest in circumstances which could arise from the occurrence of a change in control.</w:t>
      </w:r>
    </w:p>
    <w:p>
      <w:pPr>
        <w:spacing w:after="0" w:line="9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may otherwise be entitled under any severance plan or program:</w:t>
      </w:r>
    </w:p>
    <w:p>
      <w:pPr>
        <w:spacing w:after="0" w:line="108" w:lineRule="exact"/>
        <w:rPr>
          <w:sz w:val="20"/>
          <w:szCs w:val="20"/>
          <w:color w:val="auto"/>
        </w:rPr>
      </w:pPr>
    </w:p>
    <w:p>
      <w:pPr>
        <w:ind w:left="660" w:right="40" w:hanging="220"/>
        <w:spacing w:after="0" w:line="260" w:lineRule="auto"/>
        <w:tabs>
          <w:tab w:leader="none" w:pos="660" w:val="left"/>
        </w:tabs>
        <w:numPr>
          <w:ilvl w:val="0"/>
          <w:numId w:val="46"/>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46" w:lineRule="exact"/>
        <w:rPr>
          <w:rFonts w:ascii="Arial" w:cs="Arial" w:eastAsia="Arial" w:hAnsi="Arial"/>
          <w:sz w:val="16"/>
          <w:szCs w:val="16"/>
          <w:color w:val="009FE3"/>
        </w:rPr>
      </w:pPr>
    </w:p>
    <w:p>
      <w:pPr>
        <w:ind w:left="660" w:right="40" w:hanging="220"/>
        <w:spacing w:after="0" w:line="260" w:lineRule="auto"/>
        <w:tabs>
          <w:tab w:leader="none" w:pos="660" w:val="left"/>
        </w:tabs>
        <w:numPr>
          <w:ilvl w:val="0"/>
          <w:numId w:val="46"/>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the positions of Chief Executive Officer and President, and 2.0 for the remaining Named Executive Officers),</w:t>
      </w:r>
    </w:p>
    <w:p>
      <w:pPr>
        <w:spacing w:after="0" w:line="46" w:lineRule="exact"/>
        <w:rPr>
          <w:rFonts w:ascii="Arial" w:cs="Arial" w:eastAsia="Arial" w:hAnsi="Arial"/>
          <w:sz w:val="16"/>
          <w:szCs w:val="16"/>
          <w:color w:val="009FE3"/>
        </w:rPr>
      </w:pPr>
    </w:p>
    <w:p>
      <w:pPr>
        <w:ind w:left="660" w:hanging="220"/>
        <w:spacing w:after="0"/>
        <w:tabs>
          <w:tab w:leader="none" w:pos="660" w:val="left"/>
        </w:tabs>
        <w:numPr>
          <w:ilvl w:val="0"/>
          <w:numId w:val="46"/>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6"/>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As a condition to the executive officer’s receipt of any of the post-termination payments and benefits described above, the Named Executive Officer must</w:t>
      </w:r>
    </w:p>
    <w:p>
      <w:pPr>
        <w:spacing w:after="0" w:line="5" w:lineRule="exact"/>
        <w:rPr>
          <w:sz w:val="20"/>
          <w:szCs w:val="20"/>
          <w:color w:val="auto"/>
        </w:rPr>
      </w:pPr>
    </w:p>
    <w:p>
      <w:pPr>
        <w:ind w:left="120" w:right="140" w:hanging="4"/>
        <w:spacing w:after="0" w:line="251" w:lineRule="auto"/>
        <w:tabs>
          <w:tab w:leader="none" w:pos="363" w:val="left"/>
        </w:tabs>
        <w:numPr>
          <w:ilvl w:val="0"/>
          <w:numId w:val="47"/>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and (2) execute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The Change in Control Agreements continue for successive one-year terms unless Viasat or the Named Executive Officer provides notice of non-renewal.</w:t>
      </w:r>
    </w:p>
    <w:p>
      <w:pPr>
        <w:spacing w:after="0" w:line="9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2020, see the discussion above in “Compensation Discussion and Analysis — Components of our Compensation Program — Equity-Based Compensation.” A Named Executive Officer’s time-based restricted stock units and time-based stock options will also vest upon his or her death or termination due to disability.</w:t>
      </w:r>
    </w:p>
    <w:p>
      <w:pPr>
        <w:spacing w:after="0" w:line="9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49</w:t>
            </w:r>
          </w:p>
        </w:tc>
      </w:tr>
    </w:tbl>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CEO Pay Ratio</w:t>
      </w:r>
    </w:p>
    <w:p>
      <w:pPr>
        <w:spacing w:after="0" w:line="147"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held by our Named Executive Officers, in the event of their death or termination due to disability). The table assumes that the termination of employment hypothetically occurred on March 31, 2020, the last day of fiscal year 2020, and that the Change in Control Agreements were in effect as of such date.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00" w:type="dxa"/>
            <w:vAlign w:val="bottom"/>
            <w:tcBorders>
              <w:top w:val="single" w:sz="8" w:color="E8EAEB"/>
              <w:right w:val="single" w:sz="8" w:color="E8EAEB"/>
            </w:tcBorders>
          </w:tcPr>
          <w:p>
            <w:pPr>
              <w:spacing w:after="0"/>
              <w:rPr>
                <w:sz w:val="17"/>
                <w:szCs w:val="17"/>
                <w:color w:val="auto"/>
              </w:rPr>
            </w:pPr>
          </w:p>
        </w:tc>
        <w:tc>
          <w:tcPr>
            <w:tcW w:w="1100" w:type="dxa"/>
            <w:vAlign w:val="bottom"/>
            <w:tcBorders>
              <w:top w:val="single" w:sz="8" w:color="E8EAEB"/>
              <w:right w:val="single" w:sz="8" w:color="E8EAEB"/>
            </w:tcBorders>
          </w:tcPr>
          <w:p>
            <w:pPr>
              <w:spacing w:after="0"/>
              <w:rPr>
                <w:sz w:val="17"/>
                <w:szCs w:val="17"/>
                <w:color w:val="auto"/>
              </w:rPr>
            </w:pPr>
          </w:p>
        </w:tc>
        <w:tc>
          <w:tcPr>
            <w:tcW w:w="1240" w:type="dxa"/>
            <w:vAlign w:val="bottom"/>
            <w:tcBorders>
              <w:top w:val="single" w:sz="8" w:color="E8EAEB"/>
              <w:right w:val="single" w:sz="8" w:color="E8EAEB"/>
            </w:tcBorders>
          </w:tcPr>
          <w:p>
            <w:pPr>
              <w:spacing w:after="0"/>
              <w:rPr>
                <w:sz w:val="17"/>
                <w:szCs w:val="17"/>
                <w:color w:val="auto"/>
              </w:rPr>
            </w:pPr>
          </w:p>
        </w:tc>
        <w:tc>
          <w:tcPr>
            <w:tcW w:w="1000" w:type="dxa"/>
            <w:vAlign w:val="bottom"/>
            <w:tcBorders>
              <w:top w:val="single" w:sz="8" w:color="E8EAEB"/>
              <w:right w:val="single" w:sz="8" w:color="E8EAEB"/>
            </w:tcBorders>
          </w:tcPr>
          <w:p>
            <w:pPr>
              <w:spacing w:after="0"/>
              <w:rPr>
                <w:sz w:val="17"/>
                <w:szCs w:val="17"/>
                <w:color w:val="auto"/>
              </w:rPr>
            </w:pPr>
          </w:p>
        </w:tc>
        <w:tc>
          <w:tcPr>
            <w:tcW w:w="8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260" w:type="dxa"/>
            <w:vAlign w:val="bottom"/>
            <w:tcBorders>
              <w:top w:val="single" w:sz="8" w:color="E8EAEB"/>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Intrinsic</w:t>
            </w:r>
          </w:p>
        </w:tc>
        <w:tc>
          <w:tcPr>
            <w:tcW w:w="1380" w:type="dxa"/>
            <w:vAlign w:val="bottom"/>
            <w:tcBorders>
              <w:top w:val="single" w:sz="8" w:color="E8EAEB"/>
            </w:tcBorders>
          </w:tcPr>
          <w:p>
            <w:pPr>
              <w:spacing w:after="0"/>
              <w:rPr>
                <w:sz w:val="17"/>
                <w:szCs w:val="17"/>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100" w:type="dxa"/>
            <w:vAlign w:val="bottom"/>
            <w:tcBorders>
              <w:right w:val="single" w:sz="8" w:color="E8EAEB"/>
            </w:tcBorders>
          </w:tcPr>
          <w:p>
            <w:pPr>
              <w:spacing w:after="0"/>
              <w:rPr>
                <w:sz w:val="14"/>
                <w:szCs w:val="14"/>
                <w:color w:val="auto"/>
              </w:rPr>
            </w:pPr>
          </w:p>
        </w:tc>
        <w:tc>
          <w:tcPr>
            <w:tcW w:w="124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Value of</w:t>
            </w:r>
          </w:p>
        </w:tc>
        <w:tc>
          <w:tcPr>
            <w:tcW w:w="1260" w:type="dxa"/>
            <w:vAlign w:val="bottom"/>
            <w:tcBorders>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Value of</w:t>
            </w:r>
          </w:p>
        </w:tc>
        <w:tc>
          <w:tcPr>
            <w:tcW w:w="138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100" w:type="dxa"/>
            <w:vAlign w:val="bottom"/>
            <w:tcBorders>
              <w:right w:val="single" w:sz="8" w:color="E8EAEB"/>
            </w:tcBorders>
          </w:tcPr>
          <w:p>
            <w:pPr>
              <w:spacing w:after="0"/>
              <w:rPr>
                <w:sz w:val="14"/>
                <w:szCs w:val="14"/>
                <w:color w:val="auto"/>
              </w:rPr>
            </w:pPr>
          </w:p>
        </w:tc>
        <w:tc>
          <w:tcPr>
            <w:tcW w:w="124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38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1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Accrued</w:t>
            </w:r>
          </w:p>
        </w:tc>
        <w:tc>
          <w:tcPr>
            <w:tcW w:w="12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Severance</w:t>
            </w:r>
          </w:p>
        </w:tc>
        <w:tc>
          <w:tcPr>
            <w:tcW w:w="1000" w:type="dxa"/>
            <w:vAlign w:val="bottom"/>
            <w:tcBorders>
              <w:right w:val="single" w:sz="8" w:color="E8EAEB"/>
            </w:tcBorders>
          </w:tcPr>
          <w:p>
            <w:pPr>
              <w:ind w:left="240"/>
              <w:spacing w:after="0"/>
              <w:rPr>
                <w:sz w:val="20"/>
                <w:szCs w:val="20"/>
                <w:color w:val="auto"/>
              </w:rPr>
            </w:pPr>
            <w:r>
              <w:rPr>
                <w:rFonts w:ascii="Arial" w:cs="Arial" w:eastAsia="Arial" w:hAnsi="Arial"/>
                <w:sz w:val="14"/>
                <w:szCs w:val="14"/>
                <w:b w:val="1"/>
                <w:bCs w:val="1"/>
                <w:color w:val="009FE3"/>
              </w:rPr>
              <w:t>COBRA</w:t>
            </w: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w:t>
            </w:r>
          </w:p>
        </w:tc>
        <w:tc>
          <w:tcPr>
            <w:tcW w:w="1380" w:type="dxa"/>
            <w:vAlign w:val="bottom"/>
          </w:tcPr>
          <w:p>
            <w:pPr>
              <w:spacing w:after="0"/>
              <w:rPr>
                <w:sz w:val="14"/>
                <w:szCs w:val="14"/>
                <w:color w:val="auto"/>
              </w:rPr>
            </w:pPr>
          </w:p>
        </w:tc>
      </w:tr>
      <w:tr>
        <w:trPr>
          <w:trHeight w:val="162"/>
        </w:trPr>
        <w:tc>
          <w:tcPr>
            <w:tcW w:w="4200" w:type="dxa"/>
            <w:vAlign w:val="bottom"/>
            <w:tcBorders>
              <w:right w:val="single" w:sz="8" w:color="E8EAEB"/>
            </w:tcBorders>
          </w:tcPr>
          <w:p>
            <w:pPr>
              <w:spacing w:after="0"/>
              <w:rPr>
                <w:sz w:val="14"/>
                <w:szCs w:val="14"/>
                <w:color w:val="auto"/>
              </w:rPr>
            </w:pPr>
          </w:p>
        </w:tc>
        <w:tc>
          <w:tcPr>
            <w:tcW w:w="11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Vacation</w:t>
            </w:r>
          </w:p>
        </w:tc>
        <w:tc>
          <w:tcPr>
            <w:tcW w:w="12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Payment</w:t>
            </w:r>
          </w:p>
        </w:tc>
        <w:tc>
          <w:tcPr>
            <w:tcW w:w="1000" w:type="dxa"/>
            <w:vAlign w:val="bottom"/>
            <w:tcBorders>
              <w:right w:val="single" w:sz="8" w:color="E8EAEB"/>
            </w:tcBorders>
          </w:tcPr>
          <w:p>
            <w:pPr>
              <w:ind w:left="160"/>
              <w:spacing w:after="0"/>
              <w:rPr>
                <w:sz w:val="20"/>
                <w:szCs w:val="20"/>
                <w:color w:val="auto"/>
              </w:rPr>
            </w:pPr>
            <w:r>
              <w:rPr>
                <w:rFonts w:ascii="Arial" w:cs="Arial" w:eastAsia="Arial" w:hAnsi="Arial"/>
                <w:sz w:val="14"/>
                <w:szCs w:val="14"/>
                <w:b w:val="1"/>
                <w:bCs w:val="1"/>
                <w:color w:val="009FE3"/>
              </w:rPr>
              <w:t>Payments</w:t>
            </w:r>
          </w:p>
        </w:tc>
        <w:tc>
          <w:tcPr>
            <w:tcW w:w="8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Units</w:t>
            </w:r>
          </w:p>
        </w:tc>
        <w:tc>
          <w:tcPr>
            <w:tcW w:w="1380" w:type="dxa"/>
            <w:vAlign w:val="bottom"/>
          </w:tcPr>
          <w:p>
            <w:pPr>
              <w:jc w:val="right"/>
              <w:ind w:right="442"/>
              <w:spacing w:after="0"/>
              <w:rPr>
                <w:sz w:val="20"/>
                <w:szCs w:val="20"/>
                <w:color w:val="auto"/>
              </w:rPr>
            </w:pPr>
            <w:r>
              <w:rPr>
                <w:rFonts w:ascii="Arial" w:cs="Arial" w:eastAsia="Arial" w:hAnsi="Arial"/>
                <w:sz w:val="14"/>
                <w:szCs w:val="14"/>
                <w:b w:val="1"/>
                <w:bCs w:val="1"/>
                <w:color w:val="009FE3"/>
              </w:rPr>
              <w:t>Total</w:t>
            </w:r>
          </w:p>
        </w:tc>
      </w:tr>
      <w:tr>
        <w:trPr>
          <w:trHeight w:val="196"/>
        </w:trPr>
        <w:tc>
          <w:tcPr>
            <w:tcW w:w="4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1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($)(1)</w:t>
            </w:r>
          </w:p>
        </w:tc>
        <w:tc>
          <w:tcPr>
            <w:tcW w:w="12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0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 (2)</w:t>
            </w:r>
          </w:p>
        </w:tc>
        <w:tc>
          <w:tcPr>
            <w:tcW w:w="8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(3)</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(4)</w:t>
            </w:r>
          </w:p>
        </w:tc>
        <w:tc>
          <w:tcPr>
            <w:tcW w:w="1380" w:type="dxa"/>
            <w:vAlign w:val="bottom"/>
            <w:tcBorders>
              <w:bottom w:val="single" w:sz="8" w:color="009FE3"/>
            </w:tcBorders>
          </w:tcPr>
          <w:p>
            <w:pPr>
              <w:jc w:val="right"/>
              <w:ind w:right="522"/>
              <w:spacing w:after="0"/>
              <w:rPr>
                <w:sz w:val="20"/>
                <w:szCs w:val="20"/>
                <w:color w:val="auto"/>
              </w:rPr>
            </w:pPr>
            <w:r>
              <w:rPr>
                <w:rFonts w:ascii="Arial" w:cs="Arial" w:eastAsia="Arial" w:hAnsi="Arial"/>
                <w:sz w:val="14"/>
                <w:szCs w:val="14"/>
                <w:b w:val="1"/>
                <w:bCs w:val="1"/>
                <w:color w:val="009FE3"/>
              </w:rPr>
              <w:t>($)</w:t>
            </w:r>
          </w:p>
        </w:tc>
      </w:tr>
      <w:tr>
        <w:trPr>
          <w:trHeight w:val="250"/>
        </w:trPr>
        <w:tc>
          <w:tcPr>
            <w:tcW w:w="4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250,000</w:t>
            </w:r>
          </w:p>
        </w:tc>
        <w:tc>
          <w:tcPr>
            <w:tcW w:w="124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9,360,000</w:t>
            </w:r>
          </w:p>
        </w:tc>
        <w:tc>
          <w:tcPr>
            <w:tcW w:w="100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6"/>
                <w:szCs w:val="16"/>
                <w:color w:val="202E39"/>
              </w:rPr>
              <w:t>23,549</w:t>
            </w:r>
          </w:p>
        </w:tc>
        <w:tc>
          <w:tcPr>
            <w:tcW w:w="84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w:t>
            </w:r>
          </w:p>
        </w:tc>
        <w:tc>
          <w:tcPr>
            <w:tcW w:w="12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4,702,179</w:t>
            </w:r>
          </w:p>
        </w:tc>
        <w:tc>
          <w:tcPr>
            <w:tcW w:w="138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14,335,728</w:t>
            </w:r>
          </w:p>
        </w:tc>
      </w:tr>
      <w:tr>
        <w:trPr>
          <w:trHeight w:val="250"/>
        </w:trPr>
        <w:tc>
          <w:tcPr>
            <w:tcW w:w="4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211,538</w:t>
            </w:r>
          </w:p>
        </w:tc>
        <w:tc>
          <w:tcPr>
            <w:tcW w:w="124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7,920,000</w:t>
            </w:r>
          </w:p>
        </w:tc>
        <w:tc>
          <w:tcPr>
            <w:tcW w:w="100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6"/>
                <w:szCs w:val="16"/>
                <w:color w:val="202E39"/>
              </w:rPr>
              <w:t>23,549</w:t>
            </w:r>
          </w:p>
        </w:tc>
        <w:tc>
          <w:tcPr>
            <w:tcW w:w="84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w:t>
            </w:r>
          </w:p>
        </w:tc>
        <w:tc>
          <w:tcPr>
            <w:tcW w:w="12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3,543,400</w:t>
            </w:r>
          </w:p>
        </w:tc>
        <w:tc>
          <w:tcPr>
            <w:tcW w:w="138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11,698,487</w:t>
            </w:r>
          </w:p>
        </w:tc>
      </w:tr>
      <w:tr>
        <w:trPr>
          <w:trHeight w:val="250"/>
        </w:trPr>
        <w:tc>
          <w:tcPr>
            <w:tcW w:w="4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87,889</w:t>
            </w:r>
          </w:p>
        </w:tc>
        <w:tc>
          <w:tcPr>
            <w:tcW w:w="124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2,185,000</w:t>
            </w:r>
          </w:p>
        </w:tc>
        <w:tc>
          <w:tcPr>
            <w:tcW w:w="100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6"/>
                <w:szCs w:val="16"/>
                <w:color w:val="202E39"/>
              </w:rPr>
              <w:t>36,993</w:t>
            </w:r>
          </w:p>
        </w:tc>
        <w:tc>
          <w:tcPr>
            <w:tcW w:w="84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w:t>
            </w:r>
          </w:p>
        </w:tc>
        <w:tc>
          <w:tcPr>
            <w:tcW w:w="12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1,223,759</w:t>
            </w:r>
          </w:p>
        </w:tc>
        <w:tc>
          <w:tcPr>
            <w:tcW w:w="138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3,533,641</w:t>
            </w:r>
          </w:p>
        </w:tc>
      </w:tr>
      <w:tr>
        <w:trPr>
          <w:trHeight w:val="250"/>
        </w:trPr>
        <w:tc>
          <w:tcPr>
            <w:tcW w:w="4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 (5)</w:t>
            </w:r>
          </w:p>
        </w:tc>
        <w:tc>
          <w:tcPr>
            <w:tcW w:w="110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105,963</w:t>
            </w:r>
          </w:p>
        </w:tc>
        <w:tc>
          <w:tcPr>
            <w:tcW w:w="124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2,127,500</w:t>
            </w:r>
          </w:p>
        </w:tc>
        <w:tc>
          <w:tcPr>
            <w:tcW w:w="100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6"/>
                <w:szCs w:val="16"/>
                <w:color w:val="202E39"/>
              </w:rPr>
              <w:t>23,549</w:t>
            </w:r>
          </w:p>
        </w:tc>
        <w:tc>
          <w:tcPr>
            <w:tcW w:w="840" w:type="dxa"/>
            <w:vAlign w:val="bottom"/>
            <w:tcBorders>
              <w:bottom w:val="single" w:sz="8" w:color="E8EAEB"/>
              <w:right w:val="single" w:sz="8" w:color="E8EAEB"/>
            </w:tcBorders>
          </w:tcPr>
          <w:p>
            <w:pPr>
              <w:ind w:left="400"/>
              <w:spacing w:after="0"/>
              <w:rPr>
                <w:sz w:val="20"/>
                <w:szCs w:val="20"/>
                <w:color w:val="auto"/>
              </w:rPr>
            </w:pPr>
            <w:r>
              <w:rPr>
                <w:rFonts w:ascii="Arial" w:cs="Arial" w:eastAsia="Arial" w:hAnsi="Arial"/>
                <w:sz w:val="16"/>
                <w:szCs w:val="16"/>
                <w:color w:val="202E39"/>
              </w:rPr>
              <w:t>—</w:t>
            </w:r>
          </w:p>
        </w:tc>
        <w:tc>
          <w:tcPr>
            <w:tcW w:w="12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1,035,861</w:t>
            </w:r>
          </w:p>
        </w:tc>
        <w:tc>
          <w:tcPr>
            <w:tcW w:w="1380" w:type="dxa"/>
            <w:vAlign w:val="bottom"/>
            <w:tcBorders>
              <w:bottom w:val="single" w:sz="8" w:color="E8EAEB"/>
            </w:tcBorders>
          </w:tcPr>
          <w:p>
            <w:pPr>
              <w:jc w:val="right"/>
              <w:ind w:right="102"/>
              <w:spacing w:after="0"/>
              <w:rPr>
                <w:sz w:val="20"/>
                <w:szCs w:val="20"/>
                <w:color w:val="auto"/>
              </w:rPr>
            </w:pPr>
            <w:r>
              <w:rPr>
                <w:rFonts w:ascii="Arial" w:cs="Arial" w:eastAsia="Arial" w:hAnsi="Arial"/>
                <w:sz w:val="16"/>
                <w:szCs w:val="16"/>
                <w:color w:val="202E39"/>
              </w:rPr>
              <w:t>3,292,873</w:t>
            </w:r>
          </w:p>
        </w:tc>
      </w:tr>
      <w:tr>
        <w:trPr>
          <w:trHeight w:val="210"/>
        </w:trPr>
        <w:tc>
          <w:tcPr>
            <w:tcW w:w="4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10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98,077</w:t>
            </w:r>
          </w:p>
        </w:tc>
        <w:tc>
          <w:tcPr>
            <w:tcW w:w="1240" w:type="dxa"/>
            <w:vAlign w:val="bottom"/>
            <w:tcBorders>
              <w:bottom w:val="single" w:sz="8" w:color="009FE3"/>
              <w:right w:val="single" w:sz="8" w:color="E8EAEB"/>
            </w:tcBorders>
          </w:tcPr>
          <w:p>
            <w:pPr>
              <w:jc w:val="right"/>
              <w:ind w:right="102"/>
              <w:spacing w:after="0"/>
              <w:rPr>
                <w:sz w:val="20"/>
                <w:szCs w:val="20"/>
                <w:color w:val="auto"/>
              </w:rPr>
            </w:pPr>
            <w:r>
              <w:rPr>
                <w:rFonts w:ascii="Arial" w:cs="Arial" w:eastAsia="Arial" w:hAnsi="Arial"/>
                <w:sz w:val="16"/>
                <w:szCs w:val="16"/>
                <w:color w:val="202E39"/>
              </w:rPr>
              <w:t>2,850,000</w:t>
            </w:r>
          </w:p>
        </w:tc>
        <w:tc>
          <w:tcPr>
            <w:tcW w:w="1000" w:type="dxa"/>
            <w:vAlign w:val="bottom"/>
            <w:tcBorders>
              <w:bottom w:val="single" w:sz="8" w:color="009FE3"/>
              <w:right w:val="single" w:sz="8" w:color="E8EAEB"/>
            </w:tcBorders>
          </w:tcPr>
          <w:p>
            <w:pPr>
              <w:ind w:left="320"/>
              <w:spacing w:after="0"/>
              <w:rPr>
                <w:sz w:val="20"/>
                <w:szCs w:val="20"/>
                <w:color w:val="auto"/>
              </w:rPr>
            </w:pPr>
            <w:r>
              <w:rPr>
                <w:rFonts w:ascii="Arial" w:cs="Arial" w:eastAsia="Arial" w:hAnsi="Arial"/>
                <w:sz w:val="16"/>
                <w:szCs w:val="16"/>
                <w:color w:val="202E39"/>
              </w:rPr>
              <w:t>36,993</w:t>
            </w:r>
          </w:p>
        </w:tc>
        <w:tc>
          <w:tcPr>
            <w:tcW w:w="840" w:type="dxa"/>
            <w:vAlign w:val="bottom"/>
            <w:tcBorders>
              <w:bottom w:val="single" w:sz="8" w:color="009FE3"/>
              <w:right w:val="single" w:sz="8" w:color="E8EAEB"/>
            </w:tcBorders>
          </w:tcPr>
          <w:p>
            <w:pPr>
              <w:ind w:left="400"/>
              <w:spacing w:after="0"/>
              <w:rPr>
                <w:sz w:val="20"/>
                <w:szCs w:val="20"/>
                <w:color w:val="auto"/>
              </w:rPr>
            </w:pPr>
            <w:r>
              <w:rPr>
                <w:rFonts w:ascii="Arial" w:cs="Arial" w:eastAsia="Arial" w:hAnsi="Arial"/>
                <w:sz w:val="16"/>
                <w:szCs w:val="16"/>
                <w:color w:val="202E39"/>
              </w:rPr>
              <w:t>—</w:t>
            </w:r>
          </w:p>
        </w:tc>
        <w:tc>
          <w:tcPr>
            <w:tcW w:w="1260" w:type="dxa"/>
            <w:vAlign w:val="bottom"/>
            <w:tcBorders>
              <w:bottom w:val="single" w:sz="8" w:color="009FE3"/>
              <w:right w:val="single" w:sz="8" w:color="E8EAEB"/>
            </w:tcBorders>
          </w:tcPr>
          <w:p>
            <w:pPr>
              <w:ind w:left="340"/>
              <w:spacing w:after="0"/>
              <w:rPr>
                <w:sz w:val="20"/>
                <w:szCs w:val="20"/>
                <w:color w:val="auto"/>
              </w:rPr>
            </w:pPr>
            <w:r>
              <w:rPr>
                <w:rFonts w:ascii="Arial" w:cs="Arial" w:eastAsia="Arial" w:hAnsi="Arial"/>
                <w:sz w:val="16"/>
                <w:szCs w:val="16"/>
                <w:color w:val="202E39"/>
              </w:rPr>
              <w:t>1,330,800</w:t>
            </w:r>
          </w:p>
        </w:tc>
        <w:tc>
          <w:tcPr>
            <w:tcW w:w="1380" w:type="dxa"/>
            <w:vAlign w:val="bottom"/>
            <w:tcBorders>
              <w:bottom w:val="single" w:sz="8" w:color="009FE3"/>
            </w:tcBorders>
          </w:tcPr>
          <w:p>
            <w:pPr>
              <w:jc w:val="right"/>
              <w:ind w:right="102"/>
              <w:spacing w:after="0"/>
              <w:rPr>
                <w:sz w:val="20"/>
                <w:szCs w:val="20"/>
                <w:color w:val="auto"/>
              </w:rPr>
            </w:pPr>
            <w:r>
              <w:rPr>
                <w:rFonts w:ascii="Arial" w:cs="Arial" w:eastAsia="Arial" w:hAnsi="Arial"/>
                <w:sz w:val="16"/>
                <w:szCs w:val="16"/>
                <w:color w:val="202E39"/>
              </w:rPr>
              <w:t>4,315,870</w:t>
            </w:r>
          </w:p>
        </w:tc>
      </w:tr>
    </w:tbl>
    <w:p>
      <w:pPr>
        <w:spacing w:after="0" w:line="126"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2020.</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68" w:lineRule="exact"/>
        <w:rPr>
          <w:rFonts w:ascii="Arial" w:cs="Arial" w:eastAsia="Arial" w:hAnsi="Arial"/>
          <w:sz w:val="14"/>
          <w:szCs w:val="14"/>
          <w:color w:val="202E39"/>
        </w:rPr>
      </w:pPr>
    </w:p>
    <w:p>
      <w:pPr>
        <w:ind w:left="540" w:right="60" w:hanging="424"/>
        <w:spacing w:after="0" w:line="244" w:lineRule="auto"/>
        <w:tabs>
          <w:tab w:leader="none" w:pos="54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31, 2020 ($35.92 per share) and the option exercise price, multiplied by the number of shares for which the option was accelerated. A Named Executive Officer will also vest in all of his or her time-based stock options in the event of his or her death or termination due to disability. In addition, in the event of a Named Executive Officer’s death or termination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 Given that, as of March 31, 2020, the closing price of our common stock was lower than the option exercise price of all outstanding stock options held by our Named Executive Officers, the intrinsic value of any accelerated options as of that date is zero as reflected in the table above.</w:t>
      </w:r>
    </w:p>
    <w:p>
      <w:pPr>
        <w:spacing w:after="0" w:line="55" w:lineRule="exact"/>
        <w:rPr>
          <w:rFonts w:ascii="Arial" w:cs="Arial" w:eastAsia="Arial" w:hAnsi="Arial"/>
          <w:sz w:val="14"/>
          <w:szCs w:val="14"/>
          <w:color w:val="202E39"/>
        </w:rPr>
      </w:pPr>
    </w:p>
    <w:p>
      <w:pPr>
        <w:ind w:left="540" w:right="60" w:hanging="424"/>
        <w:spacing w:after="0" w:line="247" w:lineRule="auto"/>
        <w:tabs>
          <w:tab w:leader="none" w:pos="54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31, 2020 ($35.92 per share)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31, 2020 is the same as the value disclosed in the table above).</w:t>
      </w:r>
    </w:p>
    <w:p>
      <w:pPr>
        <w:spacing w:after="0" w:line="52" w:lineRule="exact"/>
        <w:rPr>
          <w:rFonts w:ascii="Arial" w:cs="Arial" w:eastAsia="Arial" w:hAnsi="Arial"/>
          <w:sz w:val="14"/>
          <w:szCs w:val="14"/>
          <w:color w:val="202E39"/>
        </w:rPr>
      </w:pPr>
    </w:p>
    <w:p>
      <w:pPr>
        <w:ind w:left="540" w:right="340" w:hanging="424"/>
        <w:spacing w:after="0" w:line="245" w:lineRule="auto"/>
        <w:tabs>
          <w:tab w:leader="none" w:pos="540" w:val="left"/>
        </w:tabs>
        <w:numPr>
          <w:ilvl w:val="0"/>
          <w:numId w:val="48"/>
        </w:numPr>
        <w:rPr>
          <w:rFonts w:ascii="Arial" w:cs="Arial" w:eastAsia="Arial" w:hAnsi="Arial"/>
          <w:sz w:val="14"/>
          <w:szCs w:val="14"/>
          <w:color w:val="202E39"/>
        </w:rPr>
      </w:pPr>
      <w:r>
        <w:rPr>
          <w:rFonts w:ascii="Arial" w:cs="Arial" w:eastAsia="Arial" w:hAnsi="Arial"/>
          <w:sz w:val="14"/>
          <w:szCs w:val="14"/>
          <w:color w:val="202E39"/>
        </w:rPr>
        <w:t>Mr. Harkenrider is also entitled to receive underlying shares related to deferred restricted stock unit awards upon his separation from the company. For additional information, see the Non-Qualified Deferred Compensation table. If a change in control of Viasat or Mr. Harkenrider’s death had occurred on March 31, 2020, he would have been entitled to receive a distribution of an aggregate of 81,085 shares subject to his deferred restricted stock units with an aggregate value of $2,912,573, computed by multiplying the closing price of our common stock on March 31, 2020 ($35.92 per share) by the number of shares that would have been distributed.</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CEO Pay Ratio</w:t>
      </w:r>
    </w:p>
    <w:p>
      <w:pPr>
        <w:spacing w:after="0" w:line="145"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202E39"/>
        </w:rPr>
        <w:t>In accordance with SEC rules, we are providing the ratio of the annual total compensation received during fiscal year 2020 by our CEO to the median of the annual total compensation received by our median employee. Based upon the annual total compensation of Mr. Dankberg of $11,768,446 reported in the Summary Compensation Table for fiscal year 2020, our ratio of CEO pay to median employee pay for fiscal year 2020 was approximately 108 to 1.</w:t>
      </w:r>
    </w:p>
    <w:p>
      <w:pPr>
        <w:spacing w:after="0" w:line="93" w:lineRule="exact"/>
        <w:rPr>
          <w:sz w:val="20"/>
          <w:szCs w:val="20"/>
          <w:color w:val="auto"/>
        </w:rPr>
      </w:pPr>
    </w:p>
    <w:p>
      <w:pPr>
        <w:ind w:left="120" w:right="140"/>
        <w:spacing w:after="0" w:line="249" w:lineRule="auto"/>
        <w:rPr>
          <w:sz w:val="20"/>
          <w:szCs w:val="20"/>
          <w:color w:val="auto"/>
        </w:rPr>
      </w:pPr>
      <w:r>
        <w:rPr>
          <w:rFonts w:ascii="Arial" w:cs="Arial" w:eastAsia="Arial" w:hAnsi="Arial"/>
          <w:sz w:val="16"/>
          <w:szCs w:val="16"/>
          <w:color w:val="202E39"/>
        </w:rPr>
        <w:t>There have been no changes to our employee population or employee compensation arrangements during fiscal year 2020 that we reasonably believe would result in a significant change to our pay ratio disclosure. However, there was a change in the circumstances of the median employee we identified as of March 31, 2019 that we reasonably believe would result in a significant change to our pay ratio disclosure. As a result, in accordance with SEC rules, we elected to substitute another employee as our median employee for fiscal year 2020 whose compensation was substantially similar to the compensation of the median employee identified in fiscal year 2019, based on the compensation measures used to select the median employee in fiscal year 2019, as permitted by SEC rules.</w:t>
      </w:r>
    </w:p>
    <w:p>
      <w:pPr>
        <w:spacing w:after="0" w:line="97"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To identify our original median employee in fiscal year 2019, we identified our total employee population (including all full-time, part-time, temporary and seasonal workers) as of March 31, 2019, and, in accordance with SEC rules, excluded employees from certain countries that in the aggregate represented less than 5% of our employee base. As of March 31, 2019, we had approximately 5,625 global employees. To determine our median employee, we excluded a total of 262 employees from the following countries (and all of our employees in each of the following countries were excluded from the calculation): Australia (40 employees), Brazil (3 employees), Canada (1 employee), China (2 employees), Germany (4 employees), Switzerland (58 employees), United Kingdom (74 employees), Ireland (70 employees), Israel (5 employees), Netherlands (2 employees) and Italy (3 employees). We then used base salary received during fiscal year 2019 for our employee population included in the calculation (other than Mr. Dankberg) to determine our median employee, and, once identified, we calculated such employee’s annual total compensation in the same manner used to calculate Mr. Dankberg’s compensation in the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86995</wp:posOffset>
            </wp:positionV>
            <wp:extent cx="4286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4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Director Compensation</w:t>
      </w:r>
    </w:p>
    <w:p>
      <w:pPr>
        <w:spacing w:after="0" w:line="147"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Compensation Table for fiscal year 2019. For all compensation paid in currencies other than the U.S. Dollar, all values were converted to the U.S. Dollar using foreign currency exchange rates on March 31, 2019.</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Director Compensation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2020 by each of our non-employee directors: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040" w:type="dxa"/>
            <w:vAlign w:val="bottom"/>
            <w:tcBorders>
              <w:top w:val="single" w:sz="8" w:color="E8EAEB"/>
              <w:right w:val="single" w:sz="8" w:color="E8EAEB"/>
            </w:tcBorders>
          </w:tcPr>
          <w:p>
            <w:pPr>
              <w:spacing w:after="0"/>
              <w:rPr>
                <w:sz w:val="15"/>
                <w:szCs w:val="15"/>
                <w:color w:val="auto"/>
              </w:rPr>
            </w:pPr>
          </w:p>
        </w:tc>
        <w:tc>
          <w:tcPr>
            <w:tcW w:w="10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Change in</w:t>
            </w:r>
          </w:p>
        </w:tc>
        <w:tc>
          <w:tcPr>
            <w:tcW w:w="1020" w:type="dxa"/>
            <w:vAlign w:val="bottom"/>
            <w:tcBorders>
              <w:top w:val="single" w:sz="8" w:color="E8EAEB"/>
              <w:right w:val="single" w:sz="8" w:color="E8EAEB"/>
            </w:tcBorders>
          </w:tcPr>
          <w:p>
            <w:pPr>
              <w:spacing w:after="0"/>
              <w:rPr>
                <w:sz w:val="15"/>
                <w:szCs w:val="15"/>
                <w:color w:val="auto"/>
              </w:rPr>
            </w:pPr>
          </w:p>
        </w:tc>
        <w:tc>
          <w:tcPr>
            <w:tcW w:w="1140" w:type="dxa"/>
            <w:vAlign w:val="bottom"/>
            <w:tcBorders>
              <w:top w:val="single" w:sz="8" w:color="E8EAEB"/>
            </w:tcBorders>
          </w:tcPr>
          <w:p>
            <w:pPr>
              <w:spacing w:after="0"/>
              <w:rPr>
                <w:sz w:val="15"/>
                <w:szCs w:val="15"/>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Pension Value</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and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Fees</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Non-Qualified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Earned or</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Deferred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Paid in</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200" w:type="dxa"/>
            <w:vAlign w:val="bottom"/>
            <w:tcBorders>
              <w:right w:val="single" w:sz="8" w:color="E8EAEB"/>
            </w:tcBorders>
          </w:tcPr>
          <w:p>
            <w:pPr>
              <w:ind w:left="360"/>
              <w:spacing w:after="0"/>
              <w:rPr>
                <w:sz w:val="20"/>
                <w:szCs w:val="20"/>
                <w:color w:val="auto"/>
              </w:rPr>
            </w:pPr>
            <w:r>
              <w:rPr>
                <w:rFonts w:ascii="Arial" w:cs="Arial" w:eastAsia="Arial" w:hAnsi="Arial"/>
                <w:sz w:val="14"/>
                <w:szCs w:val="14"/>
                <w:b w:val="1"/>
                <w:bCs w:val="1"/>
                <w:color w:val="009FE3"/>
              </w:rPr>
              <w:t>Option</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Cash</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Awards</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196"/>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2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2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($)(1)</w:t>
            </w:r>
          </w:p>
        </w:tc>
        <w:tc>
          <w:tcPr>
            <w:tcW w:w="1200" w:type="dxa"/>
            <w:vAlign w:val="bottom"/>
            <w:tcBorders>
              <w:bottom w:val="single" w:sz="8" w:color="009FE3"/>
              <w:right w:val="single" w:sz="8" w:color="E8EAEB"/>
            </w:tcBorders>
          </w:tcPr>
          <w:p>
            <w:pPr>
              <w:jc w:val="right"/>
              <w:ind w:right="368"/>
              <w:spacing w:after="0"/>
              <w:rPr>
                <w:sz w:val="20"/>
                <w:szCs w:val="20"/>
                <w:color w:val="auto"/>
              </w:rPr>
            </w:pPr>
            <w:r>
              <w:rPr>
                <w:rFonts w:ascii="Arial" w:cs="Arial" w:eastAsia="Arial" w:hAnsi="Arial"/>
                <w:sz w:val="14"/>
                <w:szCs w:val="14"/>
                <w:b w:val="1"/>
                <w:bCs w:val="1"/>
                <w:color w:val="009FE3"/>
              </w:rPr>
              <w:t>($)(2)</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140" w:type="dxa"/>
            <w:vAlign w:val="bottom"/>
            <w:tcBorders>
              <w:bottom w:val="single" w:sz="8" w:color="009FE3"/>
            </w:tcBorders>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237"/>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Frank J. Biondi, Jr.</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84,500</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313,249</w:t>
            </w:r>
          </w:p>
        </w:tc>
      </w:tr>
      <w:tr>
        <w:trPr>
          <w:trHeight w:val="237"/>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Robert Johnson</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89,750</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318,499</w:t>
            </w:r>
          </w:p>
        </w:tc>
      </w:tr>
      <w:tr>
        <w:trPr>
          <w:trHeight w:val="237"/>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B. Allen Lay (3)</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9,500</w:t>
            </w:r>
          </w:p>
        </w:tc>
        <w:tc>
          <w:tcPr>
            <w:tcW w:w="120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200" w:type="dxa"/>
            <w:vAlign w:val="bottom"/>
            <w:tcBorders>
              <w:bottom w:val="single" w:sz="8" w:color="E8EAEB"/>
              <w:right w:val="single" w:sz="8" w:color="E8EAEB"/>
            </w:tcBorders>
          </w:tcPr>
          <w:p>
            <w:pPr>
              <w:ind w:left="78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9,500</w:t>
            </w:r>
          </w:p>
        </w:tc>
      </w:tr>
      <w:tr>
        <w:trPr>
          <w:trHeight w:val="236"/>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Jeffrey Nash (3)</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13,750</w:t>
            </w:r>
          </w:p>
        </w:tc>
        <w:tc>
          <w:tcPr>
            <w:tcW w:w="1200" w:type="dxa"/>
            <w:vAlign w:val="bottom"/>
            <w:tcBorders>
              <w:bottom w:val="single" w:sz="8" w:color="E8EAEB"/>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200" w:type="dxa"/>
            <w:vAlign w:val="bottom"/>
            <w:tcBorders>
              <w:bottom w:val="single" w:sz="8" w:color="E8EAEB"/>
              <w:right w:val="single" w:sz="8" w:color="E8EAEB"/>
            </w:tcBorders>
          </w:tcPr>
          <w:p>
            <w:pPr>
              <w:ind w:left="78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13,750</w:t>
            </w:r>
          </w:p>
        </w:tc>
      </w:tr>
      <w:tr>
        <w:trPr>
          <w:trHeight w:val="237"/>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Sean Pak</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100,000</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328,749</w:t>
            </w:r>
          </w:p>
        </w:tc>
      </w:tr>
      <w:tr>
        <w:trPr>
          <w:trHeight w:val="236"/>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Varsha Rao</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84,000</w:t>
            </w:r>
          </w:p>
        </w:tc>
        <w:tc>
          <w:tcPr>
            <w:tcW w:w="120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312,749</w:t>
            </w:r>
          </w:p>
        </w:tc>
      </w:tr>
      <w:tr>
        <w:trPr>
          <w:trHeight w:val="236"/>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John Stenbit</w:t>
            </w:r>
          </w:p>
        </w:tc>
        <w:tc>
          <w:tcPr>
            <w:tcW w:w="120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100,000</w:t>
            </w:r>
          </w:p>
        </w:tc>
        <w:tc>
          <w:tcPr>
            <w:tcW w:w="1200" w:type="dxa"/>
            <w:vAlign w:val="bottom"/>
            <w:tcBorders>
              <w:bottom w:val="single" w:sz="8" w:color="E8EAEB"/>
              <w:right w:val="single" w:sz="8" w:color="E8EAEB"/>
            </w:tcBorders>
          </w:tcPr>
          <w:p>
            <w:pPr>
              <w:jc w:val="right"/>
              <w:ind w:right="24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140" w:type="dxa"/>
            <w:vAlign w:val="bottom"/>
            <w:tcBorders>
              <w:bottom w:val="single" w:sz="8" w:color="E8EAEB"/>
            </w:tcBorders>
          </w:tcPr>
          <w:p>
            <w:pPr>
              <w:jc w:val="right"/>
              <w:ind w:right="208"/>
              <w:spacing w:after="0"/>
              <w:rPr>
                <w:sz w:val="20"/>
                <w:szCs w:val="20"/>
                <w:color w:val="auto"/>
              </w:rPr>
            </w:pPr>
            <w:r>
              <w:rPr>
                <w:rFonts w:ascii="Arial" w:cs="Arial" w:eastAsia="Arial" w:hAnsi="Arial"/>
                <w:sz w:val="14"/>
                <w:szCs w:val="14"/>
                <w:color w:val="202E39"/>
              </w:rPr>
              <w:t>328,749</w:t>
            </w:r>
          </w:p>
        </w:tc>
      </w:tr>
      <w:tr>
        <w:trPr>
          <w:trHeight w:val="237"/>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Harvey White</w:t>
            </w:r>
          </w:p>
        </w:tc>
        <w:tc>
          <w:tcPr>
            <w:tcW w:w="120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104,000</w:t>
            </w:r>
          </w:p>
        </w:tc>
        <w:tc>
          <w:tcPr>
            <w:tcW w:w="1200" w:type="dxa"/>
            <w:vAlign w:val="bottom"/>
            <w:tcBorders>
              <w:bottom w:val="single" w:sz="8" w:color="E8EAEB"/>
              <w:right w:val="single" w:sz="8" w:color="E8EAEB"/>
            </w:tcBorders>
          </w:tcPr>
          <w:p>
            <w:pPr>
              <w:jc w:val="right"/>
              <w:ind w:right="248"/>
              <w:spacing w:after="0"/>
              <w:rPr>
                <w:sz w:val="20"/>
                <w:szCs w:val="20"/>
                <w:color w:val="auto"/>
              </w:rPr>
            </w:pPr>
            <w:r>
              <w:rPr>
                <w:rFonts w:ascii="Arial" w:cs="Arial" w:eastAsia="Arial" w:hAnsi="Arial"/>
                <w:sz w:val="14"/>
                <w:szCs w:val="14"/>
                <w:color w:val="202E39"/>
              </w:rPr>
              <w:t>123,952</w:t>
            </w:r>
          </w:p>
        </w:tc>
        <w:tc>
          <w:tcPr>
            <w:tcW w:w="120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4"/>
                <w:szCs w:val="14"/>
                <w:color w:val="202E39"/>
              </w:rPr>
              <w:t>104,797</w:t>
            </w: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140" w:type="dxa"/>
            <w:vAlign w:val="bottom"/>
            <w:tcBorders>
              <w:bottom w:val="single" w:sz="8" w:color="E8EAEB"/>
            </w:tcBorders>
          </w:tcPr>
          <w:p>
            <w:pPr>
              <w:jc w:val="right"/>
              <w:ind w:right="208"/>
              <w:spacing w:after="0"/>
              <w:rPr>
                <w:sz w:val="20"/>
                <w:szCs w:val="20"/>
                <w:color w:val="auto"/>
              </w:rPr>
            </w:pPr>
            <w:r>
              <w:rPr>
                <w:rFonts w:ascii="Arial" w:cs="Arial" w:eastAsia="Arial" w:hAnsi="Arial"/>
                <w:sz w:val="14"/>
                <w:szCs w:val="14"/>
                <w:color w:val="202E39"/>
              </w:rPr>
              <w:t>332,749</w:t>
            </w:r>
          </w:p>
        </w:tc>
      </w:tr>
      <w:tr>
        <w:trPr>
          <w:trHeight w:val="236"/>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Theresa Wise, Ph.D.</w:t>
            </w:r>
          </w:p>
        </w:tc>
        <w:tc>
          <w:tcPr>
            <w:tcW w:w="12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1,000</w:t>
            </w:r>
          </w:p>
        </w:tc>
        <w:tc>
          <w:tcPr>
            <w:tcW w:w="1200" w:type="dxa"/>
            <w:vAlign w:val="bottom"/>
            <w:tcBorders>
              <w:bottom w:val="single" w:sz="8" w:color="009FE3"/>
              <w:right w:val="single" w:sz="8" w:color="E8EAEB"/>
            </w:tcBorders>
          </w:tcPr>
          <w:p>
            <w:pPr>
              <w:jc w:val="right"/>
              <w:ind w:right="248"/>
              <w:spacing w:after="0"/>
              <w:rPr>
                <w:sz w:val="20"/>
                <w:szCs w:val="20"/>
                <w:color w:val="auto"/>
              </w:rPr>
            </w:pPr>
            <w:r>
              <w:rPr>
                <w:rFonts w:ascii="Arial" w:cs="Arial" w:eastAsia="Arial" w:hAnsi="Arial"/>
                <w:sz w:val="14"/>
                <w:szCs w:val="14"/>
                <w:color w:val="202E39"/>
              </w:rPr>
              <w:t>195,600</w:t>
            </w:r>
          </w:p>
        </w:tc>
        <w:tc>
          <w:tcPr>
            <w:tcW w:w="120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4"/>
                <w:szCs w:val="14"/>
                <w:color w:val="202E39"/>
              </w:rPr>
              <w:t>157,083</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140" w:type="dxa"/>
            <w:vAlign w:val="bottom"/>
            <w:tcBorders>
              <w:bottom w:val="single" w:sz="8" w:color="009FE3"/>
            </w:tcBorders>
          </w:tcPr>
          <w:p>
            <w:pPr>
              <w:jc w:val="right"/>
              <w:ind w:right="208"/>
              <w:spacing w:after="0"/>
              <w:rPr>
                <w:sz w:val="20"/>
                <w:szCs w:val="20"/>
                <w:color w:val="auto"/>
              </w:rPr>
            </w:pPr>
            <w:r>
              <w:rPr>
                <w:rFonts w:ascii="Arial" w:cs="Arial" w:eastAsia="Arial" w:hAnsi="Arial"/>
                <w:sz w:val="14"/>
                <w:szCs w:val="14"/>
                <w:color w:val="202E39"/>
              </w:rPr>
              <w:t>353,683</w:t>
            </w:r>
          </w:p>
        </w:tc>
      </w:tr>
    </w:tbl>
    <w:p>
      <w:pPr>
        <w:spacing w:after="0" w:line="126" w:lineRule="exact"/>
        <w:rPr>
          <w:sz w:val="20"/>
          <w:szCs w:val="20"/>
          <w:color w:val="auto"/>
        </w:rPr>
      </w:pPr>
    </w:p>
    <w:p>
      <w:pPr>
        <w:ind w:left="540" w:right="20" w:hanging="424"/>
        <w:spacing w:after="0" w:line="241" w:lineRule="auto"/>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2020.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2020, as filed with the SEC. The aggregate number of shares of our common stock subject to restricted stock unit awards outstanding at the end of fiscal year 2020 for each non-employee director was as follows:</w:t>
      </w:r>
    </w:p>
    <w:p>
      <w:pPr>
        <w:spacing w:after="0" w:line="1"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Biondi (0); Mr. Johnson (1,600); Dr. Wise (3,000); Mr. Lay (0); Mr. Nash (0); Mr. Pak (2,600); Ms. Rao (2,600); Mr. Stenbit (1,600); and Mr. White (1,600).</w:t>
      </w:r>
    </w:p>
    <w:p>
      <w:pPr>
        <w:spacing w:after="0" w:line="68" w:lineRule="exact"/>
        <w:rPr>
          <w:rFonts w:ascii="Arial" w:cs="Arial" w:eastAsia="Arial" w:hAnsi="Arial"/>
          <w:sz w:val="14"/>
          <w:szCs w:val="14"/>
          <w:color w:val="202E39"/>
        </w:rPr>
      </w:pPr>
    </w:p>
    <w:p>
      <w:pPr>
        <w:ind w:left="540" w:right="80" w:hanging="424"/>
        <w:spacing w:after="0" w:line="241" w:lineRule="auto"/>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stock options granted in fiscal year 2020,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2020, as filed with the SEC. The aggregate number of shares of our common stock subject to stock options outstanding at the end of fiscal year 2020 for each director was as follows:</w:t>
      </w:r>
    </w:p>
    <w:p>
      <w:pPr>
        <w:spacing w:after="0" w:line="1" w:lineRule="exact"/>
        <w:rPr>
          <w:rFonts w:ascii="Arial" w:cs="Arial" w:eastAsia="Arial" w:hAnsi="Arial"/>
          <w:sz w:val="14"/>
          <w:szCs w:val="14"/>
          <w:color w:val="202E39"/>
        </w:rPr>
      </w:pPr>
    </w:p>
    <w:p>
      <w:pPr>
        <w:ind w:left="540" w:right="540"/>
        <w:spacing w:after="0" w:line="258" w:lineRule="auto"/>
        <w:rPr>
          <w:rFonts w:ascii="Arial" w:cs="Arial" w:eastAsia="Arial" w:hAnsi="Arial"/>
          <w:sz w:val="14"/>
          <w:szCs w:val="14"/>
          <w:color w:val="202E39"/>
        </w:rPr>
      </w:pPr>
      <w:r>
        <w:rPr>
          <w:rFonts w:ascii="Arial" w:cs="Arial" w:eastAsia="Arial" w:hAnsi="Arial"/>
          <w:sz w:val="14"/>
          <w:szCs w:val="14"/>
          <w:color w:val="202E39"/>
        </w:rPr>
        <w:t>Mr. Biondi (29,000); Mr. Johnson (30,000); Dr. Wise (9,000); Mr. Lay (0); Mr. Nash (0); Mr. Pak (19,000); Ms. Rao (24,000); Mr. Stenbit (30,000); and Mr. White (10,000).</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Messrs. Lay and Nash were directors whose terms expired at the 2019 annual meeting of stockholders.</w:t>
      </w:r>
    </w:p>
    <w:p>
      <w:pPr>
        <w:spacing w:after="0" w:line="106"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Directors who are employees of the company, such as Mr. Dankberg and Mr. Baldridge, do not receive any additional compensation for their services as directors.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Arrangements for Non-Employee Directors</w:t>
      </w:r>
    </w:p>
    <w:p>
      <w:pPr>
        <w:spacing w:after="0" w:line="133"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202E39"/>
        </w:rPr>
        <w:t>Non-employee directors are entitled to receive an annual cash retainer for their service in the amount of $50,000 as a member of the Board of Directors,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w:t>
      </w:r>
    </w:p>
    <w:p>
      <w:pPr>
        <w:spacing w:after="0" w:line="208" w:lineRule="exact"/>
        <w:rPr>
          <w:sz w:val="20"/>
          <w:szCs w:val="20"/>
          <w:color w:val="auto"/>
        </w:rPr>
      </w:pPr>
    </w:p>
    <w:p>
      <w:pPr>
        <w:ind w:left="120" w:right="240"/>
        <w:spacing w:after="0" w:line="253" w:lineRule="auto"/>
        <w:rPr>
          <w:sz w:val="20"/>
          <w:szCs w:val="20"/>
          <w:color w:val="auto"/>
        </w:rPr>
      </w:pPr>
      <w:r>
        <w:rPr>
          <w:rFonts w:ascii="Arial" w:cs="Arial" w:eastAsia="Arial" w:hAnsi="Arial"/>
          <w:sz w:val="16"/>
          <w:szCs w:val="16"/>
          <w:color w:val="202E39"/>
        </w:rPr>
        <w:t>At the time of initial election to the Board of Directors,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51</w:t>
            </w: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Interlocks and Insider Participation</w:t>
      </w:r>
    </w:p>
    <w:p>
      <w:pPr>
        <w:spacing w:after="0" w:line="147"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the form of a restricted stock unit award that may be settled for 1,600 shares of our common stock and an option to purchase 5,000 shares of our common stock. Initial awards vest in three equal installments on each of the first three anniversaries of the date of grant. Annual awards vest on the first anniversary of the date of grant. Under the Restated Equity Plan, awards to our non-employee directors are subject to accelerated vesting in the event of a change in control or the director’s death or disability. Members of the Board of Directors are reimbursed for expenses incurred in attending Board and committee meetings, and in connection with Board related activities.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Stock Ownership Guidelines for Non-Employee Directors</w:t>
      </w:r>
    </w:p>
    <w:p>
      <w:pPr>
        <w:spacing w:after="0" w:line="133"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2020, all directors were in compliance with the applicable stock ownership guidelines.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Interlocks and Insider Participation</w:t>
      </w:r>
    </w:p>
    <w:p>
      <w:pPr>
        <w:spacing w:after="0" w:line="145"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The members of the Compensation and Human Resources Committee for fiscal year 2020 were Mr. Biondi, Mr. Nash, Mr. Pak, Ms. Rao, Mr. Stenbit and Mr. White. None of the members of our Compensation and Human Resources Committee has ever been one of our officers or employees. During fiscal year 2020, none of our executive officers served on the board of directors or compensation committee of any entity whose officers served either on our Board of Directors or on our Compensation and Human Resources Committee.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Equity Compensation Plan Information</w:t>
      </w:r>
    </w:p>
    <w:p>
      <w:pPr>
        <w:spacing w:after="0" w:line="145"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The following table provides information as of March 31, 2020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4520" w:type="dxa"/>
            <w:vAlign w:val="bottom"/>
            <w:tcBorders>
              <w:top w:val="single" w:sz="8" w:color="E8EAEB"/>
              <w:right w:val="single" w:sz="8" w:color="E8EAEB"/>
            </w:tcBorders>
          </w:tcPr>
          <w:p>
            <w:pPr>
              <w:spacing w:after="0"/>
              <w:rPr>
                <w:sz w:val="20"/>
                <w:szCs w:val="20"/>
                <w:color w:val="auto"/>
              </w:rPr>
            </w:pPr>
          </w:p>
        </w:tc>
        <w:tc>
          <w:tcPr>
            <w:tcW w:w="236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t>
            </w:r>
          </w:p>
        </w:tc>
        <w:tc>
          <w:tcPr>
            <w:tcW w:w="1780" w:type="dxa"/>
            <w:vAlign w:val="bottom"/>
            <w:tcBorders>
              <w:top w:val="single" w:sz="8" w:color="E8EAEB"/>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w:t>
            </w:r>
          </w:p>
        </w:tc>
        <w:tc>
          <w:tcPr>
            <w:tcW w:w="2360" w:type="dxa"/>
            <w:vAlign w:val="bottom"/>
            <w:tcBorders>
              <w:top w:val="single" w:sz="8" w:color="E8EAEB"/>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(c)</w:t>
            </w:r>
          </w:p>
        </w:tc>
        <w:tc>
          <w:tcPr>
            <w:tcW w:w="0" w:type="dxa"/>
            <w:vAlign w:val="bottom"/>
          </w:tcPr>
          <w:p>
            <w:pPr>
              <w:spacing w:after="0"/>
              <w:rPr>
                <w:sz w:val="1"/>
                <w:szCs w:val="1"/>
                <w:color w:val="auto"/>
              </w:rPr>
            </w:pPr>
          </w:p>
        </w:tc>
      </w:tr>
      <w:tr>
        <w:trPr>
          <w:trHeight w:val="189"/>
        </w:trPr>
        <w:tc>
          <w:tcPr>
            <w:tcW w:w="4520" w:type="dxa"/>
            <w:vAlign w:val="bottom"/>
            <w:tcBorders>
              <w:right w:val="single" w:sz="8" w:color="E8EAEB"/>
            </w:tcBorders>
          </w:tcPr>
          <w:p>
            <w:pPr>
              <w:spacing w:after="0"/>
              <w:rPr>
                <w:sz w:val="16"/>
                <w:szCs w:val="16"/>
                <w:color w:val="auto"/>
              </w:rPr>
            </w:pPr>
          </w:p>
        </w:tc>
        <w:tc>
          <w:tcPr>
            <w:tcW w:w="2360" w:type="dxa"/>
            <w:vAlign w:val="bottom"/>
            <w:tcBorders>
              <w:right w:val="single" w:sz="8" w:color="E8EAEB"/>
            </w:tcBorders>
          </w:tcPr>
          <w:p>
            <w:pPr>
              <w:spacing w:after="0"/>
              <w:rPr>
                <w:sz w:val="16"/>
                <w:szCs w:val="16"/>
                <w:color w:val="auto"/>
              </w:rPr>
            </w:pPr>
          </w:p>
        </w:tc>
        <w:tc>
          <w:tcPr>
            <w:tcW w:w="1780" w:type="dxa"/>
            <w:vAlign w:val="bottom"/>
            <w:tcBorders>
              <w:right w:val="single" w:sz="8" w:color="E8EAEB"/>
            </w:tcBorders>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Number of Securities</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tcPr>
          <w:p>
            <w:pPr>
              <w:spacing w:after="0"/>
              <w:rPr>
                <w:sz w:val="14"/>
                <w:szCs w:val="14"/>
                <w:color w:val="auto"/>
              </w:rPr>
            </w:pPr>
          </w:p>
        </w:tc>
        <w:tc>
          <w:tcPr>
            <w:tcW w:w="2360" w:type="dxa"/>
            <w:vAlign w:val="bottom"/>
            <w:tcBorders>
              <w:right w:val="single" w:sz="8" w:color="E8EAEB"/>
            </w:tcBorders>
          </w:tcPr>
          <w:p>
            <w:pPr>
              <w:spacing w:after="0"/>
              <w:rPr>
                <w:sz w:val="14"/>
                <w:szCs w:val="14"/>
                <w:color w:val="auto"/>
              </w:rPr>
            </w:pPr>
          </w:p>
        </w:tc>
        <w:tc>
          <w:tcPr>
            <w:tcW w:w="1780" w:type="dxa"/>
            <w:vAlign w:val="bottom"/>
            <w:tcBorders>
              <w:right w:val="single" w:sz="8" w:color="E8EAEB"/>
            </w:tcBorders>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Remaining Available</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tcPr>
          <w:p>
            <w:pPr>
              <w:spacing w:after="0"/>
              <w:rPr>
                <w:sz w:val="14"/>
                <w:szCs w:val="14"/>
                <w:color w:val="auto"/>
              </w:rPr>
            </w:pPr>
          </w:p>
        </w:tc>
        <w:tc>
          <w:tcPr>
            <w:tcW w:w="2360" w:type="dxa"/>
            <w:vAlign w:val="bottom"/>
            <w:tcBorders>
              <w:right w:val="single" w:sz="8" w:color="E8EAEB"/>
            </w:tcBorders>
          </w:tcPr>
          <w:p>
            <w:pPr>
              <w:spacing w:after="0"/>
              <w:rPr>
                <w:sz w:val="14"/>
                <w:szCs w:val="14"/>
                <w:color w:val="auto"/>
              </w:rPr>
            </w:pPr>
          </w:p>
        </w:tc>
        <w:tc>
          <w:tcPr>
            <w:tcW w:w="1780" w:type="dxa"/>
            <w:vAlign w:val="bottom"/>
            <w:tcBorders>
              <w:right w:val="single" w:sz="8" w:color="E8EAEB"/>
            </w:tcBorders>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for Future Issuance</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tcPr>
          <w:p>
            <w:pPr>
              <w:spacing w:after="0"/>
              <w:rPr>
                <w:sz w:val="14"/>
                <w:szCs w:val="14"/>
                <w:color w:val="auto"/>
              </w:rPr>
            </w:pPr>
          </w:p>
        </w:tc>
        <w:tc>
          <w:tcPr>
            <w:tcW w:w="23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Securities to</w:t>
            </w:r>
          </w:p>
        </w:tc>
        <w:tc>
          <w:tcPr>
            <w:tcW w:w="1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Weighted Average</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Under Equity</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tcPr>
          <w:p>
            <w:pPr>
              <w:spacing w:after="0"/>
              <w:rPr>
                <w:sz w:val="14"/>
                <w:szCs w:val="14"/>
                <w:color w:val="auto"/>
              </w:rPr>
            </w:pPr>
          </w:p>
        </w:tc>
        <w:tc>
          <w:tcPr>
            <w:tcW w:w="23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be Issued Upon Exercise</w:t>
            </w:r>
          </w:p>
        </w:tc>
        <w:tc>
          <w:tcPr>
            <w:tcW w:w="1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Exercise Price of</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Compensation Plans</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tcPr>
          <w:p>
            <w:pPr>
              <w:spacing w:after="0"/>
              <w:rPr>
                <w:sz w:val="14"/>
                <w:szCs w:val="14"/>
                <w:color w:val="auto"/>
              </w:rPr>
            </w:pPr>
          </w:p>
        </w:tc>
        <w:tc>
          <w:tcPr>
            <w:tcW w:w="23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Outstanding Options,</w:t>
            </w:r>
          </w:p>
        </w:tc>
        <w:tc>
          <w:tcPr>
            <w:tcW w:w="1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Options,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(Excluding Securities</w:t>
            </w:r>
          </w:p>
        </w:tc>
        <w:tc>
          <w:tcPr>
            <w:tcW w:w="0" w:type="dxa"/>
            <w:vAlign w:val="bottom"/>
          </w:tcPr>
          <w:p>
            <w:pPr>
              <w:spacing w:after="0"/>
              <w:rPr>
                <w:sz w:val="1"/>
                <w:szCs w:val="1"/>
                <w:color w:val="auto"/>
              </w:rPr>
            </w:pPr>
          </w:p>
        </w:tc>
      </w:tr>
      <w:tr>
        <w:trPr>
          <w:trHeight w:val="162"/>
        </w:trPr>
        <w:tc>
          <w:tcPr>
            <w:tcW w:w="452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Plan Category</w:t>
            </w:r>
          </w:p>
        </w:tc>
        <w:tc>
          <w:tcPr>
            <w:tcW w:w="23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1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009FE3"/>
              </w:rPr>
              <w:t>Reflected in Column</w:t>
            </w:r>
          </w:p>
        </w:tc>
        <w:tc>
          <w:tcPr>
            <w:tcW w:w="0" w:type="dxa"/>
            <w:vAlign w:val="bottom"/>
          </w:tcPr>
          <w:p>
            <w:pPr>
              <w:spacing w:after="0"/>
              <w:rPr>
                <w:sz w:val="1"/>
                <w:szCs w:val="1"/>
                <w:color w:val="auto"/>
              </w:rPr>
            </w:pPr>
          </w:p>
        </w:tc>
      </w:tr>
      <w:tr>
        <w:trPr>
          <w:trHeight w:val="136"/>
        </w:trPr>
        <w:tc>
          <w:tcPr>
            <w:tcW w:w="4520" w:type="dxa"/>
            <w:vAlign w:val="bottom"/>
            <w:tcBorders>
              <w:right w:val="single" w:sz="8" w:color="E8EAEB"/>
            </w:tcBorders>
            <w:vMerge w:val="continue"/>
          </w:tcPr>
          <w:p>
            <w:pPr>
              <w:spacing w:after="0"/>
              <w:rPr>
                <w:sz w:val="11"/>
                <w:szCs w:val="11"/>
                <w:color w:val="auto"/>
              </w:rPr>
            </w:pPr>
          </w:p>
        </w:tc>
        <w:tc>
          <w:tcPr>
            <w:tcW w:w="236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w w:val="99"/>
              </w:rPr>
              <w:t>(#)(1)</w:t>
            </w:r>
          </w:p>
        </w:tc>
        <w:tc>
          <w:tcPr>
            <w:tcW w:w="178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rPr>
              <w:t>($)(2)</w:t>
            </w: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009FE3"/>
              </w:rPr>
              <w:t>(a))(#)</w:t>
            </w:r>
          </w:p>
        </w:tc>
        <w:tc>
          <w:tcPr>
            <w:tcW w:w="0" w:type="dxa"/>
            <w:vAlign w:val="bottom"/>
          </w:tcPr>
          <w:p>
            <w:pPr>
              <w:spacing w:after="0"/>
              <w:rPr>
                <w:sz w:val="1"/>
                <w:szCs w:val="1"/>
                <w:color w:val="auto"/>
              </w:rPr>
            </w:pPr>
          </w:p>
        </w:tc>
      </w:tr>
      <w:tr>
        <w:trPr>
          <w:trHeight w:val="53"/>
        </w:trPr>
        <w:tc>
          <w:tcPr>
            <w:tcW w:w="4520" w:type="dxa"/>
            <w:vAlign w:val="bottom"/>
            <w:tcBorders>
              <w:bottom w:val="single" w:sz="8" w:color="009FE3"/>
              <w:right w:val="single" w:sz="8" w:color="E8EAEB"/>
            </w:tcBorders>
          </w:tcPr>
          <w:p>
            <w:pPr>
              <w:spacing w:after="0"/>
              <w:rPr>
                <w:sz w:val="4"/>
                <w:szCs w:val="4"/>
                <w:color w:val="auto"/>
              </w:rPr>
            </w:pPr>
          </w:p>
        </w:tc>
        <w:tc>
          <w:tcPr>
            <w:tcW w:w="2360" w:type="dxa"/>
            <w:vAlign w:val="bottom"/>
            <w:tcBorders>
              <w:bottom w:val="single" w:sz="8" w:color="009FE3"/>
              <w:right w:val="single" w:sz="8" w:color="E8EAEB"/>
            </w:tcBorders>
            <w:vMerge w:val="continue"/>
          </w:tcPr>
          <w:p>
            <w:pPr>
              <w:spacing w:after="0"/>
              <w:rPr>
                <w:sz w:val="4"/>
                <w:szCs w:val="4"/>
                <w:color w:val="auto"/>
              </w:rPr>
            </w:pPr>
          </w:p>
        </w:tc>
        <w:tc>
          <w:tcPr>
            <w:tcW w:w="1780" w:type="dxa"/>
            <w:vAlign w:val="bottom"/>
            <w:tcBorders>
              <w:bottom w:val="single" w:sz="8" w:color="009FE3"/>
              <w:right w:val="single" w:sz="8" w:color="E8EAEB"/>
            </w:tcBorders>
            <w:vMerge w:val="continue"/>
          </w:tcPr>
          <w:p>
            <w:pPr>
              <w:spacing w:after="0"/>
              <w:rPr>
                <w:sz w:val="4"/>
                <w:szCs w:val="4"/>
                <w:color w:val="auto"/>
              </w:rPr>
            </w:pPr>
          </w:p>
        </w:tc>
        <w:tc>
          <w:tcPr>
            <w:tcW w:w="2360" w:type="dxa"/>
            <w:vAlign w:val="bottom"/>
            <w:tcBorders>
              <w:bottom w:val="single" w:sz="8" w:color="009FE3"/>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approved by security holders (3)</w:t>
            </w:r>
          </w:p>
        </w:tc>
        <w:tc>
          <w:tcPr>
            <w:tcW w:w="2360" w:type="dxa"/>
            <w:vAlign w:val="bottom"/>
            <w:tcBorders>
              <w:bottom w:val="single" w:sz="8" w:color="E8EAEB"/>
              <w:right w:val="single" w:sz="8" w:color="E8EAEB"/>
            </w:tcBorders>
          </w:tcPr>
          <w:p>
            <w:pPr>
              <w:jc w:val="right"/>
              <w:ind w:right="105"/>
              <w:spacing w:after="0"/>
              <w:rPr>
                <w:sz w:val="20"/>
                <w:szCs w:val="20"/>
                <w:color w:val="auto"/>
              </w:rPr>
            </w:pPr>
            <w:r>
              <w:rPr>
                <w:rFonts w:ascii="Arial" w:cs="Arial" w:eastAsia="Arial" w:hAnsi="Arial"/>
                <w:sz w:val="16"/>
                <w:szCs w:val="16"/>
                <w:color w:val="202E39"/>
              </w:rPr>
              <w:t>5,876,347</w:t>
            </w:r>
          </w:p>
        </w:tc>
        <w:tc>
          <w:tcPr>
            <w:tcW w:w="1780" w:type="dxa"/>
            <w:vAlign w:val="bottom"/>
            <w:tcBorders>
              <w:bottom w:val="single" w:sz="8" w:color="E8EAEB"/>
              <w:right w:val="single" w:sz="8" w:color="E8EAEB"/>
            </w:tcBorders>
          </w:tcPr>
          <w:p>
            <w:pPr>
              <w:jc w:val="right"/>
              <w:ind w:right="125"/>
              <w:spacing w:after="0"/>
              <w:rPr>
                <w:sz w:val="20"/>
                <w:szCs w:val="20"/>
                <w:color w:val="auto"/>
              </w:rPr>
            </w:pPr>
            <w:r>
              <w:rPr>
                <w:rFonts w:ascii="Arial" w:cs="Arial" w:eastAsia="Arial" w:hAnsi="Arial"/>
                <w:sz w:val="16"/>
                <w:szCs w:val="16"/>
                <w:color w:val="202E39"/>
              </w:rPr>
              <w:t>69.13</w:t>
            </w:r>
          </w:p>
        </w:tc>
        <w:tc>
          <w:tcPr>
            <w:tcW w:w="2360" w:type="dxa"/>
            <w:vAlign w:val="bottom"/>
            <w:tcBorders>
              <w:bottom w:val="single" w:sz="8" w:color="E8EAEB"/>
            </w:tcBorders>
          </w:tcPr>
          <w:p>
            <w:pPr>
              <w:ind w:left="1180"/>
              <w:spacing w:after="0"/>
              <w:rPr>
                <w:sz w:val="20"/>
                <w:szCs w:val="20"/>
                <w:color w:val="auto"/>
              </w:rPr>
            </w:pPr>
            <w:r>
              <w:rPr>
                <w:rFonts w:ascii="Arial" w:cs="Arial" w:eastAsia="Arial" w:hAnsi="Arial"/>
                <w:sz w:val="16"/>
                <w:szCs w:val="16"/>
                <w:color w:val="202E39"/>
              </w:rPr>
              <w:t>4,079,991(4)</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not approved by security holders</w:t>
            </w:r>
          </w:p>
        </w:tc>
        <w:tc>
          <w:tcPr>
            <w:tcW w:w="2360" w:type="dxa"/>
            <w:vAlign w:val="bottom"/>
            <w:tcBorders>
              <w:bottom w:val="single" w:sz="8" w:color="E8EAEB"/>
              <w:right w:val="single" w:sz="8" w:color="E8EAEB"/>
            </w:tcBorders>
          </w:tcPr>
          <w:p>
            <w:pPr>
              <w:jc w:val="right"/>
              <w:ind w:right="985"/>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E8EAEB"/>
              <w:right w:val="single" w:sz="8" w:color="E8EAEB"/>
            </w:tcBorders>
          </w:tcPr>
          <w:p>
            <w:pPr>
              <w:jc w:val="right"/>
              <w:ind w:right="685"/>
              <w:spacing w:after="0"/>
              <w:rPr>
                <w:sz w:val="20"/>
                <w:szCs w:val="20"/>
                <w:color w:val="auto"/>
              </w:rPr>
            </w:pPr>
            <w:r>
              <w:rPr>
                <w:rFonts w:ascii="Arial" w:cs="Arial" w:eastAsia="Arial" w:hAnsi="Arial"/>
                <w:sz w:val="16"/>
                <w:szCs w:val="16"/>
                <w:color w:val="202E39"/>
              </w:rPr>
              <w:t>—</w:t>
            </w:r>
          </w:p>
        </w:tc>
        <w:tc>
          <w:tcPr>
            <w:tcW w:w="2360" w:type="dxa"/>
            <w:vAlign w:val="bottom"/>
            <w:tcBorders>
              <w:bottom w:val="single" w:sz="8" w:color="E8EAEB"/>
            </w:tcBorders>
          </w:tcPr>
          <w:p>
            <w:pPr>
              <w:ind w:left="100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Total</w:t>
            </w:r>
          </w:p>
        </w:tc>
        <w:tc>
          <w:tcPr>
            <w:tcW w:w="2360" w:type="dxa"/>
            <w:vAlign w:val="bottom"/>
            <w:tcBorders>
              <w:bottom w:val="single" w:sz="8" w:color="009FE3"/>
              <w:right w:val="single" w:sz="8" w:color="E8EAEB"/>
            </w:tcBorders>
          </w:tcPr>
          <w:p>
            <w:pPr>
              <w:jc w:val="right"/>
              <w:ind w:right="105"/>
              <w:spacing w:after="0"/>
              <w:rPr>
                <w:sz w:val="20"/>
                <w:szCs w:val="20"/>
                <w:color w:val="auto"/>
              </w:rPr>
            </w:pPr>
            <w:r>
              <w:rPr>
                <w:rFonts w:ascii="Arial" w:cs="Arial" w:eastAsia="Arial" w:hAnsi="Arial"/>
                <w:sz w:val="16"/>
                <w:szCs w:val="16"/>
                <w:color w:val="202E39"/>
              </w:rPr>
              <w:t>5,876,347</w:t>
            </w:r>
          </w:p>
        </w:tc>
        <w:tc>
          <w:tcPr>
            <w:tcW w:w="1780" w:type="dxa"/>
            <w:vAlign w:val="bottom"/>
            <w:tcBorders>
              <w:bottom w:val="single" w:sz="8" w:color="009FE3"/>
              <w:right w:val="single" w:sz="8" w:color="E8EAEB"/>
            </w:tcBorders>
          </w:tcPr>
          <w:p>
            <w:pPr>
              <w:jc w:val="right"/>
              <w:ind w:right="125"/>
              <w:spacing w:after="0"/>
              <w:rPr>
                <w:sz w:val="20"/>
                <w:szCs w:val="20"/>
                <w:color w:val="auto"/>
              </w:rPr>
            </w:pPr>
            <w:r>
              <w:rPr>
                <w:rFonts w:ascii="Arial" w:cs="Arial" w:eastAsia="Arial" w:hAnsi="Arial"/>
                <w:sz w:val="16"/>
                <w:szCs w:val="16"/>
                <w:color w:val="202E39"/>
              </w:rPr>
              <w:t>69.13</w:t>
            </w:r>
          </w:p>
        </w:tc>
        <w:tc>
          <w:tcPr>
            <w:tcW w:w="2360" w:type="dxa"/>
            <w:vAlign w:val="bottom"/>
            <w:tcBorders>
              <w:bottom w:val="single" w:sz="8" w:color="009FE3"/>
            </w:tcBorders>
          </w:tcPr>
          <w:p>
            <w:pPr>
              <w:ind w:left="1180"/>
              <w:spacing w:after="0"/>
              <w:rPr>
                <w:sz w:val="20"/>
                <w:szCs w:val="20"/>
                <w:color w:val="auto"/>
              </w:rPr>
            </w:pPr>
            <w:r>
              <w:rPr>
                <w:rFonts w:ascii="Arial" w:cs="Arial" w:eastAsia="Arial" w:hAnsi="Arial"/>
                <w:sz w:val="16"/>
                <w:szCs w:val="16"/>
                <w:color w:val="202E39"/>
              </w:rPr>
              <w:t>4,079,991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360" w:hanging="424"/>
        <w:spacing w:after="0" w:line="258"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Consists of two plans: (a) the 1996 Equity Participation Plan of Viasat, Inc., and (b) the Viasat, Inc. Employee Stock Purchase Plan.</w:t>
      </w:r>
    </w:p>
    <w:p>
      <w:pPr>
        <w:spacing w:after="0" w:line="68" w:lineRule="exact"/>
        <w:rPr>
          <w:rFonts w:ascii="Arial" w:cs="Arial" w:eastAsia="Arial" w:hAnsi="Arial"/>
          <w:sz w:val="14"/>
          <w:szCs w:val="14"/>
          <w:color w:val="202E39"/>
        </w:rPr>
      </w:pPr>
    </w:p>
    <w:p>
      <w:pPr>
        <w:ind w:left="540" w:right="320" w:hanging="424"/>
        <w:spacing w:after="0" w:line="247"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Includes (a) 3,102,420 shares available for future issuance under the 1996 Equity Participation Plan of Viasat, Inc., and (b) 977,571 shares available for future issuance under the Viasat, Inc. Employee Stock Purchase Plan, all of which may be subject to purchase rights outstanding as of March 31, 2020. 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81915</wp:posOffset>
            </wp:positionV>
            <wp:extent cx="42862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CERTAIN RELATIONSHIPS AND RELATED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Review and Approval of Related Party Transactions</w:t>
      </w:r>
    </w:p>
    <w:p>
      <w:pPr>
        <w:spacing w:after="0" w:line="14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114" w:lineRule="exact"/>
        <w:rPr>
          <w:sz w:val="20"/>
          <w:szCs w:val="20"/>
          <w:color w:val="auto"/>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1"/>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Related Party Transactions</w:t>
      </w:r>
    </w:p>
    <w:p>
      <w:pPr>
        <w:spacing w:after="0" w:line="145"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202E39"/>
        </w:rPr>
        <w:t>A daughter-in-law of Mr. Baldridge is employed as an Attorney at Viasat. She earned an aggregate of approximately $131,200 in base salary and bonus during fiscal year 2020, and participates in our equity award and benefit programs.</w:t>
      </w:r>
    </w:p>
    <w:p>
      <w:pPr>
        <w:spacing w:after="0" w:line="87"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202E39"/>
        </w:rPr>
        <w:t>A brother of Mr. Dankberg is employed as a Director of Information Systems at Viasat. He earned approximately $166,500 in base salary during fiscal year 2020, and participates in our benefit programs. Mr. Dankberg’s son is a Media Operations Director at Viasat. He earned an aggregate of approximately $284,000 in base salary and bonus during fiscal year 2020, and participates in our equity award and benefit programs.</w:t>
      </w:r>
    </w:p>
    <w:p>
      <w:pPr>
        <w:spacing w:after="0" w:line="93"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A brother of Mark Miller is employed as a Systems Design Engineer at Viasat. He earned an aggregate of approximately $401,200 in base salary and bonus during fiscal year 2020, and participates in our equity award and benefit programs. Mr. Miller’s son is a Software Engineer at Viasat. He earned an aggregate of approximately $183,100 in base salary and bonus during fiscal year 2020, and participates in our equity award and benefit programs.</w:t>
      </w:r>
    </w:p>
    <w:p>
      <w:pPr>
        <w:spacing w:after="0" w:line="93" w:lineRule="exact"/>
        <w:rPr>
          <w:sz w:val="20"/>
          <w:szCs w:val="20"/>
          <w:color w:val="auto"/>
        </w:rPr>
      </w:pPr>
    </w:p>
    <w:p>
      <w:pPr>
        <w:ind w:left="120" w:right="440"/>
        <w:spacing w:after="0" w:line="260" w:lineRule="auto"/>
        <w:rPr>
          <w:sz w:val="20"/>
          <w:szCs w:val="20"/>
          <w:color w:val="auto"/>
        </w:rPr>
      </w:pPr>
      <w:r>
        <w:rPr>
          <w:rFonts w:ascii="Arial" w:cs="Arial" w:eastAsia="Arial" w:hAnsi="Arial"/>
          <w:sz w:val="16"/>
          <w:szCs w:val="16"/>
          <w:color w:val="202E39"/>
        </w:rPr>
        <w:t>A brother-in-law of Harvey White is employed as a Business Systems Analyst at Viasat. He earned an aggregate of approximately $156,600 in base salary and bonus during fiscal year 2020, and participates in our equity award and benefit programs.</w:t>
      </w:r>
    </w:p>
    <w:p>
      <w:pPr>
        <w:spacing w:after="0" w:line="11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53</w:t>
            </w: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AUDIT COMMITTEE REPORT</w:t>
      </w:r>
    </w:p>
    <w:p>
      <w:pPr>
        <w:spacing w:after="0" w:line="224" w:lineRule="exact"/>
        <w:rPr>
          <w:sz w:val="20"/>
          <w:szCs w:val="20"/>
          <w:color w:val="auto"/>
        </w:rPr>
      </w:pPr>
    </w:p>
    <w:p>
      <w:pPr>
        <w:ind w:left="120" w:right="180"/>
        <w:spacing w:after="0" w:line="249"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97"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98"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2020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w:t>
      </w:r>
    </w:p>
    <w:p>
      <w:pPr>
        <w:spacing w:after="0" w:line="97"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93"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2020 for filing with the SEC.</w:t>
      </w:r>
    </w:p>
    <w:p>
      <w:pPr>
        <w:spacing w:after="0" w:line="71" w:lineRule="exact"/>
        <w:rPr>
          <w:sz w:val="20"/>
          <w:szCs w:val="20"/>
          <w:color w:val="auto"/>
        </w:rPr>
      </w:pPr>
    </w:p>
    <w:p>
      <w:pPr>
        <w:ind w:left="120"/>
        <w:spacing w:after="0" w:line="258"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97"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 Audit Committee</w:t>
      </w:r>
    </w:p>
    <w:p>
      <w:pPr>
        <w:spacing w:after="0" w:line="2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Harvey White (Chair)</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Robert Johnson</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286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OTHER MATTERS</w:t>
      </w:r>
    </w:p>
    <w:p>
      <w:pPr>
        <w:spacing w:after="0" w:line="208"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i w:val="1"/>
          <w:iCs w:val="1"/>
          <w:color w:val="009FE3"/>
        </w:rPr>
        <w:t xml:space="preserve">Stockholder Proposals for Inclusion in Viasat’s 2021 Proxy Statement. </w:t>
      </w:r>
      <w:r>
        <w:rPr>
          <w:rFonts w:ascii="Arial" w:cs="Arial" w:eastAsia="Arial" w:hAnsi="Arial"/>
          <w:sz w:val="16"/>
          <w:szCs w:val="16"/>
          <w:color w:val="202E39"/>
        </w:rPr>
        <w:t>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2021 annual meeting of stockholders, proposals must satisfy the conditions established by the SEC for stockholder proposals to be included in the proxy statement, and must otherwise be received by Viasat no later than March 25, 2021, unless the date of the 2021 annual meeting is changed by more than 30 days from the anniversary of our 2020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79" w:lineRule="exact"/>
        <w:rPr>
          <w:sz w:val="20"/>
          <w:szCs w:val="20"/>
          <w:color w:val="auto"/>
        </w:rPr>
      </w:pPr>
    </w:p>
    <w:p>
      <w:pPr>
        <w:ind w:left="120" w:right="20"/>
        <w:spacing w:after="0" w:line="212" w:lineRule="auto"/>
        <w:rPr>
          <w:sz w:val="20"/>
          <w:szCs w:val="20"/>
          <w:color w:val="auto"/>
        </w:rPr>
      </w:pPr>
      <w:r>
        <w:rPr>
          <w:rFonts w:ascii="Arial" w:cs="Arial" w:eastAsia="Arial" w:hAnsi="Arial"/>
          <w:sz w:val="16"/>
          <w:szCs w:val="16"/>
          <w:i w:val="1"/>
          <w:iCs w:val="1"/>
          <w:color w:val="009FE3"/>
        </w:rPr>
        <w:t xml:space="preserve">Stockholder Proposals for Presentation at the 2021 Annual Meeting. </w:t>
      </w:r>
      <w:r>
        <w:rPr>
          <w:rFonts w:ascii="Arial" w:cs="Arial" w:eastAsia="Arial" w:hAnsi="Arial"/>
          <w:sz w:val="16"/>
          <w:szCs w:val="16"/>
          <w:color w:val="202E39"/>
        </w:rPr>
        <w:t>If a stockholder wishes to present a proposal at our 2021 annual meeting of</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nor later than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anniversary of our 2020 annual meeting. As a result, proposals submitted pursuant to these provisions of our bylaws must be received no earlier than the close of business on May 6, 2021 and no later than the close of business on June 5, 2021. However, if the date of the 2021 annual meeting is advanced by more than 30 days or delayed by more than 60 days from the anniversary of the 2020 annual meeting, notice by the stockholder must be received no later than the later of (1)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2021 annual meeting or (2) the 10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following the day on which public disclosure of the date of the 2021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3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55</w:t>
            </w: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APPENDIX 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1996 EQUITY PARTICIPATION PLAN OF VIASAT, INC.</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02E39"/>
        </w:rPr>
        <w:t>(AS AMENDED AND RESTATED EFFECTIVE SEPTEMBER 3, 2020)</w:t>
      </w:r>
    </w:p>
    <w:p>
      <w:pPr>
        <w:spacing w:after="0" w:line="132"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3, 2020 (the “Restatement Effective Date”), which is the date on which this amendment and restatement of the Plan was approved by the stockholders of the Company.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purposes of this Plan are as follows:</w:t>
      </w:r>
    </w:p>
    <w:p>
      <w:pPr>
        <w:spacing w:after="0" w:line="113" w:lineRule="exact"/>
        <w:rPr>
          <w:sz w:val="20"/>
          <w:szCs w:val="20"/>
          <w:color w:val="auto"/>
        </w:rPr>
      </w:pPr>
    </w:p>
    <w:p>
      <w:pPr>
        <w:ind w:left="120" w:right="300" w:hanging="4"/>
        <w:spacing w:after="0" w:line="253" w:lineRule="auto"/>
        <w:tabs>
          <w:tab w:leader="none" w:pos="363" w:val="left"/>
        </w:tabs>
        <w:numPr>
          <w:ilvl w:val="0"/>
          <w:numId w:val="52"/>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93" w:lineRule="exact"/>
        <w:rPr>
          <w:rFonts w:ascii="Arial" w:cs="Arial" w:eastAsia="Arial" w:hAnsi="Arial"/>
          <w:sz w:val="16"/>
          <w:szCs w:val="16"/>
          <w:color w:val="202E39"/>
        </w:rPr>
      </w:pPr>
    </w:p>
    <w:p>
      <w:pPr>
        <w:ind w:left="120" w:right="100" w:hanging="4"/>
        <w:spacing w:after="0" w:line="253" w:lineRule="auto"/>
        <w:tabs>
          <w:tab w:leader="none" w:pos="363" w:val="left"/>
        </w:tabs>
        <w:numPr>
          <w:ilvl w:val="0"/>
          <w:numId w:val="52"/>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 DEFINITIONS</w:t>
      </w:r>
    </w:p>
    <w:p>
      <w:pPr>
        <w:spacing w:after="0" w:line="124"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w:t>
      </w:r>
      <w:r>
        <w:rPr>
          <w:rFonts w:ascii="Arial" w:cs="Arial" w:eastAsia="Arial" w:hAnsi="Arial"/>
          <w:sz w:val="16"/>
          <w:szCs w:val="16"/>
          <w:color w:val="202E39"/>
        </w:rPr>
        <w:t>. Wherever the following terms are used in this Plan they shall have the meanings specified below, unless the context clearly indicates otherwise.</w:t>
      </w:r>
    </w:p>
    <w:p>
      <w:pPr>
        <w:spacing w:after="0" w:line="87"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xml:space="preserve">. “Award Limit” shall mean One Million (1,000,000) shares of Common Stock with respect to Options or Stock Appreciation Rights granted under the Plan and Three Hundred Thousand (300,000)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in connection with an individual’s initial service as an Employee, such limit will be Six Hundred Thousand (600,000)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$5,000,000.</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13" w:lineRule="exact"/>
        <w:rPr>
          <w:sz w:val="20"/>
          <w:szCs w:val="20"/>
          <w:color w:val="auto"/>
        </w:rPr>
      </w:pPr>
    </w:p>
    <w:p>
      <w:pPr>
        <w:ind w:left="120" w:right="760"/>
        <w:spacing w:after="0" w:line="260"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87" w:lineRule="exact"/>
        <w:rPr>
          <w:sz w:val="20"/>
          <w:szCs w:val="20"/>
          <w:color w:val="auto"/>
        </w:rPr>
      </w:pPr>
    </w:p>
    <w:p>
      <w:pPr>
        <w:ind w:left="560" w:right="100" w:hanging="4"/>
        <w:spacing w:after="0" w:line="251" w:lineRule="auto"/>
        <w:tabs>
          <w:tab w:leader="none" w:pos="803"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94" w:lineRule="exact"/>
        <w:rPr>
          <w:rFonts w:ascii="Arial" w:cs="Arial" w:eastAsia="Arial" w:hAnsi="Arial"/>
          <w:sz w:val="16"/>
          <w:szCs w:val="16"/>
          <w:color w:val="202E39"/>
        </w:rPr>
      </w:pPr>
    </w:p>
    <w:p>
      <w:pPr>
        <w:ind w:left="560" w:right="180" w:hanging="4"/>
        <w:spacing w:after="0" w:line="250" w:lineRule="auto"/>
        <w:tabs>
          <w:tab w:leader="none" w:pos="803"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13"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87" w:lineRule="exact"/>
        <w:rPr>
          <w:sz w:val="20"/>
          <w:szCs w:val="20"/>
          <w:color w:val="auto"/>
        </w:rPr>
      </w:pPr>
    </w:p>
    <w:p>
      <w:pPr>
        <w:jc w:val="both"/>
        <w:ind w:left="120" w:right="660"/>
        <w:spacing w:after="0" w:line="253"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19"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A-1</w:t>
            </w:r>
          </w:p>
        </w:tc>
      </w:tr>
    </w:tbl>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1.9 </w:t>
      </w:r>
      <w:r>
        <w:rPr>
          <w:rFonts w:ascii="Arial" w:cs="Arial" w:eastAsia="Arial" w:hAnsi="Arial"/>
          <w:sz w:val="16"/>
          <w:szCs w:val="16"/>
          <w:u w:val="single" w:color="auto"/>
          <w:color w:val="202E39"/>
        </w:rPr>
        <w:t>Corporate Transaction</w:t>
      </w:r>
      <w:r>
        <w:rPr>
          <w:rFonts w:ascii="Arial" w:cs="Arial" w:eastAsia="Arial" w:hAnsi="Arial"/>
          <w:sz w:val="16"/>
          <w:szCs w:val="16"/>
          <w:color w:val="202E39"/>
        </w:rPr>
        <w:t>. “Corporate Transaction” shall mean any of the following stockholder-approved transactions to which the Company is a party:</w:t>
      </w:r>
    </w:p>
    <w:p>
      <w:pPr>
        <w:spacing w:after="0" w:line="113" w:lineRule="exact"/>
        <w:rPr>
          <w:sz w:val="20"/>
          <w:szCs w:val="20"/>
          <w:color w:val="auto"/>
        </w:rPr>
      </w:pPr>
    </w:p>
    <w:p>
      <w:pPr>
        <w:jc w:val="both"/>
        <w:ind w:left="560" w:right="180" w:hanging="4"/>
        <w:spacing w:after="0" w:line="253" w:lineRule="auto"/>
        <w:tabs>
          <w:tab w:leader="none" w:pos="80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93" w:lineRule="exact"/>
        <w:rPr>
          <w:rFonts w:ascii="Arial" w:cs="Arial" w:eastAsia="Arial" w:hAnsi="Arial"/>
          <w:sz w:val="16"/>
          <w:szCs w:val="16"/>
          <w:color w:val="202E39"/>
        </w:rPr>
      </w:pPr>
    </w:p>
    <w:p>
      <w:pPr>
        <w:ind w:left="560" w:right="200" w:hanging="4"/>
        <w:spacing w:after="0" w:line="260" w:lineRule="auto"/>
        <w:tabs>
          <w:tab w:leader="none" w:pos="80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87" w:lineRule="exact"/>
        <w:rPr>
          <w:rFonts w:ascii="Arial" w:cs="Arial" w:eastAsia="Arial" w:hAnsi="Arial"/>
          <w:sz w:val="16"/>
          <w:szCs w:val="16"/>
          <w:color w:val="202E39"/>
        </w:rPr>
      </w:pPr>
    </w:p>
    <w:p>
      <w:pPr>
        <w:ind w:left="560" w:hanging="4"/>
        <w:spacing w:after="0" w:line="253" w:lineRule="auto"/>
        <w:tabs>
          <w:tab w:leader="none" w:pos="794"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13" w:lineRule="exact"/>
        <w:rPr>
          <w:sz w:val="20"/>
          <w:szCs w:val="20"/>
          <w:color w:val="auto"/>
        </w:rPr>
      </w:pPr>
    </w:p>
    <w:p>
      <w:pPr>
        <w:ind w:left="120" w:right="560"/>
        <w:spacing w:after="0" w:line="260"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87"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8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1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99"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202E39"/>
        </w:rPr>
        <w:t xml:space="preserve">1.16 </w:t>
      </w:r>
      <w:r>
        <w:rPr>
          <w:rFonts w:ascii="Arial" w:cs="Arial" w:eastAsia="Arial" w:hAnsi="Arial"/>
          <w:sz w:val="16"/>
          <w:szCs w:val="16"/>
          <w:u w:val="single" w:color="auto"/>
          <w:color w:val="202E39"/>
        </w:rPr>
        <w:t>Full Value Award</w:t>
      </w:r>
      <w:r>
        <w:rPr>
          <w:rFonts w:ascii="Arial" w:cs="Arial" w:eastAsia="Arial" w:hAnsi="Arial"/>
          <w:sz w:val="16"/>
          <w:szCs w:val="16"/>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87"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87"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13"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87"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13"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87" w:lineRule="exact"/>
        <w:rPr>
          <w:sz w:val="20"/>
          <w:szCs w:val="20"/>
          <w:color w:val="auto"/>
        </w:rPr>
      </w:pPr>
    </w:p>
    <w:p>
      <w:pPr>
        <w:ind w:left="120" w:right="440"/>
        <w:spacing w:after="0" w:line="253" w:lineRule="auto"/>
        <w:rPr>
          <w:sz w:val="20"/>
          <w:szCs w:val="20"/>
          <w:color w:val="auto"/>
        </w:rPr>
      </w:pPr>
      <w:r>
        <w:rPr>
          <w:rFonts w:ascii="Arial" w:cs="Arial" w:eastAsia="Arial" w:hAnsi="Arial"/>
          <w:sz w:val="16"/>
          <w:szCs w:val="16"/>
          <w:color w:val="202E39"/>
        </w:rPr>
        <w:t>1.24 “</w:t>
      </w:r>
      <w:r>
        <w:rPr>
          <w:rFonts w:ascii="Arial" w:cs="Arial" w:eastAsia="Arial" w:hAnsi="Arial"/>
          <w:sz w:val="16"/>
          <w:szCs w:val="16"/>
          <w:u w:val="single" w:color="auto"/>
          <w:color w:val="202E39"/>
        </w:rPr>
        <w:t>Permanent Disability</w:t>
      </w:r>
      <w:r>
        <w:rPr>
          <w:rFonts w:ascii="Arial" w:cs="Arial" w:eastAsia="Arial" w:hAnsi="Arial"/>
          <w:sz w:val="16"/>
          <w:szCs w:val="16"/>
          <w:color w:val="202E39"/>
        </w:rPr>
        <w:t>”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83820</wp:posOffset>
            </wp:positionV>
            <wp:extent cx="42862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A-2</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1974, as amended, or the rules thereunder.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13"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13" w:lineRule="exact"/>
        <w:rPr>
          <w:sz w:val="20"/>
          <w:szCs w:val="20"/>
          <w:color w:val="auto"/>
        </w:rPr>
      </w:pPr>
    </w:p>
    <w:p>
      <w:pPr>
        <w:ind w:left="120" w:right="340"/>
        <w:spacing w:after="0" w:line="251"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94"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93"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99"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94"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1.36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 SHARES SUBJECT TO PLAN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13" w:lineRule="exact"/>
        <w:rPr>
          <w:sz w:val="20"/>
          <w:szCs w:val="20"/>
          <w:color w:val="auto"/>
        </w:rPr>
      </w:pPr>
    </w:p>
    <w:p>
      <w:pPr>
        <w:ind w:left="560" w:right="220" w:hanging="4"/>
        <w:spacing w:after="0" w:line="250" w:lineRule="auto"/>
        <w:tabs>
          <w:tab w:leader="none" w:pos="803"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38,025,000. The shares of Common Stock issuable upon exercise of such options or rights or upon any such awards may be either previously authorized but unissued shares or treasury shares.</w:t>
      </w:r>
    </w:p>
    <w:p>
      <w:pPr>
        <w:spacing w:after="0" w:line="120"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A-3</w:t>
            </w: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40" w:hanging="4"/>
        <w:spacing w:after="0" w:line="250" w:lineRule="auto"/>
        <w:tabs>
          <w:tab w:leader="none" w:pos="80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Any shares subject to Options or Stock Appreciation Rights shall be counted against the numerical limit of Section 2.1(a) as one share for every share subject thereto. Any shares subject to Full Value Awards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94" w:lineRule="exact"/>
        <w:rPr>
          <w:rFonts w:ascii="Arial" w:cs="Arial" w:eastAsia="Arial" w:hAnsi="Arial"/>
          <w:sz w:val="16"/>
          <w:szCs w:val="16"/>
          <w:color w:val="202E39"/>
        </w:rPr>
      </w:pPr>
    </w:p>
    <w:p>
      <w:pPr>
        <w:ind w:left="560" w:right="140" w:hanging="4"/>
        <w:spacing w:after="0" w:line="253" w:lineRule="auto"/>
        <w:tabs>
          <w:tab w:leader="none" w:pos="794"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93"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202E39"/>
        </w:rPr>
        <w:t xml:space="preserve">2.2 </w:t>
      </w:r>
      <w:r>
        <w:rPr>
          <w:rFonts w:ascii="Arial" w:cs="Arial" w:eastAsia="Arial" w:hAnsi="Arial"/>
          <w:sz w:val="16"/>
          <w:szCs w:val="16"/>
          <w:u w:val="single" w:color="auto"/>
          <w:color w:val="202E39"/>
        </w:rPr>
        <w:t>Add-Back of Shares</w:t>
      </w:r>
      <w:r>
        <w:rPr>
          <w:rFonts w:ascii="Arial" w:cs="Arial" w:eastAsia="Arial" w:hAnsi="Arial"/>
          <w:sz w:val="16"/>
          <w:szCs w:val="16"/>
          <w:color w:val="202E39"/>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w:t>
      </w:r>
    </w:p>
    <w:p>
      <w:pPr>
        <w:spacing w:after="0" w:line="4" w:lineRule="exact"/>
        <w:rPr>
          <w:sz w:val="20"/>
          <w:szCs w:val="20"/>
          <w:color w:val="auto"/>
        </w:rPr>
      </w:pPr>
    </w:p>
    <w:p>
      <w:pPr>
        <w:ind w:left="120" w:hanging="4"/>
        <w:spacing w:after="0" w:line="247" w:lineRule="auto"/>
        <w:tabs>
          <w:tab w:leader="none" w:pos="381"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provided, however, that, notwithstanding the foregoing, in the event shares of Common Stock subject to a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III. GRANTING OF OPTIONS</w:t>
      </w:r>
    </w:p>
    <w:p>
      <w:pPr>
        <w:spacing w:after="0" w:line="124" w:lineRule="exact"/>
        <w:rPr>
          <w:sz w:val="20"/>
          <w:szCs w:val="20"/>
          <w:color w:val="auto"/>
        </w:rPr>
      </w:pPr>
    </w:p>
    <w:p>
      <w:pPr>
        <w:ind w:left="120" w:right="620"/>
        <w:spacing w:after="0" w:line="260"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13" w:lineRule="exact"/>
        <w:rPr>
          <w:sz w:val="20"/>
          <w:szCs w:val="20"/>
          <w:color w:val="auto"/>
        </w:rPr>
      </w:pPr>
    </w:p>
    <w:p>
      <w:pPr>
        <w:ind w:left="800" w:hanging="244"/>
        <w:spacing w:after="0"/>
        <w:tabs>
          <w:tab w:leader="none" w:pos="800"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13" w:lineRule="exact"/>
        <w:rPr>
          <w:rFonts w:ascii="Arial" w:cs="Arial" w:eastAsia="Arial" w:hAnsi="Arial"/>
          <w:sz w:val="16"/>
          <w:szCs w:val="16"/>
          <w:color w:val="202E39"/>
        </w:rPr>
      </w:pPr>
    </w:p>
    <w:p>
      <w:pPr>
        <w:ind w:left="1000" w:right="60" w:hanging="3"/>
        <w:spacing w:after="0" w:line="260" w:lineRule="auto"/>
        <w:tabs>
          <w:tab w:leader="none" w:pos="1189" w:val="left"/>
        </w:tabs>
        <w:numPr>
          <w:ilvl w:val="1"/>
          <w:numId w:val="58"/>
        </w:numPr>
        <w:rPr>
          <w:rFonts w:ascii="Arial" w:cs="Arial" w:eastAsia="Arial" w:hAnsi="Arial"/>
          <w:sz w:val="16"/>
          <w:szCs w:val="16"/>
          <w:color w:val="202E39"/>
        </w:rPr>
      </w:pPr>
      <w:r>
        <w:rPr>
          <w:rFonts w:ascii="Arial" w:cs="Arial" w:eastAsia="Arial" w:hAnsi="Arial"/>
          <w:sz w:val="16"/>
          <w:szCs w:val="16"/>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80010</wp:posOffset>
            </wp:positionV>
            <wp:extent cx="4286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000" w:right="500" w:hanging="3"/>
        <w:spacing w:after="0" w:line="260" w:lineRule="auto"/>
        <w:tabs>
          <w:tab w:leader="none" w:pos="1225" w:val="left"/>
        </w:tabs>
        <w:numPr>
          <w:ilvl w:val="1"/>
          <w:numId w:val="59"/>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87" w:lineRule="exact"/>
        <w:rPr>
          <w:rFonts w:ascii="Arial" w:cs="Arial" w:eastAsia="Arial" w:hAnsi="Arial"/>
          <w:sz w:val="16"/>
          <w:szCs w:val="16"/>
          <w:color w:val="202E39"/>
        </w:rPr>
      </w:pPr>
    </w:p>
    <w:p>
      <w:pPr>
        <w:ind w:left="1260" w:hanging="263"/>
        <w:spacing w:after="0"/>
        <w:tabs>
          <w:tab w:leader="none" w:pos="1260" w:val="left"/>
        </w:tabs>
        <w:numPr>
          <w:ilvl w:val="1"/>
          <w:numId w:val="59"/>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13" w:lineRule="exact"/>
        <w:rPr>
          <w:rFonts w:ascii="Arial" w:cs="Arial" w:eastAsia="Arial" w:hAnsi="Arial"/>
          <w:sz w:val="16"/>
          <w:szCs w:val="16"/>
          <w:color w:val="202E39"/>
        </w:rPr>
      </w:pPr>
    </w:p>
    <w:p>
      <w:pPr>
        <w:ind w:left="1260" w:hanging="263"/>
        <w:spacing w:after="0"/>
        <w:tabs>
          <w:tab w:leader="none" w:pos="1260" w:val="left"/>
        </w:tabs>
        <w:numPr>
          <w:ilvl w:val="1"/>
          <w:numId w:val="59"/>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13" w:lineRule="exact"/>
        <w:rPr>
          <w:rFonts w:ascii="Arial" w:cs="Arial" w:eastAsia="Arial" w:hAnsi="Arial"/>
          <w:sz w:val="16"/>
          <w:szCs w:val="16"/>
          <w:color w:val="202E39"/>
        </w:rPr>
      </w:pPr>
    </w:p>
    <w:p>
      <w:pPr>
        <w:ind w:left="560" w:right="20" w:hanging="4"/>
        <w:spacing w:after="0" w:line="247" w:lineRule="auto"/>
        <w:tabs>
          <w:tab w:leader="none" w:pos="803"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292" w:lineRule="exact"/>
        <w:rPr>
          <w:rFonts w:ascii="Arial" w:cs="Arial" w:eastAsia="Arial" w:hAnsi="Arial"/>
          <w:sz w:val="16"/>
          <w:szCs w:val="16"/>
          <w:color w:val="202E39"/>
        </w:rPr>
      </w:pPr>
    </w:p>
    <w:p>
      <w:pPr>
        <w:ind w:left="560" w:right="80" w:hanging="4"/>
        <w:spacing w:after="0" w:line="260" w:lineRule="auto"/>
        <w:tabs>
          <w:tab w:leader="none" w:pos="794"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87" w:lineRule="exact"/>
        <w:rPr>
          <w:rFonts w:ascii="Arial" w:cs="Arial" w:eastAsia="Arial" w:hAnsi="Arial"/>
          <w:sz w:val="16"/>
          <w:szCs w:val="16"/>
          <w:color w:val="202E39"/>
        </w:rPr>
      </w:pPr>
    </w:p>
    <w:p>
      <w:pPr>
        <w:ind w:left="560" w:right="20" w:hanging="4"/>
        <w:spacing w:after="0" w:line="247" w:lineRule="auto"/>
        <w:tabs>
          <w:tab w:leader="none" w:pos="803"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In addition, all Options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IV. TERMS OF OPTIONS</w:t>
      </w:r>
    </w:p>
    <w:p>
      <w:pPr>
        <w:spacing w:after="0" w:line="12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94"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122"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A-5</w:t>
            </w:r>
          </w:p>
        </w:tc>
      </w:tr>
    </w:tbl>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w:t>
      </w:r>
    </w:p>
    <w:p>
      <w:pPr>
        <w:spacing w:after="0" w:line="5" w:lineRule="exact"/>
        <w:rPr>
          <w:sz w:val="20"/>
          <w:szCs w:val="20"/>
          <w:color w:val="auto"/>
        </w:rPr>
      </w:pPr>
    </w:p>
    <w:p>
      <w:pPr>
        <w:ind w:left="120" w:right="140" w:hanging="4"/>
        <w:spacing w:after="0" w:line="249" w:lineRule="auto"/>
        <w:tabs>
          <w:tab w:leader="none" w:pos="363"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13" w:lineRule="exact"/>
        <w:rPr>
          <w:sz w:val="20"/>
          <w:szCs w:val="20"/>
          <w:color w:val="auto"/>
        </w:rPr>
      </w:pPr>
    </w:p>
    <w:p>
      <w:pPr>
        <w:ind w:left="560" w:right="20" w:hanging="4"/>
        <w:spacing w:after="0" w:line="251" w:lineRule="auto"/>
        <w:tabs>
          <w:tab w:leader="none" w:pos="80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94" w:lineRule="exact"/>
        <w:rPr>
          <w:rFonts w:ascii="Arial" w:cs="Arial" w:eastAsia="Arial" w:hAnsi="Arial"/>
          <w:sz w:val="16"/>
          <w:szCs w:val="16"/>
          <w:color w:val="202E39"/>
        </w:rPr>
      </w:pPr>
    </w:p>
    <w:p>
      <w:pPr>
        <w:ind w:left="560" w:right="100" w:hanging="4"/>
        <w:spacing w:after="0" w:line="251" w:lineRule="auto"/>
        <w:tabs>
          <w:tab w:leader="none" w:pos="80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94" w:lineRule="exact"/>
        <w:rPr>
          <w:rFonts w:ascii="Arial" w:cs="Arial" w:eastAsia="Arial" w:hAnsi="Arial"/>
          <w:sz w:val="16"/>
          <w:szCs w:val="16"/>
          <w:color w:val="202E39"/>
        </w:rPr>
      </w:pPr>
    </w:p>
    <w:p>
      <w:pPr>
        <w:ind w:left="560" w:hanging="4"/>
        <w:spacing w:after="0" w:line="249" w:lineRule="auto"/>
        <w:tabs>
          <w:tab w:leader="none" w:pos="794"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97" w:lineRule="exact"/>
        <w:rPr>
          <w:sz w:val="20"/>
          <w:szCs w:val="20"/>
          <w:color w:val="auto"/>
        </w:rPr>
      </w:pPr>
    </w:p>
    <w:p>
      <w:pPr>
        <w:ind w:left="120" w:right="140"/>
        <w:spacing w:after="0" w:line="248"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 EXERCISE OF OPTIONS</w:t>
      </w:r>
    </w:p>
    <w:p>
      <w:pPr>
        <w:spacing w:after="0" w:line="124"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5.2 </w:t>
      </w:r>
      <w:r>
        <w:rPr>
          <w:rFonts w:ascii="Arial" w:cs="Arial" w:eastAsia="Arial" w:hAnsi="Arial"/>
          <w:sz w:val="16"/>
          <w:szCs w:val="16"/>
          <w:u w:val="single" w:color="auto"/>
          <w:color w:val="202E39"/>
        </w:rPr>
        <w:t>Manner of Exercise</w:t>
      </w:r>
      <w:r>
        <w:rPr>
          <w:rFonts w:ascii="Arial" w:cs="Arial" w:eastAsia="Arial" w:hAnsi="Arial"/>
          <w:sz w:val="16"/>
          <w:szCs w:val="16"/>
          <w:i w:val="1"/>
          <w:iCs w:val="1"/>
          <w:color w:val="202E39"/>
        </w:rPr>
        <w:t>.</w:t>
      </w:r>
      <w:r>
        <w:rPr>
          <w:rFonts w:ascii="Arial" w:cs="Arial" w:eastAsia="Arial" w:hAnsi="Arial"/>
          <w:sz w:val="16"/>
          <w:szCs w:val="16"/>
          <w:color w:val="202E39"/>
        </w:rPr>
        <w:t xml:space="preserve"> All or a portion of an exercisable Option shall be deemed exercised upon delivery of all of the following to the Secretary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Company or his office:</w:t>
      </w:r>
    </w:p>
    <w:p>
      <w:pPr>
        <w:spacing w:after="0" w:line="113" w:lineRule="exact"/>
        <w:rPr>
          <w:sz w:val="20"/>
          <w:szCs w:val="20"/>
          <w:color w:val="auto"/>
        </w:rPr>
      </w:pPr>
    </w:p>
    <w:p>
      <w:pPr>
        <w:ind w:left="560" w:right="120" w:hanging="4"/>
        <w:spacing w:after="0" w:line="253" w:lineRule="auto"/>
        <w:tabs>
          <w:tab w:leader="none" w:pos="803"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93" w:lineRule="exact"/>
        <w:rPr>
          <w:rFonts w:ascii="Arial" w:cs="Arial" w:eastAsia="Arial" w:hAnsi="Arial"/>
          <w:sz w:val="16"/>
          <w:szCs w:val="16"/>
          <w:color w:val="202E39"/>
        </w:rPr>
      </w:pPr>
    </w:p>
    <w:p>
      <w:pPr>
        <w:ind w:left="560" w:right="60" w:hanging="4"/>
        <w:spacing w:after="0" w:line="250" w:lineRule="auto"/>
        <w:tabs>
          <w:tab w:leader="none" w:pos="803"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94" w:lineRule="exact"/>
        <w:rPr>
          <w:rFonts w:ascii="Arial" w:cs="Arial" w:eastAsia="Arial" w:hAnsi="Arial"/>
          <w:sz w:val="16"/>
          <w:szCs w:val="16"/>
          <w:color w:val="202E39"/>
        </w:rPr>
      </w:pPr>
    </w:p>
    <w:p>
      <w:pPr>
        <w:ind w:left="560" w:right="100" w:hanging="4"/>
        <w:spacing w:after="0" w:line="260" w:lineRule="auto"/>
        <w:tabs>
          <w:tab w:leader="none" w:pos="794"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80010</wp:posOffset>
            </wp:positionV>
            <wp:extent cx="42862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560" w:right="20" w:hanging="4"/>
        <w:spacing w:after="0" w:line="247" w:lineRule="auto"/>
        <w:tabs>
          <w:tab w:leader="none" w:pos="80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86" w:lineRule="exact"/>
        <w:rPr>
          <w:sz w:val="20"/>
          <w:szCs w:val="20"/>
          <w:color w:val="auto"/>
        </w:rPr>
      </w:pPr>
    </w:p>
    <w:p>
      <w:pPr>
        <w:ind w:left="120" w:right="200"/>
        <w:spacing w:after="0" w:line="281"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71" w:lineRule="exact"/>
        <w:rPr>
          <w:sz w:val="20"/>
          <w:szCs w:val="20"/>
          <w:color w:val="auto"/>
        </w:rPr>
      </w:pPr>
    </w:p>
    <w:p>
      <w:pPr>
        <w:ind w:left="800" w:hanging="244"/>
        <w:spacing w:after="0"/>
        <w:tabs>
          <w:tab w:leader="none" w:pos="800"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13" w:lineRule="exact"/>
        <w:rPr>
          <w:rFonts w:ascii="Arial" w:cs="Arial" w:eastAsia="Arial" w:hAnsi="Arial"/>
          <w:sz w:val="16"/>
          <w:szCs w:val="16"/>
          <w:color w:val="202E39"/>
        </w:rPr>
      </w:pPr>
    </w:p>
    <w:p>
      <w:pPr>
        <w:ind w:left="560" w:right="160" w:hanging="4"/>
        <w:spacing w:after="0" w:line="253"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93" w:lineRule="exact"/>
        <w:rPr>
          <w:rFonts w:ascii="Arial" w:cs="Arial" w:eastAsia="Arial" w:hAnsi="Arial"/>
          <w:sz w:val="16"/>
          <w:szCs w:val="16"/>
          <w:color w:val="202E39"/>
        </w:rPr>
      </w:pPr>
    </w:p>
    <w:p>
      <w:pPr>
        <w:ind w:left="560" w:right="140" w:hanging="4"/>
        <w:spacing w:after="0" w:line="260" w:lineRule="auto"/>
        <w:tabs>
          <w:tab w:leader="none" w:pos="794"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87" w:lineRule="exact"/>
        <w:rPr>
          <w:rFonts w:ascii="Arial" w:cs="Arial" w:eastAsia="Arial" w:hAnsi="Arial"/>
          <w:sz w:val="16"/>
          <w:szCs w:val="16"/>
          <w:color w:val="202E39"/>
        </w:rPr>
      </w:pPr>
    </w:p>
    <w:p>
      <w:pPr>
        <w:ind w:left="560" w:right="160" w:hanging="4"/>
        <w:spacing w:after="0" w:line="260"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87" w:lineRule="exact"/>
        <w:rPr>
          <w:rFonts w:ascii="Arial" w:cs="Arial" w:eastAsia="Arial" w:hAnsi="Arial"/>
          <w:sz w:val="16"/>
          <w:szCs w:val="16"/>
          <w:color w:val="202E39"/>
        </w:rPr>
      </w:pPr>
    </w:p>
    <w:p>
      <w:pPr>
        <w:ind w:left="800" w:hanging="244"/>
        <w:spacing w:after="0"/>
        <w:tabs>
          <w:tab w:leader="none" w:pos="800"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13"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9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9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100" w:lineRule="exact"/>
        <w:rPr>
          <w:sz w:val="20"/>
          <w:szCs w:val="20"/>
          <w:color w:val="auto"/>
        </w:rPr>
      </w:pPr>
    </w:p>
    <w:p>
      <w:pPr>
        <w:ind w:left="120" w:right="200"/>
        <w:spacing w:after="0" w:line="260"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6"/>
          <w:szCs w:val="16"/>
          <w:color w:val="202E39"/>
        </w:rPr>
        <w:t>(a) The expiration of twelve (12) months from the date of the Optionee’s death;</w:t>
      </w:r>
    </w:p>
    <w:p>
      <w:pPr>
        <w:spacing w:after="0" w:line="138"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A-7</w:t>
            </w:r>
          </w:p>
        </w:tc>
      </w:tr>
    </w:tbl>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140" w:hanging="4"/>
        <w:spacing w:after="0" w:line="260" w:lineRule="auto"/>
        <w:tabs>
          <w:tab w:leader="none" w:pos="80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87" w:lineRule="exact"/>
        <w:rPr>
          <w:rFonts w:ascii="Arial" w:cs="Arial" w:eastAsia="Arial" w:hAnsi="Arial"/>
          <w:sz w:val="16"/>
          <w:szCs w:val="16"/>
          <w:color w:val="202E39"/>
        </w:rPr>
      </w:pPr>
    </w:p>
    <w:p>
      <w:pPr>
        <w:ind w:left="560" w:right="840" w:hanging="4"/>
        <w:spacing w:after="0" w:line="260" w:lineRule="auto"/>
        <w:tabs>
          <w:tab w:leader="none" w:pos="794"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87" w:lineRule="exact"/>
        <w:rPr>
          <w:rFonts w:ascii="Arial" w:cs="Arial" w:eastAsia="Arial" w:hAnsi="Arial"/>
          <w:sz w:val="16"/>
          <w:szCs w:val="16"/>
          <w:color w:val="202E39"/>
        </w:rPr>
      </w:pPr>
    </w:p>
    <w:p>
      <w:pPr>
        <w:ind w:left="800" w:hanging="244"/>
        <w:spacing w:after="0"/>
        <w:tabs>
          <w:tab w:leader="none" w:pos="80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 AWARD OF RESTRICTED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13" w:lineRule="exact"/>
        <w:rPr>
          <w:sz w:val="20"/>
          <w:szCs w:val="20"/>
          <w:color w:val="auto"/>
        </w:rPr>
      </w:pPr>
    </w:p>
    <w:p>
      <w:pPr>
        <w:ind w:left="560" w:right="700" w:hanging="4"/>
        <w:spacing w:after="0" w:line="260" w:lineRule="auto"/>
        <w:tabs>
          <w:tab w:leader="none" w:pos="80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87" w:lineRule="exact"/>
        <w:rPr>
          <w:rFonts w:ascii="Arial" w:cs="Arial" w:eastAsia="Arial" w:hAnsi="Arial"/>
          <w:sz w:val="16"/>
          <w:szCs w:val="16"/>
          <w:color w:val="202E39"/>
        </w:rPr>
      </w:pPr>
    </w:p>
    <w:p>
      <w:pPr>
        <w:ind w:left="1000" w:right="80" w:hanging="3"/>
        <w:spacing w:after="0" w:line="260" w:lineRule="auto"/>
        <w:tabs>
          <w:tab w:leader="none" w:pos="1189" w:val="left"/>
        </w:tabs>
        <w:numPr>
          <w:ilvl w:val="1"/>
          <w:numId w:val="67"/>
        </w:numPr>
        <w:rPr>
          <w:rFonts w:ascii="Arial" w:cs="Arial" w:eastAsia="Arial" w:hAnsi="Arial"/>
          <w:sz w:val="16"/>
          <w:szCs w:val="16"/>
          <w:color w:val="202E39"/>
        </w:rPr>
      </w:pPr>
      <w:r>
        <w:rPr>
          <w:rFonts w:ascii="Arial" w:cs="Arial" w:eastAsia="Arial" w:hAnsi="Arial"/>
          <w:sz w:val="16"/>
          <w:szCs w:val="16"/>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87" w:lineRule="exact"/>
        <w:rPr>
          <w:rFonts w:ascii="Arial" w:cs="Arial" w:eastAsia="Arial" w:hAnsi="Arial"/>
          <w:sz w:val="16"/>
          <w:szCs w:val="16"/>
          <w:color w:val="202E39"/>
        </w:rPr>
      </w:pPr>
    </w:p>
    <w:p>
      <w:pPr>
        <w:ind w:left="1220" w:hanging="223"/>
        <w:spacing w:after="0"/>
        <w:tabs>
          <w:tab w:leader="none" w:pos="1220" w:val="left"/>
        </w:tabs>
        <w:numPr>
          <w:ilvl w:val="1"/>
          <w:numId w:val="67"/>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202E39"/>
        </w:rPr>
      </w:pPr>
    </w:p>
    <w:p>
      <w:pPr>
        <w:jc w:val="both"/>
        <w:ind w:left="560" w:right="120" w:hanging="4"/>
        <w:spacing w:after="0" w:line="251" w:lineRule="auto"/>
        <w:tabs>
          <w:tab w:leader="none" w:pos="80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94" w:lineRule="exact"/>
        <w:rPr>
          <w:rFonts w:ascii="Arial" w:cs="Arial" w:eastAsia="Arial" w:hAnsi="Arial"/>
          <w:sz w:val="16"/>
          <w:szCs w:val="16"/>
          <w:color w:val="202E39"/>
        </w:rPr>
      </w:pPr>
    </w:p>
    <w:p>
      <w:pPr>
        <w:ind w:left="560" w:right="100" w:hanging="4"/>
        <w:spacing w:after="0" w:line="253" w:lineRule="auto"/>
        <w:tabs>
          <w:tab w:leader="none" w:pos="794"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93"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94"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6.3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99"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99"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84455</wp:posOffset>
            </wp:positionV>
            <wp:extent cx="42862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A-8</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99"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9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93"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35" w:lineRule="exact"/>
        <w:rPr>
          <w:sz w:val="20"/>
          <w:szCs w:val="20"/>
          <w:color w:val="auto"/>
        </w:rPr>
      </w:pPr>
    </w:p>
    <w:p>
      <w:pPr>
        <w:ind w:left="120" w:right="120"/>
        <w:spacing w:after="0" w:line="246" w:lineRule="auto"/>
        <w:rPr>
          <w:sz w:val="20"/>
          <w:szCs w:val="20"/>
          <w:color w:val="auto"/>
        </w:rPr>
      </w:pPr>
      <w:r>
        <w:rPr>
          <w:rFonts w:ascii="Arial" w:cs="Arial" w:eastAsia="Arial" w:hAnsi="Arial"/>
          <w:sz w:val="16"/>
          <w:szCs w:val="16"/>
          <w:color w:val="202E39"/>
        </w:rPr>
        <w:t xml:space="preserve">7.1 </w:t>
      </w:r>
      <w:r>
        <w:rPr>
          <w:rFonts w:ascii="Arial" w:cs="Arial" w:eastAsia="Arial" w:hAnsi="Arial"/>
          <w:sz w:val="16"/>
          <w:szCs w:val="16"/>
          <w:u w:val="single" w:color="auto"/>
          <w:color w:val="202E39"/>
        </w:rPr>
        <w:t>Performance Awards</w:t>
      </w:r>
      <w:r>
        <w:rPr>
          <w:rFonts w:ascii="Arial" w:cs="Arial" w:eastAsia="Arial" w:hAnsi="Arial"/>
          <w:sz w:val="16"/>
          <w:szCs w:val="16"/>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2" w:lineRule="exact"/>
        <w:rPr>
          <w:sz w:val="20"/>
          <w:szCs w:val="20"/>
          <w:color w:val="auto"/>
        </w:rPr>
      </w:pPr>
    </w:p>
    <w:p>
      <w:pPr>
        <w:ind w:left="120" w:right="180" w:hanging="4"/>
        <w:spacing w:after="0" w:line="248" w:lineRule="auto"/>
        <w:tabs>
          <w:tab w:leader="none" w:pos="36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97"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w:t>
      </w:r>
    </w:p>
    <w:p>
      <w:pPr>
        <w:spacing w:after="0" w:line="120"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A-9</w:t>
            </w:r>
          </w:p>
        </w:tc>
      </w:tr>
    </w:tbl>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202E39"/>
        </w:rPr>
        <w:t>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93"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13" w:lineRule="exact"/>
        <w:rPr>
          <w:sz w:val="20"/>
          <w:szCs w:val="20"/>
          <w:color w:val="auto"/>
        </w:rPr>
      </w:pPr>
    </w:p>
    <w:p>
      <w:pPr>
        <w:ind w:left="560" w:right="100" w:hanging="4"/>
        <w:spacing w:after="0" w:line="248" w:lineRule="auto"/>
        <w:tabs>
          <w:tab w:leader="none" w:pos="80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100" w:lineRule="exact"/>
        <w:rPr>
          <w:rFonts w:ascii="Arial" w:cs="Arial" w:eastAsia="Arial" w:hAnsi="Arial"/>
          <w:sz w:val="16"/>
          <w:szCs w:val="16"/>
          <w:color w:val="202E39"/>
        </w:rPr>
      </w:pPr>
    </w:p>
    <w:p>
      <w:pPr>
        <w:ind w:left="560" w:right="40" w:hanging="4"/>
        <w:spacing w:after="0" w:line="247" w:lineRule="auto"/>
        <w:tabs>
          <w:tab w:leader="none" w:pos="80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In addition, all Restricted Stock Unit awards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0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94"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87"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9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2862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VIII. STOCK APPRECIATION RIGHTS</w:t>
      </w:r>
    </w:p>
    <w:p>
      <w:pPr>
        <w:spacing w:after="0" w:line="124" w:lineRule="exact"/>
        <w:rPr>
          <w:sz w:val="20"/>
          <w:szCs w:val="20"/>
          <w:color w:val="auto"/>
        </w:rPr>
      </w:pPr>
    </w:p>
    <w:p>
      <w:pPr>
        <w:ind w:left="120" w:right="100"/>
        <w:spacing w:after="0" w:line="246" w:lineRule="auto"/>
        <w:rPr>
          <w:sz w:val="20"/>
          <w:szCs w:val="20"/>
          <w:color w:val="auto"/>
        </w:rPr>
      </w:pPr>
      <w:r>
        <w:rPr>
          <w:rFonts w:ascii="Arial" w:cs="Arial" w:eastAsia="Arial" w:hAnsi="Arial"/>
          <w:sz w:val="16"/>
          <w:szCs w:val="16"/>
          <w:color w:val="202E39"/>
        </w:rPr>
        <w:t xml:space="preserve">8.1 </w:t>
      </w:r>
      <w:r>
        <w:rPr>
          <w:rFonts w:ascii="Arial" w:cs="Arial" w:eastAsia="Arial" w:hAnsi="Arial"/>
          <w:sz w:val="16"/>
          <w:szCs w:val="16"/>
          <w:u w:val="single" w:color="auto"/>
          <w:color w:val="202E39"/>
        </w:rPr>
        <w:t>Grant of Stock Appreciation Rights</w:t>
      </w:r>
      <w:r>
        <w:rPr>
          <w:rFonts w:ascii="Arial" w:cs="Arial" w:eastAsia="Arial" w:hAnsi="Arial"/>
          <w:sz w:val="16"/>
          <w:szCs w:val="16"/>
          <w:color w:val="202E39"/>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Stock Appreciation Right shall, without stockholder approval, be</w:t>
      </w:r>
    </w:p>
    <w:p>
      <w:pPr>
        <w:spacing w:after="0" w:line="6" w:lineRule="exact"/>
        <w:rPr>
          <w:sz w:val="20"/>
          <w:szCs w:val="20"/>
          <w:color w:val="auto"/>
        </w:rPr>
      </w:pPr>
    </w:p>
    <w:p>
      <w:pPr>
        <w:ind w:left="120" w:right="620" w:hanging="4"/>
        <w:spacing w:after="0" w:line="260" w:lineRule="auto"/>
        <w:tabs>
          <w:tab w:leader="none" w:pos="309"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280" w:hanging="4"/>
        <w:spacing w:after="0" w:line="260" w:lineRule="auto"/>
        <w:tabs>
          <w:tab w:leader="none" w:pos="80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87" w:lineRule="exact"/>
        <w:rPr>
          <w:rFonts w:ascii="Arial" w:cs="Arial" w:eastAsia="Arial" w:hAnsi="Arial"/>
          <w:sz w:val="16"/>
          <w:szCs w:val="16"/>
          <w:color w:val="202E39"/>
        </w:rPr>
      </w:pPr>
    </w:p>
    <w:p>
      <w:pPr>
        <w:ind w:left="560" w:right="300" w:hanging="4"/>
        <w:spacing w:after="0" w:line="260" w:lineRule="auto"/>
        <w:tabs>
          <w:tab w:leader="none" w:pos="80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87" w:lineRule="exact"/>
        <w:rPr>
          <w:rFonts w:ascii="Arial" w:cs="Arial" w:eastAsia="Arial" w:hAnsi="Arial"/>
          <w:sz w:val="16"/>
          <w:szCs w:val="16"/>
          <w:color w:val="202E39"/>
        </w:rPr>
      </w:pPr>
    </w:p>
    <w:p>
      <w:pPr>
        <w:ind w:left="560" w:right="140" w:hanging="4"/>
        <w:spacing w:after="0" w:line="250" w:lineRule="auto"/>
        <w:tabs>
          <w:tab w:leader="none" w:pos="794"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80" w:hanging="4"/>
        <w:spacing w:after="0" w:line="248" w:lineRule="auto"/>
        <w:tabs>
          <w:tab w:leader="none" w:pos="803"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122"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A-11</w:t>
            </w: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40" w:hanging="4"/>
        <w:spacing w:after="0" w:line="250" w:lineRule="auto"/>
        <w:tabs>
          <w:tab w:leader="none" w:pos="80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13" w:lineRule="exact"/>
        <w:rPr>
          <w:sz w:val="20"/>
          <w:szCs w:val="20"/>
          <w:color w:val="auto"/>
        </w:rPr>
      </w:pPr>
    </w:p>
    <w:p>
      <w:pPr>
        <w:jc w:val="both"/>
        <w:ind w:left="560" w:right="100" w:hanging="4"/>
        <w:spacing w:after="0" w:line="253" w:lineRule="auto"/>
        <w:tabs>
          <w:tab w:leader="none" w:pos="80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93" w:lineRule="exact"/>
        <w:rPr>
          <w:rFonts w:ascii="Arial" w:cs="Arial" w:eastAsia="Arial" w:hAnsi="Arial"/>
          <w:sz w:val="16"/>
          <w:szCs w:val="16"/>
          <w:color w:val="202E39"/>
        </w:rPr>
      </w:pPr>
    </w:p>
    <w:p>
      <w:pPr>
        <w:ind w:left="560" w:right="80" w:hanging="4"/>
        <w:spacing w:after="0" w:line="260" w:lineRule="auto"/>
        <w:tabs>
          <w:tab w:leader="none" w:pos="80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IX. ADMINISTRATION</w:t>
      </w:r>
    </w:p>
    <w:p>
      <w:pPr>
        <w:spacing w:after="0" w:line="124"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Should any Awards made under the Plan prior to November 2, 2017 be intended to qualify as “performance-based compensation” within the meaning of Section 162(m)(4)(C) of the Code prior to its repeal (“162(m) Awards”), then all such determinations regarding such Awards will be made solely by a Committee comprised solely of two of more “outside directors” within the meaning of Section 162(m) of the Code.</w:t>
      </w:r>
    </w:p>
    <w:p>
      <w:pPr>
        <w:spacing w:after="0" w:line="98"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 xml:space="preserve">9.2 </w:t>
      </w: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103" w:lineRule="exact"/>
        <w:rPr>
          <w:sz w:val="20"/>
          <w:szCs w:val="20"/>
          <w:color w:val="auto"/>
        </w:rPr>
      </w:pPr>
    </w:p>
    <w:p>
      <w:pPr>
        <w:ind w:left="120" w:right="280"/>
        <w:spacing w:after="0" w:line="260"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2862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X. MISCELLANEOUS PROVISIONS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13" w:lineRule="exact"/>
        <w:rPr>
          <w:sz w:val="20"/>
          <w:szCs w:val="20"/>
          <w:color w:val="auto"/>
        </w:rPr>
      </w:pPr>
    </w:p>
    <w:p>
      <w:pPr>
        <w:ind w:left="560" w:right="100" w:hanging="4"/>
        <w:spacing w:after="0" w:line="248" w:lineRule="auto"/>
        <w:tabs>
          <w:tab w:leader="none" w:pos="803"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97" w:lineRule="exact"/>
        <w:rPr>
          <w:rFonts w:ascii="Arial" w:cs="Arial" w:eastAsia="Arial" w:hAnsi="Arial"/>
          <w:sz w:val="16"/>
          <w:szCs w:val="16"/>
          <w:color w:val="202E39"/>
        </w:rPr>
      </w:pPr>
    </w:p>
    <w:p>
      <w:pPr>
        <w:ind w:left="560" w:right="100" w:hanging="4"/>
        <w:spacing w:after="0" w:line="250" w:lineRule="auto"/>
        <w:tabs>
          <w:tab w:leader="none" w:pos="803"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95" w:lineRule="exact"/>
        <w:rPr>
          <w:sz w:val="20"/>
          <w:szCs w:val="20"/>
          <w:color w:val="auto"/>
        </w:rPr>
      </w:pPr>
    </w:p>
    <w:p>
      <w:pPr>
        <w:ind w:left="120" w:right="20"/>
        <w:spacing w:after="0" w:line="247"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15, 2030.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13" w:lineRule="exact"/>
        <w:rPr>
          <w:sz w:val="20"/>
          <w:szCs w:val="20"/>
          <w:color w:val="auto"/>
        </w:rPr>
      </w:pPr>
    </w:p>
    <w:p>
      <w:pPr>
        <w:ind w:left="560" w:right="40" w:hanging="4"/>
        <w:spacing w:after="0" w:line="248" w:lineRule="auto"/>
        <w:tabs>
          <w:tab w:leader="none" w:pos="80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w:t>
      </w:r>
    </w:p>
    <w:p>
      <w:pPr>
        <w:spacing w:after="0" w:line="126"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A-13</w:t>
            </w: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202E39"/>
        </w:rPr>
        <w:t>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95" w:lineRule="exact"/>
        <w:rPr>
          <w:sz w:val="20"/>
          <w:szCs w:val="20"/>
          <w:color w:val="auto"/>
        </w:rPr>
      </w:pPr>
    </w:p>
    <w:p>
      <w:pPr>
        <w:ind w:left="1000" w:hanging="3"/>
        <w:spacing w:after="0" w:line="250" w:lineRule="auto"/>
        <w:tabs>
          <w:tab w:leader="none" w:pos="1189"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94" w:lineRule="exact"/>
        <w:rPr>
          <w:rFonts w:ascii="Arial" w:cs="Arial" w:eastAsia="Arial" w:hAnsi="Arial"/>
          <w:sz w:val="16"/>
          <w:szCs w:val="16"/>
          <w:color w:val="202E39"/>
        </w:rPr>
      </w:pPr>
    </w:p>
    <w:p>
      <w:pPr>
        <w:ind w:left="1000" w:right="160" w:hanging="3"/>
        <w:spacing w:after="0" w:line="253" w:lineRule="auto"/>
        <w:tabs>
          <w:tab w:leader="none" w:pos="1225"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93" w:lineRule="exact"/>
        <w:rPr>
          <w:rFonts w:ascii="Arial" w:cs="Arial" w:eastAsia="Arial" w:hAnsi="Arial"/>
          <w:sz w:val="16"/>
          <w:szCs w:val="16"/>
          <w:color w:val="202E39"/>
        </w:rPr>
      </w:pPr>
    </w:p>
    <w:p>
      <w:pPr>
        <w:ind w:left="1000" w:right="360" w:hanging="3"/>
        <w:spacing w:after="0" w:line="260" w:lineRule="auto"/>
        <w:tabs>
          <w:tab w:leader="none" w:pos="1261"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87" w:lineRule="exact"/>
        <w:rPr>
          <w:rFonts w:ascii="Arial" w:cs="Arial" w:eastAsia="Arial" w:hAnsi="Arial"/>
          <w:sz w:val="16"/>
          <w:szCs w:val="16"/>
          <w:color w:val="202E39"/>
        </w:rPr>
      </w:pPr>
    </w:p>
    <w:p>
      <w:pPr>
        <w:ind w:left="1000" w:right="260" w:hanging="3"/>
        <w:spacing w:after="0" w:line="253" w:lineRule="auto"/>
        <w:tabs>
          <w:tab w:leader="none" w:pos="1270"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93" w:lineRule="exact"/>
        <w:rPr>
          <w:sz w:val="20"/>
          <w:szCs w:val="20"/>
          <w:color w:val="auto"/>
        </w:rPr>
      </w:pPr>
    </w:p>
    <w:p>
      <w:pPr>
        <w:ind w:left="560" w:right="40" w:hanging="4"/>
        <w:spacing w:after="0" w:line="248" w:lineRule="auto"/>
        <w:tabs>
          <w:tab w:leader="none" w:pos="803"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00" w:lineRule="exact"/>
        <w:rPr>
          <w:rFonts w:ascii="Arial" w:cs="Arial" w:eastAsia="Arial" w:hAnsi="Arial"/>
          <w:sz w:val="16"/>
          <w:szCs w:val="16"/>
          <w:color w:val="202E39"/>
        </w:rPr>
      </w:pPr>
    </w:p>
    <w:p>
      <w:pPr>
        <w:ind w:left="1000" w:right="100" w:hanging="3"/>
        <w:spacing w:after="0" w:line="248" w:lineRule="auto"/>
        <w:tabs>
          <w:tab w:leader="none" w:pos="1189" w:val="left"/>
        </w:tabs>
        <w:numPr>
          <w:ilvl w:val="1"/>
          <w:numId w:val="78"/>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99" w:lineRule="exact"/>
        <w:rPr>
          <w:rFonts w:ascii="Arial" w:cs="Arial" w:eastAsia="Arial" w:hAnsi="Arial"/>
          <w:sz w:val="16"/>
          <w:szCs w:val="16"/>
          <w:color w:val="202E39"/>
        </w:rPr>
      </w:pPr>
    </w:p>
    <w:p>
      <w:pPr>
        <w:ind w:left="1000" w:right="160" w:hanging="3"/>
        <w:spacing w:after="0" w:line="251" w:lineRule="auto"/>
        <w:tabs>
          <w:tab w:leader="none" w:pos="1225" w:val="left"/>
        </w:tabs>
        <w:numPr>
          <w:ilvl w:val="1"/>
          <w:numId w:val="78"/>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94" w:lineRule="exact"/>
        <w:rPr>
          <w:rFonts w:ascii="Arial" w:cs="Arial" w:eastAsia="Arial" w:hAnsi="Arial"/>
          <w:sz w:val="16"/>
          <w:szCs w:val="16"/>
          <w:color w:val="202E39"/>
        </w:rPr>
      </w:pPr>
    </w:p>
    <w:p>
      <w:pPr>
        <w:ind w:left="1000" w:right="20" w:hanging="3"/>
        <w:spacing w:after="0" w:line="249" w:lineRule="auto"/>
        <w:tabs>
          <w:tab w:leader="none" w:pos="1261" w:val="left"/>
        </w:tabs>
        <w:numPr>
          <w:ilvl w:val="1"/>
          <w:numId w:val="78"/>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96" w:lineRule="exact"/>
        <w:rPr>
          <w:rFonts w:ascii="Arial" w:cs="Arial" w:eastAsia="Arial" w:hAnsi="Arial"/>
          <w:sz w:val="16"/>
          <w:szCs w:val="16"/>
          <w:color w:val="202E39"/>
        </w:rPr>
      </w:pPr>
    </w:p>
    <w:p>
      <w:pPr>
        <w:ind w:left="1000" w:right="20" w:hanging="3"/>
        <w:spacing w:after="0" w:line="250" w:lineRule="auto"/>
        <w:tabs>
          <w:tab w:leader="none" w:pos="1270" w:val="left"/>
        </w:tabs>
        <w:numPr>
          <w:ilvl w:val="1"/>
          <w:numId w:val="78"/>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84455</wp:posOffset>
            </wp:positionV>
            <wp:extent cx="42862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000" w:right="100"/>
        <w:spacing w:after="0" w:line="260" w:lineRule="auto"/>
        <w:rPr>
          <w:sz w:val="20"/>
          <w:szCs w:val="20"/>
          <w:color w:val="auto"/>
        </w:rPr>
      </w:pPr>
      <w:r>
        <w:rPr>
          <w:rFonts w:ascii="Arial" w:cs="Arial" w:eastAsia="Arial" w:hAnsi="Arial"/>
          <w:sz w:val="16"/>
          <w:szCs w:val="16"/>
          <w:color w:val="202E39"/>
        </w:rPr>
        <w:t>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87" w:lineRule="exact"/>
        <w:rPr>
          <w:sz w:val="20"/>
          <w:szCs w:val="20"/>
          <w:color w:val="auto"/>
        </w:rPr>
      </w:pPr>
    </w:p>
    <w:p>
      <w:pPr>
        <w:ind w:left="1000" w:right="80" w:hanging="3"/>
        <w:spacing w:after="0" w:line="249" w:lineRule="auto"/>
        <w:tabs>
          <w:tab w:leader="none" w:pos="1234"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96" w:lineRule="exact"/>
        <w:rPr>
          <w:rFonts w:ascii="Arial" w:cs="Arial" w:eastAsia="Arial" w:hAnsi="Arial"/>
          <w:sz w:val="16"/>
          <w:szCs w:val="16"/>
          <w:color w:val="202E39"/>
        </w:rPr>
      </w:pPr>
    </w:p>
    <w:p>
      <w:pPr>
        <w:ind w:left="1000" w:right="220" w:hanging="3"/>
        <w:spacing w:after="0" w:line="250" w:lineRule="auto"/>
        <w:tabs>
          <w:tab w:leader="none" w:pos="1270"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94" w:lineRule="exact"/>
        <w:rPr>
          <w:rFonts w:ascii="Arial" w:cs="Arial" w:eastAsia="Arial" w:hAnsi="Arial"/>
          <w:sz w:val="16"/>
          <w:szCs w:val="16"/>
          <w:color w:val="202E39"/>
        </w:rPr>
      </w:pPr>
    </w:p>
    <w:p>
      <w:pPr>
        <w:ind w:left="1000" w:right="80" w:hanging="3"/>
        <w:spacing w:after="0" w:line="247" w:lineRule="auto"/>
        <w:tabs>
          <w:tab w:leader="none" w:pos="1306"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104" w:lineRule="exact"/>
        <w:rPr>
          <w:rFonts w:ascii="Arial" w:cs="Arial" w:eastAsia="Arial" w:hAnsi="Arial"/>
          <w:sz w:val="16"/>
          <w:szCs w:val="16"/>
          <w:color w:val="202E39"/>
        </w:rPr>
      </w:pPr>
    </w:p>
    <w:p>
      <w:pPr>
        <w:ind w:left="560" w:right="400" w:hanging="4"/>
        <w:spacing w:after="0" w:line="251" w:lineRule="auto"/>
        <w:tabs>
          <w:tab w:leader="none" w:pos="794"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94" w:lineRule="exact"/>
        <w:rPr>
          <w:rFonts w:ascii="Arial" w:cs="Arial" w:eastAsia="Arial" w:hAnsi="Arial"/>
          <w:sz w:val="16"/>
          <w:szCs w:val="16"/>
          <w:color w:val="202E39"/>
        </w:rPr>
      </w:pPr>
    </w:p>
    <w:p>
      <w:pPr>
        <w:ind w:left="560" w:right="40" w:hanging="4"/>
        <w:spacing w:after="0" w:line="248" w:lineRule="auto"/>
        <w:tabs>
          <w:tab w:leader="none" w:pos="803"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With respect to 162(m) Awards (as defined below), no adjustment or action described in this Section 10.3 or in any other provision of the Plan shall be authorized to the extent that such adjustment or action would cause such award to fail to so qualify under Code Section 162(m)(4)(C) prior to its repeal unless the Committee determines that the award should not so qualify.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97" w:lineRule="exact"/>
        <w:rPr>
          <w:rFonts w:ascii="Arial" w:cs="Arial" w:eastAsia="Arial" w:hAnsi="Arial"/>
          <w:sz w:val="16"/>
          <w:szCs w:val="16"/>
          <w:color w:val="202E39"/>
        </w:rPr>
      </w:pPr>
    </w:p>
    <w:p>
      <w:pPr>
        <w:ind w:left="800" w:hanging="244"/>
        <w:spacing w:after="0"/>
        <w:tabs>
          <w:tab w:leader="none" w:pos="800"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202E39"/>
        </w:rPr>
      </w:pPr>
    </w:p>
    <w:p>
      <w:pPr>
        <w:ind w:left="1000" w:right="20" w:hanging="3"/>
        <w:spacing w:after="0" w:line="253" w:lineRule="auto"/>
        <w:tabs>
          <w:tab w:leader="none" w:pos="1189"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93" w:lineRule="exact"/>
        <w:rPr>
          <w:rFonts w:ascii="Arial" w:cs="Arial" w:eastAsia="Arial" w:hAnsi="Arial"/>
          <w:sz w:val="16"/>
          <w:szCs w:val="16"/>
          <w:color w:val="202E39"/>
        </w:rPr>
      </w:pPr>
    </w:p>
    <w:p>
      <w:pPr>
        <w:ind w:left="1000" w:right="100" w:hanging="3"/>
        <w:spacing w:after="0" w:line="250" w:lineRule="auto"/>
        <w:tabs>
          <w:tab w:leader="none" w:pos="1225"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95"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Each Optionee, Grantee or Restricted Stockholder must pay the Company, or make provision satisfactory to the Committee, for payment of any sums required by federal, state or local tax law to be withheld with respect to</w:t>
      </w:r>
    </w:p>
    <w:p>
      <w:pPr>
        <w:spacing w:after="0" w:line="113"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A-15</w:t>
            </w: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202E39"/>
        </w:rPr>
        <w:t>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electronically or telephonically to the extent permitted by the Company) of an irrevocable and unconditional undertaking by a broker acceptable to the Company to deliver promptly to the Company sufficient funds to satisfy the tax obligations, or</w:t>
      </w:r>
    </w:p>
    <w:p>
      <w:pPr>
        <w:spacing w:after="0" w:line="5" w:lineRule="exact"/>
        <w:rPr>
          <w:sz w:val="20"/>
          <w:szCs w:val="20"/>
          <w:color w:val="auto"/>
        </w:rPr>
      </w:pPr>
    </w:p>
    <w:p>
      <w:pPr>
        <w:ind w:left="340" w:hanging="224"/>
        <w:spacing w:after="0"/>
        <w:tabs>
          <w:tab w:leader="none" w:pos="340"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delivery by the Participant to the Company of a copy of irrevocable and unconditional instructions to a broker acceptable to the Company to deliver</w:t>
      </w:r>
    </w:p>
    <w:p>
      <w:pPr>
        <w:spacing w:after="0" w:line="5" w:lineRule="exact"/>
        <w:rPr>
          <w:rFonts w:ascii="Arial" w:cs="Arial" w:eastAsia="Arial" w:hAnsi="Arial"/>
          <w:sz w:val="16"/>
          <w:szCs w:val="16"/>
          <w:color w:val="202E39"/>
        </w:rPr>
      </w:pPr>
    </w:p>
    <w:p>
      <w:pPr>
        <w:ind w:left="120"/>
        <w:spacing w:after="0" w:line="247" w:lineRule="auto"/>
        <w:rPr>
          <w:rFonts w:ascii="Arial" w:cs="Arial" w:eastAsia="Arial" w:hAnsi="Arial"/>
          <w:sz w:val="16"/>
          <w:szCs w:val="16"/>
          <w:color w:val="202E39"/>
        </w:rPr>
      </w:pPr>
      <w:r>
        <w:rPr>
          <w:rFonts w:ascii="Arial" w:cs="Arial" w:eastAsia="Arial" w:hAnsi="Arial"/>
          <w:sz w:val="16"/>
          <w:szCs w:val="16"/>
          <w:color w:val="202E39"/>
        </w:rPr>
        <w:t>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w:t>
      </w:r>
    </w:p>
    <w:p>
      <w:pPr>
        <w:spacing w:after="0" w:line="102"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9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98"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2862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or any award agreement, each 162(m) Award (and each award which was otherwise not subject to the deduction limitation of Section 162(m) of the Code) shall be subject to any additional limitations as the Committee determines necessary for such 162(m) Award to qualify as “performance-based compensation” as described in Section 162(m)(4)(C) of the Code prior to its repeal (or to be so exempt) pursuant to the transition relief rules in the Tax Cuts and Jobs Act of 2017 (the “TCJA”), and to the extent any of the provisions of the Plan or any award (or any amendments hereto pursuant to any amendment and restatement of the Plan) would cause any 162(m) Awards to fail to so qualify or other awards to be so exempt, any such provisions shall not apply to such awards to the extent necessary to ensure the continued qualification or exemption of such awards. To the extent permitted by applicable law, the Plan and any such awards shall be deemed amended to the extent necessary to conform to such requirements.</w:t>
      </w:r>
    </w:p>
    <w:p>
      <w:pPr>
        <w:spacing w:after="0" w:line="104" w:lineRule="exact"/>
        <w:rPr>
          <w:sz w:val="20"/>
          <w:szCs w:val="20"/>
          <w:color w:val="auto"/>
        </w:rPr>
      </w:pPr>
    </w:p>
    <w:p>
      <w:pPr>
        <w:ind w:left="120" w:right="160"/>
        <w:spacing w:after="0" w:line="249"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97"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13"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87" w:lineRule="exact"/>
        <w:rPr>
          <w:sz w:val="20"/>
          <w:szCs w:val="20"/>
          <w:color w:val="auto"/>
        </w:rPr>
      </w:pPr>
    </w:p>
    <w:p>
      <w:pPr>
        <w:ind w:left="120" w:right="140"/>
        <w:spacing w:after="0" w:line="247"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10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the minimum vesting requirement of this Section 10.13 shall not apply to: (a) any awards delivered in lieu of fully-vested cash-based awards under the Plan (or other</w:t>
      </w:r>
    </w:p>
    <w:p>
      <w:pPr>
        <w:spacing w:after="0" w:line="120"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2020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A-17</w:t>
            </w:r>
          </w:p>
        </w:tc>
      </w:tr>
    </w:tbl>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shares of Common Stock available pursuant to Section 2.1(a) as of the Restatement Effective Date.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100"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2862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A-18</w:t>
      </w:r>
    </w:p>
    <w:p>
      <w:pPr>
        <w:sectPr>
          <w:pgSz w:w="11900" w:h="16838" w:orient="portrait"/>
          <w:cols w:equalWidth="0" w:num="1">
            <w:col w:w="11060"/>
          </w:cols>
          <w:pgMar w:left="32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INTERNET</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920" w:type="dxa"/>
            <w:vAlign w:val="bottom"/>
            <w:gridSpan w:val="4"/>
          </w:tcPr>
          <w:p>
            <w:pPr>
              <w:ind w:left="580"/>
              <w:spacing w:after="0" w:line="158" w:lineRule="exact"/>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www.proxyvote.com</w:t>
            </w: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5"/>
              </w:rPr>
              <w:t>VIASAT, INC.</w:t>
            </w:r>
          </w:p>
        </w:tc>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6155 EL CAMINO REAL</w:t>
            </w: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8"/>
              </w:rPr>
              <w:t>information up until 11:59 p.m. Eastern Time the day before the cut-off date or meeting</w:t>
            </w:r>
          </w:p>
        </w:tc>
        <w:tc>
          <w:tcPr>
            <w:tcW w:w="0" w:type="dxa"/>
            <w:vAlign w:val="bottom"/>
          </w:tcPr>
          <w:p>
            <w:pPr>
              <w:spacing w:after="0"/>
              <w:rPr>
                <w:sz w:val="1"/>
                <w:szCs w:val="1"/>
                <w:color w:val="auto"/>
              </w:rPr>
            </w:pPr>
          </w:p>
        </w:tc>
      </w:tr>
      <w:tr>
        <w:trPr>
          <w:trHeight w:val="148"/>
        </w:trPr>
        <w:tc>
          <w:tcPr>
            <w:tcW w:w="3180" w:type="dxa"/>
            <w:vAlign w:val="bottom"/>
            <w:gridSpan w:val="3"/>
          </w:tcPr>
          <w:p>
            <w:pPr>
              <w:spacing w:after="0" w:line="149" w:lineRule="exact"/>
              <w:rPr>
                <w:sz w:val="20"/>
                <w:szCs w:val="20"/>
                <w:color w:val="auto"/>
              </w:rPr>
            </w:pPr>
            <w:r>
              <w:rPr>
                <w:rFonts w:ascii="Arial" w:cs="Arial" w:eastAsia="Arial" w:hAnsi="Arial"/>
                <w:sz w:val="14"/>
                <w:szCs w:val="14"/>
                <w:i w:val="1"/>
                <w:iCs w:val="1"/>
                <w:color w:val="auto"/>
              </w:rPr>
              <w:t>CARLSBAD, CA 92009</w:t>
            </w: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190"/>
        </w:trPr>
        <w:tc>
          <w:tcPr>
            <w:tcW w:w="3180" w:type="dxa"/>
            <w:vAlign w:val="bottom"/>
            <w:gridSpan w:val="3"/>
          </w:tcPr>
          <w:p>
            <w:pPr>
              <w:spacing w:after="0"/>
              <w:rPr>
                <w:sz w:val="20"/>
                <w:szCs w:val="20"/>
                <w:color w:val="auto"/>
              </w:rPr>
            </w:pPr>
            <w:r>
              <w:rPr>
                <w:rFonts w:ascii="Arial" w:cs="Arial" w:eastAsia="Arial" w:hAnsi="Arial"/>
                <w:sz w:val="14"/>
                <w:szCs w:val="14"/>
                <w:i w:val="1"/>
                <w:iCs w:val="1"/>
                <w:color w:val="auto"/>
              </w:rPr>
              <w:t>ATTN: STACY NGUYEN</w:t>
            </w:r>
          </w:p>
        </w:tc>
        <w:tc>
          <w:tcPr>
            <w:tcW w:w="1980" w:type="dxa"/>
            <w:vAlign w:val="bottom"/>
          </w:tcPr>
          <w:p>
            <w:pPr>
              <w:spacing w:after="0"/>
              <w:rPr>
                <w:sz w:val="16"/>
                <w:szCs w:val="16"/>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color w:val="auto"/>
              </w:rPr>
              <w:t>instructions to obtain your records and to create an electronic voting instruction form.</w:t>
            </w:r>
          </w:p>
        </w:tc>
        <w:tc>
          <w:tcPr>
            <w:tcW w:w="0" w:type="dxa"/>
            <w:vAlign w:val="bottom"/>
          </w:tcPr>
          <w:p>
            <w:pPr>
              <w:spacing w:after="0"/>
              <w:rPr>
                <w:sz w:val="1"/>
                <w:szCs w:val="1"/>
                <w:color w:val="auto"/>
              </w:rPr>
            </w:pPr>
          </w:p>
        </w:tc>
      </w:tr>
      <w:tr>
        <w:trPr>
          <w:trHeight w:val="336"/>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www.virtualshareholdermeeting.com/VSAT2020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80" w:type="dxa"/>
            <w:vAlign w:val="bottom"/>
            <w:gridSpan w:val="6"/>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color w:val="auto"/>
              </w:rPr>
              <w:t>You may attend the meeting via the Internet and vote during the meeting. Have the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information that is printed in the box marked by the arrow available and follow the</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instructions.</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w w:val="99"/>
              </w:rPr>
              <w:t>VOTE BY PHONE - 1-800-690-6903</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2"/>
              </w:rPr>
              <w:t>Eastern Time the day before the cut-off date or meeting date. Have your proxy card in hand</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920" w:type="dxa"/>
            <w:vAlign w:val="bottom"/>
            <w:gridSpan w:val="4"/>
          </w:tcPr>
          <w:p>
            <w:pPr>
              <w:ind w:left="580"/>
              <w:spacing w:after="0"/>
              <w:rPr>
                <w:sz w:val="20"/>
                <w:szCs w:val="20"/>
                <w:color w:val="auto"/>
              </w:rPr>
            </w:pPr>
            <w:r>
              <w:rPr>
                <w:rFonts w:ascii="Arial" w:cs="Arial" w:eastAsia="Arial" w:hAnsi="Arial"/>
                <w:sz w:val="14"/>
                <w:szCs w:val="14"/>
                <w:color w:val="auto"/>
              </w:rPr>
              <w:t>when you call and then follow the instructions.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MAIL</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7"/>
              </w:rPr>
              <w:t>Mark, sign and date your proxy card and return it in the postage-paid envelope we have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3"/>
              </w:rPr>
              <w:t>provided or return it to Vote Processing, c/o Broadridge, 51 Mercedes Way, Edgewood, NY</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20" w:type="dxa"/>
            <w:vAlign w:val="bottom"/>
          </w:tcPr>
          <w:p>
            <w:pPr>
              <w:ind w:left="580"/>
              <w:spacing w:after="0"/>
              <w:rPr>
                <w:sz w:val="20"/>
                <w:szCs w:val="20"/>
                <w:color w:val="auto"/>
              </w:rPr>
            </w:pPr>
            <w:r>
              <w:rPr>
                <w:rFonts w:ascii="Arial" w:cs="Arial" w:eastAsia="Arial" w:hAnsi="Arial"/>
                <w:sz w:val="14"/>
                <w:szCs w:val="14"/>
                <w:color w:val="auto"/>
              </w:rPr>
              <w:t>11717.</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51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860" w:type="dxa"/>
            <w:vAlign w:val="bottom"/>
            <w:gridSpan w:val="2"/>
            <w:vMerge w:val="restart"/>
          </w:tcPr>
          <w:p>
            <w:pPr>
              <w:ind w:left="1400"/>
              <w:spacing w:after="0"/>
              <w:rPr>
                <w:sz w:val="20"/>
                <w:szCs w:val="20"/>
                <w:color w:val="auto"/>
              </w:rPr>
            </w:pPr>
            <w:r>
              <w:rPr>
                <w:rFonts w:ascii="Arial" w:cs="Arial" w:eastAsia="Arial" w:hAnsi="Arial"/>
                <w:sz w:val="14"/>
                <w:szCs w:val="14"/>
                <w:color w:val="auto"/>
              </w:rPr>
              <w:t>D19923-P41923</w:t>
            </w:r>
          </w:p>
        </w:tc>
        <w:tc>
          <w:tcPr>
            <w:tcW w:w="3000" w:type="dxa"/>
            <w:vAlign w:val="bottom"/>
            <w:gridSpan w:val="7"/>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30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00" w:type="dxa"/>
            <w:vAlign w:val="bottom"/>
            <w:gridSpan w:val="7"/>
          </w:tcPr>
          <w:p>
            <w:pPr>
              <w:jc w:val="right"/>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84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8"/>
        </w:trPr>
        <w:tc>
          <w:tcPr>
            <w:tcW w:w="3180" w:type="dxa"/>
            <w:vAlign w:val="bottom"/>
            <w:gridSpan w:val="3"/>
          </w:tcPr>
          <w:p>
            <w:pPr>
              <w:ind w:left="100"/>
              <w:spacing w:after="0"/>
              <w:rPr>
                <w:sz w:val="20"/>
                <w:szCs w:val="20"/>
                <w:color w:val="auto"/>
              </w:rPr>
            </w:pPr>
            <w:r>
              <w:rPr>
                <w:rFonts w:ascii="Arial" w:cs="Arial" w:eastAsia="Arial" w:hAnsi="Arial"/>
                <w:sz w:val="14"/>
                <w:szCs w:val="14"/>
                <w:b w:val="1"/>
                <w:bCs w:val="1"/>
                <w:color w:val="auto"/>
              </w:rPr>
              <w:t>VIASAT, INC.</w:t>
            </w: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20" w:type="dxa"/>
            <w:vAlign w:val="bottom"/>
            <w:gridSpan w:val="6"/>
          </w:tcPr>
          <w:p>
            <w:pPr>
              <w:ind w:left="320"/>
              <w:spacing w:after="0" w:line="139" w:lineRule="exact"/>
              <w:rPr>
                <w:sz w:val="20"/>
                <w:szCs w:val="20"/>
                <w:color w:val="auto"/>
              </w:rPr>
            </w:pPr>
            <w:r>
              <w:rPr>
                <w:rFonts w:ascii="Arial" w:cs="Arial" w:eastAsia="Arial" w:hAnsi="Arial"/>
                <w:sz w:val="14"/>
                <w:szCs w:val="14"/>
                <w:b w:val="1"/>
                <w:bCs w:val="1"/>
                <w:color w:val="auto"/>
              </w:rPr>
              <w:t>The Viasat Board of Directors unanimously recommends that stockholders vote “FOR” all the</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4"/>
          </w:tcPr>
          <w:p>
            <w:pPr>
              <w:ind w:left="320"/>
              <w:spacing w:after="0"/>
              <w:rPr>
                <w:sz w:val="20"/>
                <w:szCs w:val="20"/>
                <w:color w:val="auto"/>
              </w:rPr>
            </w:pPr>
            <w:r>
              <w:rPr>
                <w:rFonts w:ascii="Arial" w:cs="Arial" w:eastAsia="Arial" w:hAnsi="Arial"/>
                <w:sz w:val="14"/>
                <w:szCs w:val="14"/>
                <w:b w:val="1"/>
                <w:bCs w:val="1"/>
                <w:color w:val="auto"/>
              </w:rPr>
              <w:t>director nominees listed in Proposal 1, and “FOR” Proposals 2, 3 and 4.</w:t>
            </w: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9"/>
        </w:trPr>
        <w:tc>
          <w:tcPr>
            <w:tcW w:w="520" w:type="dxa"/>
            <w:vAlign w:val="bottom"/>
          </w:tcPr>
          <w:p>
            <w:pPr>
              <w:ind w:left="320"/>
              <w:spacing w:after="0"/>
              <w:rPr>
                <w:sz w:val="20"/>
                <w:szCs w:val="20"/>
                <w:color w:val="auto"/>
              </w:rPr>
            </w:pPr>
            <w:r>
              <w:rPr>
                <w:rFonts w:ascii="Arial" w:cs="Arial" w:eastAsia="Arial" w:hAnsi="Arial"/>
                <w:sz w:val="14"/>
                <w:szCs w:val="14"/>
                <w:color w:val="auto"/>
              </w:rPr>
              <w:t>1.</w:t>
            </w:r>
          </w:p>
        </w:tc>
        <w:tc>
          <w:tcPr>
            <w:tcW w:w="2660" w:type="dxa"/>
            <w:vAlign w:val="bottom"/>
            <w:gridSpan w:val="2"/>
          </w:tcPr>
          <w:p>
            <w:pPr>
              <w:ind w:left="80"/>
              <w:spacing w:after="0"/>
              <w:rPr>
                <w:sz w:val="20"/>
                <w:szCs w:val="20"/>
                <w:color w:val="auto"/>
              </w:rPr>
            </w:pPr>
            <w:r>
              <w:rPr>
                <w:rFonts w:ascii="Arial" w:cs="Arial" w:eastAsia="Arial" w:hAnsi="Arial"/>
                <w:sz w:val="14"/>
                <w:szCs w:val="14"/>
                <w:color w:val="auto"/>
              </w:rPr>
              <w:t>Election of Directors:</w:t>
            </w:r>
          </w:p>
        </w:tc>
        <w:tc>
          <w:tcPr>
            <w:tcW w:w="1980" w:type="dxa"/>
            <w:vAlign w:val="bottom"/>
          </w:tcPr>
          <w:p>
            <w:pPr>
              <w:jc w:val="center"/>
              <w:ind w:left="1028"/>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280"/>
              <w:spacing w:after="0"/>
              <w:rPr>
                <w:sz w:val="20"/>
                <w:szCs w:val="20"/>
                <w:color w:val="auto"/>
              </w:rPr>
            </w:pPr>
            <w:r>
              <w:rPr>
                <w:rFonts w:ascii="Arial" w:cs="Arial" w:eastAsia="Arial" w:hAnsi="Arial"/>
                <w:sz w:val="14"/>
                <w:szCs w:val="14"/>
                <w:b w:val="1"/>
                <w:bCs w:val="1"/>
                <w:color w:val="auto"/>
              </w:rPr>
              <w:t>Withhold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4"/>
                <w:szCs w:val="14"/>
                <w:color w:val="auto"/>
              </w:rPr>
              <w:t>1a.</w:t>
            </w:r>
          </w:p>
        </w:tc>
        <w:tc>
          <w:tcPr>
            <w:tcW w:w="2340" w:type="dxa"/>
            <w:vAlign w:val="bottom"/>
          </w:tcPr>
          <w:p>
            <w:pPr>
              <w:ind w:left="40"/>
              <w:spacing w:after="0"/>
              <w:rPr>
                <w:sz w:val="20"/>
                <w:szCs w:val="20"/>
                <w:color w:val="auto"/>
              </w:rPr>
            </w:pPr>
            <w:r>
              <w:rPr>
                <w:rFonts w:ascii="Arial" w:cs="Arial" w:eastAsia="Arial" w:hAnsi="Arial"/>
                <w:sz w:val="14"/>
                <w:szCs w:val="14"/>
                <w:color w:val="auto"/>
              </w:rPr>
              <w:t>Mark Dankberg</w:t>
            </w:r>
          </w:p>
        </w:tc>
        <w:tc>
          <w:tcPr>
            <w:tcW w:w="1980" w:type="dxa"/>
            <w:vAlign w:val="bottom"/>
          </w:tcPr>
          <w:p>
            <w:pPr>
              <w:jc w:val="center"/>
              <w:ind w:left="1028"/>
              <w:spacing w:after="0" w:line="141" w:lineRule="exact"/>
              <w:rPr>
                <w:sz w:val="20"/>
                <w:szCs w:val="20"/>
                <w:color w:val="auto"/>
              </w:rPr>
            </w:pPr>
            <w:r>
              <w:rPr>
                <w:rFonts w:ascii="MS PGothic" w:cs="MS PGothic" w:eastAsia="MS PGothic" w:hAnsi="MS PGothic"/>
                <w:sz w:val="14"/>
                <w:szCs w:val="14"/>
                <w:color w:val="auto"/>
                <w:w w:val="85"/>
              </w:rPr>
              <w:t>☐</w:t>
            </w:r>
          </w:p>
        </w:tc>
        <w:tc>
          <w:tcPr>
            <w:tcW w:w="2860" w:type="dxa"/>
            <w:vAlign w:val="bottom"/>
            <w:gridSpan w:val="2"/>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4"/>
                <w:szCs w:val="14"/>
                <w:color w:val="auto"/>
              </w:rPr>
              <w:t>1b.</w:t>
            </w:r>
          </w:p>
        </w:tc>
        <w:tc>
          <w:tcPr>
            <w:tcW w:w="2340" w:type="dxa"/>
            <w:vAlign w:val="bottom"/>
          </w:tcPr>
          <w:p>
            <w:pPr>
              <w:ind w:left="40"/>
              <w:spacing w:after="0"/>
              <w:rPr>
                <w:sz w:val="20"/>
                <w:szCs w:val="20"/>
                <w:color w:val="auto"/>
              </w:rPr>
            </w:pPr>
            <w:r>
              <w:rPr>
                <w:rFonts w:ascii="Arial" w:cs="Arial" w:eastAsia="Arial" w:hAnsi="Arial"/>
                <w:sz w:val="14"/>
                <w:szCs w:val="14"/>
                <w:color w:val="auto"/>
              </w:rPr>
              <w:t>Varsha Rao</w:t>
            </w:r>
          </w:p>
        </w:tc>
        <w:tc>
          <w:tcPr>
            <w:tcW w:w="1980" w:type="dxa"/>
            <w:vAlign w:val="bottom"/>
          </w:tcPr>
          <w:p>
            <w:pPr>
              <w:jc w:val="center"/>
              <w:ind w:left="1028"/>
              <w:spacing w:after="0" w:line="141" w:lineRule="exact"/>
              <w:rPr>
                <w:sz w:val="20"/>
                <w:szCs w:val="20"/>
                <w:color w:val="auto"/>
              </w:rPr>
            </w:pPr>
            <w:r>
              <w:rPr>
                <w:rFonts w:ascii="MS PGothic" w:cs="MS PGothic" w:eastAsia="MS PGothic" w:hAnsi="MS PGothic"/>
                <w:sz w:val="14"/>
                <w:szCs w:val="14"/>
                <w:color w:val="auto"/>
                <w:w w:val="85"/>
              </w:rPr>
              <w:t>☐</w:t>
            </w:r>
          </w:p>
        </w:tc>
        <w:tc>
          <w:tcPr>
            <w:tcW w:w="2860" w:type="dxa"/>
            <w:vAlign w:val="bottom"/>
            <w:gridSpan w:val="2"/>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For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91"/>
        </w:trPr>
        <w:tc>
          <w:tcPr>
            <w:tcW w:w="9080" w:type="dxa"/>
            <w:vAlign w:val="bottom"/>
            <w:gridSpan w:val="8"/>
          </w:tcPr>
          <w:p>
            <w:pPr>
              <w:ind w:left="320"/>
              <w:spacing w:after="0"/>
              <w:rPr>
                <w:sz w:val="20"/>
                <w:szCs w:val="20"/>
                <w:color w:val="auto"/>
              </w:rPr>
            </w:pPr>
            <w:r>
              <w:rPr>
                <w:rFonts w:ascii="Arial" w:cs="Arial" w:eastAsia="Arial" w:hAnsi="Arial"/>
                <w:sz w:val="14"/>
                <w:szCs w:val="14"/>
                <w:color w:val="auto"/>
                <w:w w:val="98"/>
              </w:rPr>
              <w:t>2.   Ratification of Appointment of PricewaterhouseCoopers LLP as Viasat’s Independent Registered Public Accounting Firm for fiscal year 2021</w:t>
            </w:r>
          </w:p>
        </w:tc>
        <w:tc>
          <w:tcPr>
            <w:tcW w:w="60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92"/>
        </w:trPr>
        <w:tc>
          <w:tcPr>
            <w:tcW w:w="3180" w:type="dxa"/>
            <w:vAlign w:val="bottom"/>
            <w:gridSpan w:val="3"/>
          </w:tcPr>
          <w:p>
            <w:pPr>
              <w:ind w:left="320"/>
              <w:spacing w:after="0"/>
              <w:rPr>
                <w:sz w:val="20"/>
                <w:szCs w:val="20"/>
                <w:color w:val="auto"/>
              </w:rPr>
            </w:pPr>
            <w:r>
              <w:rPr>
                <w:rFonts w:ascii="Arial" w:cs="Arial" w:eastAsia="Arial" w:hAnsi="Arial"/>
                <w:sz w:val="14"/>
                <w:szCs w:val="14"/>
                <w:color w:val="auto"/>
                <w:w w:val="99"/>
              </w:rPr>
              <w:t>3.  Advisory Vote on Executive Compensation</w:t>
            </w: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91"/>
        </w:trPr>
        <w:tc>
          <w:tcPr>
            <w:tcW w:w="520" w:type="dxa"/>
            <w:vAlign w:val="bottom"/>
          </w:tcPr>
          <w:p>
            <w:pPr>
              <w:ind w:left="320"/>
              <w:spacing w:after="0"/>
              <w:rPr>
                <w:sz w:val="20"/>
                <w:szCs w:val="20"/>
                <w:color w:val="auto"/>
              </w:rPr>
            </w:pPr>
            <w:r>
              <w:rPr>
                <w:rFonts w:ascii="Arial" w:cs="Arial" w:eastAsia="Arial" w:hAnsi="Arial"/>
                <w:sz w:val="14"/>
                <w:szCs w:val="14"/>
                <w:color w:val="auto"/>
              </w:rPr>
              <w:t>4.</w:t>
            </w:r>
          </w:p>
        </w:tc>
        <w:tc>
          <w:tcPr>
            <w:tcW w:w="4640" w:type="dxa"/>
            <w:vAlign w:val="bottom"/>
            <w:gridSpan w:val="3"/>
          </w:tcPr>
          <w:p>
            <w:pPr>
              <w:ind w:left="80"/>
              <w:spacing w:after="0"/>
              <w:rPr>
                <w:sz w:val="20"/>
                <w:szCs w:val="20"/>
                <w:color w:val="auto"/>
              </w:rPr>
            </w:pPr>
            <w:r>
              <w:rPr>
                <w:rFonts w:ascii="Arial" w:cs="Arial" w:eastAsia="Arial" w:hAnsi="Arial"/>
                <w:sz w:val="14"/>
                <w:szCs w:val="14"/>
                <w:color w:val="auto"/>
              </w:rPr>
              <w:t>Amendment and Restatement of the 1996 Equity Participation Plan</w:t>
            </w: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w w:val="85"/>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-2204720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-1827530</wp:posOffset>
            </wp:positionV>
            <wp:extent cx="6994525" cy="2837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4525" cy="2837180"/>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Please sign exactly as name(s) appear(s) hereon. Joint owners should each sign.</w:t>
      </w:r>
    </w:p>
    <w:p>
      <w:pPr>
        <w:ind w:left="440"/>
        <w:spacing w:after="0" w:line="221" w:lineRule="auto"/>
        <w:rPr>
          <w:sz w:val="20"/>
          <w:szCs w:val="20"/>
          <w:color w:val="auto"/>
        </w:rPr>
      </w:pPr>
      <w:r>
        <w:rPr>
          <w:rFonts w:ascii="Arial" w:cs="Arial" w:eastAsia="Arial" w:hAnsi="Arial"/>
          <w:sz w:val="14"/>
          <w:szCs w:val="14"/>
          <w:color w:val="auto"/>
        </w:rPr>
        <w:t>When signing as attorney, executor, administrator, corporate officer, trustee,</w:t>
      </w:r>
    </w:p>
    <w:p>
      <w:pPr>
        <w:ind w:left="440"/>
        <w:spacing w:after="0"/>
        <w:rPr>
          <w:sz w:val="20"/>
          <w:szCs w:val="20"/>
          <w:color w:val="auto"/>
        </w:rPr>
      </w:pPr>
      <w:r>
        <w:rPr>
          <w:rFonts w:ascii="Arial" w:cs="Arial" w:eastAsia="Arial" w:hAnsi="Arial"/>
          <w:sz w:val="14"/>
          <w:szCs w:val="14"/>
          <w:color w:val="auto"/>
        </w:rPr>
        <w:t>guardian, or custodian, please give full title.</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ectPr>
          <w:pgSz w:w="11900" w:h="16838" w:orient="portrait"/>
          <w:cols w:equalWidth="0" w:num="4">
            <w:col w:w="2920" w:space="220"/>
            <w:col w:w="1460" w:space="720"/>
            <w:col w:w="2300" w:space="720"/>
            <w:col w:w="280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40" w:right="6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auto"/>
        </w:rPr>
        <w:t>investors.viasat.com</w:t>
      </w:r>
      <w:r>
        <w:rPr>
          <w:rFonts w:ascii="Arial" w:cs="Arial" w:eastAsia="Arial" w:hAnsi="Arial"/>
          <w:sz w:val="18"/>
          <w:szCs w:val="18"/>
          <w:color w:val="auto"/>
        </w:rPr>
        <w: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jc w:val="center"/>
        <w:ind w:left="440" w:right="120"/>
        <w:spacing w:after="0" w:line="30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750570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D19924-P41923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4525" cy="31540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4525" cy="3154045"/>
                    </a:xfrm>
                    <a:prstGeom prst="rect">
                      <a:avLst/>
                    </a:prstGeom>
                    <a:noFill/>
                  </pic:spPr>
                </pic:pic>
              </a:graphicData>
            </a:graphic>
          </wp:anchor>
        </w:drawing>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 - SEPTEMBER 3, 2020</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ON BEHALF OF THE VIASAT BOARD OF DIRECTORS</w:t>
      </w:r>
    </w:p>
    <w:p>
      <w:pPr>
        <w:spacing w:after="0" w:line="270" w:lineRule="exact"/>
        <w:rPr>
          <w:sz w:val="20"/>
          <w:szCs w:val="20"/>
          <w:color w:val="auto"/>
        </w:rPr>
      </w:pPr>
    </w:p>
    <w:p>
      <w:pPr>
        <w:ind w:left="480" w:right="380"/>
        <w:spacing w:after="0" w:line="293" w:lineRule="auto"/>
        <w:rPr>
          <w:sz w:val="20"/>
          <w:szCs w:val="20"/>
          <w:color w:val="auto"/>
        </w:rPr>
      </w:pPr>
      <w:r>
        <w:rPr>
          <w:rFonts w:ascii="Arial" w:cs="Arial" w:eastAsia="Arial" w:hAnsi="Arial"/>
          <w:sz w:val="16"/>
          <w:szCs w:val="16"/>
          <w:color w:val="auto"/>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www.virtualshareholdermeeting.com/VSAT2020 on September 3, 2020, at 8:30 a.m. Pacific Time, and at any adjournments and postponements thereof, with the same force and effect as the undersigned might or could do if personally present.</w:t>
      </w:r>
    </w:p>
    <w:p>
      <w:pPr>
        <w:spacing w:after="0" w:line="201" w:lineRule="exact"/>
        <w:rPr>
          <w:sz w:val="20"/>
          <w:szCs w:val="20"/>
          <w:color w:val="auto"/>
        </w:rPr>
      </w:pPr>
    </w:p>
    <w:p>
      <w:pPr>
        <w:ind w:left="480" w:right="360"/>
        <w:spacing w:after="0" w:line="256" w:lineRule="auto"/>
        <w:rPr>
          <w:sz w:val="20"/>
          <w:szCs w:val="20"/>
          <w:color w:val="auto"/>
        </w:rPr>
      </w:pPr>
      <w:r>
        <w:rPr>
          <w:rFonts w:ascii="Arial" w:cs="Arial" w:eastAsia="Arial" w:hAnsi="Arial"/>
          <w:sz w:val="18"/>
          <w:szCs w:val="18"/>
          <w:b w:val="1"/>
          <w:bCs w:val="1"/>
          <w:color w:val="auto"/>
        </w:rPr>
        <w:t>THE SHARES REPRESENTED BY THIS PROXY CARD WILL BE VOTED AS INSTRUCTED BY THE STOCKHOLDER. IF NO INSTRUCTIONS ARE SPECIFIED, THE SHARES WILL BE VOTED “FOR” ALL THE DIRECTOR NOMINEES LISTED IN PROPOSAL 1, AND “FOR” PROPOSALS 2, 3 AND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6"/>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lvl w:ilvl="1">
      <w:lvlJc w:val="left"/>
      <w:lvlText w:val="-"/>
      <w:numFmt w:val="bullet"/>
      <w:start w:val="1"/>
    </w:lvl>
  </w:abstractNum>
  <w:abstractNum w:abstractNumId="9">
    <w:nsid w:val="7A6D8D3C"/>
    <w:multiLevelType w:val="hybridMultilevel"/>
    <w:lvl w:ilvl="0">
      <w:lvlJc w:val="left"/>
      <w:lvlText w:val="%1."/>
      <w:numFmt w:val="decimal"/>
      <w:start w:val="1"/>
    </w:lvl>
    <w:lvl w:ilvl="1">
      <w:lvlJc w:val="left"/>
      <w:lvlText w:val="•"/>
      <w:numFmt w:val="bullet"/>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decimal"/>
      <w:start w:val="2"/>
    </w:lvl>
  </w:abstractNum>
  <w:abstractNum w:abstractNumId="17">
    <w:nsid w:val="579478FE"/>
    <w:multiLevelType w:val="hybridMultilevel"/>
    <w:lvl w:ilvl="0">
      <w:lvlJc w:val="left"/>
      <w:lvlText w:val="(%1)"/>
      <w:numFmt w:val="decimal"/>
      <w:start w:val="2"/>
    </w:lvl>
  </w:abstractNum>
  <w:abstractNum w:abstractNumId="18">
    <w:nsid w:val="749ABB43"/>
    <w:multiLevelType w:val="hybridMultilevel"/>
    <w:lvl w:ilvl="0">
      <w:lvlJc w:val="left"/>
      <w:lvlText w:val="(%1)"/>
      <w:numFmt w:val="decimal"/>
      <w:start w:val="3"/>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lowerLetter"/>
      <w:start w:val="2"/>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5"/>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2"/>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2"/>
    </w:lvl>
    <w:lvl w:ilvl="1">
      <w:lvlJc w:val="left"/>
      <w:lvlText w:val="•"/>
      <w:numFmt w:val="bullet"/>
      <w:start w:val="1"/>
    </w:lvl>
  </w:abstractNum>
  <w:abstractNum w:abstractNumId="37">
    <w:nsid w:val="15B5AF5C"/>
    <w:multiLevelType w:val="hybridMultilevel"/>
    <w:lvl w:ilvl="0">
      <w:lvlJc w:val="left"/>
      <w:lvlText w:val="(%1)"/>
      <w:numFmt w:val="decimal"/>
      <w:start w:val="5"/>
    </w:lvl>
    <w:lvl w:ilvl="1">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2"/>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decimal"/>
      <w:start w:val="1"/>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2"/>
    </w:lvl>
  </w:abstractNum>
  <w:abstractNum w:abstractNumId="56">
    <w:nsid w:val="6590700B"/>
    <w:multiLevelType w:val="hybridMultilevel"/>
    <w:lvl w:ilvl="0">
      <w:lvlJc w:val="left"/>
      <w:lvlText w:val="(%1)"/>
      <w:numFmt w:val="lowerRoman"/>
      <w:start w:val="3"/>
    </w:lvl>
  </w:abstractNum>
  <w:abstractNum w:abstractNumId="57">
    <w:nsid w:val="15014ACB"/>
    <w:multiLevelType w:val="hybridMultilevel"/>
    <w:lvl w:ilvl="0">
      <w:lvlJc w:val="left"/>
      <w:lvlText w:val="(%1)"/>
      <w:numFmt w:val="lowerLetter"/>
      <w:start w:val="1"/>
    </w:lvl>
    <w:lvl w:ilvl="1">
      <w:lvlJc w:val="left"/>
      <w:lvlText w:val="(%2)"/>
      <w:numFmt w:val="lowerLetter"/>
      <w:start w:val="9"/>
    </w:lvl>
  </w:abstractNum>
  <w:abstractNum w:abstractNumId="58">
    <w:nsid w:val="5F5E7FD0"/>
    <w:multiLevelType w:val="hybridMultilevel"/>
    <w:lvl w:ilvl="0">
      <w:lvlJc w:val="left"/>
      <w:lvlText w:val="%1"/>
      <w:numFmt w:val="lowerLetter"/>
      <w:start w:val="1"/>
    </w:lvl>
    <w:lvl w:ilvl="1">
      <w:lvlJc w:val="left"/>
      <w:lvlText w:val="(%2)"/>
      <w:numFmt w:val="lowerRoman"/>
      <w:start w:val="2"/>
    </w:lvl>
  </w:abstractNum>
  <w:abstractNum w:abstractNumId="59">
    <w:nsid w:val="98A3148"/>
    <w:multiLevelType w:val="hybridMultilevel"/>
    <w:lvl w:ilvl="0">
      <w:lvlJc w:val="left"/>
      <w:lvlText w:val="(%1)"/>
      <w:numFmt w:val="lowerLetter"/>
      <w:start w:val="2"/>
    </w:lvl>
    <w:lvl w:ilvl="1">
      <w:lvlJc w:val="left"/>
      <w:lvlText w:val="%2"/>
      <w:numFmt w:val="lowerRoman"/>
      <w:start w:val="1"/>
    </w:lvl>
  </w:abstractNum>
  <w:abstractNum w:abstractNumId="60">
    <w:nsid w:val="799D0247"/>
    <w:multiLevelType w:val="hybridMultilevel"/>
    <w:lvl w:ilvl="0">
      <w:lvlJc w:val="left"/>
      <w:lvlText w:val="(%1)"/>
      <w:numFmt w:val="decimal"/>
      <w:start w:val="6"/>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4"/>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1"/>
    </w:lvl>
    <w:lvl w:ilvl="1">
      <w:lvlJc w:val="left"/>
      <w:lvlText w:val="(%2)"/>
      <w:numFmt w:val="lowerRoman"/>
      <w:start w:val="1"/>
    </w:lvl>
  </w:abstractNum>
  <w:abstractNum w:abstractNumId="67">
    <w:nsid w:val="540A471C"/>
    <w:multiLevelType w:val="hybridMultilevel"/>
    <w:lvl w:ilvl="0">
      <w:lvlJc w:val="left"/>
      <w:lvlText w:val="(%1)"/>
      <w:numFmt w:val="lowerLetter"/>
      <w:start w:val="2"/>
    </w:lvl>
  </w:abstractNum>
  <w:abstractNum w:abstractNumId="68">
    <w:nsid w:val="7BD3EE7B"/>
    <w:multiLevelType w:val="hybridMultilevel"/>
    <w:lvl w:ilvl="0">
      <w:lvlJc w:val="left"/>
      <w:lvlText w:val="(%1)"/>
      <w:numFmt w:val="lowerLetter"/>
      <w:start w:val="1"/>
    </w:lvl>
  </w:abstractNum>
  <w:abstractNum w:abstractNumId="69">
    <w:nsid w:val="51D9C564"/>
    <w:multiLevelType w:val="hybridMultilevel"/>
    <w:lvl w:ilvl="0">
      <w:lvlJc w:val="left"/>
      <w:lvlText w:val="(%1)"/>
      <w:numFmt w:val="lowerRoman"/>
      <w:start w:val="1"/>
    </w:lvl>
  </w:abstractNum>
  <w:abstractNum w:abstractNumId="70">
    <w:nsid w:val="613EFDC5"/>
    <w:multiLevelType w:val="hybridMultilevel"/>
    <w:lvl w:ilvl="0">
      <w:lvlJc w:val="left"/>
      <w:lvlText w:val="(%1)"/>
      <w:numFmt w:val="lowerLetter"/>
      <w:start w:val="1"/>
    </w:lvl>
  </w:abstractNum>
  <w:abstractNum w:abstractNumId="71">
    <w:nsid w:val="BF72B14"/>
    <w:multiLevelType w:val="hybridMultilevel"/>
    <w:lvl w:ilvl="0">
      <w:lvlJc w:val="left"/>
      <w:lvlText w:val="(%1)"/>
      <w:numFmt w:val="lowerLetter"/>
      <w:start w:val="1"/>
    </w:lvl>
  </w:abstractNum>
  <w:abstractNum w:abstractNumId="72">
    <w:nsid w:val="11447B73"/>
    <w:multiLevelType w:val="hybridMultilevel"/>
    <w:lvl w:ilvl="0">
      <w:lvlJc w:val="left"/>
      <w:lvlText w:val="(%1)"/>
      <w:numFmt w:val="lowerLetter"/>
      <w:start w:val="2"/>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Roman"/>
      <w:start w:val="1"/>
    </w:lvl>
  </w:abstractNum>
  <w:abstractNum w:abstractNumId="77">
    <w:nsid w:val="3B0FD379"/>
    <w:multiLevelType w:val="hybridMultilevel"/>
    <w:lvl w:ilvl="0">
      <w:lvlJc w:val="left"/>
      <w:lvlText w:val="(%1)"/>
      <w:numFmt w:val="lowerLetter"/>
      <w:start w:val="2"/>
    </w:lvl>
    <w:lvl w:ilvl="1">
      <w:lvlJc w:val="left"/>
      <w:lvlText w:val="(%2)"/>
      <w:numFmt w:val="lowerRoman"/>
      <w:start w:val="1"/>
    </w:lvl>
  </w:abstractNum>
  <w:abstractNum w:abstractNumId="78">
    <w:nsid w:val="68EB2F63"/>
    <w:multiLevelType w:val="hybridMultilevel"/>
    <w:lvl w:ilvl="0">
      <w:lvlJc w:val="left"/>
      <w:lvlText w:val="%1"/>
      <w:numFmt w:val="lowerLetter"/>
      <w:start w:val="1"/>
    </w:lvl>
    <w:lvl w:ilvl="1">
      <w:lvlJc w:val="left"/>
      <w:lvlText w:val="(%2)"/>
      <w:numFmt w:val="lowerRoman"/>
      <w:start w:val="5"/>
    </w:lvl>
  </w:abstractNum>
  <w:abstractNum w:abstractNumId="79">
    <w:nsid w:val="4962813B"/>
    <w:multiLevelType w:val="hybridMultilevel"/>
    <w:lvl w:ilvl="0">
      <w:lvlJc w:val="left"/>
      <w:lvlText w:val="(%1)"/>
      <w:numFmt w:val="lowerLetter"/>
      <w:start w:val="3"/>
    </w:lvl>
    <w:lvl w:ilvl="1">
      <w:lvlJc w:val="left"/>
      <w:lvlText w:val="(%2)"/>
      <w:numFmt w:val="lowerRoman"/>
      <w:start w:val="1"/>
    </w:lvl>
  </w:abstractNum>
  <w:abstractNum w:abstractNumId="80">
    <w:nsid w:val="60B6DF7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2020-07-23T05:08:47Z</dcterms:created>
  <dcterms:modified xsi:type="dcterms:W3CDTF">2020-07-23T05:08:47Z</dcterms:modified>
</cp:coreProperties>
</file>